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3"/>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3" o:title=""/>
              </v:shape>
            </w:pict>
          </mc:Fallback>
        </mc:AlternateContent>
      </w:r>
      <w:r/>
    </w:p>
    <w:p>
      <w:pP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tabs>
          <w:tab w:val="left" w:pos="2505"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昆山市政府采购</w:t>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 xml:space="preserve">竞争性谈判采购文件</w:t>
      </w:r>
      <w: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ab/>
      </w:r>
      <w:r/>
    </w:p>
    <w:p>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JSZC-320583-SZYE-T2026-0037</w:t>
      </w:r>
      <w:r/>
    </w:p>
    <w:p>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采购内容：</w:t>
      </w:r>
      <w:r>
        <w:rPr>
          <w:rFonts w:hint="eastAsia" w:asciiTheme="minorEastAsia" w:hAnsiTheme="minorEastAsia" w:eastAsiaTheme="minorEastAsia" w:cstheme="minorEastAsia"/>
          <w:color w:val="auto"/>
          <w:sz w:val="28"/>
          <w:szCs w:val="28"/>
          <w:highlight w:val="none"/>
          <w:lang w:val="en-US" w:eastAsia="zh-CN"/>
        </w:rPr>
        <w:t xml:space="preserve">食材配送</w:t>
      </w:r>
      <w:r/>
    </w:p>
    <w:p>
      <w:pPr>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采购单位：</w:t>
      </w:r>
      <w:r>
        <w:rPr>
          <w:rFonts w:hint="eastAsia" w:asciiTheme="minorEastAsia" w:hAnsiTheme="minorEastAsia" w:eastAsiaTheme="minorEastAsia" w:cstheme="minorEastAsia"/>
          <w:color w:val="auto"/>
          <w:sz w:val="28"/>
          <w:szCs w:val="28"/>
          <w:highlight w:val="none"/>
          <w:lang w:eastAsia="zh-CN"/>
        </w:rPr>
        <w:t xml:space="preserve">昆山市第五人民医院</w:t>
      </w:r>
      <w:r/>
    </w:p>
    <w:p>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jc w:val="center"/>
        <w:rPr>
          <w:rFonts w:hint="eastAsia" w:asciiTheme="minorEastAsia" w:hAnsiTheme="minorEastAsia" w:eastAsiaTheme="minorEastAsia" w:cstheme="minorEastAsia"/>
          <w:color w:val="auto"/>
          <w:sz w:val="30"/>
          <w:highlight w:val="none"/>
        </w:r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苏州宇恩项目咨询有限公司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二〇二</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年</w:t>
      </w:r>
      <w:r>
        <w:rPr>
          <w:rFonts w:hint="eastAsia" w:asciiTheme="minorEastAsia" w:hAnsiTheme="minorEastAsia" w:eastAsiaTheme="minorEastAsia" w:cstheme="minorEastAsia"/>
          <w:color w:val="auto"/>
          <w:sz w:val="32"/>
          <w:szCs w:val="32"/>
          <w:highlight w:val="none"/>
          <w:lang w:val="en-US" w:eastAsia="zh-CN"/>
        </w:rPr>
        <w:t xml:space="preserve">九</w:t>
      </w:r>
      <w:r>
        <w:rPr>
          <w:rFonts w:hint="eastAsia" w:asciiTheme="minorEastAsia" w:hAnsiTheme="minorEastAsia" w:eastAsiaTheme="minorEastAsia" w:cstheme="minorEastAsia"/>
          <w:color w:val="auto"/>
          <w:sz w:val="32"/>
          <w:szCs w:val="32"/>
          <w:highlight w:val="none"/>
        </w:rPr>
        <w:t xml:space="preserve">月</w:t>
      </w:r>
      <w:r/>
    </w:p>
    <w:p>
      <w:pPr>
        <w:jc w:val="both"/>
        <w:spacing w:line="360" w:lineRule="auto"/>
        <w:rPr>
          <w:rFonts w:hint="eastAsia" w:asciiTheme="minorEastAsia" w:hAnsiTheme="minorEastAsia" w:eastAsiaTheme="minorEastAsia" w:cstheme="minorEastAsia"/>
          <w:color w:val="auto"/>
          <w:sz w:val="32"/>
          <w:szCs w:val="32"/>
          <w:highlight w:val="none"/>
        </w:rPr>
        <w:sectPr>
          <w:headerReference w:type="default" r:id="rId9"/>
          <w:headerReference w:type="first" r:id="rId10"/>
          <w:footerReference w:type="even" r:id="rId11"/>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auto"/>
          <w:sz w:val="32"/>
          <w:szCs w:val="32"/>
          <w:highlight w:val="none"/>
        </w:rPr>
      </w:r>
      <w:r/>
    </w:p>
    <w:sdt>
      <w:sdtPr>
        <w15:appearance w15:val="boundingBox"/>
        <w15:color w:val="dbdbdb"/>
        <w:id w:val="147457763"/>
        <w:rPr>
          <w:rFonts w:hint="eastAsia" w:asciiTheme="minorEastAsia" w:hAnsiTheme="minorEastAsia" w:eastAsiaTheme="minorEastAsia" w:cstheme="minorEastAsia"/>
          <w:color w:val="auto"/>
          <w:sz w:val="21"/>
          <w:szCs w:val="2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28"/>
              <w:szCs w:val="28"/>
              <w:highlight w:val="none"/>
            </w:rPr>
            <w:t xml:space="preserve">目录</w:t>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4"/>
              <w:highlight w:val="none"/>
              <w:lang w:val="en-US" w:eastAsia="zh-CN" w:bidi="ar-SA"/>
            </w:rPr>
            <w:fldChar w:fldCharType="begin"/>
          </w:r>
          <w:r>
            <w:rPr>
              <w:rFonts w:hint="eastAsia" w:asciiTheme="minorEastAsia" w:hAnsiTheme="minorEastAsia" w:eastAsiaTheme="minorEastAsia" w:cstheme="minorEastAsia"/>
              <w:color w:val="auto"/>
              <w:sz w:val="21"/>
              <w:szCs w:val="24"/>
              <w:highlight w:val="none"/>
              <w:lang w:val="en-US" w:eastAsia="zh-CN" w:bidi="ar-SA"/>
            </w:rPr>
            <w:instrText xml:space="preserve">TOC \o "1-1" \h \u </w:instrText>
          </w:r>
          <w:r>
            <w:rPr>
              <w:rFonts w:hint="eastAsia" w:asciiTheme="minorEastAsia" w:hAnsiTheme="minorEastAsia" w:eastAsiaTheme="minorEastAsia" w:cstheme="minorEastAsia"/>
              <w:color w:val="auto"/>
              <w:sz w:val="21"/>
              <w:szCs w:val="24"/>
              <w:highlight w:val="none"/>
              <w:lang w:val="en-US" w:eastAsia="zh-CN" w:bidi="ar-SA"/>
            </w:rPr>
            <w:fldChar w:fldCharType="separate"/>
          </w: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_Toc14029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第一章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竞争性谈判邀请函</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_Toc14029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_Toc29683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第二章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响应须知</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_Toc29683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6</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_Toc24379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第三章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响应内容</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_Toc24379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14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_Toc2792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第四章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竞争性谈判程序</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_Toc2792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19</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_Toc32327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第五章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合同条款</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_Toc32327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23</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_Toc17446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color w:val="auto"/>
              <w:szCs w:val="32"/>
              <w:highlight w:val="none"/>
            </w:rPr>
            <w:t xml:space="preserve">第六章 </w:t>
          </w:r>
          <w:r>
            <w:rPr>
              <w:rFonts w:hint="eastAsia" w:asciiTheme="minorEastAsia" w:hAnsiTheme="minorEastAsia" w:eastAsiaTheme="minorEastAsia" w:cstheme="minorEastAsia"/>
              <w:bCs/>
              <w:color w:val="auto"/>
              <w:szCs w:val="32"/>
              <w:highlight w:val="none"/>
              <w:lang w:val="en-US"/>
            </w:rPr>
            <w:t xml:space="preserve"> </w:t>
          </w:r>
          <w:r>
            <w:rPr>
              <w:rFonts w:hint="eastAsia" w:asciiTheme="minorEastAsia" w:hAnsiTheme="minorEastAsia" w:eastAsiaTheme="minorEastAsia" w:cstheme="minorEastAsia"/>
              <w:bCs/>
              <w:color w:val="auto"/>
              <w:szCs w:val="32"/>
              <w:highlight w:val="none"/>
            </w:rPr>
            <w:t xml:space="preserve">评审方法</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_Toc17446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31</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pStyle w:val="751"/>
            <w:tabs>
              <w:tab w:val="right" w:pos="9740" w:leader="dot"/>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4"/>
              <w:highlight w:val="none"/>
              <w:lang w:val="en-US" w:eastAsia="zh-CN" w:bidi="ar-SA"/>
            </w:rPr>
            <w:fldChar w:fldCharType="begin"/>
          </w:r>
          <w:r>
            <w:rPr>
              <w:rFonts w:hint="eastAsia" w:asciiTheme="minorEastAsia" w:hAnsiTheme="minorEastAsia" w:eastAsiaTheme="minorEastAsia" w:cstheme="minorEastAsia"/>
              <w:color w:val="auto"/>
              <w:szCs w:val="24"/>
              <w:highlight w:val="none"/>
              <w:lang w:val="en-US" w:eastAsia="zh-CN" w:bidi="ar-SA"/>
            </w:rPr>
            <w:instrText xml:space="preserve"> HYPERLINK \l _Toc18696 </w:instrText>
          </w:r>
          <w:r>
            <w:rPr>
              <w:rFonts w:hint="eastAsia" w:asciiTheme="minorEastAsia" w:hAnsiTheme="minorEastAsia" w:eastAsiaTheme="minorEastAsia" w:cstheme="minorEastAsia"/>
              <w:color w:val="auto"/>
              <w:szCs w:val="24"/>
              <w:highlight w:val="none"/>
              <w:lang w:val="en-US" w:eastAsia="zh-CN" w:bidi="ar-SA"/>
            </w:rPr>
            <w:fldChar w:fldCharType="separate"/>
          </w:r>
          <w:r>
            <w:rPr>
              <w:rFonts w:hint="eastAsia" w:asciiTheme="minorEastAsia" w:hAnsiTheme="minorEastAsia" w:eastAsiaTheme="minorEastAsia" w:cstheme="minorEastAsia"/>
              <w:bCs w:val="0"/>
              <w:color w:val="auto"/>
              <w:szCs w:val="32"/>
              <w:highlight w:val="none"/>
            </w:rPr>
            <w:t xml:space="preserve">第七章</w:t>
          </w:r>
          <w:r>
            <w:rPr>
              <w:rFonts w:hint="eastAsia" w:asciiTheme="minorEastAsia" w:hAnsiTheme="minorEastAsia" w:eastAsiaTheme="minorEastAsia" w:cstheme="minorEastAsia"/>
              <w:bCs w:val="0"/>
              <w:color w:val="auto"/>
              <w:szCs w:val="32"/>
              <w:highlight w:val="none"/>
              <w:lang w:val="en-US"/>
            </w:rPr>
            <w:t xml:space="preserve"> </w:t>
          </w:r>
          <w:r>
            <w:rPr>
              <w:rFonts w:hint="eastAsia" w:asciiTheme="minorEastAsia" w:hAnsiTheme="minorEastAsia" w:eastAsiaTheme="minorEastAsia" w:cstheme="minorEastAsia"/>
              <w:bCs w:val="0"/>
              <w:color w:val="auto"/>
              <w:szCs w:val="32"/>
              <w:highlight w:val="none"/>
            </w:rPr>
            <w:t xml:space="preserve"> 附件</w:t>
          </w:r>
          <w:r>
            <w:rPr>
              <w:rFonts w:hint="eastAsia" w:asciiTheme="minorEastAsia" w:hAnsiTheme="minorEastAsia" w:eastAsiaTheme="minorEastAsia" w:cstheme="minorEastAsia"/>
              <w:color w:val="auto"/>
              <w:highlight w:val="none"/>
            </w:rPr>
            <w:tab/>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PAGEREF _Toc18696 \h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 xml:space="preserve">34</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szCs w:val="24"/>
              <w:highlight w:val="none"/>
              <w:lang w:val="en-US" w:eastAsia="zh-CN" w:bidi="ar-SA"/>
            </w:rPr>
            <w:fldChar w:fldCharType="end"/>
          </w:r>
          <w:r/>
        </w:p>
        <w:p>
          <w:pPr>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Cs w:val="24"/>
              <w:highlight w:val="none"/>
              <w:lang w:val="en-US" w:eastAsia="zh-CN" w:bidi="ar-SA"/>
            </w:rPr>
            <w:fldChar w:fldCharType="end"/>
          </w:r>
          <w:r/>
        </w:p>
      </w:sdtContent>
    </w:sdt>
    <w:p>
      <w:pPr>
        <w:spacing w:line="360" w:lineRule="auto"/>
        <w:rPr>
          <w:rFonts w:hint="eastAsia" w:asciiTheme="minorEastAsia" w:hAnsiTheme="minorEastAsia" w:eastAsiaTheme="minorEastAsia" w:cstheme="minorEastAsia"/>
          <w:color w:val="auto"/>
          <w:sz w:val="21"/>
          <w:szCs w:val="24"/>
          <w:highlight w:val="none"/>
          <w:lang w:val="en-US" w:eastAsia="zh-CN" w:bidi="ar-SA"/>
        </w:rPr>
      </w:pPr>
      <w:r>
        <w:rPr>
          <w:rFonts w:hint="eastAsia" w:asciiTheme="minorEastAsia" w:hAnsiTheme="minorEastAsia" w:eastAsiaTheme="minorEastAsia" w:cstheme="minorEastAsia"/>
          <w:color w:val="auto"/>
          <w:sz w:val="21"/>
          <w:szCs w:val="24"/>
          <w:highlight w:val="none"/>
          <w:lang w:val="en-US" w:eastAsia="zh-CN" w:bidi="ar-SA"/>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spacing w:line="360" w:lineRule="auto"/>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Fonts w:hint="eastAsia" w:asciiTheme="minorEastAsia" w:hAnsiTheme="minorEastAsia" w:eastAsiaTheme="minorEastAsia" w:cstheme="minorEastAsia"/>
          <w:b/>
          <w:bCs/>
          <w:color w:val="auto"/>
          <w:sz w:val="30"/>
          <w:highlight w:val="none"/>
        </w:rPr>
      </w:pPr>
      <w:r>
        <w:rPr>
          <w:rFonts w:hint="eastAsia" w:asciiTheme="minorEastAsia" w:hAnsiTheme="minorEastAsia" w:eastAsiaTheme="minorEastAsia" w:cstheme="minorEastAsia"/>
          <w:b/>
          <w:bCs/>
          <w:color w:val="auto"/>
          <w:sz w:val="30"/>
          <w:highlight w:val="none"/>
        </w:rPr>
      </w:r>
      <w:r/>
    </w:p>
    <w:p>
      <w:pPr>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717"/>
        <w:jc w:val="center"/>
        <w:spacing w:line="240" w:lineRule="auto"/>
        <w:rPr>
          <w:rFonts w:hint="eastAsia" w:asciiTheme="minorEastAsia" w:hAnsiTheme="minorEastAsia" w:eastAsiaTheme="minorEastAsia" w:cstheme="minorEastAsia"/>
          <w:color w:val="auto"/>
          <w:highlight w:val="none"/>
        </w:rPr>
      </w:pPr>
      <w:r/>
      <w:bookmarkStart w:id="0" w:name="_Toc1"/>
      <w:r/>
      <w:bookmarkStart w:id="1" w:name="_Toc14029"/>
      <w:r/>
      <w:bookmarkStart w:id="2" w:name="_Toc22948"/>
      <w:r>
        <w:rPr>
          <w:rStyle w:val="1055"/>
          <w:rFonts w:hint="eastAsia" w:asciiTheme="minorEastAsia" w:hAnsiTheme="minorEastAsia" w:eastAsiaTheme="minorEastAsia" w:cstheme="minorEastAsia"/>
          <w:b/>
          <w:bCs/>
          <w:color w:val="auto"/>
          <w:sz w:val="32"/>
          <w:szCs w:val="32"/>
          <w:highlight w:val="none"/>
        </w:rPr>
        <w:t xml:space="preserve">第一章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竞争性谈判邀请函</w:t>
      </w:r>
      <w:bookmarkEnd w:id="0"/>
      <w:r/>
      <w:bookmarkEnd w:id="1"/>
      <w:r/>
      <w:bookmarkEnd w:id="2"/>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受</w:t>
      </w:r>
      <w:r>
        <w:rPr>
          <w:rFonts w:hint="eastAsia" w:asciiTheme="minorEastAsia" w:hAnsiTheme="minorEastAsia" w:eastAsiaTheme="minorEastAsia" w:cstheme="minorEastAsia"/>
          <w:color w:val="auto"/>
          <w:szCs w:val="21"/>
          <w:highlight w:val="none"/>
          <w:u w:val="single"/>
          <w:lang w:eastAsia="zh-CN"/>
        </w:rPr>
        <w:t xml:space="preserve">昆山市第五人民医院</w:t>
      </w:r>
      <w:r>
        <w:rPr>
          <w:rFonts w:hint="eastAsia" w:asciiTheme="minorEastAsia" w:hAnsiTheme="minorEastAsia" w:eastAsiaTheme="minorEastAsia" w:cstheme="minorEastAsia"/>
          <w:color w:val="auto"/>
          <w:szCs w:val="21"/>
          <w:highlight w:val="none"/>
        </w:rPr>
        <w:t xml:space="preserve">委托，</w:t>
      </w:r>
      <w:r>
        <w:rPr>
          <w:rFonts w:hint="eastAsia" w:asciiTheme="minorEastAsia" w:hAnsiTheme="minorEastAsia" w:eastAsiaTheme="minorEastAsia" w:cstheme="minorEastAsia"/>
          <w:color w:val="auto"/>
          <w:szCs w:val="21"/>
          <w:highlight w:val="none"/>
          <w:u w:val="single"/>
        </w:rPr>
        <w:t xml:space="preserve">苏州宇恩项目咨询有限公司 </w:t>
      </w:r>
      <w:r>
        <w:rPr>
          <w:rFonts w:hint="eastAsia" w:asciiTheme="minorEastAsia" w:hAnsiTheme="minorEastAsia" w:eastAsiaTheme="minorEastAsia" w:cstheme="minorEastAsia"/>
          <w:color w:val="auto"/>
          <w:szCs w:val="21"/>
          <w:highlight w:val="none"/>
        </w:rPr>
        <w:t xml:space="preserve">对其所需采购的</w:t>
      </w:r>
      <w:r>
        <w:rPr>
          <w:rFonts w:hint="eastAsia" w:asciiTheme="minorEastAsia" w:hAnsiTheme="minorEastAsia" w:eastAsiaTheme="minorEastAsia" w:cstheme="minorEastAsia"/>
          <w:color w:val="auto"/>
          <w:szCs w:val="21"/>
          <w:highlight w:val="none"/>
          <w:u w:val="single"/>
          <w:lang w:eastAsia="zh-CN"/>
        </w:rPr>
        <w:t xml:space="preserve">食材配送</w:t>
      </w:r>
      <w:r>
        <w:rPr>
          <w:rFonts w:hint="eastAsia" w:asciiTheme="minorEastAsia" w:hAnsiTheme="minorEastAsia" w:eastAsiaTheme="minorEastAsia" w:cstheme="minorEastAsia"/>
          <w:color w:val="auto"/>
          <w:szCs w:val="21"/>
          <w:highlight w:val="none"/>
        </w:rPr>
        <w:t xml:space="preserve">项目进行竞争性谈判。欢迎有资格的供应商前来参加投标。</w:t>
      </w:r>
      <w:r/>
    </w:p>
    <w:p>
      <w:pPr>
        <w:ind w:right="178"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一、项目基本情况</w:t>
      </w:r>
      <w:r/>
    </w:p>
    <w:p>
      <w:pPr>
        <w:ind w:right="178" w:firstLine="420"/>
        <w:spacing w:line="360" w:lineRule="auto"/>
        <w:tabs>
          <w:tab w:val="right" w:pos="7892" w:leader="none"/>
        </w:tabs>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Theme="minorEastAsia" w:hAnsiTheme="minorEastAsia" w:eastAsiaTheme="minorEastAsia" w:cstheme="minorEastAsia"/>
          <w:color w:val="auto"/>
          <w:szCs w:val="21"/>
          <w:highlight w:val="none"/>
          <w:lang w:val="en-US" w:eastAsia="zh-CN"/>
        </w:rPr>
        <w:t xml:space="preserve">JSZC-320583-SZYE-T2026-0037</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tab/>
      </w:r>
      <w:r/>
    </w:p>
    <w:p>
      <w:pPr>
        <w:ind w:right="178" w:firstLine="420"/>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bCs/>
          <w:color w:val="auto"/>
          <w:szCs w:val="21"/>
          <w:highlight w:val="none"/>
        </w:rPr>
        <w:t xml:space="preserve">2.项目名称</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eastAsia="zh-CN"/>
        </w:rPr>
        <w:t xml:space="preserve">食材配送</w:t>
      </w:r>
      <w:r>
        <w:rPr>
          <w:rFonts w:hint="eastAsia" w:asciiTheme="minorEastAsia" w:hAnsiTheme="minorEastAsia" w:eastAsiaTheme="minorEastAsia" w:cstheme="minorEastAsia"/>
          <w:color w:val="auto"/>
          <w:szCs w:val="21"/>
          <w:highlight w:val="none"/>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3.预算金额：</w:t>
      </w:r>
      <w:r>
        <w:rPr>
          <w:rFonts w:hint="eastAsia" w:asciiTheme="minorEastAsia" w:hAnsiTheme="minorEastAsia" w:eastAsiaTheme="minorEastAsia" w:cstheme="minorEastAsia"/>
          <w:color w:val="auto"/>
          <w:szCs w:val="21"/>
          <w:highlight w:val="none"/>
          <w:lang w:val="en-US" w:eastAsia="zh-CN"/>
        </w:rPr>
        <w:t xml:space="preserve">壹佰壹拾柒万</w:t>
      </w:r>
      <w:r>
        <w:rPr>
          <w:rFonts w:hint="eastAsia" w:asciiTheme="minorEastAsia" w:hAnsiTheme="minorEastAsia" w:eastAsiaTheme="minorEastAsia" w:cstheme="minorEastAsia"/>
          <w:color w:val="auto"/>
          <w:szCs w:val="21"/>
          <w:highlight w:val="none"/>
        </w:rPr>
        <w:t xml:space="preserve">元整（￥</w:t>
      </w:r>
      <w:r>
        <w:rPr>
          <w:rFonts w:hint="eastAsia" w:asciiTheme="minorEastAsia" w:hAnsiTheme="minorEastAsia" w:eastAsiaTheme="minorEastAsia" w:cstheme="minorEastAsia"/>
          <w:color w:val="auto"/>
          <w:szCs w:val="21"/>
          <w:highlight w:val="none"/>
          <w:lang w:val="en-US" w:eastAsia="zh-CN"/>
        </w:rPr>
        <w:t xml:space="preserve">1170000</w:t>
      </w:r>
      <w:r>
        <w:rPr>
          <w:rFonts w:hint="eastAsia" w:asciiTheme="minorEastAsia" w:hAnsiTheme="minorEastAsia" w:eastAsiaTheme="minorEastAsia" w:cstheme="minorEastAsia"/>
          <w:color w:val="auto"/>
          <w:szCs w:val="21"/>
          <w:highlight w:val="none"/>
        </w:rPr>
        <w:t xml:space="preserve">.00元）</w:t>
      </w:r>
      <w:r>
        <w:rPr>
          <w:rFonts w:hint="eastAsia" w:asciiTheme="minorEastAsia" w:hAnsiTheme="minorEastAsia" w:eastAsiaTheme="minorEastAsia" w:cstheme="minorEastAsia"/>
          <w:color w:val="auto"/>
          <w:szCs w:val="21"/>
          <w:highlight w:val="none"/>
          <w:lang w:eastAsia="zh-CN"/>
        </w:rPr>
        <w:t xml:space="preserve">；</w:t>
      </w:r>
      <w:r/>
    </w:p>
    <w:p>
      <w:pPr>
        <w:ind w:right="178" w:firstLine="42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4.最高限价：同预算；</w:t>
      </w:r>
      <w:r/>
    </w:p>
    <w:p>
      <w:pPr>
        <w:ind w:right="178"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.采购内容：食材配送服务采购，具体内容详见招标文件；</w:t>
      </w:r>
      <w:r/>
    </w:p>
    <w:p>
      <w:pPr>
        <w:ind w:right="178" w:firstLine="420"/>
        <w:spacing w:line="360" w:lineRule="auto"/>
        <w:rPr>
          <w:rFonts w:hint="eastAsia"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6</w:t>
      </w:r>
      <w:r>
        <w:rPr>
          <w:rFonts w:hint="eastAsia" w:asciiTheme="minorEastAsia" w:hAnsiTheme="minorEastAsia" w:eastAsiaTheme="minorEastAsia" w:cstheme="minorEastAsia"/>
          <w:b w:val="0"/>
          <w:bCs w:val="0"/>
          <w:color w:val="auto"/>
          <w:szCs w:val="21"/>
          <w:highlight w:val="none"/>
        </w:rPr>
        <w:t xml:space="preserve">.服务期限：</w:t>
      </w:r>
      <w:r>
        <w:rPr>
          <w:rFonts w:hint="eastAsia" w:asciiTheme="minorEastAsia" w:hAnsiTheme="minorEastAsia" w:eastAsiaTheme="minorEastAsia" w:cstheme="minorEastAsia"/>
          <w:color w:val="auto"/>
          <w:highlight w:val="none"/>
          <w:lang w:eastAsia="zh-CN"/>
        </w:rPr>
        <w:t xml:space="preserve">1年（自合同签订之日起）</w:t>
      </w:r>
      <w:r>
        <w:rPr>
          <w:rFonts w:hint="eastAsia" w:asciiTheme="minorEastAsia" w:hAnsiTheme="minorEastAsia" w:eastAsiaTheme="minorEastAsia" w:cstheme="minorEastAsia"/>
          <w:b w:val="0"/>
          <w:bCs w:val="0"/>
          <w:color w:val="auto"/>
          <w:szCs w:val="21"/>
          <w:highlight w:val="none"/>
        </w:rPr>
        <w:t xml:space="preserve">；</w:t>
      </w:r>
      <w:r/>
    </w:p>
    <w:p>
      <w:pPr>
        <w:ind w:right="178"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.本项目不接受联合体投标。</w:t>
      </w:r>
      <w:r/>
    </w:p>
    <w:p>
      <w:pPr>
        <w:ind w:right="178"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二、申请人的资格要求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1.满足《中华人民共和国政府采购法》第二十二条规定（提供各相关证明材料）；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w:t>
      </w:r>
      <w:r>
        <w:rPr>
          <w:rFonts w:hint="eastAsia" w:asciiTheme="minorEastAsia" w:hAnsiTheme="minorEastAsia" w:eastAsiaTheme="minorEastAsia" w:cstheme="minorEastAsia"/>
          <w:b/>
          <w:color w:val="auto"/>
          <w:szCs w:val="21"/>
          <w:highlight w:val="none"/>
        </w:rPr>
        <w:t xml:space="preserve">本项目专门面向中小企业采购，残疾人福利性单位、监狱企业视同小型、微型企业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3.本项目的特定资格条件：</w:t>
      </w:r>
      <w:r>
        <w:rPr>
          <w:rFonts w:hint="eastAsia" w:asciiTheme="minorEastAsia" w:hAnsiTheme="minorEastAsia" w:eastAsiaTheme="minorEastAsia" w:cstheme="minorEastAsia"/>
          <w:b/>
          <w:bCs/>
          <w:color w:val="auto"/>
          <w:szCs w:val="21"/>
          <w:highlight w:val="none"/>
          <w:lang w:eastAsia="zh-CN"/>
        </w:rPr>
        <w:t xml:space="preserve">具有有效期内的《食品生产许可证》或《食品经营许可证》</w:t>
      </w:r>
      <w:r>
        <w:rPr>
          <w:rFonts w:hint="eastAsia" w:asciiTheme="minorEastAsia" w:hAnsiTheme="minorEastAsia" w:eastAsiaTheme="minorEastAsia" w:cstheme="minorEastAsia"/>
          <w:b/>
          <w:bCs/>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三、获取谈判文件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1.获取谈判文件时间：</w:t>
      </w:r>
      <w:r>
        <w:rPr>
          <w:rFonts w:hint="eastAsia" w:asciiTheme="minorEastAsia" w:hAnsiTheme="minorEastAsia" w:eastAsiaTheme="minorEastAsia" w:cstheme="minorEastAsia"/>
          <w:bCs/>
          <w:color w:val="auto"/>
          <w:szCs w:val="21"/>
          <w:highlight w:val="none"/>
        </w:rPr>
        <w:t xml:space="preserve">自谈判文件公告发布之日起3个工作日</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2.获取谈判文件方式：登录“苏采云”系统自行下载本项目招标文件；</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3.谈判文件售价：0元。 </w:t>
      </w:r>
      <w:r>
        <w:rPr>
          <w:rFonts w:hint="eastAsia" w:asciiTheme="minorEastAsia" w:hAnsiTheme="minorEastAsia" w:eastAsiaTheme="minorEastAsia" w:cstheme="minorEastAsia"/>
          <w:b/>
          <w:color w:val="auto"/>
          <w:szCs w:val="21"/>
          <w:highlight w:val="none"/>
        </w:rPr>
        <w:t xml:space="preserve"> </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四、提交响应文件截止时间、开标时间和地点</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本项目采用电子化采购模式，供应商须网上提交响应文件，并可通过远程开标方式完成开标。</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1.提交响应文件截止时间：</w:t>
      </w:r>
      <w:r>
        <w:rPr>
          <w:rFonts w:hint="eastAsia" w:asciiTheme="minorEastAsia" w:hAnsiTheme="minorEastAsia" w:eastAsiaTheme="minorEastAsia" w:cstheme="minorEastAsia"/>
          <w:bCs/>
          <w:color w:val="auto"/>
          <w:szCs w:val="21"/>
          <w:highlight w:val="none"/>
        </w:rPr>
        <w:t xml:space="preserve">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10</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09</w:t>
      </w:r>
      <w:r>
        <w:rPr>
          <w:rFonts w:hint="eastAsia" w:asciiTheme="minorEastAsia" w:hAnsiTheme="minorEastAsia" w:eastAsiaTheme="minorEastAsia" w:cstheme="minorEastAsia"/>
          <w:bCs/>
          <w:color w:val="auto"/>
          <w:szCs w:val="21"/>
          <w:highlight w:val="none"/>
        </w:rPr>
        <w:t xml:space="preserve">日</w:t>
      </w:r>
      <w:r>
        <w:rPr>
          <w:rFonts w:hint="eastAsia" w:asciiTheme="minorEastAsia" w:hAnsiTheme="minorEastAsia" w:eastAsiaTheme="minorEastAsia" w:cstheme="minorEastAsia"/>
          <w:bCs/>
          <w:color w:val="auto"/>
          <w:szCs w:val="21"/>
          <w:highlight w:val="none"/>
          <w:lang w:val="en-US" w:eastAsia="zh-CN"/>
        </w:rPr>
        <w:t xml:space="preserve">14</w:t>
      </w:r>
      <w:r>
        <w:rPr>
          <w:rFonts w:hint="eastAsia" w:asciiTheme="minorEastAsia" w:hAnsiTheme="minorEastAsia" w:eastAsiaTheme="minorEastAsia" w:cstheme="minorEastAsia"/>
          <w:bCs/>
          <w:color w:val="auto"/>
          <w:szCs w:val="21"/>
          <w:highlight w:val="none"/>
        </w:rPr>
        <w:t xml:space="preserve">:30</w:t>
      </w:r>
      <w:r>
        <w:rPr>
          <w:rFonts w:hint="eastAsia" w:asciiTheme="minorEastAsia" w:hAnsiTheme="minorEastAsia" w:eastAsiaTheme="minorEastAsia" w:cstheme="minorEastAsia"/>
          <w:bCs/>
          <w:color w:val="auto"/>
          <w:szCs w:val="21"/>
          <w:highlight w:val="none"/>
        </w:rPr>
        <w:t xml:space="preserve">（北京时间）；</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2.远程开标时间：</w:t>
      </w:r>
      <w:r>
        <w:rPr>
          <w:rFonts w:hint="eastAsia" w:asciiTheme="minorEastAsia" w:hAnsiTheme="minorEastAsia" w:eastAsiaTheme="minorEastAsia" w:cstheme="minorEastAsia"/>
          <w:bCs/>
          <w:color w:val="auto"/>
          <w:szCs w:val="21"/>
          <w:highlight w:val="none"/>
        </w:rPr>
        <w:t xml:space="preserve">202</w:t>
      </w:r>
      <w:r>
        <w:rPr>
          <w:rFonts w:hint="eastAsia" w:asciiTheme="minorEastAsia" w:hAnsiTheme="minorEastAsia" w:eastAsiaTheme="minorEastAsia" w:cstheme="minorEastAsia"/>
          <w:bCs/>
          <w:color w:val="auto"/>
          <w:szCs w:val="21"/>
          <w:highlight w:val="none"/>
          <w:lang w:val="en-US" w:eastAsia="zh-CN"/>
        </w:rPr>
        <w:t xml:space="preserve">6</w:t>
      </w:r>
      <w:r>
        <w:rPr>
          <w:rFonts w:hint="eastAsia" w:asciiTheme="minorEastAsia" w:hAnsiTheme="minorEastAsia" w:eastAsiaTheme="minorEastAsia" w:cstheme="minorEastAsia"/>
          <w:bCs/>
          <w:color w:val="auto"/>
          <w:szCs w:val="21"/>
          <w:highlight w:val="none"/>
        </w:rPr>
        <w:t xml:space="preserve">年</w:t>
      </w:r>
      <w:r>
        <w:rPr>
          <w:rFonts w:hint="eastAsia" w:asciiTheme="minorEastAsia" w:hAnsiTheme="minorEastAsia" w:eastAsiaTheme="minorEastAsia" w:cstheme="minorEastAsia"/>
          <w:bCs/>
          <w:color w:val="auto"/>
          <w:szCs w:val="21"/>
          <w:highlight w:val="none"/>
          <w:lang w:val="en-US" w:eastAsia="zh-CN"/>
        </w:rPr>
        <w:t xml:space="preserve">10</w:t>
      </w:r>
      <w:r>
        <w:rPr>
          <w:rFonts w:hint="eastAsia" w:asciiTheme="minorEastAsia" w:hAnsiTheme="minorEastAsia" w:eastAsiaTheme="minorEastAsia" w:cstheme="minorEastAsia"/>
          <w:bCs/>
          <w:color w:val="auto"/>
          <w:szCs w:val="21"/>
          <w:highlight w:val="none"/>
        </w:rPr>
        <w:t xml:space="preserve">月</w:t>
      </w:r>
      <w:r>
        <w:rPr>
          <w:rFonts w:hint="eastAsia" w:asciiTheme="minorEastAsia" w:hAnsiTheme="minorEastAsia" w:eastAsiaTheme="minorEastAsia" w:cstheme="minorEastAsia"/>
          <w:bCs/>
          <w:color w:val="auto"/>
          <w:szCs w:val="21"/>
          <w:highlight w:val="none"/>
          <w:lang w:val="en-US" w:eastAsia="zh-CN"/>
        </w:rPr>
        <w:t xml:space="preserve">09</w:t>
      </w:r>
      <w:r>
        <w:rPr>
          <w:rFonts w:hint="eastAsia" w:asciiTheme="minorEastAsia" w:hAnsiTheme="minorEastAsia" w:eastAsiaTheme="minorEastAsia" w:cstheme="minorEastAsia"/>
          <w:bCs/>
          <w:color w:val="auto"/>
          <w:szCs w:val="21"/>
          <w:highlight w:val="none"/>
        </w:rPr>
        <w:t xml:space="preserve">日</w:t>
      </w:r>
      <w:r>
        <w:rPr>
          <w:rFonts w:hint="eastAsia" w:asciiTheme="minorEastAsia" w:hAnsiTheme="minorEastAsia" w:eastAsiaTheme="minorEastAsia" w:cstheme="minorEastAsia"/>
          <w:bCs/>
          <w:color w:val="auto"/>
          <w:szCs w:val="21"/>
          <w:highlight w:val="none"/>
          <w:lang w:val="en-US" w:eastAsia="zh-CN"/>
        </w:rPr>
        <w:t xml:space="preserve">14</w:t>
      </w:r>
      <w:r>
        <w:rPr>
          <w:rFonts w:hint="eastAsia" w:asciiTheme="minorEastAsia" w:hAnsiTheme="minorEastAsia" w:eastAsiaTheme="minorEastAsia" w:cstheme="minorEastAsia"/>
          <w:bCs/>
          <w:color w:val="auto"/>
          <w:szCs w:val="21"/>
          <w:highlight w:val="none"/>
        </w:rPr>
        <w:t xml:space="preserve">:30</w:t>
      </w:r>
      <w:r>
        <w:rPr>
          <w:rFonts w:hint="eastAsia" w:asciiTheme="minorEastAsia" w:hAnsiTheme="minorEastAsia" w:eastAsiaTheme="minorEastAsia" w:cstheme="minorEastAsia"/>
          <w:bCs/>
          <w:color w:val="auto"/>
          <w:szCs w:val="21"/>
          <w:highlight w:val="none"/>
        </w:rPr>
        <w:t xml:space="preserve">（北京时间）；</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3.远程CA解密时间：以开标时“苏采云”系统为准；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4.开标地点：“苏采云”系统（网址：http://jszfcg.jsczt.cn/）。</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五、公告信息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1.本公告在江苏政府采购网、苏州市政府采购网发布；</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2.公告期限：自本公告发布之日起3个工作日。</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color w:val="auto"/>
          <w:szCs w:val="21"/>
          <w:highlight w:val="none"/>
        </w:rPr>
        <w:t xml:space="preserve">六、</w:t>
      </w:r>
      <w:r>
        <w:rPr>
          <w:rFonts w:hint="eastAsia" w:asciiTheme="minorEastAsia" w:hAnsiTheme="minorEastAsia" w:eastAsiaTheme="minorEastAsia" w:cstheme="minorEastAsia"/>
          <w:b/>
          <w:bCs/>
          <w:color w:val="auto"/>
          <w:szCs w:val="21"/>
          <w:highlight w:val="none"/>
        </w:rPr>
        <w:t xml:space="preserve">其它补充事宜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1.CA证书办理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2.参与采购活动</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3.电子投标准备</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系统使用指导与咨询：联系电话：18261002950；QQ：3048755361、1315179389、895706745。</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6.本项目以电子投标文件的内容为准，不再收取纸质投标文件及相关原件等纸质材料。</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7.投标人在参加政府采购活动时须遵守《昆山市政府采购供应商诚信管理办法》的相关规定。</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七、</w:t>
      </w:r>
      <w:r>
        <w:rPr>
          <w:rFonts w:hint="eastAsia" w:asciiTheme="minorEastAsia" w:hAnsiTheme="minorEastAsia" w:eastAsiaTheme="minorEastAsia" w:cstheme="minorEastAsia"/>
          <w:b/>
          <w:bCs/>
          <w:color w:val="auto"/>
          <w:szCs w:val="21"/>
          <w:highlight w:val="none"/>
        </w:rPr>
        <w:t xml:space="preserve">凡对本次采购提出询问，请按以下方式联系</w:t>
      </w:r>
      <w:r/>
    </w:p>
    <w:p>
      <w:pPr>
        <w:ind w:right="-315"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采购人：</w:t>
      </w:r>
      <w:r>
        <w:rPr>
          <w:rFonts w:hint="eastAsia" w:asciiTheme="minorEastAsia" w:hAnsiTheme="minorEastAsia" w:eastAsiaTheme="minorEastAsia" w:cstheme="minorEastAsia"/>
          <w:color w:val="auto"/>
          <w:szCs w:val="21"/>
          <w:highlight w:val="none"/>
          <w:lang w:eastAsia="zh-CN"/>
        </w:rPr>
        <w:t xml:space="preserve">昆山市第五人民医院</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地址：千灯镇少卿东路350号</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rPr>
          <w:rFonts w:ascii="SimSun" w:hAnsi="SimSun" w:eastAsia="SimSun" w:cs="SimSun"/>
          <w:color w:val="000000"/>
          <w:sz w:val="21"/>
        </w:rPr>
        <w:t xml:space="preserve">石建国</w:t>
      </w:r>
      <w:r>
        <w:rPr>
          <w:rFonts w:hint="eastAsia" w:asciiTheme="minorEastAsia" w:hAnsiTheme="minorEastAsia" w:eastAsiaTheme="minorEastAsia" w:cstheme="minorEastAsia"/>
          <w:color w:val="auto"/>
          <w:szCs w:val="21"/>
          <w:highlight w:val="none"/>
        </w:rPr>
        <w:t xml:space="preserve">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rPr>
          <w:rFonts w:ascii="SimSun" w:hAnsi="SimSun" w:eastAsia="SimSun" w:cs="SimSun"/>
          <w:color w:val="000000"/>
          <w:sz w:val="21"/>
        </w:rPr>
        <w:t xml:space="preserve">0512-57461137</w:t>
      </w:r>
      <w:r>
        <w:rPr>
          <w:rFonts w:hint="eastAsia" w:asciiTheme="minorEastAsia" w:hAnsiTheme="minorEastAsia" w:eastAsiaTheme="minorEastAsia" w:cstheme="minorEastAsia"/>
          <w:color w:val="auto"/>
          <w:szCs w:val="21"/>
          <w:highlight w:val="none"/>
        </w:rPr>
      </w:r>
      <w:r/>
    </w:p>
    <w:p>
      <w:pPr>
        <w:ind w:right="-315" w:firstLine="41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 昆山市玉山镇萧林路1999号5号楼A区11楼   </w:t>
      </w:r>
      <w:r/>
    </w:p>
    <w:p>
      <w:pPr>
        <w:ind w:right="-315"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联系人：薛媛媛、</w:t>
      </w:r>
      <w:r>
        <w:rPr>
          <w:rFonts w:hint="eastAsia" w:asciiTheme="minorEastAsia" w:hAnsiTheme="minorEastAsia" w:eastAsiaTheme="minorEastAsia" w:cstheme="minorEastAsia"/>
          <w:color w:val="auto"/>
          <w:szCs w:val="21"/>
          <w:highlight w:val="none"/>
          <w:lang w:val="en-US" w:eastAsia="zh-CN"/>
        </w:rPr>
        <w:t xml:space="preserve">赵玮</w:t>
      </w:r>
      <w:r/>
    </w:p>
    <w:p>
      <w:pPr>
        <w:ind w:right="-315"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联系电话：0512-57383089 </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八、</w:t>
      </w:r>
      <w:r>
        <w:rPr>
          <w:rFonts w:hint="eastAsia" w:asciiTheme="minorEastAsia" w:hAnsiTheme="minorEastAsia" w:eastAsiaTheme="minorEastAsia" w:cstheme="minorEastAsia"/>
          <w:b/>
          <w:bCs/>
          <w:color w:val="auto"/>
          <w:szCs w:val="22"/>
          <w:highlight w:val="none"/>
          <w:shd w:val="clear" w:color="auto" w:fill="ffffff"/>
        </w:rPr>
        <w:t xml:space="preserve">供应商诚信管理：</w:t>
      </w:r>
      <w:bookmarkStart w:id="58" w:name="_GoBack"/>
      <w:r/>
      <w:bookmarkEnd w:id="58"/>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auto"/>
          <w:szCs w:val="22"/>
          <w:highlight w:val="none"/>
        </w:rPr>
      </w:pPr>
      <w:r>
        <w:rPr>
          <w:rFonts w:hint="eastAsia" w:asciiTheme="minorEastAsia" w:hAnsiTheme="minorEastAsia" w:eastAsiaTheme="minorEastAsia" w:cstheme="minorEastAsia"/>
          <w:b/>
          <w:color w:val="auto"/>
          <w:szCs w:val="22"/>
          <w:highlight w:val="none"/>
        </w:rPr>
        <w:t xml:space="preserve">十、其他补充事宜</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1、</w:t>
      </w:r>
      <w:r>
        <w:rPr>
          <w:rFonts w:hint="eastAsia" w:asciiTheme="minorEastAsia" w:hAnsiTheme="minorEastAsia" w:eastAsiaTheme="minorEastAsia" w:cstheme="minorEastAsia"/>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Theme="minorEastAsia" w:hAnsiTheme="minorEastAsia" w:eastAsiaTheme="minorEastAsia" w:cstheme="minorEastAsia"/>
          <w:color w:val="auto"/>
          <w:szCs w:val="22"/>
          <w:highlight w:val="none"/>
        </w:rPr>
        <w:t xml:space="preserve"> </w:t>
      </w:r>
      <w:r/>
    </w:p>
    <w:p>
      <w:pPr>
        <w:ind w:right="-252"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252"/>
        <w:jc w:val="right"/>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                                                         </w:t>
      </w:r>
      <w:r>
        <w:rPr>
          <w:rFonts w:hint="eastAsia" w:asciiTheme="minorEastAsia" w:hAnsiTheme="minorEastAsia" w:eastAsiaTheme="minorEastAsia" w:cstheme="minorEastAsia"/>
          <w:color w:val="auto"/>
          <w:szCs w:val="22"/>
          <w:highlight w:val="none"/>
        </w:rPr>
        <w:t xml:space="preserve"> 202</w:t>
      </w:r>
      <w:r>
        <w:rPr>
          <w:rFonts w:hint="eastAsia" w:asciiTheme="minorEastAsia" w:hAnsiTheme="minorEastAsia" w:eastAsiaTheme="minorEastAsia" w:cstheme="minorEastAsia"/>
          <w:color w:val="auto"/>
          <w:szCs w:val="22"/>
          <w:highlight w:val="none"/>
          <w:lang w:val="en-US" w:eastAsia="zh-CN"/>
        </w:rPr>
        <w:t xml:space="preserve">6</w:t>
      </w:r>
      <w:r>
        <w:rPr>
          <w:rFonts w:hint="eastAsia" w:asciiTheme="minorEastAsia" w:hAnsiTheme="minorEastAsia" w:eastAsiaTheme="minorEastAsia" w:cstheme="minorEastAsia"/>
          <w:color w:val="auto"/>
          <w:szCs w:val="22"/>
          <w:highlight w:val="none"/>
        </w:rPr>
        <w:t xml:space="preserve">年</w:t>
      </w:r>
      <w:r>
        <w:rPr>
          <w:rFonts w:hint="eastAsia" w:asciiTheme="minorEastAsia" w:hAnsiTheme="minorEastAsia" w:eastAsiaTheme="minorEastAsia" w:cstheme="minorEastAsia"/>
          <w:color w:val="auto"/>
          <w:szCs w:val="22"/>
          <w:highlight w:val="none"/>
          <w:lang w:val="en-US" w:eastAsia="zh-CN"/>
        </w:rPr>
        <w:t xml:space="preserve">09</w:t>
      </w:r>
      <w:r>
        <w:rPr>
          <w:rFonts w:hint="eastAsia" w:asciiTheme="minorEastAsia" w:hAnsiTheme="minorEastAsia" w:eastAsiaTheme="minorEastAsia" w:cstheme="minorEastAsia"/>
          <w:color w:val="auto"/>
          <w:szCs w:val="22"/>
          <w:highlight w:val="none"/>
        </w:rPr>
        <w:t xml:space="preserve">月</w:t>
      </w:r>
      <w:r>
        <w:rPr>
          <w:rFonts w:hint="eastAsia" w:asciiTheme="minorEastAsia" w:hAnsiTheme="minorEastAsia" w:eastAsiaTheme="minorEastAsia" w:cstheme="minorEastAsia"/>
          <w:color w:val="auto"/>
          <w:szCs w:val="22"/>
          <w:highlight w:val="none"/>
          <w:lang w:val="en-US" w:eastAsia="zh-CN"/>
        </w:rPr>
        <w:t xml:space="preserve">24</w:t>
      </w:r>
      <w:r>
        <w:rPr>
          <w:rFonts w:hint="eastAsia" w:asciiTheme="minorEastAsia" w:hAnsiTheme="minorEastAsia" w:eastAsiaTheme="minorEastAsia" w:cstheme="minorEastAsia"/>
          <w:color w:val="auto"/>
          <w:szCs w:val="22"/>
          <w:highlight w:val="none"/>
        </w:rPr>
        <w:t xml:space="preserve">日</w:t>
      </w:r>
      <w:r/>
    </w:p>
    <w:p>
      <w:pPr>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770"/>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Style w:val="1055"/>
          <w:rFonts w:hint="eastAsia" w:asciiTheme="minorEastAsia" w:hAnsiTheme="minorEastAsia" w:eastAsiaTheme="minorEastAsia" w:cstheme="minorEastAsia"/>
          <w:b/>
          <w:bCs/>
          <w:color w:val="auto"/>
          <w:sz w:val="32"/>
          <w:szCs w:val="32"/>
          <w:highlight w:val="none"/>
        </w:rPr>
      </w:pPr>
      <w:r/>
      <w:bookmarkStart w:id="3" w:name="_Toc2"/>
      <w:r>
        <w:rPr>
          <w:rStyle w:val="1055"/>
          <w:rFonts w:hint="eastAsia" w:asciiTheme="minorEastAsia" w:hAnsiTheme="minorEastAsia" w:eastAsiaTheme="minorEastAsia" w:cstheme="minorEastAsia"/>
          <w:b/>
          <w:bCs/>
          <w:color w:val="auto"/>
          <w:sz w:val="32"/>
          <w:szCs w:val="32"/>
          <w:highlight w:val="none"/>
        </w:rPr>
        <w:br w:type="page" w:clear="all"/>
      </w:r>
      <w:r/>
    </w:p>
    <w:p>
      <w:pPr>
        <w:pStyle w:val="717"/>
        <w:jc w:val="center"/>
        <w:spacing w:line="240" w:lineRule="auto"/>
        <w:rPr>
          <w:rStyle w:val="1055"/>
          <w:rFonts w:hint="eastAsia" w:asciiTheme="minorEastAsia" w:hAnsiTheme="minorEastAsia" w:eastAsiaTheme="minorEastAsia" w:cstheme="minorEastAsia"/>
          <w:b/>
          <w:bCs/>
          <w:color w:val="auto"/>
          <w:sz w:val="32"/>
          <w:szCs w:val="32"/>
          <w:highlight w:val="none"/>
        </w:rPr>
      </w:pPr>
      <w:r/>
      <w:bookmarkStart w:id="4" w:name="_Toc2145"/>
      <w:r/>
      <w:bookmarkStart w:id="5" w:name="_Toc29683"/>
      <w:r>
        <w:rPr>
          <w:rStyle w:val="1055"/>
          <w:rFonts w:hint="eastAsia" w:asciiTheme="minorEastAsia" w:hAnsiTheme="minorEastAsia" w:eastAsiaTheme="minorEastAsia" w:cstheme="minorEastAsia"/>
          <w:b/>
          <w:bCs/>
          <w:color w:val="auto"/>
          <w:sz w:val="32"/>
          <w:szCs w:val="32"/>
          <w:highlight w:val="none"/>
        </w:rPr>
        <w:t xml:space="preserve">第二章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响应须知</w:t>
      </w:r>
      <w:bookmarkEnd w:id="3"/>
      <w:r/>
      <w:bookmarkEnd w:id="4"/>
      <w:r/>
      <w:bookmarkEnd w:id="5"/>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一、采购说明</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1.本谈判文件仅适用于苏州宇恩项目咨询有限公司组织的采购活动。</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2.本次采购活动及因本次采购活动产生的合同受中国法律制约和保护。</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3.本谈判文件的解释权属于苏州宇恩项目咨询有限公司。</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二、响应文件说明</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（一）响应文件计量单位和使用文字</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1.响应文件中所使用的计量单位，除谈判文件中有特殊要求外，应采用国家法定计量单位。</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2.响应文件应使用中文编制，响应文件中必须使用其他文字的，必须附有中文译本，</w:t>
      </w:r>
      <w:r>
        <w:rPr>
          <w:rFonts w:hint="eastAsia" w:asciiTheme="minorEastAsia" w:hAnsiTheme="minorEastAsia" w:eastAsiaTheme="minorEastAsia" w:cstheme="minorEastAsia"/>
          <w:color w:val="auto"/>
          <w:szCs w:val="21"/>
          <w:highlight w:val="none"/>
          <w:lang w:val="zh-CN"/>
        </w:rPr>
        <w:t xml:space="preserve">对不同文本响应文件的解释发生异议的，以中文文本为准。</w:t>
      </w:r>
      <w:r>
        <w:rPr>
          <w:rFonts w:hint="eastAsia" w:asciiTheme="minorEastAsia" w:hAnsiTheme="minorEastAsia" w:eastAsiaTheme="minorEastAsia" w:cstheme="minorEastAsia"/>
          <w:color w:val="auto"/>
          <w:szCs w:val="21"/>
          <w:highlight w:val="none"/>
        </w:rPr>
        <w:t xml:space="preserve">对于未附有中文译本和中文译本不准确的响应文件，由此引起的对供应商不利后果的，采购代理机构概不负责。</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（二）响应文件编制说明</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1.供应商应按须知的规定，编制一份电子响应文件，并进行网上投标。</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3.谈判响应文件以中文为准，谈判响应文件的有效期为自谈判之日起90日。</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（三）响应报价</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1.投标应以</w:t>
      </w:r>
      <w:r>
        <w:rPr>
          <w:rFonts w:hint="eastAsia" w:asciiTheme="minorEastAsia" w:hAnsiTheme="minorEastAsia" w:eastAsiaTheme="minorEastAsia" w:cstheme="minorEastAsia"/>
          <w:b/>
          <w:bCs/>
          <w:color w:val="auto"/>
          <w:szCs w:val="21"/>
          <w:highlight w:val="none"/>
          <w:lang w:eastAsia="zh-CN"/>
        </w:rPr>
        <w:t xml:space="preserve">优惠率</w:t>
      </w:r>
      <w:r>
        <w:rPr>
          <w:rFonts w:hint="eastAsia" w:asciiTheme="minorEastAsia" w:hAnsiTheme="minorEastAsia" w:eastAsiaTheme="minorEastAsia" w:cstheme="minorEastAsia"/>
          <w:b/>
          <w:bCs/>
          <w:color w:val="auto"/>
          <w:szCs w:val="21"/>
          <w:highlight w:val="none"/>
        </w:rPr>
        <w:t xml:space="preserve">报价</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highlight w:val="none"/>
        </w:rPr>
        <w:t xml:space="preserve">供应商对本项目的报价应包括完成本项工作所需的</w:t>
      </w:r>
      <w:r>
        <w:rPr>
          <w:rFonts w:hint="eastAsia" w:asciiTheme="minorEastAsia" w:hAnsiTheme="minorEastAsia" w:eastAsiaTheme="minorEastAsia" w:cstheme="minorEastAsia"/>
          <w:color w:val="auto"/>
          <w:szCs w:val="21"/>
          <w:highlight w:val="none"/>
        </w:rPr>
        <w:t xml:space="preserve">一切人工费、设备、管理、利润、税金、项目验收、政策性文件规定及合同包含的所有风险、责任等各项应有费用</w:t>
      </w:r>
      <w:r>
        <w:rPr>
          <w:rFonts w:hint="eastAsia" w:asciiTheme="minorEastAsia" w:hAnsiTheme="minorEastAsia" w:eastAsiaTheme="minorEastAsia" w:cstheme="minorEastAsia"/>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4.响应文件报价中的单价和总价全部采用人民币表示，除非另有规定。</w:t>
      </w:r>
      <w:r/>
    </w:p>
    <w:p>
      <w:pPr>
        <w:pStyle w:val="729"/>
        <w:ind w:firstLine="422"/>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6.竞争性谈判采取最低评标价法，即根据质量和服务均能满足采购文件实质性响应要求的前提下，以提出最低报价（以第二次报价为准，且</w:t>
      </w:r>
      <w:r>
        <w:rPr>
          <w:rFonts w:hint="eastAsia" w:asciiTheme="minorEastAsia" w:hAnsiTheme="minorEastAsia" w:eastAsiaTheme="minorEastAsia" w:cstheme="minorEastAsia"/>
          <w:b/>
          <w:color w:val="auto"/>
          <w:sz w:val="21"/>
          <w:szCs w:val="21"/>
          <w:highlight w:val="none"/>
        </w:rPr>
        <w:t xml:space="preserve">最后报价时间为10分钟</w:t>
      </w:r>
      <w:r>
        <w:rPr>
          <w:rFonts w:hint="eastAsia" w:asciiTheme="minorEastAsia" w:hAnsiTheme="minorEastAsia" w:eastAsiaTheme="minorEastAsia" w:cstheme="minorEastAsia"/>
          <w:color w:val="auto"/>
          <w:sz w:val="21"/>
          <w:szCs w:val="21"/>
          <w:highlight w:val="none"/>
        </w:rPr>
        <w:t xml:space="preserve">）的供应商作为成交供应商。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（四）响应文件的组成</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1.响应文件（报价、相关资格部分及技术部分）：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1.1封面；</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1.2开标一览表（格式见第七章）；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远程参与开标会议诚信承诺书</w:t>
      </w:r>
      <w:r>
        <w:rPr>
          <w:rFonts w:hint="eastAsia" w:asciiTheme="minorEastAsia" w:hAnsiTheme="minorEastAsia" w:eastAsiaTheme="minorEastAsia" w:cstheme="minorEastAsia"/>
          <w:color w:val="auto"/>
          <w:szCs w:val="21"/>
          <w:highlight w:val="none"/>
        </w:rPr>
        <w:t xml:space="preserve">（格式见第七章）</w:t>
      </w:r>
      <w:r>
        <w:rPr>
          <w:rFonts w:hint="eastAsia" w:asciiTheme="minorEastAsia" w:hAnsiTheme="minorEastAsia" w:eastAsiaTheme="minorEastAsia" w:cstheme="minorEastAsia"/>
          <w:color w:val="auto"/>
          <w:szCs w:val="21"/>
          <w:highlight w:val="none"/>
          <w:lang w:val="zh-CN"/>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1.4提供法人或者其他组织的营业执照等证明文件、自然人的身份证明；</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1.5法定代表人授权委托书及双方身份证明（如有授权）（格式见第七章）</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1.6</w:t>
      </w:r>
      <w:r>
        <w:rPr>
          <w:rFonts w:hint="eastAsia" w:asciiTheme="minorEastAsia" w:hAnsiTheme="minorEastAsia" w:eastAsiaTheme="minorEastAsia" w:cstheme="minorEastAsia"/>
          <w:color w:val="auto"/>
          <w:szCs w:val="21"/>
          <w:highlight w:val="none"/>
          <w:lang w:val="en-US" w:eastAsia="zh-CN"/>
        </w:rPr>
        <w:t xml:space="preserve">响应</w:t>
      </w:r>
      <w:r>
        <w:rPr>
          <w:rFonts w:hint="eastAsia" w:asciiTheme="minorEastAsia" w:hAnsiTheme="minorEastAsia" w:eastAsiaTheme="minorEastAsia" w:cstheme="minorEastAsia"/>
          <w:color w:val="auto"/>
          <w:szCs w:val="21"/>
          <w:highlight w:val="none"/>
        </w:rPr>
        <w:t xml:space="preserve">承诺函（格式见第七章）；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w:t>
      </w:r>
      <w:r>
        <w:rPr>
          <w:rFonts w:hint="eastAsia" w:asciiTheme="minorEastAsia" w:hAnsiTheme="minorEastAsia" w:eastAsiaTheme="minorEastAsia" w:cstheme="minorEastAsia"/>
          <w:color w:val="auto"/>
          <w:highlight w:val="none"/>
        </w:rPr>
        <w:t xml:space="preserve">投标文件资格证明声明函</w:t>
      </w:r>
      <w:r>
        <w:rPr>
          <w:rFonts w:hint="eastAsia" w:asciiTheme="minorEastAsia" w:hAnsiTheme="minorEastAsia" w:eastAsiaTheme="minorEastAsia" w:cstheme="minorEastAsia"/>
          <w:color w:val="auto"/>
          <w:szCs w:val="21"/>
          <w:highlight w:val="none"/>
        </w:rPr>
        <w:t xml:space="preserve">（格式见第七章）；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w:t>
      </w:r>
      <w:r>
        <w:rPr>
          <w:rFonts w:hint="eastAsia" w:asciiTheme="minorEastAsia" w:hAnsiTheme="minorEastAsia" w:eastAsiaTheme="minorEastAsia" w:cstheme="minorEastAsia"/>
          <w:color w:val="auto"/>
          <w:szCs w:val="21"/>
          <w:highlight w:val="none"/>
          <w:lang w:val="en-US" w:eastAsia="zh-CN"/>
        </w:rPr>
        <w:t xml:space="preserve">供应商</w:t>
      </w:r>
      <w:r>
        <w:rPr>
          <w:rFonts w:hint="eastAsia" w:asciiTheme="minorEastAsia" w:hAnsiTheme="minorEastAsia" w:eastAsiaTheme="minorEastAsia" w:cstheme="minorEastAsia"/>
          <w:color w:val="auto"/>
          <w:szCs w:val="21"/>
          <w:highlight w:val="none"/>
        </w:rPr>
        <w:t xml:space="preserve">情况表（格式见第七章）；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9食品安全承诺书（格式见第七章）</w:t>
      </w:r>
      <w:r>
        <w:rPr>
          <w:rFonts w:hint="eastAsia" w:asciiTheme="minorEastAsia" w:hAnsiTheme="minorEastAsia" w:eastAsiaTheme="minorEastAsia" w:cstheme="minorEastAsia"/>
          <w:color w:val="auto"/>
          <w:szCs w:val="21"/>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招标文件要求的其他相关证明材料（</w:t>
      </w:r>
      <w:r>
        <w:rPr>
          <w:rFonts w:hint="eastAsia" w:asciiTheme="minorEastAsia" w:hAnsiTheme="minorEastAsia" w:eastAsiaTheme="minorEastAsia" w:cstheme="minorEastAsia"/>
          <w:color w:val="auto"/>
          <w:szCs w:val="21"/>
          <w:highlight w:val="none"/>
          <w:lang w:val="en-US" w:eastAsia="zh-CN"/>
        </w:rPr>
        <w:t xml:space="preserve">人员配置、业绩、服务方案等）。</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2.资格条件：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2.1满足《中华人民共和国政府采购法》第二十二条规定；（提供相关材料）</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2.2落实政府采购政策</w:t>
      </w:r>
      <w:r>
        <w:rPr>
          <w:rFonts w:hint="eastAsia" w:asciiTheme="minorEastAsia" w:hAnsiTheme="minorEastAsia" w:eastAsiaTheme="minorEastAsia" w:cstheme="minorEastAsia"/>
          <w:b/>
          <w:bCs/>
          <w:color w:val="auto"/>
          <w:szCs w:val="21"/>
          <w:highlight w:val="none"/>
        </w:rPr>
        <w:t xml:space="preserve">（以下任选其一）</w:t>
      </w:r>
      <w:r>
        <w:rPr>
          <w:rFonts w:hint="eastAsia" w:asciiTheme="minorEastAsia" w:hAnsiTheme="minorEastAsia" w:eastAsiaTheme="minorEastAsia" w:cstheme="minorEastAsia"/>
          <w:color w:val="auto"/>
          <w:szCs w:val="21"/>
          <w:highlight w:val="none"/>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2.2.1提供《中小企业声明函》（如有）（格式见第七章）；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2.2.2残疾人福利性单位声明函（如有）（格式见第七章）；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2.2.3监狱企业证明文件（如有）</w:t>
      </w:r>
      <w:r>
        <w:rPr>
          <w:rFonts w:hint="eastAsia" w:asciiTheme="minorEastAsia" w:hAnsiTheme="minorEastAsia" w:eastAsiaTheme="minorEastAsia" w:cstheme="minorEastAsia"/>
          <w:color w:val="auto"/>
          <w:szCs w:val="21"/>
          <w:highlight w:val="none"/>
          <w:lang w:eastAsia="zh-CN"/>
        </w:rPr>
        <w:t xml:space="preserve">；</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2.3第一章投标邀请中采购人根据采购项目的特殊要求规定的特定条件证明文件（如有）。</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3.符合性条件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3.1报价分析表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3.1.2报价符合性审查</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3.2商务偏离表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3.3技术偏离表</w:t>
      </w:r>
      <w:r/>
    </w:p>
    <w:p>
      <w:pPr>
        <w:numPr>
          <w:ilvl w:val="0"/>
          <w:numId w:val="10"/>
        </w:numPr>
        <w:ind w:firstLine="422"/>
        <w:keepLines w:val="0"/>
        <w:keepNext w:val="0"/>
        <w:pageBreakBefore w:val="0"/>
        <w:spacing w:line="400" w:lineRule="exact"/>
        <w:widowControl w:val="off"/>
        <w:tabs>
          <w:tab w:val="clear" w:pos="312" w:leader="none"/>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价格折扣证明（以下任选其一）：</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4.1提供《中小企业声明函》（如有）（格式见第七章）；</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4.2残疾人福利性单位声明函（如有）（格式见第七章）；</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4.3监狱企业证明文件（如有）。</w:t>
      </w:r>
      <w:r/>
    </w:p>
    <w:p>
      <w:pPr>
        <w:ind w:right="-252"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4.4</w:t>
      </w:r>
      <w:r>
        <w:rPr>
          <w:rFonts w:hint="eastAsia" w:asciiTheme="minorEastAsia" w:hAnsiTheme="minorEastAsia" w:eastAsiaTheme="minorEastAsia" w:cstheme="minorEastAsia"/>
          <w:color w:val="auto"/>
          <w:szCs w:val="21"/>
          <w:highlight w:val="none"/>
        </w:rPr>
        <w:t xml:space="preserve">关于符合本国产品标准的声明函(如有）。</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numPr>
          <w:ilvl w:val="0"/>
          <w:numId w:val="11"/>
        </w:num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Cs w:val="21"/>
          <w:highlight w:val="none"/>
        </w:rPr>
        <w:t xml:space="preserve">以上“1-4”为资格性、符合性审查等其他必须提供的资料，投标人必须提供并加盖电子公章。否则，投标文件将被认定为未实质性响应。</w:t>
      </w:r>
      <w:r/>
    </w:p>
    <w:p>
      <w:pPr>
        <w:numPr>
          <w:ilvl w:val="0"/>
          <w:numId w:val="11"/>
        </w:num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color w:val="auto"/>
          <w:szCs w:val="21"/>
          <w:highlight w:val="none"/>
        </w:rPr>
        <w:t xml:space="preserve">制作电子响应文件时必须与投标文件制作软件目录一一对应，并将相关资料上传至相应模块，否则将认定相关材料无效。</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（五）</w:t>
      </w:r>
      <w:r>
        <w:rPr>
          <w:rFonts w:hint="eastAsia" w:asciiTheme="minorEastAsia" w:hAnsiTheme="minorEastAsia" w:eastAsiaTheme="minorEastAsia" w:cstheme="minorEastAsia"/>
          <w:b/>
          <w:color w:val="auto"/>
          <w:szCs w:val="21"/>
          <w:highlight w:val="none"/>
        </w:rPr>
        <w:t xml:space="preserve">响应文件的撤回和修改</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在提交响应文件的截止时间前，供应商可以撤回或者修改响应文件。</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（六）投标截止时间</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1.电子响应文件必须按《投标邀请函》规定的网上投标截止时间前提交。</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2.采购人推迟投标截止时间时，应以网上公布的形式，通知供应商，在这种情况下，采购人和供应商的权利和义务将受到新的截止期的约束。</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三、谈判文件说明</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（一）谈判文件的澄清和修改</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4.供应商应在</w:t>
      </w:r>
      <w:r>
        <w:rPr>
          <w:rFonts w:hint="eastAsia" w:asciiTheme="minorEastAsia" w:hAnsiTheme="minorEastAsia" w:eastAsiaTheme="minorEastAsia" w:cstheme="minorEastAsia"/>
          <w:color w:val="auto"/>
          <w:szCs w:val="21"/>
          <w:highlight w:val="none"/>
        </w:rPr>
        <w:t xml:space="preserve">提交响应文件截止时间</w:t>
      </w:r>
      <w:r>
        <w:rPr>
          <w:rFonts w:hint="eastAsia" w:asciiTheme="minorEastAsia" w:hAnsiTheme="minorEastAsia" w:eastAsiaTheme="minorEastAsia" w:cstheme="minorEastAsia"/>
          <w:color w:val="auto"/>
          <w:highlight w:val="none"/>
        </w:rPr>
        <w:t xml:space="preserve">前关注原采购信息发布媒体上有无本项目的补充公告。</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（二）质疑</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供应商应当在法定质疑期内一次性提出针对同一采购程序环节的质疑。</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采购人、采购代理机构应当在收到供应商书面质疑后七个工作日内作出答复，并以书面形式通知质疑供应商和其他相关供应商。</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3.质疑必须以参加投标供应商法定代表人或授权代表（投标文件中所确定的）原件送达的方式提交，否则，招标代理人有权不予受理。</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4.上述应知其权益受到损害之日是指：</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4.1对招标文件提出质疑的，为投标文件公告期限届满之日起计算；</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4.2对采购过程提出质疑的，自采购程序环节结束之日起计算；</w:t>
      </w:r>
      <w:r/>
    </w:p>
    <w:p>
      <w:pPr>
        <w:pStyle w:val="729"/>
        <w:ind w:firstLine="420"/>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4.3对成交结果提出质疑的，自成交结果公告期限届满之日起计算。</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5.质疑函应包括以下主要内容，并按照“谁主张、谁举证”的原则，附上必要的证明材料。　　　　　　　</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5.1供应商的姓名或者名称、地址、邮编、联系人及联系电话；</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5.2质疑项目名称、编号；</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5.3具体、明确的质疑事项和与质疑事项相关的请求；</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5.4具体的事实依据及相关证据材料；</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5.5必要的法律依据；</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5.6提出质疑的日期；</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5.7供应商为自然人的，应当由本人签字；供应商为法人或者其他组织的，应当由法定代表人、主要负责人、或者其授权代表签字或者盖章，并加盖公章。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代理人提出质疑，应当提交供应商签署的授权委托书。</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7.供应商“依法获取采购文件”的方式为供应商进行系统自行下载采购文件，并打印、保留《投标供应商确认函》，质疑时与质疑函一并提交。</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四、开标和评标</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（一）开标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1.采购代理人按《投标邀请函》规定的时间、地点进行开标。开标仪式根据委托人授权由采购代理人主持，买方代表及有关工作人员参加。</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3.谈判响应单位如不能完成网上投标操作的，请出示证据（若为谈判响应单位自行操作不当原因造成的，不予接受认可），否则为无效响应。</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4.出现下列情形之一的，将终止竞争性谈判采购活动：</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4.1因情况变化，不再符合规定的竞争性谈判采购方式适用情形的；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4.2出现影响采购公正的违法、违规行为的；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4.3在采购过程中符合竞争要求的供应商或者报价未超过采购预算的供应商不足3家的；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4.4开评标过程中，如遇到交易中心出现断电、断网或其他不可预见原因导致开评标终止，该项目将做废标处理。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4.5出现影响采购公正的违法、违规行为的；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4.6供应商的报价均超过了采购预算，采购方不能支付的；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4.7因重大变故，采购任务取消的。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 废标后，采购人将把废标的理由通知所有供应商 。</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（二）谈判小组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1.谈判小组的评标工作由采购单位负责组织，具体评标事务由谈判小组负责，并独立履行法律、法规规定的职责。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2.谈判小组负责具体的评标事务，并独立履行以下职责：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2.1审查响应文件是否符合谈判文件的要求，并作出评价。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2.2可以要求供应商对响应文件有关事项作出解释或澄清。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2.3推荐成交候选供应商名单，或者受采购人委托按照事先确定的办法直接确定可以交单位。</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3.评标内容的保密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3.3在评标期间，招标代理人将通过指定联络人与供应商进行联系。</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（三）对响应文件的审核</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1.采购人或者采购代理人资格证明文件要求进行供应商资格审查，如缺少内容，视为无效投标；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2.对价格的计算错误按下述原则修正：</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2.1如果单价乘数量不等于总价，应以单价为准修正总价。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2.2大写金额和小写金额不一致的，以大写金额为准。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2.3单价金额小数点有明显错位的，应以总价为准，并修改单价。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2.4如果以文字表示的数据与数字表示的有差别，应以文字为准修正数字。</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2.5对不同文字文本响应文件的解释发生异议的，以中文文本为准。</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2.6供应商不同意以上修正，则其投标为无效投标。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4.谈判小组对响应文件的判定，只依据投标内容本身，不依据开标后的任何外来证明。</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5.下列响应文件为无效投标：</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5.1与谈判文件有重大偏离。</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5.2供应商的报价是选择性的。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5.3供应商的报价只报了部分内容。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5.4投标报价超过预算的。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5.5不具备谈判文件中规定的资格要求。</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5.6不同供应商的响应文件由同一单位或者个人编制。</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5.7不同供应商委托同一单位或者个人办理投标事宜。</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5.8不同供应商的响应文件载明的项目管理成员为同一人。</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5.9不同供应商的响应文件异常一致。</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5.10不同供应商的法定代表人或委托代理人有夫妻、直系血亲关系的。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5.11不同供应商的负责人为同一人或者存在控股、管理关系的。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5.12没有逐一说明投标产品名称、品牌、规格型号和技术参数，而是直接拷贝谈判文件技术要求的；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5.13不同供应商的委托代理人(或法定代表人、项目经理、项目总监、项目负责人等)在谈判文件发布日上月至投标截止日当月在同一单位缴纳社会保险的。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5.14服务承诺和付款条件未响应招标要求的；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5.15特征码检查中，不同投标人上传采购文件所使用的电脑网卡信息等一致的（如发现违法违规行为，将依法追究其法律责任）；</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5.16不符合法律、法规和谈判文件规定的其他实质性要求的。</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5.17谈判小组认定的其它为无效投标的事项。</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（四）响应文件的澄清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2.必要时谈判小组可要求供应商澄清、说明或者更正响应文件以书面形式作出，并应当由法定代表人或其授权代表签字或者加盖公章。</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（五）响应文件的评价</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1.谈判小组对响应文件是否实质上响应谈判文件要求的响应文件进行评审。</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2.评价和比较采用最低评标价法，谈判小组严格按照谈判文件的要求、条件，对供应商所作的实质性响应内容进行评审。</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五、授予合同</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（一）成交单位的确认</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（二）合同授予标准</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1.确定为成交的供应商必须具有实施本合同的能力和资源。</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（三）成交通知书</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1.成交通知书将成为合同的组成部分。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（四）合同的签订</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1.成交单位应按成交通知书中规定的期限，与甲方签订合同。</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2.签订合同及合同条款应以谈判文件和成交单位的响应文件为依据，所签订的合同不得对谈判文件和成交供应商响应文件作实质性修改。</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3.采购人不得向成交供应商提出任何不合理的要求作为签订合同的条件，不得与成交供应商私下订立背离合同实质性内容的协议。</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lang w:val="zh-CN"/>
        </w:rPr>
        <w:t xml:space="preserve">六、</w:t>
      </w:r>
      <w:r>
        <w:rPr>
          <w:rFonts w:hint="eastAsia" w:asciiTheme="minorEastAsia" w:hAnsiTheme="minorEastAsia" w:eastAsiaTheme="minorEastAsia" w:cstheme="minorEastAsia"/>
          <w:b/>
          <w:color w:val="auto"/>
          <w:szCs w:val="21"/>
          <w:highlight w:val="none"/>
        </w:rPr>
        <w:t xml:space="preserve">诚实信用</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（一）诚实信用</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1.供应商之间不得相互串通投标报价，不得妨碍其他供应商的公平竞争，不得损害采购人和其他供应商的合法权益。</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2.供应商不得虚假承诺，否则，按照提供虚假材料谋取中标处理。</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pStyle w:val="729"/>
        <w:ind w:firstLine="420"/>
        <w:jc w:val="both"/>
        <w:keepLines w:val="0"/>
        <w:keepNext w:val="0"/>
        <w:pageBreakBefore w:val="0"/>
        <w:spacing w:line="4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七、其他事项</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（一）成交服务费</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1.成交单位须按规定支付成交服务费，该费用应在合同签订后三天内付清。</w:t>
      </w:r>
      <w:r/>
    </w:p>
    <w:p>
      <w:pPr>
        <w:ind w:firstLine="420"/>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val="0"/>
          <w:bCs/>
          <w:color w:val="auto"/>
          <w:sz w:val="21"/>
          <w:szCs w:val="21"/>
          <w:highlight w:val="none"/>
        </w:rPr>
        <w:t xml:space="preserve">2.</w:t>
      </w:r>
      <w:r>
        <w:rPr>
          <w:rFonts w:hint="eastAsia" w:asciiTheme="minorEastAsia" w:hAnsiTheme="minorEastAsia" w:eastAsiaTheme="minorEastAsia" w:cstheme="minorEastAsia"/>
          <w:b/>
          <w:color w:val="auto"/>
          <w:szCs w:val="21"/>
          <w:highlight w:val="none"/>
          <w:lang w:val="en-US" w:eastAsia="zh-CN"/>
        </w:rPr>
        <w:t xml:space="preserve">成交</w:t>
      </w:r>
      <w:r>
        <w:rPr>
          <w:rFonts w:hint="eastAsia" w:asciiTheme="minorEastAsia" w:hAnsiTheme="minorEastAsia" w:eastAsiaTheme="minorEastAsia" w:cstheme="minorEastAsia"/>
          <w:b/>
          <w:color w:val="auto"/>
          <w:szCs w:val="21"/>
          <w:highlight w:val="none"/>
        </w:rPr>
        <w:t xml:space="preserve">服务费收取方式</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本项目预算包含</w:t>
      </w:r>
      <w:r>
        <w:rPr>
          <w:rFonts w:hint="eastAsia" w:asciiTheme="minorEastAsia" w:hAnsiTheme="minorEastAsia" w:eastAsiaTheme="minorEastAsia" w:cstheme="minorEastAsia"/>
          <w:b/>
          <w:color w:val="auto"/>
          <w:szCs w:val="21"/>
          <w:highlight w:val="none"/>
          <w:lang w:eastAsia="zh-CN"/>
        </w:rPr>
        <w:t xml:space="preserve">成交服务费（</w:t>
      </w:r>
      <w:r>
        <w:rPr>
          <w:rFonts w:hint="eastAsia" w:asciiTheme="minorEastAsia" w:hAnsiTheme="minorEastAsia" w:eastAsiaTheme="minorEastAsia" w:cstheme="minorEastAsia"/>
          <w:b/>
          <w:color w:val="auto"/>
          <w:szCs w:val="21"/>
          <w:highlight w:val="none"/>
          <w:lang w:val="en-US" w:eastAsia="zh-CN"/>
        </w:rPr>
        <w:t xml:space="preserve">成交服务费</w:t>
      </w:r>
      <w:r>
        <w:rPr>
          <w:rFonts w:hint="eastAsia" w:asciiTheme="minorEastAsia" w:hAnsiTheme="minorEastAsia" w:eastAsiaTheme="minorEastAsia" w:cstheme="minorEastAsia"/>
          <w:b/>
          <w:color w:val="auto"/>
          <w:szCs w:val="21"/>
          <w:highlight w:val="none"/>
          <w:lang w:eastAsia="zh-CN"/>
        </w:rPr>
        <w:t xml:space="preserve">16870</w:t>
      </w:r>
      <w:r>
        <w:rPr>
          <w:rFonts w:hint="eastAsia" w:asciiTheme="minorEastAsia" w:hAnsiTheme="minorEastAsia" w:eastAsiaTheme="minorEastAsia" w:cstheme="minorEastAsia"/>
          <w:b/>
          <w:color w:val="auto"/>
          <w:szCs w:val="21"/>
          <w:highlight w:val="none"/>
          <w:lang w:val="en-US" w:eastAsia="zh-CN"/>
        </w:rPr>
        <w:t xml:space="preserve">元-不可竞争性费用</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，按照昆财字[2026]50号收费文件规定，招标代理服务费向中标或成交单位收取。</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lang w:eastAsia="zh-CN"/>
        </w:rPr>
      </w:pPr>
      <w:r>
        <w:rPr>
          <w:rFonts w:hint="eastAsia" w:asciiTheme="minorEastAsia" w:hAnsiTheme="minorEastAsia" w:eastAsiaTheme="minorEastAsia" w:cstheme="minorEastAsia"/>
          <w:b/>
          <w:color w:val="auto"/>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rPr>
          <w:rFonts w:hint="eastAsia" w:asciiTheme="minorEastAsia" w:hAnsiTheme="minorEastAsia" w:eastAsiaTheme="minorEastAsia" w:cstheme="minorEastAsia"/>
          <w:b/>
          <w:color w:val="auto"/>
          <w:szCs w:val="21"/>
          <w:highlight w:val="none"/>
          <w:lang w:eastAsia="zh-CN"/>
        </w:rPr>
        <w:t xml:space="preserve">。</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（二）监督</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1.政府有关监督部门将对招投标全过程进行监督。</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（三）绿色采购</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Cs w:val="21"/>
          <w:highlight w:val="none"/>
        </w:rPr>
        <w:t xml:space="preserve">否则将被认定为未实质性响应招标文件要求。</w:t>
      </w:r>
      <w:r/>
    </w:p>
    <w:p>
      <w:pPr>
        <w:ind w:firstLine="420"/>
        <w:keepLines w:val="0"/>
        <w:keepNext w:val="0"/>
        <w:pageBreakBefore w:val="0"/>
        <w:spacing w:line="400" w:lineRule="exact"/>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（四）未尽事宜</w:t>
      </w:r>
      <w:r/>
    </w:p>
    <w:p>
      <w:pPr>
        <w:ind w:firstLine="422"/>
        <w:keepLines w:val="0"/>
        <w:keepNext w:val="0"/>
        <w:pageBreakBefore w:val="0"/>
        <w:spacing w:line="400" w:lineRule="exact"/>
        <w:widowControl w:val="off"/>
        <w:tabs>
          <w:tab w:val="left" w:pos="72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1.按《中华人民共和国政府采购法》及其他有关政府采购的法律法规的的规定执行。</w:t>
      </w:r>
      <w:r/>
    </w:p>
    <w:p>
      <w:pPr>
        <w:ind w:firstLine="422"/>
        <w:keepLines w:val="0"/>
        <w:keepNext w:val="0"/>
        <w:pageBreakBefore w:val="0"/>
        <w:spacing w:line="400" w:lineRule="exact"/>
        <w:widowControl w:val="off"/>
        <w:tabs>
          <w:tab w:val="left" w:pos="720" w:leader="none"/>
        </w:tabs>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Cs w:val="21"/>
          <w:highlight w:val="none"/>
        </w:rPr>
        <w:t xml:space="preserve">2.</w:t>
      </w:r>
      <w:r>
        <w:rPr>
          <w:rFonts w:hint="eastAsia" w:asciiTheme="minorEastAsia" w:hAnsiTheme="minorEastAsia" w:eastAsiaTheme="minorEastAsia" w:cstheme="minorEastAsia"/>
          <w:b/>
          <w:bCs/>
          <w:color w:val="auto"/>
          <w:szCs w:val="21"/>
          <w:highlight w:val="none"/>
        </w:rPr>
        <w:t xml:space="preserve">成交后成交单位需提供与网上投标文件一致的书面投标文件贰套，用于项目归档。</w:t>
      </w:r>
      <w:r/>
    </w:p>
    <w:p>
      <w:pPr>
        <w:rPr>
          <w:rStyle w:val="1055"/>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pStyle w:val="717"/>
        <w:jc w:val="center"/>
        <w:spacing w:line="240" w:lineRule="auto"/>
        <w:rPr>
          <w:rFonts w:hint="eastAsia" w:asciiTheme="minorEastAsia" w:hAnsiTheme="minorEastAsia" w:eastAsiaTheme="minorEastAsia" w:cstheme="minorEastAsia"/>
          <w:color w:val="auto"/>
          <w:highlight w:val="none"/>
        </w:rPr>
      </w:pPr>
      <w:r/>
      <w:bookmarkStart w:id="6" w:name="_Toc3"/>
      <w:r/>
      <w:bookmarkStart w:id="7" w:name="_Toc26138"/>
      <w:r/>
      <w:bookmarkStart w:id="8" w:name="_Toc24379"/>
      <w:r>
        <w:rPr>
          <w:rStyle w:val="1055"/>
          <w:rFonts w:hint="eastAsia" w:asciiTheme="minorEastAsia" w:hAnsiTheme="minorEastAsia" w:eastAsiaTheme="minorEastAsia" w:cstheme="minorEastAsia"/>
          <w:b/>
          <w:bCs/>
          <w:color w:val="auto"/>
          <w:sz w:val="32"/>
          <w:szCs w:val="32"/>
          <w:highlight w:val="none"/>
        </w:rPr>
        <w:t xml:space="preserve">第三章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响应内容</w:t>
      </w:r>
      <w:bookmarkEnd w:id="6"/>
      <w:r/>
      <w:bookmarkEnd w:id="7"/>
      <w:r/>
      <w:bookmarkEnd w:id="8"/>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spacing w:before="0" w:after="0" w:line="360" w:lineRule="auto"/>
        <w:rPr>
          <w:rFonts w:hint="eastAsia" w:asciiTheme="minorEastAsia" w:hAnsiTheme="minorEastAsia" w:eastAsiaTheme="minorEastAsia" w:cstheme="minorEastAsia"/>
          <w:b/>
          <w:bCs/>
          <w:color w:val="auto"/>
          <w:sz w:val="21"/>
          <w:szCs w:val="21"/>
          <w:highlight w:val="none"/>
        </w:rPr>
        <w:outlineLvl w:val="9"/>
      </w:pPr>
      <w:r/>
      <w:bookmarkStart w:id="9" w:name="_Toc166338829"/>
      <w:r>
        <w:rPr>
          <w:rFonts w:hint="eastAsia" w:asciiTheme="minorEastAsia" w:hAnsiTheme="minorEastAsia" w:eastAsiaTheme="minorEastAsia" w:cstheme="minorEastAsia"/>
          <w:b/>
          <w:bCs/>
          <w:color w:val="auto"/>
          <w:sz w:val="21"/>
          <w:szCs w:val="21"/>
          <w:highlight w:val="none"/>
        </w:rPr>
        <w:t xml:space="preserve">一、</w:t>
      </w:r>
      <w:bookmarkEnd w:id="9"/>
      <w:r>
        <w:rPr>
          <w:rFonts w:hint="eastAsia" w:asciiTheme="minorEastAsia" w:hAnsiTheme="minorEastAsia" w:eastAsiaTheme="minorEastAsia" w:cstheme="minorEastAsia"/>
          <w:b/>
          <w:bCs/>
          <w:color w:val="auto"/>
          <w:sz w:val="21"/>
          <w:szCs w:val="21"/>
          <w:highlight w:val="none"/>
        </w:rPr>
        <w:t xml:space="preserve">项目基本情况：</w:t>
      </w:r>
      <w:r/>
    </w:p>
    <w:p>
      <w:pPr>
        <w:ind w:firstLine="420"/>
        <w:spacing w:line="360" w:lineRule="auto"/>
        <w:rPr>
          <w:rFonts w:hint="eastAsia" w:asciiTheme="minorEastAsia" w:hAnsiTheme="minorEastAsia" w:eastAsiaTheme="minorEastAsia" w:cstheme="minorEastAsia"/>
          <w:color w:val="auto"/>
          <w:highlight w:val="none"/>
          <w:lang w:eastAsia="zh-CN"/>
        </w:rPr>
        <w:outlineLvl w:val="9"/>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eastAsiaTheme="minorEastAsia" w:cstheme="minorEastAsia"/>
          <w:color w:val="auto"/>
          <w:highlight w:val="none"/>
          <w:lang w:val="en-US" w:eastAsia="zh-CN"/>
        </w:rPr>
        <w:t xml:space="preserve">JSZC-320583-SZYE-T2026-0037</w:t>
      </w:r>
      <w:r>
        <w:rPr>
          <w:rFonts w:hint="eastAsia" w:asciiTheme="minorEastAsia" w:hAnsiTheme="minorEastAsia" w:eastAsiaTheme="minorEastAsia" w:cstheme="minorEastAsia"/>
          <w:color w:val="auto"/>
          <w:highlight w:val="none"/>
          <w:lang w:eastAsia="zh-CN"/>
        </w:rPr>
        <w:t xml:space="preserve">；</w:t>
      </w:r>
      <w:r/>
    </w:p>
    <w:p>
      <w:pPr>
        <w:ind w:firstLine="422"/>
        <w:spacing w:before="0" w:after="0" w:line="360" w:lineRule="auto"/>
        <w:rPr>
          <w:rFonts w:hint="default" w:asciiTheme="minorEastAsia" w:hAnsiTheme="minorEastAsia" w:eastAsiaTheme="minorEastAsia" w:cstheme="minorEastAsia"/>
          <w:b/>
          <w:bCs/>
          <w:color w:val="auto"/>
          <w:sz w:val="21"/>
          <w:szCs w:val="21"/>
          <w:highlight w:val="none"/>
          <w:lang w:val="en-US" w:eastAsia="zh-CN"/>
        </w:rPr>
        <w:outlineLvl w:val="9"/>
      </w:pPr>
      <w:r/>
      <w:bookmarkStart w:id="10" w:name="_Toc166338830"/>
      <w:r>
        <w:rPr>
          <w:rFonts w:hint="eastAsia" w:asciiTheme="minorEastAsia" w:hAnsiTheme="minorEastAsia" w:eastAsiaTheme="minorEastAsia" w:cstheme="minorEastAsia"/>
          <w:b/>
          <w:bCs/>
          <w:color w:val="auto"/>
          <w:sz w:val="21"/>
          <w:szCs w:val="21"/>
          <w:highlight w:val="none"/>
        </w:rPr>
        <w:t xml:space="preserve">二、</w:t>
      </w:r>
      <w:bookmarkEnd w:id="10"/>
      <w:r>
        <w:rPr>
          <w:rFonts w:hint="eastAsia" w:asciiTheme="minorEastAsia" w:hAnsiTheme="minorEastAsia" w:eastAsiaTheme="minorEastAsia" w:cstheme="minorEastAsia"/>
          <w:b/>
          <w:bCs/>
          <w:color w:val="auto"/>
          <w:sz w:val="21"/>
          <w:szCs w:val="21"/>
          <w:highlight w:val="none"/>
          <w:lang w:val="en-US" w:eastAsia="zh-CN"/>
        </w:rPr>
        <w:t xml:space="preserve">采购内容及要求</w:t>
      </w:r>
      <w:r/>
    </w:p>
    <w:p>
      <w:pPr>
        <w:ind w:firstLine="420"/>
        <w:keepLines w:val="0"/>
        <w:keepNext w:val="0"/>
        <w:pageBreakBefore w:val="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配送内容：</w:t>
      </w:r>
      <w:r>
        <w:rPr>
          <w:rFonts w:hint="eastAsia" w:ascii="宋体" w:hAnsi="宋体" w:eastAsia="宋体" w:cs="宋体"/>
          <w:color w:val="auto"/>
          <w:sz w:val="21"/>
          <w:szCs w:val="21"/>
          <w:highlight w:val="none"/>
        </w:rPr>
        <w:t xml:space="preserve">包括且不限于蔬菜类、鲜肉类、水产类、家禽类、蛋类、冻品类、水果类、粮油、干货、杂货、调味配料、各类副食等食材供应配送服务。</w:t>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食材品质要求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（一）所有配送的食材需符合</w:t>
      </w:r>
      <w:r>
        <w:rPr>
          <w:rFonts w:hint="eastAsia" w:ascii="宋体" w:hAnsi="宋体" w:eastAsia="宋体" w:cs="宋体"/>
          <w:color w:val="auto"/>
          <w:szCs w:val="21"/>
          <w:highlight w:val="none"/>
          <w:lang w:val="zh-CN"/>
        </w:rPr>
        <w:t xml:space="preserve">《中华人民共和国食品安全法》、《餐饮业和集体用餐配送单位卫生规范》、《国家食品卫生标准》、《食品卫生法》和《动物检疫法》等，保证卫生安全，须无毒、无害、无腐烂，具有较好的色、香、味等感官性状。</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所有食材均为非转基因产品，并提供非转基因检测报告。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（三）具体食材质量要求如下：</w:t>
      </w:r>
      <w:r/>
    </w:p>
    <w:tbl>
      <w:tblPr>
        <w:tblStyle w:val="727"/>
        <w:tblW w:w="9956"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284"/>
        <w:gridCol w:w="780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食材类型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蔬菜类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新鲜嫩绿、无黄叶、无菜虫，必须通过农药残留成分测试，蔬菜不带根、不带泥，符合食品卫生要求。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鲜肉类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来源于国家认可的正规肉厂，为当日新鲜商品，必须经检验检疫合格的、有动物检疫及屠宰证明，肉质新鲜，不注水，无病毒，符合食品卫生要求。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肉质新鲜，无病毒，不含有害物质，鲜鱼类必须生猛鲜活。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家禽类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有动物检疫证明，新鲜肥美，无内脏，不注水，无病毒，符合食品卫生要求。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蛋类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无公害禽蛋，新鲜，无变质，破损较少。</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冻品类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需有出厂日期、品质优良、包装完好、无异味、无病毒，在保质期内并在送货时提供相对应检验检疫报告等资料。冻品含水量不能超8%,超过8%少于13%按8%结算，超过13%的，该类冻品不予结算。</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调料类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正规厂家或其代理商，有商标牌号，注明生产日期、产地、保质期、包装规格、有QS标志。</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豆制品类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以非转基因大豆或杂豆为主要原料，经过加工制成的食品，包括发酵豆制品、非发酵豆制品和大豆蛋白类制品，均须达到食品安全国家标准。</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卤货类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色香味美，无异味、全面烧熟、无病毒、符合卫生要求。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须为非转基因产品，个头均匀，无斑点，无破损，果实成熟新鲜，味道纯正。按指定品牌及合理报价及收货。</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奶制品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产品包装及外观干净、整洁，生产日期、保质期、贮藏条件标识清晰，须在保质期内。</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米面类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产品包装外观整洁，无破损，商品标签信息清晰，生产日期、保质期、贮藏条件清晰 ，须在保质期内，大米，面粉类等产品感官正常。</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食用油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外包装规范干净，整洁，无破损，无漏油情况，须在保质期内。</w:t>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干货类</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808" w:type="dxa"/>
            <w:vAlign w:val="center"/>
            <w:textDirection w:val="lrTb"/>
            <w:noWrap w:val="false"/>
          </w:tcPr>
          <w:p>
            <w:pPr>
              <w:ind w:left="0" w:right="0" w:firstLine="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在保质期范围内，并保持较好的外观和等级，须是正规厂家并具有合格证书且无任何有害添加剂的优质产品。</w:t>
            </w:r>
            <w:r/>
          </w:p>
        </w:tc>
      </w:tr>
    </w:tbl>
    <w:p>
      <w:pPr>
        <w:ind w:firstLine="211"/>
        <w:spacing w:line="360" w:lineRule="auto"/>
        <w:rPr>
          <w:rFonts w:hint="eastAsia" w:ascii="宋体" w:hAnsi="宋体" w:eastAsia="宋体" w:cs="宋体"/>
          <w:b/>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eastAsia="宋体" w:cs="宋体"/>
          <w:b/>
          <w:color w:val="auto"/>
          <w:szCs w:val="21"/>
          <w:highlight w:val="none"/>
        </w:rPr>
        <w:t xml:space="preserve">食材安全要求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1.供应商需提供所有食材的质量检测报告及相关的产品合格证明，并确保证明的真实、合法、有效。</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2.采购方有权对供应商配送的各类食材自行或者委托</w:t>
      </w:r>
      <w:r>
        <w:rPr>
          <w:rFonts w:hint="eastAsia" w:ascii="宋体" w:hAnsi="宋体" w:eastAsia="宋体" w:cs="宋体"/>
          <w:color w:val="auto"/>
          <w:szCs w:val="21"/>
          <w:highlight w:val="none"/>
          <w:lang w:val="en-US" w:eastAsia="zh-CN"/>
        </w:rPr>
        <w:t xml:space="preserve">有资质的</w:t>
      </w:r>
      <w:r>
        <w:rPr>
          <w:rFonts w:hint="eastAsia" w:ascii="宋体" w:hAnsi="宋体" w:eastAsia="宋体" w:cs="宋体"/>
          <w:color w:val="auto"/>
          <w:szCs w:val="21"/>
          <w:highlight w:val="none"/>
        </w:rPr>
        <w:t xml:space="preserve">第三方检测机构</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3.外包装食材的保质期不得低于产品标注保质期的三分之一（自产品标注的生产日期算起）。</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5.供应商所供食材质量达不到国家有关食品安全标准而造成食物中毒或其它后果，经公安机关或卫生防疫部门鉴定属于供应商责任的，其产生的一切法律和经济责任全部由供应商承担。</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6.供应商所有员工均须凭</w:t>
      </w:r>
      <w:r>
        <w:rPr>
          <w:rFonts w:hint="eastAsia" w:ascii="宋体" w:hAnsi="宋体" w:eastAsia="宋体" w:cs="宋体"/>
          <w:b/>
          <w:bCs/>
          <w:color w:val="auto"/>
          <w:szCs w:val="21"/>
          <w:highlight w:val="none"/>
        </w:rPr>
        <w:t xml:space="preserve">健康证上岗</w:t>
      </w:r>
      <w:r>
        <w:rPr>
          <w:rFonts w:hint="eastAsia" w:ascii="宋体" w:hAnsi="宋体" w:eastAsia="宋体" w:cs="宋体"/>
          <w:color w:val="auto"/>
          <w:szCs w:val="21"/>
          <w:highlight w:val="none"/>
        </w:rPr>
        <w:t xml:space="preserve">，应成立本项目配送专项服务小组，负责相关工作及提供各种服务。</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7.供应商应该按照采购方的要求，建立完整的</w:t>
      </w:r>
      <w:r>
        <w:rPr>
          <w:rFonts w:hint="eastAsia" w:ascii="宋体" w:hAnsi="宋体" w:eastAsia="宋体" w:cs="宋体"/>
          <w:b/>
          <w:bCs/>
          <w:color w:val="auto"/>
          <w:szCs w:val="21"/>
          <w:highlight w:val="none"/>
        </w:rPr>
        <w:t xml:space="preserve">食材追踪溯源体系</w:t>
      </w:r>
      <w:r>
        <w:rPr>
          <w:rFonts w:hint="eastAsia" w:ascii="宋体" w:hAnsi="宋体" w:eastAsia="宋体" w:cs="宋体"/>
          <w:color w:val="auto"/>
          <w:szCs w:val="21"/>
          <w:highlight w:val="none"/>
        </w:rPr>
        <w:t xml:space="preserve">，提供</w:t>
      </w:r>
      <w:r>
        <w:rPr>
          <w:rFonts w:hint="eastAsia" w:ascii="宋体" w:hAnsi="宋体" w:cs="宋体"/>
          <w:color w:val="auto"/>
          <w:szCs w:val="21"/>
          <w:highlight w:val="none"/>
          <w:lang w:val="en-US" w:eastAsia="zh-CN"/>
        </w:rPr>
        <w:t xml:space="preserve">有资质</w:t>
      </w:r>
      <w:r>
        <w:rPr>
          <w:rFonts w:hint="eastAsia" w:ascii="宋体" w:hAnsi="宋体" w:eastAsia="宋体" w:cs="宋体"/>
          <w:color w:val="auto"/>
          <w:szCs w:val="21"/>
          <w:highlight w:val="none"/>
        </w:rPr>
        <w:t xml:space="preserve">实验室检测报告，应当建立专门台账，按食材进货索证和台账登记本格式如实记录配送给采购方的各类物品，留存相关检验合格证明、资质证明、营业执照等有效资料，并可追踪溯源，采购方有权定期检查。</w:t>
      </w:r>
      <w:r/>
    </w:p>
    <w:p>
      <w:pPr>
        <w:ind w:firstLine="422"/>
        <w:spacing w:line="360" w:lineRule="auto"/>
        <w:rPr>
          <w:rFonts w:hint="default" w:ascii="宋体" w:hAnsi="宋体" w:eastAsia="宋体" w:cs="宋体"/>
          <w:b/>
          <w:color w:val="auto"/>
          <w:szCs w:val="21"/>
          <w:highlight w:val="none"/>
          <w:lang w:val="en-US"/>
        </w:rPr>
      </w:pPr>
      <w:r>
        <w:rPr>
          <w:rFonts w:hint="eastAsia" w:ascii="宋体" w:hAnsi="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食材配送和</w:t>
      </w:r>
      <w:r>
        <w:rPr>
          <w:rFonts w:hint="eastAsia" w:ascii="宋体" w:hAnsi="宋体" w:cs="宋体"/>
          <w:b/>
          <w:color w:val="auto"/>
          <w:szCs w:val="21"/>
          <w:highlight w:val="none"/>
          <w:lang w:val="en-US" w:eastAsia="zh-CN"/>
        </w:rPr>
        <w:t xml:space="preserve">验收要求</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仿宋_GB2312"/>
          <w:color w:val="auto"/>
          <w:szCs w:val="21"/>
          <w:highlight w:val="none"/>
          <w:lang w:val="en-US" w:eastAsia="zh-CN"/>
        </w:rPr>
        <w:t xml:space="preserve">4.</w:t>
      </w:r>
      <w:r>
        <w:rPr>
          <w:rFonts w:hint="eastAsia" w:ascii="宋体" w:hAnsi="宋体" w:eastAsia="宋体" w:cs="仿宋_GB2312"/>
          <w:color w:val="auto"/>
          <w:szCs w:val="21"/>
          <w:highlight w:val="none"/>
        </w:rPr>
        <w:t xml:space="preserve">1.</w:t>
      </w:r>
      <w:r>
        <w:rPr>
          <w:rFonts w:hint="eastAsia" w:ascii="宋体" w:hAnsi="宋体" w:eastAsia="宋体" w:cs="宋体"/>
          <w:color w:val="auto"/>
          <w:szCs w:val="21"/>
          <w:highlight w:val="none"/>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eastAsia="宋体" w:cs="宋体"/>
          <w:color w:val="auto"/>
          <w:szCs w:val="21"/>
          <w:highlight w:val="none"/>
        </w:rPr>
        <w:t xml:space="preserve">上述</w:t>
      </w:r>
      <w:r>
        <w:rPr>
          <w:rFonts w:hint="eastAsia" w:ascii="宋体" w:hAnsi="宋体" w:eastAsia="宋体" w:cs="宋体"/>
          <w:color w:val="auto"/>
          <w:szCs w:val="21"/>
          <w:highlight w:val="none"/>
          <w:lang w:val="zh-CN"/>
        </w:rPr>
        <w:t xml:space="preserve">货款。</w:t>
      </w:r>
      <w:r/>
    </w:p>
    <w:p>
      <w:pPr>
        <w:ind w:firstLine="420"/>
        <w:spacing w:line="360" w:lineRule="auto"/>
        <w:rPr>
          <w:rFonts w:hint="eastAsia" w:ascii="宋体" w:hAnsi="宋体" w:eastAsia="宋体" w:cs="仿宋_GB2312"/>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w:t>
      </w:r>
      <w:r>
        <w:rPr>
          <w:rFonts w:hint="eastAsia" w:ascii="宋体" w:hAnsi="宋体" w:eastAsia="宋体" w:cs="仿宋_GB2312"/>
          <w:color w:val="auto"/>
          <w:szCs w:val="21"/>
          <w:highlight w:val="none"/>
        </w:rPr>
        <w:t xml:space="preserve">配送要求</w:t>
      </w:r>
      <w:r>
        <w:rPr>
          <w:rFonts w:hint="eastAsia" w:ascii="宋体" w:hAnsi="宋体" w:eastAsia="宋体" w:cs="仿宋_GB2312"/>
          <w:color w:val="auto"/>
          <w:szCs w:val="21"/>
          <w:highlight w:val="none"/>
          <w:lang w:val="zh-CN"/>
        </w:rPr>
        <w:t xml:space="preserve">：</w:t>
      </w:r>
      <w:r>
        <w:rPr>
          <w:rFonts w:hint="eastAsia" w:ascii="宋体" w:hAnsi="宋体" w:eastAsia="宋体" w:cs="宋体"/>
          <w:color w:val="auto"/>
          <w:szCs w:val="21"/>
          <w:highlight w:val="none"/>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3</w:t>
      </w:r>
      <w:r>
        <w:rPr>
          <w:rFonts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 每日食材供应中，供应商应确保所供食材品种、数量、重量的准确性，采购方和供应商应分别建立采购和供应台账，</w:t>
      </w:r>
      <w:r>
        <w:rPr>
          <w:rFonts w:hint="eastAsia" w:ascii="宋体" w:hAnsi="宋体" w:eastAsia="宋体" w:cs="宋体"/>
          <w:color w:val="auto"/>
          <w:szCs w:val="21"/>
          <w:highlight w:val="none"/>
        </w:rPr>
        <w:t xml:space="preserve">送货时</w:t>
      </w:r>
      <w:r>
        <w:rPr>
          <w:rFonts w:hint="eastAsia" w:ascii="宋体" w:hAnsi="宋体" w:eastAsia="宋体" w:cs="宋体"/>
          <w:color w:val="auto"/>
          <w:szCs w:val="21"/>
          <w:highlight w:val="none"/>
          <w:lang w:val="zh-CN"/>
        </w:rPr>
        <w:t xml:space="preserve">确定专人</w:t>
      </w:r>
      <w:r>
        <w:rPr>
          <w:rFonts w:hint="eastAsia" w:ascii="宋体" w:hAnsi="宋体" w:eastAsia="宋体" w:cs="Times New Roman"/>
          <w:color w:val="auto"/>
          <w:szCs w:val="21"/>
          <w:highlight w:val="none"/>
        </w:rPr>
        <w:t xml:space="preserve">（不少于两人）</w:t>
      </w:r>
      <w:r>
        <w:rPr>
          <w:rFonts w:hint="eastAsia" w:ascii="宋体" w:hAnsi="宋体" w:eastAsia="宋体" w:cs="宋体"/>
          <w:color w:val="auto"/>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如因供应商食材配送问题而影响本项目正常</w:t>
      </w:r>
      <w:r>
        <w:rPr>
          <w:rFonts w:hint="eastAsia" w:ascii="宋体" w:hAnsi="宋体" w:eastAsia="宋体" w:cs="宋体"/>
          <w:color w:val="auto"/>
          <w:szCs w:val="21"/>
          <w:highlight w:val="none"/>
        </w:rPr>
        <w:t xml:space="preserve">供</w:t>
      </w:r>
      <w:r>
        <w:rPr>
          <w:rFonts w:hint="eastAsia" w:ascii="宋体" w:hAnsi="宋体" w:eastAsia="宋体" w:cs="宋体"/>
          <w:color w:val="auto"/>
          <w:szCs w:val="21"/>
          <w:highlight w:val="none"/>
          <w:lang w:val="zh-CN"/>
        </w:rPr>
        <w:t xml:space="preserve">餐，出现一次，采购方提出口头警告并要求供应商做出书面保证，</w:t>
      </w:r>
      <w:r>
        <w:rPr>
          <w:rFonts w:hint="eastAsia" w:ascii="宋体" w:hAnsi="宋体" w:eastAsia="宋体" w:cs="宋体"/>
          <w:color w:val="auto"/>
          <w:szCs w:val="21"/>
          <w:highlight w:val="none"/>
        </w:rPr>
        <w:t xml:space="preserve">出现</w:t>
      </w:r>
      <w:r>
        <w:rPr>
          <w:rFonts w:hint="eastAsia" w:ascii="宋体" w:hAnsi="宋体" w:eastAsia="宋体" w:cs="宋体"/>
          <w:color w:val="auto"/>
          <w:szCs w:val="21"/>
          <w:highlight w:val="none"/>
          <w:lang w:val="zh-CN"/>
        </w:rPr>
        <w:t xml:space="preserve">二次扣当天货款10%-30%；达到三次，采购方可解除供货合同。</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.采购方</w:t>
      </w:r>
      <w:r>
        <w:rPr>
          <w:rFonts w:hint="eastAsia" w:ascii="宋体" w:hAnsi="宋体" w:eastAsia="宋体" w:cs="宋体"/>
          <w:color w:val="auto"/>
          <w:szCs w:val="21"/>
          <w:highlight w:val="none"/>
        </w:rPr>
        <w:t xml:space="preserve">对食材品质有所要求的，供应商应按要求提供对应品质食材。采购方将</w:t>
      </w:r>
      <w:r>
        <w:rPr>
          <w:rFonts w:hint="eastAsia" w:ascii="宋体" w:hAnsi="宋体" w:eastAsia="宋体" w:cs="宋体"/>
          <w:color w:val="auto"/>
          <w:szCs w:val="21"/>
          <w:highlight w:val="none"/>
          <w:lang w:val="zh-CN"/>
        </w:rPr>
        <w:t xml:space="preserve">对所供食材进行定期检查</w:t>
      </w:r>
      <w:r>
        <w:rPr>
          <w:rFonts w:hint="eastAsia" w:ascii="宋体" w:hAnsi="宋体" w:eastAsia="宋体" w:cs="宋体"/>
          <w:color w:val="auto"/>
          <w:szCs w:val="21"/>
          <w:highlight w:val="none"/>
        </w:rPr>
        <w:t xml:space="preserve">或不定时抽查</w:t>
      </w:r>
      <w:r>
        <w:rPr>
          <w:rFonts w:hint="eastAsia" w:ascii="宋体" w:hAnsi="宋体" w:eastAsia="宋体" w:cs="宋体"/>
          <w:color w:val="auto"/>
          <w:szCs w:val="21"/>
          <w:highlight w:val="none"/>
          <w:lang w:val="zh-CN"/>
        </w:rPr>
        <w:t xml:space="preserve">，如发现问题随时向供应商反映，供应商应及时改进并将整改方案及措施告知采购方，否则，采购人有权解除合同。</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.临时加货处理：对于采购方</w:t>
      </w:r>
      <w:r>
        <w:rPr>
          <w:rFonts w:hint="eastAsia" w:ascii="宋体" w:hAnsi="宋体" w:eastAsia="宋体" w:cs="宋体"/>
          <w:color w:val="auto"/>
          <w:szCs w:val="21"/>
          <w:highlight w:val="none"/>
        </w:rPr>
        <w:t xml:space="preserve">在节假日或其他时段</w:t>
      </w:r>
      <w:r>
        <w:rPr>
          <w:rFonts w:hint="eastAsia" w:ascii="宋体" w:hAnsi="宋体" w:eastAsia="宋体" w:cs="宋体"/>
          <w:color w:val="auto"/>
          <w:szCs w:val="21"/>
          <w:highlight w:val="none"/>
          <w:lang w:val="zh-CN"/>
        </w:rPr>
        <w:t xml:space="preserve">有临时</w:t>
      </w:r>
      <w:r>
        <w:rPr>
          <w:rFonts w:hint="eastAsia" w:ascii="宋体" w:hAnsi="宋体" w:eastAsia="宋体" w:cs="宋体"/>
          <w:color w:val="auto"/>
          <w:szCs w:val="21"/>
          <w:highlight w:val="none"/>
        </w:rPr>
        <w:t xml:space="preserve">食材需求</w:t>
      </w:r>
      <w:r>
        <w:rPr>
          <w:rFonts w:hint="eastAsia" w:ascii="宋体" w:hAnsi="宋体" w:eastAsia="宋体" w:cs="宋体"/>
          <w:color w:val="auto"/>
          <w:szCs w:val="21"/>
          <w:highlight w:val="none"/>
          <w:lang w:val="zh-CN"/>
        </w:rPr>
        <w:t xml:space="preserve">或临时增加员工用餐时，供应商需在接到采购方口头或书面通知时按要求将货物送到采购方的指定地点，派专人负责跟踪服务，保证用餐正常。</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其他服务要求</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5.1</w:t>
      </w:r>
      <w:r>
        <w:rPr>
          <w:rFonts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5.2</w:t>
      </w:r>
      <w:r>
        <w:rPr>
          <w:rFonts w:hint="eastAsia" w:ascii="宋体" w:hAnsi="宋体" w:eastAsia="宋体" w:cs="宋体"/>
          <w:color w:val="auto"/>
          <w:szCs w:val="21"/>
          <w:highlight w:val="none"/>
          <w:lang w:val="zh-CN"/>
        </w:rPr>
        <w:t xml:space="preserve">.供应商不得对采购人或验收人员有行贿行为，一经发现，采购人有权无条件终止合同扣除剩余货款。供应商应遵守采购人保密规定，不得将采购人信息泄露给第三方或其他有关利益方。</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5.3</w:t>
      </w:r>
      <w:r>
        <w:rPr>
          <w:rFonts w:hint="eastAsia" w:ascii="宋体" w:hAnsi="宋体" w:eastAsia="宋体" w:cs="宋体"/>
          <w:color w:val="auto"/>
          <w:szCs w:val="21"/>
          <w:highlight w:val="none"/>
          <w:lang w:val="zh-CN"/>
        </w:rPr>
        <w:t xml:space="preserve">.供应商在整个配送服务周期内应配备充足人员、车辆及货物等，满足项目需求。不得将本项目全部或部分转包，若转包一经采购人发现，采购人可提前终止配送合同。</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5.4</w:t>
      </w:r>
      <w:r>
        <w:rPr>
          <w:rFonts w:hint="eastAsia" w:ascii="宋体" w:hAnsi="宋体" w:eastAsia="宋体" w:cs="宋体"/>
          <w:color w:val="auto"/>
          <w:szCs w:val="21"/>
          <w:highlight w:val="none"/>
          <w:lang w:val="zh-CN"/>
        </w:rPr>
        <w:t xml:space="preserve">.供应商工作人员在本项目服务中出现人身等安全事故，供应商独立承担一切刑事、民事责任，与采购人无关。</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5.5</w:t>
      </w:r>
      <w:r>
        <w:rPr>
          <w:rFonts w:hint="eastAsia" w:ascii="宋体" w:hAnsi="宋体" w:eastAsia="宋体" w:cs="宋体"/>
          <w:color w:val="auto"/>
          <w:szCs w:val="21"/>
          <w:highlight w:val="none"/>
          <w:lang w:val="zh-CN"/>
        </w:rPr>
        <w:t xml:space="preserve">.供应商应具备承担风险能力，保障用餐人员权益，</w:t>
      </w:r>
      <w:r>
        <w:rPr>
          <w:rFonts w:hint="eastAsia" w:ascii="宋体" w:hAnsi="宋体" w:eastAsia="宋体" w:cs="宋体"/>
          <w:b/>
          <w:bCs/>
          <w:color w:val="auto"/>
          <w:szCs w:val="21"/>
          <w:highlight w:val="none"/>
          <w:lang w:val="zh-CN"/>
        </w:rPr>
        <w:t xml:space="preserve">供应商应在服务期内提供有效的食品安全责任保险。</w:t>
      </w:r>
      <w:r/>
    </w:p>
    <w:p>
      <w:pPr>
        <w:ind w:firstLine="422"/>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6</w:t>
      </w:r>
      <w:r>
        <w:rPr>
          <w:rFonts w:hint="eastAsia" w:ascii="宋体" w:hAnsi="宋体" w:cs="宋体"/>
          <w:b/>
          <w:bCs w:val="0"/>
          <w:color w:val="auto"/>
          <w:szCs w:val="21"/>
          <w:highlight w:val="none"/>
          <w:lang w:val="en-US" w:eastAsia="zh-CN"/>
        </w:rPr>
        <w:t xml:space="preserve">.</w:t>
      </w:r>
      <w:r>
        <w:rPr>
          <w:rFonts w:hint="eastAsia" w:ascii="宋体" w:hAnsi="宋体" w:eastAsia="宋体" w:cs="宋体"/>
          <w:b/>
          <w:bCs w:val="0"/>
          <w:color w:val="auto"/>
          <w:szCs w:val="21"/>
          <w:highlight w:val="none"/>
        </w:rPr>
        <w:t xml:space="preserve">中标供应商考核管理办法</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zh-CN"/>
        </w:rPr>
        <w:t xml:space="preserve">1</w:t>
      </w:r>
      <w:r>
        <w:rPr>
          <w:rFonts w:hint="eastAsia" w:ascii="宋体" w:hAnsi="宋体" w:eastAsia="宋体" w:cs="宋体"/>
          <w:b w:val="0"/>
          <w:bCs/>
          <w:color w:val="auto"/>
          <w:szCs w:val="21"/>
          <w:highlight w:val="none"/>
        </w:rPr>
        <w:t xml:space="preserve">.食材配送服务项目</w:t>
      </w:r>
      <w:r>
        <w:rPr>
          <w:rFonts w:hint="eastAsia" w:ascii="宋体" w:hAnsi="宋体" w:eastAsia="宋体" w:cs="宋体"/>
          <w:b w:val="0"/>
          <w:bCs/>
          <w:color w:val="auto"/>
          <w:szCs w:val="21"/>
          <w:highlight w:val="none"/>
          <w:lang w:val="zh-CN"/>
        </w:rPr>
        <w:t xml:space="preserve">实行月考核制度，每月由采购单位对配送公司进行考核</w:t>
      </w:r>
      <w:r>
        <w:rPr>
          <w:rFonts w:hint="eastAsia" w:ascii="宋体" w:hAnsi="宋体" w:eastAsia="宋体" w:cs="宋体"/>
          <w:b w:val="0"/>
          <w:bCs/>
          <w:color w:val="auto"/>
          <w:szCs w:val="21"/>
          <w:highlight w:val="none"/>
        </w:rPr>
        <w:t xml:space="preserve">。</w:t>
      </w:r>
      <w:r/>
    </w:p>
    <w:p>
      <w:pPr>
        <w:ind w:firstLine="420"/>
        <w:spacing w:line="360" w:lineRule="auto"/>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zh-CN"/>
        </w:rPr>
        <w:t xml:space="preserve">2</w:t>
      </w:r>
      <w:r>
        <w:rPr>
          <w:rFonts w:hint="eastAsia" w:ascii="宋体" w:hAnsi="宋体" w:eastAsia="宋体" w:cs="宋体"/>
          <w:b w:val="0"/>
          <w:bCs/>
          <w:color w:val="auto"/>
          <w:szCs w:val="21"/>
          <w:highlight w:val="none"/>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zh-CN"/>
        </w:rPr>
        <w:t xml:space="preserve">3</w:t>
      </w: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zCs w:val="21"/>
          <w:highlight w:val="none"/>
          <w:lang w:val="zh-CN"/>
        </w:rPr>
        <w:t xml:space="preserve">食材配送服务实行百分制考核，</w:t>
      </w:r>
      <w:r>
        <w:rPr>
          <w:rFonts w:hint="eastAsia" w:ascii="宋体" w:hAnsi="宋体" w:eastAsia="宋体" w:cs="宋体"/>
          <w:b w:val="0"/>
          <w:bCs/>
          <w:color w:val="auto"/>
          <w:szCs w:val="21"/>
          <w:highlight w:val="none"/>
        </w:rPr>
        <w:t xml:space="preserve">每月考核一次</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rPr>
        <w:t xml:space="preserve">考核制度见附表），综合考评得分作为支付当月配送费用的依据，具体计算方法如下：</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rPr>
        <w:t xml:space="preserve">3.1 考评分在90分（包括90分）以上的，甲方全额支付乙方当月配送费用。</w:t>
      </w:r>
      <w:r/>
    </w:p>
    <w:p>
      <w:pPr>
        <w:ind w:firstLine="420"/>
        <w:spacing w:line="360" w:lineRule="auto"/>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rPr>
        <w:t xml:space="preserve">3</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zh-CN"/>
        </w:rPr>
        <w:t xml:space="preserve"> </w:t>
      </w:r>
      <w:r>
        <w:rPr>
          <w:rFonts w:hint="eastAsia" w:ascii="宋体" w:hAnsi="宋体" w:eastAsia="宋体" w:cs="宋体"/>
          <w:b w:val="0"/>
          <w:bCs/>
          <w:color w:val="auto"/>
          <w:szCs w:val="21"/>
          <w:highlight w:val="none"/>
        </w:rPr>
        <w:t xml:space="preserve">考评</w:t>
      </w:r>
      <w:r>
        <w:rPr>
          <w:rFonts w:hint="eastAsia" w:ascii="宋体" w:hAnsi="宋体" w:eastAsia="宋体" w:cs="宋体"/>
          <w:b w:val="0"/>
          <w:bCs/>
          <w:color w:val="auto"/>
          <w:szCs w:val="21"/>
          <w:highlight w:val="none"/>
          <w:lang w:val="zh-CN"/>
        </w:rPr>
        <w:t xml:space="preserve">分在</w:t>
      </w:r>
      <w:r>
        <w:rPr>
          <w:rFonts w:hint="eastAsia" w:ascii="宋体" w:hAnsi="宋体" w:eastAsia="宋体" w:cs="宋体"/>
          <w:b w:val="0"/>
          <w:bCs/>
          <w:color w:val="auto"/>
          <w:szCs w:val="21"/>
          <w:highlight w:val="none"/>
        </w:rPr>
        <w:t xml:space="preserve">85</w:t>
      </w:r>
      <w:r>
        <w:rPr>
          <w:rFonts w:hint="eastAsia" w:ascii="宋体" w:hAnsi="宋体" w:eastAsia="宋体" w:cs="宋体"/>
          <w:b w:val="0"/>
          <w:bCs/>
          <w:color w:val="auto"/>
          <w:szCs w:val="21"/>
          <w:highlight w:val="none"/>
          <w:lang w:val="zh-CN"/>
        </w:rPr>
        <w:t xml:space="preserve">分（</w:t>
      </w:r>
      <w:r>
        <w:rPr>
          <w:rFonts w:hint="eastAsia" w:ascii="宋体" w:hAnsi="宋体" w:eastAsia="宋体" w:cs="宋体"/>
          <w:b w:val="0"/>
          <w:bCs/>
          <w:color w:val="auto"/>
          <w:szCs w:val="21"/>
          <w:highlight w:val="none"/>
        </w:rPr>
        <w:t xml:space="preserve">包括85分</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rPr>
        <w:t xml:space="preserve">以上、90分以下的</w:t>
      </w:r>
      <w:r>
        <w:rPr>
          <w:rFonts w:hint="eastAsia" w:ascii="宋体" w:hAnsi="宋体" w:eastAsia="宋体" w:cs="宋体"/>
          <w:b w:val="0"/>
          <w:bCs/>
          <w:color w:val="auto"/>
          <w:szCs w:val="21"/>
          <w:highlight w:val="none"/>
          <w:lang w:val="zh-CN"/>
        </w:rPr>
        <w:t xml:space="preserve">，扣除当月配送费用的</w:t>
      </w:r>
      <w:r>
        <w:rPr>
          <w:rFonts w:hint="eastAsia" w:ascii="宋体" w:hAnsi="宋体" w:eastAsia="宋体" w:cs="宋体"/>
          <w:b w:val="0"/>
          <w:bCs/>
          <w:color w:val="auto"/>
          <w:szCs w:val="21"/>
          <w:highlight w:val="none"/>
        </w:rPr>
        <w:t xml:space="preserve">2</w:t>
      </w:r>
      <w:r>
        <w:rPr>
          <w:rFonts w:hint="eastAsia" w:ascii="宋体" w:hAnsi="宋体" w:eastAsia="宋体" w:cs="宋体"/>
          <w:b w:val="0"/>
          <w:bCs/>
          <w:color w:val="auto"/>
          <w:szCs w:val="21"/>
          <w:highlight w:val="none"/>
          <w:lang w:val="zh-CN"/>
        </w:rPr>
        <w:t xml:space="preserve">%。</w:t>
      </w:r>
      <w:r/>
    </w:p>
    <w:p>
      <w:pPr>
        <w:ind w:firstLine="420"/>
        <w:spacing w:line="360" w:lineRule="auto"/>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rPr>
        <w:t xml:space="preserve">3</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rPr>
        <w:t xml:space="preserve">3</w:t>
      </w:r>
      <w:r>
        <w:rPr>
          <w:rFonts w:hint="eastAsia" w:ascii="宋体" w:hAnsi="宋体" w:eastAsia="宋体" w:cs="宋体"/>
          <w:b w:val="0"/>
          <w:bCs/>
          <w:color w:val="auto"/>
          <w:szCs w:val="21"/>
          <w:highlight w:val="none"/>
          <w:lang w:val="zh-CN"/>
        </w:rPr>
        <w:t xml:space="preserve"> </w:t>
      </w:r>
      <w:r>
        <w:rPr>
          <w:rFonts w:hint="eastAsia" w:ascii="宋体" w:hAnsi="宋体" w:eastAsia="宋体" w:cs="宋体"/>
          <w:b w:val="0"/>
          <w:bCs/>
          <w:color w:val="auto"/>
          <w:szCs w:val="21"/>
          <w:highlight w:val="none"/>
        </w:rPr>
        <w:t xml:space="preserve">考评</w:t>
      </w:r>
      <w:r>
        <w:rPr>
          <w:rFonts w:hint="eastAsia" w:ascii="宋体" w:hAnsi="宋体" w:eastAsia="宋体" w:cs="宋体"/>
          <w:b w:val="0"/>
          <w:bCs/>
          <w:color w:val="auto"/>
          <w:szCs w:val="21"/>
          <w:highlight w:val="none"/>
          <w:lang w:val="zh-CN"/>
        </w:rPr>
        <w:t xml:space="preserve">分在</w:t>
      </w:r>
      <w:r>
        <w:rPr>
          <w:rFonts w:hint="eastAsia" w:ascii="宋体" w:hAnsi="宋体" w:eastAsia="宋体" w:cs="宋体"/>
          <w:b w:val="0"/>
          <w:bCs/>
          <w:color w:val="auto"/>
          <w:szCs w:val="21"/>
          <w:highlight w:val="none"/>
        </w:rPr>
        <w:t xml:space="preserve">80</w:t>
      </w:r>
      <w:r>
        <w:rPr>
          <w:rFonts w:hint="eastAsia" w:ascii="宋体" w:hAnsi="宋体" w:eastAsia="宋体" w:cs="宋体"/>
          <w:b w:val="0"/>
          <w:bCs/>
          <w:color w:val="auto"/>
          <w:szCs w:val="21"/>
          <w:highlight w:val="none"/>
          <w:lang w:val="zh-CN"/>
        </w:rPr>
        <w:t xml:space="preserve">分（</w:t>
      </w:r>
      <w:r>
        <w:rPr>
          <w:rFonts w:hint="eastAsia" w:ascii="宋体" w:hAnsi="宋体" w:eastAsia="宋体" w:cs="宋体"/>
          <w:b w:val="0"/>
          <w:bCs/>
          <w:color w:val="auto"/>
          <w:szCs w:val="21"/>
          <w:highlight w:val="none"/>
        </w:rPr>
        <w:t xml:space="preserve">包括80分</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rPr>
        <w:t xml:space="preserve">以上、85以下分的</w:t>
      </w:r>
      <w:r>
        <w:rPr>
          <w:rFonts w:hint="eastAsia" w:ascii="宋体" w:hAnsi="宋体" w:eastAsia="宋体" w:cs="宋体"/>
          <w:b w:val="0"/>
          <w:bCs/>
          <w:color w:val="auto"/>
          <w:szCs w:val="21"/>
          <w:highlight w:val="none"/>
          <w:lang w:val="zh-CN"/>
        </w:rPr>
        <w:t xml:space="preserve">，扣除当月配送费用的</w:t>
      </w:r>
      <w:r>
        <w:rPr>
          <w:rFonts w:hint="eastAsia" w:ascii="宋体" w:hAnsi="宋体" w:eastAsia="宋体" w:cs="宋体"/>
          <w:b w:val="0"/>
          <w:bCs/>
          <w:color w:val="auto"/>
          <w:szCs w:val="21"/>
          <w:highlight w:val="none"/>
        </w:rPr>
        <w:t xml:space="preserve">5</w:t>
      </w:r>
      <w:r>
        <w:rPr>
          <w:rFonts w:hint="eastAsia" w:ascii="宋体" w:hAnsi="宋体" w:eastAsia="宋体" w:cs="宋体"/>
          <w:b w:val="0"/>
          <w:bCs/>
          <w:color w:val="auto"/>
          <w:szCs w:val="21"/>
          <w:highlight w:val="none"/>
          <w:lang w:val="zh-CN"/>
        </w:rPr>
        <w:t xml:space="preserve">%。</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6.3</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rPr>
        <w:t xml:space="preserve">4 考评分在80分以下的，为月综合考评不达标。如中标人在年度服务期内两次配送服务月综合考评未达标，则年度综合考评不达标，采购人有权终止合同。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7</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监督管理</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食材供应商在合同执行期间有下列行为之一的，采购方有权直接解除供货服务合同：</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1.中标后无正当理由不与采购单位签订合同的；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2.擅自变更或者终止采购服务合同的；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3.试供期不合格的（详见合同）；</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4.不按采购需求、投标文件以及采购服务合同要求全面履约或履约情况评价不合格的；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5.未按规定出具检测报告或相关承诺书等资料达到二次的；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6.经核实配送食材不符合采购单位要求达到三次的；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7.不按要求提供报价三次的；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8.虚高报价三次的；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9.配送的食材存在严重质量问题的；</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eastAsia="宋体" w:cs="宋体"/>
          <w:color w:val="auto"/>
          <w:szCs w:val="18"/>
          <w:highlight w:val="none"/>
        </w:rPr>
      </w:pPr>
      <w:r>
        <w:rPr>
          <w:rFonts w:hint="eastAsia" w:ascii="宋体" w:hAnsi="宋体" w:eastAsia="宋体" w:cs="宋体"/>
          <w:color w:val="auto"/>
          <w:szCs w:val="21"/>
          <w:highlight w:val="none"/>
          <w:lang w:val="zh-CN"/>
        </w:rPr>
        <w:t xml:space="preserve">11.造成严重后果或恶劣影响的行为。</w:t>
      </w:r>
      <w:r>
        <w:rPr>
          <w:rFonts w:hint="eastAsia" w:ascii="宋体" w:hAnsi="宋体" w:eastAsia="宋体" w:cs="宋体"/>
          <w:color w:val="auto"/>
          <w:szCs w:val="18"/>
          <w:highlight w:val="none"/>
        </w:rPr>
        <w:t xml:space="preserve">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val="en-US" w:eastAsia="zh-CN"/>
        </w:rPr>
        <w:t xml:space="preserve">供应商综合能力</w:t>
      </w:r>
      <w:r>
        <w:rPr>
          <w:rFonts w:hint="eastAsia" w:ascii="宋体" w:hAnsi="宋体" w:eastAsia="宋体" w:cs="宋体"/>
          <w:b/>
          <w:bCs/>
          <w:color w:val="auto"/>
          <w:szCs w:val="21"/>
          <w:highlight w:val="none"/>
        </w:rPr>
        <w:t xml:space="preserve">要求：</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人员要求：</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项目负责人1名：具有大专及以上学历，具有3年（含）以上食品配送行业经验，项目负责人在整个配送服务周期内不得更换，并提供行业经验证明材料。</w:t>
      </w:r>
      <w:r/>
    </w:p>
    <w:p>
      <w:pPr>
        <w:ind w:firstLine="420"/>
        <w:jc w:val="left"/>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配送人员</w:t>
      </w:r>
      <w:r>
        <w:rPr>
          <w:rFonts w:hint="eastAsia" w:ascii="宋体" w:hAnsi="宋体" w:eastAsia="宋体" w:cs="宋体"/>
          <w:b w:val="0"/>
          <w:bCs w:val="0"/>
          <w:color w:val="auto"/>
          <w:sz w:val="21"/>
          <w:szCs w:val="21"/>
          <w:highlight w:val="none"/>
          <w:lang w:val="en-US" w:eastAsia="zh-CN"/>
        </w:rPr>
        <w:t xml:space="preserve">至少</w:t>
      </w:r>
      <w:r>
        <w:rPr>
          <w:rFonts w:hint="eastAsia" w:ascii="宋体" w:hAnsi="宋体" w:eastAsia="宋体" w:cs="宋体"/>
          <w:b w:val="0"/>
          <w:bCs w:val="0"/>
          <w:color w:val="auto"/>
          <w:sz w:val="21"/>
          <w:szCs w:val="21"/>
          <w:highlight w:val="none"/>
        </w:rPr>
        <w:t xml:space="preserve">2名：同时具有有效健康证明及公安部门出具的无犯罪记录证明</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证明材料及</w:t>
      </w:r>
      <w:r>
        <w:rPr>
          <w:rFonts w:hint="eastAsia" w:ascii="宋体" w:hAnsi="宋体" w:eastAsia="宋体" w:cs="宋体"/>
          <w:b/>
          <w:bCs/>
          <w:color w:val="auto"/>
          <w:spacing w:val="0"/>
          <w:sz w:val="21"/>
          <w:szCs w:val="21"/>
          <w:highlight w:val="none"/>
          <w:lang w:eastAsia="zh-CN"/>
        </w:rPr>
        <w:t xml:space="preserve">供应商近三个月为其缴纳社保的证明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否则为无效投标）</w:t>
      </w:r>
      <w:r>
        <w:rPr>
          <w:rFonts w:hint="eastAsia" w:ascii="宋体" w:hAnsi="宋体" w:eastAsia="宋体" w:cs="宋体"/>
          <w:b w:val="0"/>
          <w:bCs w:val="0"/>
          <w:color w:val="auto"/>
          <w:sz w:val="21"/>
          <w:szCs w:val="21"/>
          <w:highlight w:val="none"/>
        </w:rPr>
        <w:t xml:space="preserve">。</w:t>
      </w:r>
      <w:r/>
    </w:p>
    <w:p>
      <w:pPr>
        <w:ind w:firstLine="422"/>
        <w:jc w:val="left"/>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车辆配置要求：</w:t>
      </w:r>
      <w:r>
        <w:rPr>
          <w:rFonts w:hint="eastAsia" w:ascii="宋体" w:hAnsi="宋体" w:eastAsia="宋体" w:cs="宋体"/>
          <w:color w:val="auto"/>
          <w:sz w:val="21"/>
          <w:szCs w:val="21"/>
          <w:highlight w:val="none"/>
        </w:rPr>
        <w:t xml:space="preserve">供应商自有或租赁冷链运输厢式货车不低于</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辆</w:t>
      </w:r>
      <w:r>
        <w:rPr>
          <w:rFonts w:hint="eastAsia" w:ascii="宋体" w:hAnsi="宋体" w:eastAsia="宋体" w:cs="宋体"/>
          <w:b/>
          <w:bCs/>
          <w:color w:val="auto"/>
          <w:sz w:val="21"/>
          <w:szCs w:val="21"/>
          <w:highlight w:val="none"/>
        </w:rPr>
        <w:t xml:space="preserve">（提供车辆彩色图片、行驶证</w:t>
      </w:r>
      <w:r>
        <w:rPr>
          <w:rFonts w:hint="eastAsia" w:ascii="宋体" w:hAnsi="宋体" w:eastAsia="宋体" w:cs="宋体"/>
          <w:b/>
          <w:bCs/>
          <w:color w:val="auto"/>
          <w:sz w:val="21"/>
          <w:szCs w:val="21"/>
          <w:highlight w:val="none"/>
          <w:lang w:eastAsia="zh-CN"/>
        </w:rPr>
        <w:t xml:space="preserve">，自有车辆的证书登记人或所有人均须为供应商，</w:t>
      </w:r>
      <w:r>
        <w:rPr>
          <w:rFonts w:hint="eastAsia" w:ascii="宋体" w:hAnsi="宋体" w:eastAsia="宋体" w:cs="宋体"/>
          <w:b/>
          <w:bCs/>
          <w:color w:val="auto"/>
          <w:sz w:val="21"/>
          <w:szCs w:val="21"/>
          <w:highlight w:val="none"/>
        </w:rPr>
        <w:t xml:space="preserve">如为租赁须同时提供租赁合同及近期付款凭证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否则为无效投标）</w:t>
      </w:r>
      <w:r>
        <w:rPr>
          <w:rFonts w:hint="eastAsia" w:ascii="宋体" w:hAnsi="宋体" w:eastAsia="宋体" w:cs="宋体"/>
          <w:b/>
          <w:bCs/>
          <w:color w:val="auto"/>
          <w:sz w:val="21"/>
          <w:szCs w:val="21"/>
          <w:highlight w:val="none"/>
          <w:lang w:eastAsia="zh-CN"/>
        </w:rPr>
        <w:t xml:space="preserve">。</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资质要求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投标单位具有有效的HACCP食品管理体系认证证书、食品安全管理体系认证证书。</w:t>
      </w:r>
      <w:r>
        <w:rPr>
          <w:rFonts w:hint="eastAsia" w:ascii="宋体" w:hAnsi="宋体" w:eastAsia="宋体" w:cs="宋体"/>
          <w:b/>
          <w:bCs/>
          <w:color w:val="auto"/>
          <w:sz w:val="21"/>
          <w:szCs w:val="21"/>
          <w:highlight w:val="none"/>
        </w:rPr>
        <w:t xml:space="preserve">(提供有效的 HACCP 管理体系认证证书、食品安全管理体系认证证书扫描件，否则为无效投标)</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业绩要求：</w:t>
      </w:r>
      <w:r>
        <w:rPr>
          <w:rFonts w:hint="eastAsia" w:ascii="宋体" w:hAnsi="宋体" w:eastAsia="宋体" w:cs="宋体"/>
          <w:color w:val="auto"/>
          <w:sz w:val="21"/>
          <w:szCs w:val="21"/>
          <w:highlight w:val="none"/>
        </w:rPr>
        <w:t xml:space="preserve">供应商提供自2022年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月1日(时间以合同签订时间为准）以来承担过</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类似项目业绩</w:t>
      </w:r>
      <w:r>
        <w:rPr>
          <w:rFonts w:hint="eastAsia" w:ascii="宋体" w:hAnsi="宋体" w:eastAsia="宋体" w:cs="宋体"/>
          <w:color w:val="auto"/>
          <w:sz w:val="21"/>
          <w:szCs w:val="21"/>
          <w:highlight w:val="none"/>
          <w:lang w:val="en-US" w:eastAsia="zh-CN"/>
        </w:rPr>
        <w:t xml:space="preserve">不少于</w:t>
      </w:r>
      <w:r>
        <w:rPr>
          <w:rFonts w:hint="eastAsia" w:ascii="宋体" w:hAnsi="宋体" w:eastAsia="宋体" w:cs="宋体"/>
          <w:color w:val="auto"/>
          <w:sz w:val="21"/>
          <w:szCs w:val="21"/>
          <w:highlight w:val="none"/>
        </w:rPr>
        <w:t xml:space="preserve">2份</w:t>
      </w:r>
      <w:r>
        <w:rPr>
          <w:rFonts w:hint="eastAsia" w:ascii="宋体" w:hAnsi="宋体" w:eastAsia="宋体" w:cs="宋体"/>
          <w:b/>
          <w:bCs/>
          <w:color w:val="auto"/>
          <w:sz w:val="21"/>
          <w:szCs w:val="21"/>
          <w:highlight w:val="none"/>
        </w:rPr>
        <w:t xml:space="preserve">（提供合同扫描件及对应发票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否则为无效投标）。</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场地要求：</w:t>
      </w:r>
      <w:r/>
    </w:p>
    <w:p>
      <w:pPr>
        <w:ind w:firstLine="420"/>
        <w:jc w:val="left"/>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在苏州大市范围内具有不低于1500㎡固定室内经营场地（含验收、食品检测、加工处理、洗消保洁、库房、包装、配货、发货等区域，不含办公区域及与经营场所不相连的外设仓库、冷库）；</w:t>
      </w:r>
      <w:r>
        <w:rPr>
          <w:rFonts w:hint="eastAsia" w:ascii="宋体" w:hAnsi="宋体" w:eastAsia="宋体" w:cs="宋体"/>
          <w:b/>
          <w:bCs/>
          <w:color w:val="auto"/>
          <w:sz w:val="21"/>
          <w:szCs w:val="21"/>
          <w:highlight w:val="none"/>
          <w:lang w:val="en-US" w:eastAsia="zh-CN"/>
        </w:rPr>
        <w:t xml:space="preserve">（提供房产证或其他有效房产证明材料，如为租赁须同时提供租赁协议及任意一期的租赁发票，发票开具时间须在招标公告发布之日前，</w:t>
      </w:r>
      <w:r>
        <w:rPr>
          <w:rFonts w:hint="eastAsia" w:ascii="宋体" w:hAnsi="宋体" w:eastAsia="宋体" w:cs="宋体"/>
          <w:b/>
          <w:bCs/>
          <w:color w:val="auto"/>
          <w:sz w:val="21"/>
          <w:szCs w:val="21"/>
          <w:highlight w:val="none"/>
        </w:rPr>
        <w:t xml:space="preserve">否则为无效投标</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lang w:val="en-US" w:eastAsia="zh-CN"/>
        </w:rPr>
        <w:t xml:space="preserve">5.2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在苏州大市范围内具有自有或租赁冷藏、冷冻库总容积不低于800m³,冷藏、冷冻库应位于操作场所内或与之相连（食材出入动线连贯）</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提供布局图和各区域彩色图片，并予以说明，</w:t>
      </w:r>
      <w:r>
        <w:rPr>
          <w:rFonts w:hint="eastAsia" w:ascii="宋体" w:hAnsi="宋体" w:eastAsia="宋体" w:cs="宋体"/>
          <w:b/>
          <w:bCs/>
          <w:color w:val="auto"/>
          <w:sz w:val="21"/>
          <w:szCs w:val="21"/>
          <w:highlight w:val="none"/>
        </w:rPr>
        <w:t xml:space="preserve">否则为无效投标</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、综合说明：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投标单位提供的服务能够至少达到以上要求，同时明确详细的服务方案。</w:t>
      </w:r>
      <w:r/>
    </w:p>
    <w:p>
      <w:pPr>
        <w:ind w:firstLine="409"/>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投标单位必须承诺招标文件中提出的全部维护要求，如果以其中某些条款不响应时，应在文件中逐条列出，未列出的视同响应。</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宋体" w:hAnsi="宋体" w:eastAsia="宋体" w:cs="宋体"/>
          <w:color w:val="auto"/>
          <w:szCs w:val="21"/>
          <w:highlight w:val="none"/>
          <w:lang w:val="zh-CN"/>
        </w:rPr>
        <w:t xml:space="preserve">3.如遇政策调整或经营模式改变，甲方有权提前终止合同，已发生的合同金额按实结算，无须承担任何违约责任。</w:t>
      </w:r>
      <w:r>
        <w:rPr>
          <w:rFonts w:hint="eastAsia" w:ascii="宋体" w:hAnsi="宋体" w:eastAsia="宋体" w:cs="Times New Roman"/>
          <w:color w:val="auto"/>
          <w:szCs w:val="18"/>
          <w:highlight w:val="none"/>
        </w:rPr>
        <w:t xml:space="preserve"> </w:t>
      </w:r>
      <w:r>
        <w:rPr>
          <w:rFonts w:hint="eastAsia" w:asciiTheme="minorEastAsia" w:hAnsiTheme="minorEastAsia" w:eastAsiaTheme="minorEastAsia" w:cstheme="minorEastAsia"/>
          <w:color w:val="auto"/>
          <w:szCs w:val="18"/>
          <w:highlight w:val="none"/>
        </w:rPr>
        <w:t xml:space="preserve"> </w:t>
      </w:r>
      <w:r>
        <w:rPr>
          <w:rFonts w:hint="eastAsia" w:asciiTheme="minorEastAsia" w:hAnsiTheme="minorEastAsia" w:eastAsiaTheme="minorEastAsia" w:cstheme="minorEastAsia"/>
          <w:color w:val="auto"/>
          <w:szCs w:val="21"/>
          <w:highlight w:val="none"/>
        </w:rPr>
        <w:br w:type="page" w:clear="all"/>
      </w:r>
      <w:r/>
    </w:p>
    <w:p>
      <w:pPr>
        <w:pStyle w:val="717"/>
        <w:jc w:val="center"/>
        <w:spacing w:line="240" w:lineRule="auto"/>
        <w:rPr>
          <w:rStyle w:val="1055"/>
          <w:rFonts w:hint="eastAsia" w:asciiTheme="minorEastAsia" w:hAnsiTheme="minorEastAsia" w:eastAsiaTheme="minorEastAsia" w:cstheme="minorEastAsia"/>
          <w:b/>
          <w:bCs/>
          <w:color w:val="auto"/>
          <w:sz w:val="32"/>
          <w:szCs w:val="32"/>
          <w:highlight w:val="none"/>
        </w:rPr>
      </w:pPr>
      <w:r/>
      <w:bookmarkStart w:id="11" w:name="_Toc2792"/>
      <w:r/>
      <w:bookmarkStart w:id="12" w:name="_Toc4"/>
      <w:r/>
      <w:bookmarkStart w:id="13" w:name="_Toc30930"/>
      <w:r>
        <w:rPr>
          <w:rStyle w:val="1055"/>
          <w:rFonts w:hint="eastAsia" w:asciiTheme="minorEastAsia" w:hAnsiTheme="minorEastAsia" w:eastAsiaTheme="minorEastAsia" w:cstheme="minorEastAsia"/>
          <w:b/>
          <w:bCs/>
          <w:color w:val="auto"/>
          <w:sz w:val="32"/>
          <w:szCs w:val="32"/>
          <w:highlight w:val="none"/>
        </w:rPr>
        <w:t xml:space="preserve">第四章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竞争性谈判程序</w:t>
      </w:r>
      <w:bookmarkEnd w:id="11"/>
      <w:r/>
      <w:bookmarkEnd w:id="12"/>
      <w:r/>
      <w:bookmarkEnd w:id="13"/>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一、谈判流程：</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2.5未实质性响应谈判文件的情形</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2.5.1供应商在苏采云系统规定的时间内未成功解密电子响应文件的。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2.5.2供应商未按照谈判文件要求上传电子响应文件的。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2.5.3同一供应商提交两个（含两个）以上不同的响应文件或者最后报价的。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2.5.4供应商不具备谈判文件中规定资格要求的。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2.5.5供应商的最后报价超过了采购预算。</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2.5.6不符合谈判文件中规定的实质性要求和条件的。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2.5.8  响应文件含有采购人不能接受的附加条件的。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2.5.10响应文件未按照谈判文件要求加盖CA电子公章的。</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2.6未实质性响应谈判文件的响应文件按无效响应处理。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hint="eastAsia" w:asciiTheme="minorEastAsia" w:hAnsiTheme="minorEastAsia" w:eastAsiaTheme="minorEastAsia" w:cstheme="minorEastAsia"/>
          <w:b/>
          <w:bCs/>
          <w:color w:val="auto"/>
          <w:highlight w:val="none"/>
          <w:lang w:eastAsia="zh-CN" w:bidi="ar"/>
        </w:rPr>
      </w:pPr>
      <w:r>
        <w:rPr>
          <w:rFonts w:hint="eastAsia" w:asciiTheme="minorEastAsia" w:hAnsiTheme="minorEastAsia" w:eastAsiaTheme="minorEastAsia" w:cstheme="minorEastAsia"/>
          <w:b/>
          <w:bCs/>
          <w:color w:val="auto"/>
          <w:highlight w:val="none"/>
          <w:lang w:bidi="ar"/>
        </w:rPr>
        <w:t xml:space="preserve">2.8供应商在项目评审全过程中应全程在线关注苏</w:t>
      </w:r>
      <w:r>
        <w:rPr>
          <w:rFonts w:hint="eastAsia" w:asciiTheme="minorEastAsia" w:hAnsiTheme="minorEastAsia" w:eastAsiaTheme="minorEastAsia" w:cstheme="minorEastAsia"/>
          <w:b/>
          <w:bCs/>
          <w:color w:val="auto"/>
          <w:highlight w:val="none"/>
          <w:lang w:val="en-US" w:eastAsia="zh-CN" w:bidi="ar"/>
        </w:rPr>
        <w:t xml:space="preserve">采云</w:t>
      </w:r>
      <w:r>
        <w:rPr>
          <w:rFonts w:hint="eastAsia" w:asciiTheme="minorEastAsia" w:hAnsiTheme="minorEastAsia" w:eastAsiaTheme="minorEastAsia" w:cstheme="minorEastAsia"/>
          <w:b/>
          <w:bCs/>
          <w:color w:val="auto"/>
          <w:highlight w:val="none"/>
          <w:lang w:bidi="ar"/>
        </w:rPr>
        <w:t xml:space="preserve">系统且随时保持通讯畅通，并安排专人与代理机构及谈判小组联系</w:t>
      </w:r>
      <w:r>
        <w:rPr>
          <w:rFonts w:hint="eastAsia" w:asciiTheme="minorEastAsia" w:hAnsiTheme="minorEastAsia" w:eastAsiaTheme="minorEastAsia" w:cstheme="minorEastAsia"/>
          <w:b/>
          <w:bCs/>
          <w:color w:val="auto"/>
          <w:highlight w:val="none"/>
          <w:lang w:eastAsia="zh-CN" w:bidi="ar"/>
        </w:rPr>
        <w:t xml:space="preserve">；造成后果自行承担。</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最后报价是供应商响应文件的有效组成部分。</w:t>
      </w:r>
      <w:r/>
    </w:p>
    <w:p>
      <w:pPr>
        <w:ind w:firstLine="422"/>
        <w:spacing w:line="360" w:lineRule="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bidi="ar"/>
        </w:rPr>
        <w:t xml:space="preserve">7.谈判小组根据谈判成交原则确定成交供应商，并将结果通知所有参加谈判的未成交的供应商</w:t>
      </w:r>
      <w:r>
        <w:rPr>
          <w:rFonts w:hint="eastAsia" w:asciiTheme="minorEastAsia" w:hAnsiTheme="minorEastAsia" w:eastAsiaTheme="minorEastAsia" w:cstheme="minorEastAsia"/>
          <w:color w:val="auto"/>
          <w:highlight w:val="none"/>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二、项目评审</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（一）谈判小组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谈判小组的评审工作由采购代理机构负责组织，具体评审事务由谈判小组负责，并独立履行法律、法规规定的职责。</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（二）评审过程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Theme="minorEastAsia" w:hAnsiTheme="minorEastAsia" w:eastAsiaTheme="minorEastAsia" w:cstheme="minorEastAsia"/>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5.项目开标后，直到宣布成交结果为止，凡属于评审、澄清、评价和比较响应等相关的信息都不应向供应商或与评审无关的其他人泄露。</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三、项目成交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（一）项目成交需同时满足以下条件：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1.满足谈判文件实质性要求的合格供应商不少于三家；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2.合格供应商的报价均未超过采购预算；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3.采购过程中未出现违法、违规行为；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4.按照谈判文件规定的评审办法确定成交供应商。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（二）重新评审</w:t>
      </w:r>
      <w:r/>
    </w:p>
    <w:p>
      <w:pPr>
        <w:pStyle w:val="746"/>
        <w:ind w:firstLine="42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46"/>
        <w:ind w:firstLine="420"/>
        <w:spacing w:line="360" w:lineRule="auto"/>
        <w:rPr>
          <w:rFonts w:hint="eastAsia" w:asciiTheme="minorEastAsia" w:hAnsiTheme="minorEastAsia" w:eastAsiaTheme="minorEastAsia" w:cstheme="minorEastAsia"/>
          <w:bCs w:val="0"/>
          <w:color w:val="auto"/>
          <w:sz w:val="21"/>
          <w:szCs w:val="21"/>
          <w:highlight w:val="none"/>
        </w:rPr>
      </w:pPr>
      <w:r>
        <w:rPr>
          <w:rFonts w:hint="eastAsia" w:asciiTheme="minorEastAsia" w:hAnsiTheme="minorEastAsia" w:eastAsiaTheme="minorEastAsia" w:cstheme="minorEastAsia"/>
          <w:bCs w:val="0"/>
          <w:color w:val="auto"/>
          <w:sz w:val="21"/>
          <w:szCs w:val="21"/>
          <w:highlight w:val="none"/>
        </w:rPr>
        <w:t xml:space="preserve">采购人或者采购代理机构不得通过对样品进行检测、对供应商进行考察等方式改变评审结果。</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（三）成交通知书及合同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1.采购代理机构按照法定流程发布成交公告，及时向成交供应商发送成交通知书。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四、响应无效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1.出现下列情形之一的，将被认定为响应无效或无效文件：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rPr>
          <w:rFonts w:hint="eastAsia" w:asciiTheme="minorEastAsia" w:hAnsiTheme="minorEastAsia" w:eastAsiaTheme="minorEastAsia" w:cstheme="minorEastAsia"/>
          <w:color w:val="auto"/>
          <w:szCs w:val="21"/>
          <w:highlight w:val="none"/>
          <w:lang w:val="zh-CN"/>
        </w:rPr>
        <w:t xml:space="preserve">投标报价超出预算的；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rPr>
          <w:rFonts w:hint="eastAsia" w:asciiTheme="minorEastAsia" w:hAnsiTheme="minorEastAsia" w:eastAsiaTheme="minorEastAsia" w:cstheme="minorEastAsia"/>
          <w:color w:val="auto"/>
          <w:szCs w:val="21"/>
          <w:highlight w:val="none"/>
          <w:lang w:val="zh-CN"/>
        </w:rPr>
        <w:t xml:space="preserve">违反政府采购相关规定的；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szCs w:val="21"/>
          <w:highlight w:val="none"/>
          <w:lang w:val="zh-CN"/>
        </w:rPr>
        <w:t xml:space="preserve">未实质性响应采购文件要求的；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rPr>
          <w:rFonts w:hint="eastAsia" w:asciiTheme="minorEastAsia" w:hAnsiTheme="minorEastAsia" w:eastAsiaTheme="minorEastAsia" w:cstheme="minorEastAsia"/>
          <w:color w:val="auto"/>
          <w:szCs w:val="21"/>
          <w:highlight w:val="none"/>
          <w:lang w:val="zh-CN"/>
        </w:rPr>
        <w:t xml:space="preserve">不符合法律、法规和招标文件规定的其他实质性要求的；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rPr>
          <w:rFonts w:hint="eastAsia" w:asciiTheme="minorEastAsia" w:hAnsiTheme="minorEastAsia" w:eastAsiaTheme="minorEastAsia" w:cstheme="minorEastAsia"/>
          <w:color w:val="auto"/>
          <w:szCs w:val="21"/>
          <w:highlight w:val="none"/>
          <w:lang w:val="zh-CN"/>
        </w:rPr>
        <w:t xml:space="preserve">谈判小组认定的其他情形；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2.被认定为响应无效或无效文件的，采购代理机构应当将理由告知相关供应商。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五、项目终止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1.1因情况变化，不再符合规定的竞争性谈判采购方式适用情形的；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1.2出现影响采购公正的违法、违规行为的；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1.3在采购过程中符合竞争要求的供应商或者报价未超过采购预算的供应商不足三家的；</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1.4谈判采购过程中，如遇到交易中心出现断电、断网或其他不可预见原因导致采购活动无法正常进行的。</w:t>
      </w:r>
      <w:r/>
    </w:p>
    <w:p>
      <w:pPr>
        <w:ind w:firstLine="420"/>
        <w:widowControl/>
        <w:rPr>
          <w:rStyle w:val="1055"/>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Cs w:val="21"/>
          <w:highlight w:val="none"/>
        </w:rPr>
        <w:t xml:space="preserve">2.项目终止后，采购代理机构应当将项目终止的理由告知所有供应商。</w:t>
      </w:r>
      <w:r>
        <w:rPr>
          <w:rStyle w:val="1055"/>
          <w:rFonts w:hint="eastAsia" w:asciiTheme="minorEastAsia" w:hAnsiTheme="minorEastAsia" w:eastAsiaTheme="minorEastAsia" w:cstheme="minorEastAsia"/>
          <w:b w:val="0"/>
          <w:bCs w:val="0"/>
          <w:color w:val="auto"/>
          <w:sz w:val="32"/>
          <w:szCs w:val="32"/>
          <w:highlight w:val="none"/>
        </w:rPr>
        <w:br w:type="page" w:clear="all"/>
      </w:r>
      <w:r/>
    </w:p>
    <w:p>
      <w:pPr>
        <w:pStyle w:val="717"/>
        <w:jc w:val="center"/>
        <w:spacing w:line="240" w:lineRule="auto"/>
        <w:rPr>
          <w:rStyle w:val="1055"/>
          <w:rFonts w:hint="eastAsia" w:asciiTheme="minorEastAsia" w:hAnsiTheme="minorEastAsia" w:eastAsiaTheme="minorEastAsia" w:cstheme="minorEastAsia"/>
          <w:b/>
          <w:bCs/>
          <w:color w:val="auto"/>
          <w:sz w:val="32"/>
          <w:szCs w:val="32"/>
          <w:highlight w:val="none"/>
        </w:rPr>
      </w:pPr>
      <w:r/>
      <w:bookmarkStart w:id="14" w:name="_Toc16366"/>
      <w:r/>
      <w:bookmarkStart w:id="15" w:name="_Toc32327"/>
      <w:r/>
      <w:bookmarkStart w:id="16" w:name="_Toc5"/>
      <w:r>
        <w:rPr>
          <w:rStyle w:val="1055"/>
          <w:rFonts w:hint="eastAsia" w:asciiTheme="minorEastAsia" w:hAnsiTheme="minorEastAsia" w:eastAsiaTheme="minorEastAsia" w:cstheme="minorEastAsia"/>
          <w:b/>
          <w:bCs/>
          <w:color w:val="auto"/>
          <w:sz w:val="32"/>
          <w:szCs w:val="32"/>
          <w:highlight w:val="none"/>
        </w:rPr>
        <w:t xml:space="preserve">第五章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合同条款</w:t>
      </w:r>
      <w:bookmarkEnd w:id="14"/>
      <w:r/>
      <w:bookmarkEnd w:id="15"/>
      <w:r/>
      <w:bookmarkEnd w:id="16"/>
      <w:r/>
      <w:r/>
    </w:p>
    <w:p>
      <w:pPr>
        <w:ind w:right="0" w:firstLine="422"/>
        <w:keepLines w:val="0"/>
        <w:keepNext w:val="0"/>
        <w:pageBreakBefore w:val="0"/>
        <w:spacing w:line="360" w:lineRule="auto"/>
        <w:widowControl w:val="off"/>
        <w:rPr>
          <w:rFonts w:ascii="宋体" w:hAnsi="宋体" w:cs="宋体"/>
          <w:color w:val="auto"/>
          <w:szCs w:val="21"/>
          <w:highlight w:val="none"/>
        </w:rPr>
      </w:pPr>
      <w:r/>
      <w:bookmarkStart w:id="17" w:name="_Toc6"/>
      <w:r>
        <w:rPr>
          <w:rFonts w:hint="eastAsia" w:ascii="宋体" w:hAnsi="宋体" w:cs="宋体"/>
          <w:b/>
          <w:color w:val="auto"/>
          <w:szCs w:val="21"/>
          <w:highlight w:val="none"/>
        </w:rPr>
        <w:t xml:space="preserve">采购单位（以下简称甲方）</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right="0" w:firstLine="422"/>
        <w:keepLines w:val="0"/>
        <w:keepNext w:val="0"/>
        <w:pageBreakBefore w:val="0"/>
        <w:spacing w:line="360" w:lineRule="auto"/>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供应单位（以下简称乙方）</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left="0" w:right="0" w:firstLine="420"/>
        <w:jc w:val="both"/>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根据《中华人民共和国民法典》有关规定，为明确采购单位（甲方）和供应单位（乙方）购销过程中的权利、义务和经济责任，经双方友好协商，签订以下条款，共同遵守。</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一、定义：以下术语有特定的含义：</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“合同价”系指根据中标的投标文件和合同规定，乙方在正确地履行合同义务后甲方应支付乙方的价款。</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“甲方”系指合同中明确规定的实际购买货物和接受服务单位。</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“乙方”系指合同中规定的提供货物和提供服务的单位。</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left="0" w:righ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二、交货地点：</w:t>
      </w:r>
      <w:r>
        <w:rPr>
          <w:rFonts w:hint="eastAsia" w:ascii="宋体" w:hAnsi="宋体" w:eastAsia="宋体" w:cs="宋体"/>
          <w:color w:val="auto"/>
          <w:szCs w:val="21"/>
          <w:highlight w:val="none"/>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项目名称：食材采购配送 </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项目地点：</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三、价格及结算</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1.中标优惠率：</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2.采购方和供应商次月核对上月配送食材总量及费用总额，核对无误后进行支付。</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公式：每月付款金额= (实际供货量 × 预算单价 × (1−统一单价优惠率))-月度考核扣款</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食材配送服务实行百分制考核，</w:t>
      </w:r>
      <w:r>
        <w:rPr>
          <w:rFonts w:hint="eastAsia" w:ascii="宋体" w:hAnsi="宋体" w:eastAsia="宋体" w:cs="宋体"/>
          <w:color w:val="auto"/>
          <w:szCs w:val="21"/>
          <w:highlight w:val="none"/>
        </w:rPr>
        <w:t xml:space="preserve">每月考核一次</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考核制度见附表），综合考评得分作为支付当月配送费用的依据，具体计算方法如下：</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考评分在90分（包括90分）以上的，甲方全额支付乙方当月配送费用。</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考评</w:t>
      </w:r>
      <w:r>
        <w:rPr>
          <w:rFonts w:hint="eastAsia" w:ascii="宋体" w:hAnsi="宋体" w:eastAsia="宋体" w:cs="宋体"/>
          <w:color w:val="auto"/>
          <w:szCs w:val="21"/>
          <w:highlight w:val="none"/>
          <w:lang w:val="zh-CN"/>
        </w:rPr>
        <w:t xml:space="preserve">分在</w:t>
      </w:r>
      <w:r>
        <w:rPr>
          <w:rFonts w:hint="eastAsia" w:ascii="宋体" w:hAnsi="宋体" w:eastAsia="宋体" w:cs="宋体"/>
          <w:color w:val="auto"/>
          <w:szCs w:val="21"/>
          <w:highlight w:val="none"/>
        </w:rPr>
        <w:t xml:space="preserve">85</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rPr>
        <w:t xml:space="preserve">包括85分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以上、90分以下的</w:t>
      </w:r>
      <w:r>
        <w:rPr>
          <w:rFonts w:hint="eastAsia" w:ascii="宋体" w:hAnsi="宋体" w:eastAsia="宋体" w:cs="宋体"/>
          <w:color w:val="auto"/>
          <w:szCs w:val="21"/>
          <w:highlight w:val="none"/>
          <w:lang w:val="zh-CN"/>
        </w:rPr>
        <w:t xml:space="preserve">，扣除当月配送费用的</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考评</w:t>
      </w:r>
      <w:r>
        <w:rPr>
          <w:rFonts w:hint="eastAsia" w:ascii="宋体" w:hAnsi="宋体" w:eastAsia="宋体" w:cs="宋体"/>
          <w:color w:val="auto"/>
          <w:szCs w:val="21"/>
          <w:highlight w:val="none"/>
          <w:lang w:val="zh-CN"/>
        </w:rPr>
        <w:t xml:space="preserve">分在</w:t>
      </w:r>
      <w:r>
        <w:rPr>
          <w:rFonts w:hint="eastAsia" w:ascii="宋体" w:hAnsi="宋体" w:eastAsia="宋体" w:cs="宋体"/>
          <w:color w:val="auto"/>
          <w:szCs w:val="21"/>
          <w:highlight w:val="none"/>
        </w:rPr>
        <w:t xml:space="preserve">80</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rPr>
        <w:t xml:space="preserve">包括80分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以上、85以下分的</w:t>
      </w:r>
      <w:r>
        <w:rPr>
          <w:rFonts w:hint="eastAsia" w:ascii="宋体" w:hAnsi="宋体" w:eastAsia="宋体" w:cs="宋体"/>
          <w:color w:val="auto"/>
          <w:szCs w:val="21"/>
          <w:highlight w:val="none"/>
          <w:lang w:val="zh-CN"/>
        </w:rPr>
        <w:t xml:space="preserve">，扣除当月配送费用的</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4 考评分在80分以下的，为月综合考评不达标。如中标人在服务期内两次配送服务月综合考评未达标，则年度综合考评不达标，采购人有权终止合同。</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供货基准价：本项目供货基准价以昆山市发布的全市重要民生价格数据库及全市居民消费价格数据库的数据（玉龙菜场、玉山农贸市场、朝阳菜场等农贸市场及大润发超市、卜蜂莲花超市等大型超市）为准。服务期内由乙方每月根据市场价格上报供货基准价，采购单位将对基准价进行抽查核对。</w:t>
      </w:r>
      <w:r/>
    </w:p>
    <w:p>
      <w:pPr>
        <w:ind w:left="0" w:righ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Times New Roman"/>
          <w:b/>
          <w:bCs/>
          <w:color w:val="auto"/>
          <w:szCs w:val="21"/>
          <w:highlight w:val="none"/>
        </w:rPr>
        <w:t xml:space="preserve">每月度支付的合同价款=每月实际产生费用-当月考核扣款</w:t>
      </w:r>
      <w:r>
        <w:rPr>
          <w:rFonts w:hint="eastAsia" w:ascii="宋体" w:hAnsi="宋体" w:eastAsia="宋体" w:cs="Times New Roman"/>
          <w:b/>
          <w:bCs/>
          <w:color w:val="auto"/>
          <w:szCs w:val="21"/>
          <w:highlight w:val="none"/>
          <w:lang w:eastAsia="zh-CN"/>
        </w:rPr>
        <w:t xml:space="preserve">（根据考核结果</w:t>
      </w:r>
      <w:r>
        <w:rPr>
          <w:rFonts w:hint="eastAsia" w:ascii="宋体" w:hAnsi="宋体" w:eastAsia="宋体" w:cs="Times New Roman"/>
          <w:b/>
          <w:bCs/>
          <w:color w:val="auto"/>
          <w:szCs w:val="21"/>
          <w:highlight w:val="none"/>
          <w:lang w:val="en-US" w:eastAsia="zh-CN"/>
        </w:rPr>
        <w:t xml:space="preserve">扣款</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考核</w:t>
      </w:r>
      <w:r>
        <w:rPr>
          <w:rFonts w:hint="eastAsia" w:ascii="宋体" w:hAnsi="宋体" w:eastAsia="宋体" w:cs="Times New Roman"/>
          <w:b/>
          <w:bCs/>
          <w:color w:val="auto"/>
          <w:szCs w:val="21"/>
          <w:highlight w:val="none"/>
          <w:lang w:val="en-US" w:eastAsia="zh-CN"/>
        </w:rPr>
        <w:t xml:space="preserve">内容</w:t>
      </w:r>
      <w:r>
        <w:rPr>
          <w:rFonts w:hint="eastAsia" w:ascii="宋体" w:hAnsi="宋体" w:cs="Times New Roman"/>
          <w:b/>
          <w:bCs/>
          <w:color w:val="auto"/>
          <w:szCs w:val="21"/>
          <w:highlight w:val="none"/>
          <w:lang w:val="en-US" w:eastAsia="zh-CN"/>
        </w:rPr>
        <w:t xml:space="preserve">及标准</w:t>
      </w:r>
      <w:r>
        <w:rPr>
          <w:rFonts w:hint="eastAsia" w:ascii="宋体" w:hAnsi="宋体" w:eastAsia="宋体" w:cs="Times New Roman"/>
          <w:b/>
          <w:bCs/>
          <w:color w:val="auto"/>
          <w:szCs w:val="21"/>
          <w:highlight w:val="none"/>
          <w:lang w:val="en-US" w:eastAsia="zh-CN"/>
        </w:rPr>
        <w:t xml:space="preserve">详见附件</w:t>
      </w:r>
      <w:r>
        <w:rPr>
          <w:rFonts w:hint="eastAsia" w:ascii="宋体" w:hAnsi="宋体" w:eastAsia="宋体" w:cs="Times New Roman"/>
          <w:b w:val="0"/>
          <w:bCs w:val="0"/>
          <w:color w:val="auto"/>
          <w:szCs w:val="21"/>
          <w:highlight w:val="none"/>
          <w:lang w:eastAsia="zh-CN"/>
        </w:rPr>
        <w:t xml:space="preserve">）</w:t>
      </w:r>
      <w:r>
        <w:rPr>
          <w:rFonts w:hint="eastAsia" w:ascii="宋体" w:hAnsi="宋体" w:eastAsia="宋体" w:cs="宋体"/>
          <w:b/>
          <w:bCs/>
          <w:color w:val="auto"/>
          <w:szCs w:val="21"/>
          <w:highlight w:val="none"/>
        </w:rPr>
        <w:t xml:space="preserve">。若户名、开户行、账号与中标供货单位不一致时，甲方有权不予付款</w:t>
      </w:r>
      <w:r>
        <w:rPr>
          <w:rFonts w:hint="eastAsia" w:ascii="宋体" w:hAnsi="宋体" w:eastAsia="宋体" w:cs="宋体"/>
          <w:color w:val="auto"/>
          <w:szCs w:val="21"/>
          <w:highlight w:val="none"/>
        </w:rPr>
        <w:t xml:space="preserve">。</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.绩效目标：食材综合合格率≥99%。资质证件齐全率100%，准时配送率≥99%，问题整改闭环100%。</w:t>
      </w:r>
      <w:r/>
    </w:p>
    <w:tbl>
      <w:tblPr>
        <w:tblStyle w:val="771"/>
        <w:tblW w:w="9956"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4"/>
        <w:gridCol w:w="938"/>
        <w:gridCol w:w="983"/>
        <w:gridCol w:w="3821"/>
        <w:gridCol w:w="1437"/>
        <w:gridCol w:w="1088"/>
        <w:gridCol w:w="1235"/>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绩效指标</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目标值</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82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定义与统计口径</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数据来源</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未达标情形</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2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2"/>
                <w:szCs w:val="21"/>
                <w:highlight w:val="none"/>
                <w:vertAlign w:val="baseline"/>
              </w:rPr>
            </w:pPr>
            <w:r>
              <w:rPr>
                <w:rFonts w:hint="eastAsia" w:ascii="宋体" w:hAnsi="宋体" w:eastAsia="宋体" w:cs="宋体"/>
                <w:b/>
                <w:bCs/>
                <w:i w:val="0"/>
                <w:iCs w:val="0"/>
                <w:color w:val="auto"/>
                <w:sz w:val="22"/>
                <w:szCs w:val="22"/>
                <w:highlight w:val="none"/>
                <w:u w:val="none"/>
                <w:lang w:val="en-US" w:eastAsia="zh-CN" w:bidi="ar"/>
              </w:rPr>
              <w:t xml:space="preserve">扣款标准</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食材综合合格率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≥99%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21"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考核期内验收合格的食材批次（或重量）占同期配送总批次（或总重量）的比例。抽检不合格即整批计为不合格；因供应商原因退换货的计入不合格。</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每日验收单、退换货记录、第三方检测报告</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每低于目标值1个百分点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扣款</w:t>
            </w:r>
            <w:r>
              <w:rPr>
                <w:rFonts w:hint="eastAsia" w:ascii="宋体" w:hAnsi="宋体" w:cs="宋体"/>
                <w:b w:val="0"/>
                <w:bCs w:val="0"/>
                <w:color w:val="auto"/>
                <w:sz w:val="21"/>
                <w:szCs w:val="21"/>
                <w:highlight w:val="none"/>
                <w:vertAlign w:val="baseline"/>
                <w:lang w:val="en-US" w:eastAsia="zh-CN"/>
              </w:rPr>
              <w:t xml:space="preserve">1000</w:t>
            </w:r>
            <w:r>
              <w:rPr>
                <w:rFonts w:hint="eastAsia" w:ascii="宋体" w:hAnsi="宋体" w:eastAsia="宋体" w:cs="宋体"/>
                <w:b w:val="0"/>
                <w:bCs w:val="0"/>
                <w:color w:val="auto"/>
                <w:sz w:val="21"/>
                <w:szCs w:val="21"/>
                <w:highlight w:val="none"/>
                <w:vertAlign w:val="baseline"/>
              </w:rPr>
              <w:t xml:space="preserve">元；不足1个百分点按1个百分点计</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资质证件齐</w:t>
            </w:r>
            <w:r>
              <w:rPr>
                <w:rFonts w:hint="eastAsia" w:ascii="宋体" w:hAnsi="宋体" w:eastAsia="宋体" w:cs="宋体"/>
                <w:b w:val="0"/>
                <w:bCs w:val="0"/>
                <w:color w:val="auto"/>
                <w:sz w:val="21"/>
                <w:szCs w:val="21"/>
                <w:highlight w:val="none"/>
              </w:rPr>
              <w:t xml:space="preserve">全率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21"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auto"/>
                <w:sz w:val="21"/>
                <w:szCs w:val="22"/>
                <w:highlight w:val="none"/>
                <w:u w:val="none"/>
                <w:lang w:val="en-US" w:eastAsia="zh-CN" w:bidi="ar"/>
              </w:rPr>
              <w:t xml:space="preserve">供应商及其配送食材应提供的资质证件实际提供齐全的项数占应提供总项数的比例。范围包括：供应商侧（营业执照、食品经营许可证、HACCP认证、食品安全管理体系认证、健康证等）+批次侧（检疫证、检验报告、合格证、溯源凭证、送货单等）。应提供而未提供、提供过期证件、证件与货物不符的，均计为</w:t>
            </w:r>
            <w:r>
              <w:rPr>
                <w:rFonts w:hint="eastAsia" w:ascii="宋体" w:hAnsi="宋体" w:cs="宋体"/>
                <w:b w:val="0"/>
                <w:bCs w:val="0"/>
                <w:i w:val="0"/>
                <w:iCs w:val="0"/>
                <w:color w:val="auto"/>
                <w:sz w:val="21"/>
                <w:szCs w:val="22"/>
                <w:highlight w:val="none"/>
                <w:u w:val="none"/>
                <w:lang w:val="en-US" w:eastAsia="zh-CN" w:bidi="ar"/>
              </w:rPr>
              <w:t xml:space="preserve">“</w:t>
            </w:r>
            <w:r>
              <w:rPr>
                <w:rFonts w:hint="eastAsia" w:ascii="宋体" w:hAnsi="宋体" w:eastAsia="宋体" w:cs="宋体"/>
                <w:b w:val="0"/>
                <w:bCs w:val="0"/>
                <w:i w:val="0"/>
                <w:iCs w:val="0"/>
                <w:color w:val="auto"/>
                <w:sz w:val="21"/>
                <w:szCs w:val="22"/>
                <w:highlight w:val="none"/>
                <w:u w:val="none"/>
                <w:lang w:val="en-US" w:eastAsia="zh-CN" w:bidi="ar"/>
              </w:rPr>
              <w:t xml:space="preserve">不齐全</w:t>
            </w:r>
            <w:r>
              <w:rPr>
                <w:rFonts w:hint="eastAsia" w:ascii="宋体" w:hAnsi="宋体" w:cs="宋体"/>
                <w:b w:val="0"/>
                <w:bCs w:val="0"/>
                <w:i w:val="0"/>
                <w:iCs w:val="0"/>
                <w:color w:val="auto"/>
                <w:sz w:val="21"/>
                <w:szCs w:val="22"/>
                <w:highlight w:val="none"/>
                <w:u w:val="none"/>
                <w:lang w:val="en-US" w:eastAsia="zh-CN" w:bidi="ar"/>
              </w:rPr>
              <w:t xml:space="preserve">”</w:t>
            </w:r>
            <w:r>
              <w:rPr>
                <w:rFonts w:hint="eastAsia" w:ascii="宋体" w:hAnsi="宋体" w:eastAsia="宋体" w:cs="宋体"/>
                <w:b w:val="0"/>
                <w:bCs w:val="0"/>
                <w:i w:val="0"/>
                <w:iCs w:val="0"/>
                <w:color w:val="auto"/>
                <w:sz w:val="21"/>
                <w:szCs w:val="22"/>
                <w:highlight w:val="none"/>
                <w:u w:val="none"/>
                <w:lang w:val="en-US" w:eastAsia="zh-CN" w:bidi="ar"/>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证件台账、随货证件核对记录</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每发现1次不齐全</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扣款</w:t>
            </w:r>
            <w:r>
              <w:rPr>
                <w:rFonts w:hint="eastAsia" w:ascii="宋体" w:hAnsi="宋体" w:cs="宋体"/>
                <w:b w:val="0"/>
                <w:bCs w:val="0"/>
                <w:color w:val="auto"/>
                <w:sz w:val="21"/>
                <w:szCs w:val="21"/>
                <w:highlight w:val="none"/>
                <w:vertAlign w:val="baseline"/>
                <w:lang w:val="en-US" w:eastAsia="zh-CN"/>
              </w:rPr>
              <w:t xml:space="preserve">1000</w:t>
            </w:r>
            <w:r>
              <w:rPr>
                <w:rFonts w:hint="eastAsia" w:ascii="宋体" w:hAnsi="宋体" w:eastAsia="宋体" w:cs="宋体"/>
                <w:b w:val="0"/>
                <w:bCs w:val="0"/>
                <w:color w:val="auto"/>
                <w:sz w:val="21"/>
                <w:szCs w:val="21"/>
                <w:highlight w:val="none"/>
                <w:vertAlign w:val="baseline"/>
              </w:rPr>
              <w:t xml:space="preserve">元，并暂停该批次结算</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rPr>
              <w:t xml:space="preserve">准时配送率</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rPr>
              <w:t xml:space="preserve">≥99%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21"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在约定时间窗口内送达的配送次数占同期总配送次数的比例。时间窗口以采购方下单时约定的到货时间为准，允许偏差不超过±30分钟。超窗送达、漏送、错送均计为</w:t>
            </w:r>
            <w:r>
              <w:rPr>
                <w:rFonts w:hint="eastAsia" w:ascii="宋体" w:hAnsi="宋体" w:cs="宋体"/>
                <w:b w:val="0"/>
                <w:bCs w:val="0"/>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vertAlign w:val="baseline"/>
              </w:rPr>
              <w:t xml:space="preserve">不准时</w:t>
            </w:r>
            <w:r>
              <w:rPr>
                <w:rFonts w:hint="eastAsia" w:ascii="宋体" w:hAnsi="宋体" w:cs="宋体"/>
                <w:b w:val="0"/>
                <w:bCs w:val="0"/>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vertAlign w:val="baseline"/>
              </w:rPr>
              <w:t xml:space="preserve">；因不可抗力且供应商已提前报备的，可不计入；因采购方原因导致延迟的，不计入供应商责任。</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配送签收单、下单记录、异常报备记录</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每低于目标值1个百分点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扣款</w:t>
            </w:r>
            <w:r>
              <w:rPr>
                <w:rFonts w:hint="eastAsia" w:ascii="宋体" w:hAnsi="宋体" w:cs="宋体"/>
                <w:b w:val="0"/>
                <w:bCs w:val="0"/>
                <w:color w:val="auto"/>
                <w:sz w:val="21"/>
                <w:szCs w:val="21"/>
                <w:highlight w:val="none"/>
                <w:vertAlign w:val="baseline"/>
                <w:lang w:val="en-US" w:eastAsia="zh-CN"/>
              </w:rPr>
              <w:t xml:space="preserve">1000</w:t>
            </w:r>
            <w:r>
              <w:rPr>
                <w:rFonts w:hint="eastAsia" w:ascii="宋体" w:hAnsi="宋体" w:eastAsia="宋体" w:cs="宋体"/>
                <w:b w:val="0"/>
                <w:bCs w:val="0"/>
                <w:color w:val="auto"/>
                <w:sz w:val="21"/>
                <w:szCs w:val="21"/>
                <w:highlight w:val="none"/>
                <w:vertAlign w:val="baseline"/>
              </w:rPr>
              <w:t xml:space="preserve">元；不足1个百分点按1个百分点计</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54"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93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rPr>
              <w:t xml:space="preserve">问题整改闭环</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98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821"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采购方提出的问题已按</w:t>
            </w:r>
            <w:r>
              <w:rPr>
                <w:rFonts w:hint="eastAsia" w:ascii="宋体" w:hAnsi="宋体" w:cs="宋体"/>
                <w:b w:val="0"/>
                <w:bCs w:val="0"/>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vertAlign w:val="baseline"/>
              </w:rPr>
              <w:t xml:space="preserve">整改完成+复核验证通过+归档</w:t>
            </w:r>
            <w:r>
              <w:rPr>
                <w:rFonts w:hint="eastAsia" w:ascii="宋体" w:hAnsi="宋体" w:cs="宋体"/>
                <w:b w:val="0"/>
                <w:bCs w:val="0"/>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vertAlign w:val="baseline"/>
              </w:rPr>
              <w:t xml:space="preserve">标准闭环的数量占同期问题总数的比例。闭环须同时满足：</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①供应商提交书面整改方案并完成整改；</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②采购方复核验证通过；</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③整改记录归档可追溯。</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仅</w:t>
            </w:r>
            <w:r>
              <w:rPr>
                <w:rFonts w:hint="eastAsia" w:ascii="宋体" w:hAnsi="宋体" w:cs="宋体"/>
                <w:b w:val="0"/>
                <w:bCs w:val="0"/>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vertAlign w:val="baseline"/>
              </w:rPr>
              <w:t xml:space="preserve">口头答应整改</w:t>
            </w:r>
            <w:r>
              <w:rPr>
                <w:rFonts w:hint="eastAsia" w:ascii="宋体" w:hAnsi="宋体" w:cs="宋体"/>
                <w:b w:val="0"/>
                <w:bCs w:val="0"/>
                <w:color w:val="auto"/>
                <w:sz w:val="21"/>
                <w:szCs w:val="21"/>
                <w:highlight w:val="none"/>
                <w:vertAlign w:val="baseline"/>
                <w:lang w:eastAsia="zh-CN"/>
              </w:rPr>
              <w:t xml:space="preserve">”</w:t>
            </w:r>
            <w:r>
              <w:rPr>
                <w:rFonts w:hint="eastAsia" w:ascii="宋体" w:hAnsi="宋体" w:eastAsia="宋体" w:cs="宋体"/>
                <w:b w:val="0"/>
                <w:bCs w:val="0"/>
                <w:color w:val="auto"/>
                <w:sz w:val="21"/>
                <w:szCs w:val="21"/>
                <w:highlight w:val="none"/>
                <w:vertAlign w:val="baseline"/>
              </w:rPr>
              <w:t xml:space="preserve">不算闭环；整改后复核不通过的，退回重新整改，仍计为未闭环。</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43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整改通知单、整改回复、复核记录</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每发现1次未闭环</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2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 xml:space="preserve">扣款</w:t>
            </w:r>
            <w:r>
              <w:rPr>
                <w:rFonts w:hint="eastAsia" w:ascii="宋体" w:hAnsi="宋体" w:cs="宋体"/>
                <w:b w:val="0"/>
                <w:bCs w:val="0"/>
                <w:color w:val="auto"/>
                <w:sz w:val="21"/>
                <w:szCs w:val="21"/>
                <w:highlight w:val="none"/>
                <w:vertAlign w:val="baseline"/>
                <w:lang w:val="en-US" w:eastAsia="zh-CN"/>
              </w:rPr>
              <w:t xml:space="preserve">1000</w:t>
            </w:r>
            <w:r>
              <w:rPr>
                <w:rFonts w:hint="eastAsia" w:ascii="宋体" w:hAnsi="宋体" w:eastAsia="宋体" w:cs="宋体"/>
                <w:b w:val="0"/>
                <w:bCs w:val="0"/>
                <w:color w:val="auto"/>
                <w:sz w:val="21"/>
                <w:szCs w:val="21"/>
                <w:highlight w:val="none"/>
                <w:vertAlign w:val="baseline"/>
              </w:rPr>
              <w:t xml:space="preserve">元</w:t>
            </w:r>
            <w:r/>
          </w:p>
        </w:tc>
      </w:tr>
    </w:tbl>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验收标准与方法：根据当日采购下单清单、食材配送送货单、合同约定食材规格标准，现场目视查验、手感筛查生鲜食材状态，逐类核对品类、重量、等级、规格，检疫报告、质检报告、供应商资质、溯源凭证随货提供。</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四、合同期限</w:t>
      </w:r>
      <w:r/>
    </w:p>
    <w:p>
      <w:pPr>
        <w:ind w:left="0" w:righ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zh-CN"/>
        </w:rPr>
        <w:t xml:space="preserve">1.合同履行期限：本项目服务期限为</w:t>
      </w: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val="zh-CN"/>
        </w:rPr>
        <w:t xml:space="preserve">年（</w:t>
      </w:r>
      <w:r>
        <w:rPr>
          <w:rFonts w:hint="eastAsia" w:ascii="宋体" w:hAnsi="宋体" w:eastAsia="宋体" w:cs="宋体"/>
          <w:b/>
          <w:bCs/>
          <w:color w:val="auto"/>
          <w:szCs w:val="21"/>
          <w:highlight w:val="none"/>
          <w:lang w:val="en-US" w:eastAsia="zh-CN"/>
        </w:rPr>
        <w:t xml:space="preserve">自合同签订之日起</w:t>
      </w:r>
      <w:r>
        <w:rPr>
          <w:rFonts w:hint="eastAsia" w:ascii="宋体" w:hAnsi="宋体" w:eastAsia="宋体" w:cs="宋体"/>
          <w:b/>
          <w:bCs/>
          <w:color w:val="auto"/>
          <w:szCs w:val="21"/>
          <w:highlight w:val="none"/>
          <w:lang w:val="zh-CN"/>
        </w:rPr>
        <w:t xml:space="preserve">）</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与乙方签订合同后正式进入试供期，试供期为15天（具体试供时间以甲方通知为准）。试供期满且经甲方综合考察认为合格的，合同继续执行；若试供期间出现货物质量、服务不达标等问题的，经甲方考察认为不合格的，服务合作终止，合同作废。</w:t>
      </w:r>
      <w:r/>
    </w:p>
    <w:p>
      <w:pPr>
        <w:ind w:left="0" w:right="0"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1"/>
          <w:highlight w:val="none"/>
        </w:rPr>
        <w:t xml:space="preserve">食材质量要求</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（一）所有配送的食材需符合</w:t>
      </w:r>
      <w:r>
        <w:rPr>
          <w:rFonts w:hint="eastAsia" w:ascii="宋体" w:hAnsi="宋体" w:eastAsia="宋体" w:cs="宋体"/>
          <w:color w:val="auto"/>
          <w:szCs w:val="21"/>
          <w:highlight w:val="none"/>
          <w:lang w:val="zh-CN"/>
        </w:rPr>
        <w:t xml:space="preserve">《中华人民共和国食品安全法》</w:t>
      </w:r>
      <w:r>
        <w:rPr>
          <w:rFonts w:hint="eastAsia" w:ascii="宋体" w:hAnsi="宋体" w:eastAsia="宋体" w:cs="宋体"/>
          <w:color w:val="auto"/>
          <w:szCs w:val="21"/>
          <w:highlight w:val="none"/>
        </w:rPr>
        <w:t xml:space="preserve">及实施条例</w:t>
      </w:r>
      <w:r>
        <w:rPr>
          <w:rFonts w:hint="eastAsia" w:ascii="宋体" w:hAnsi="宋体" w:eastAsia="宋体" w:cs="宋体"/>
          <w:color w:val="auto"/>
          <w:szCs w:val="21"/>
          <w:highlight w:val="none"/>
          <w:lang w:val="zh-CN"/>
        </w:rPr>
        <w:t xml:space="preserve">《食品安全国家标准 餐饮服务通用卫生规范》</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中华人民共和国动物防疫法</w:t>
      </w:r>
      <w:r>
        <w:rPr>
          <w:rFonts w:hint="eastAsia" w:ascii="宋体" w:hAnsi="宋体" w:eastAsia="宋体" w:cs="宋体"/>
          <w:color w:val="auto"/>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eastAsia="宋体" w:cs="宋体"/>
          <w:color w:val="auto"/>
          <w:szCs w:val="21"/>
          <w:highlight w:val="none"/>
          <w:lang w:val="zh-CN"/>
        </w:rPr>
        <w:t xml:space="preserve">等</w:t>
      </w:r>
      <w:r>
        <w:rPr>
          <w:rFonts w:hint="eastAsia" w:ascii="宋体" w:hAnsi="宋体" w:eastAsia="宋体" w:cs="宋体"/>
          <w:color w:val="auto"/>
          <w:szCs w:val="21"/>
          <w:highlight w:val="none"/>
        </w:rPr>
        <w:t xml:space="preserve">国家相关法律、条例</w:t>
      </w:r>
      <w:r>
        <w:rPr>
          <w:rFonts w:hint="eastAsia" w:ascii="宋体" w:hAnsi="宋体" w:eastAsia="宋体" w:cs="宋体"/>
          <w:color w:val="auto"/>
          <w:szCs w:val="21"/>
          <w:highlight w:val="none"/>
          <w:lang w:val="zh-CN"/>
        </w:rPr>
        <w:t xml:space="preserve">，保证卫生安全，须无毒、无害、无腐烂，具有较好的色、香、味等感官性状。</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所有食材均为非转基因产品。</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（三）主要食材质量要求如下：</w:t>
      </w:r>
      <w:r/>
    </w:p>
    <w:tbl>
      <w:tblPr>
        <w:tblStyle w:val="727"/>
        <w:tblW w:w="995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284"/>
        <w:gridCol w:w="780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食材类型</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蔬菜类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所提供的蔬菜必须保证新鲜、无黄叶、枯死叶、无虫、无杂质、不腐烂变质、叶面干净无明显泥土，符合食品卫生要求。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鲜肉类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来源于国家认可的正规肉厂，为当日新鲜商品，必须经检验检疫合格的、有动物检疫及屠宰证明，肉质新鲜，不注水，无病毒，符合食品卫生要求。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肉质新鲜，无病毒，不含有害物质，鲜鱼类必须生猛鲜活，出具《水产品检测报告》。</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家禽类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新鲜肥美，无内脏，不注水，无病毒，符合食品卫生要求，提供《动物或动物产品分销信息凭证》或《动物检疫合格证》。</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蛋类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无公害禽蛋，新鲜，无变质，破损较少。</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冻品类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调料类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正规知名厂家或其代理商，有商标牌号，注明生产日期、产地、保质期、包装规格、有QS标志。</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豆制品类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以非转基因大豆或杂豆为主要原料，经过加工制成的食品，包括发酵豆制品、非发酵豆制品和大豆蛋白类制品，均须达到食品安全国家标准。</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卤货类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色香味美，无异味、全面烧熟、无病毒、符合食品安全卫生要求。</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水果类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颜色鲜艳、外型端正、个头均匀、无斑点、无破损、无压伤磕伤、果实成熟新鲜、味道纯正，符合食品安全国家标准。</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乳制品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产品包装及外观干净、整洁，生产日期、保质期、贮藏条件标识清晰，须在保质期内。</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米面类</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不接受散装产品，产品包装外观整洁，无破损，商品标签信息清晰，生产日期、保质期、贮藏条件清晰 ，须在保质期内，大米，面粉类等产品感官正常。</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食用油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非转基因成品油，不接受散装产品，外包装规范干净，整洁，无破损，无漏油情况，须在保质期内。</w:t>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6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干货类</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80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在保质期范围内，并保持较好的外观和等级，须是正规厂家并具有合格证书且无任何有害添加剂的优质产品，符合食品安全国家标准。</w:t>
            </w:r>
            <w:r/>
          </w:p>
        </w:tc>
      </w:tr>
    </w:tbl>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六、食材安全要求</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1.乙方需提供所有食材的质量检测报告及相关的产品合格证明，并确保证明的真实、合法、有效。</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3.外包装食材的保质期不得低于产品标注保质期的三分之一（自产品标注的生产日期算起）。</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5.乙方所供食材质量达不到国家有关食品安全标准而造成食物中毒或其它后果，经公安机关或卫生防疫部门鉴定属于乙方责任的，其产生的一切法律和经济责任全部由乙方承担。</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6.乙方所有员工均须凭健康证上岗，在疫情防控期间，必须符合当地疫情防控要求，同时应成立食材配送项目专项服务小组，负责相关工作及提供各种服务。</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七、食材配送和验收要求</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仿宋_GB2312"/>
          <w:color w:val="auto"/>
          <w:szCs w:val="21"/>
          <w:highlight w:val="none"/>
        </w:rPr>
        <w:t xml:space="preserve">1.</w:t>
      </w:r>
      <w:r>
        <w:rPr>
          <w:rFonts w:hint="eastAsia" w:ascii="宋体" w:hAnsi="宋体" w:eastAsia="宋体" w:cs="宋体"/>
          <w:color w:val="auto"/>
          <w:szCs w:val="21"/>
          <w:highlight w:val="none"/>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hint="default" w:ascii="宋体" w:hAnsi="宋体" w:eastAsia="宋体" w:cs="宋体"/>
          <w:color w:val="auto"/>
          <w:szCs w:val="21"/>
          <w:highlight w:val="none"/>
        </w:rPr>
        <w:t xml:space="preserve">上述</w:t>
      </w:r>
      <w:r>
        <w:rPr>
          <w:rFonts w:hint="eastAsia" w:ascii="宋体" w:hAnsi="宋体" w:eastAsia="宋体" w:cs="宋体"/>
          <w:color w:val="auto"/>
          <w:szCs w:val="21"/>
          <w:highlight w:val="none"/>
          <w:lang w:val="zh-CN"/>
        </w:rPr>
        <w:t xml:space="preserve">货款。</w:t>
      </w:r>
      <w:r/>
    </w:p>
    <w:p>
      <w:pPr>
        <w:ind w:firstLine="420"/>
        <w:spacing w:line="360" w:lineRule="auto"/>
        <w:rPr>
          <w:rFonts w:hint="eastAsia" w:ascii="宋体" w:hAnsi="宋体" w:eastAsia="宋体" w:cs="仿宋_GB2312"/>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仿宋_GB2312"/>
          <w:color w:val="auto"/>
          <w:szCs w:val="21"/>
          <w:highlight w:val="none"/>
        </w:rPr>
        <w:t xml:space="preserve">配送要求</w:t>
      </w:r>
      <w:r>
        <w:rPr>
          <w:rFonts w:hint="eastAsia" w:ascii="宋体" w:hAnsi="宋体" w:eastAsia="宋体" w:cs="仿宋_GB2312"/>
          <w:color w:val="auto"/>
          <w:szCs w:val="21"/>
          <w:highlight w:val="none"/>
          <w:lang w:val="zh-CN"/>
        </w:rPr>
        <w:t xml:space="preserve">：</w:t>
      </w:r>
      <w:r>
        <w:rPr>
          <w:rFonts w:hint="eastAsia" w:ascii="宋体" w:hAnsi="宋体" w:eastAsia="宋体" w:cs="宋体"/>
          <w:color w:val="auto"/>
          <w:szCs w:val="21"/>
          <w:highlight w:val="none"/>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hint="default"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default"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 每日食材供应中，供应商应确保所供食材品种、数量、重量的准确性，采购方和供应商应分别建立采购和供应台账，</w:t>
      </w:r>
      <w:r>
        <w:rPr>
          <w:rFonts w:hint="eastAsia" w:ascii="宋体" w:hAnsi="宋体" w:eastAsia="宋体" w:cs="宋体"/>
          <w:color w:val="auto"/>
          <w:szCs w:val="21"/>
          <w:highlight w:val="none"/>
        </w:rPr>
        <w:t xml:space="preserve">送货时</w:t>
      </w:r>
      <w:r>
        <w:rPr>
          <w:rFonts w:hint="eastAsia" w:ascii="宋体" w:hAnsi="宋体" w:eastAsia="宋体" w:cs="宋体"/>
          <w:color w:val="auto"/>
          <w:szCs w:val="21"/>
          <w:highlight w:val="none"/>
          <w:lang w:val="zh-CN"/>
        </w:rPr>
        <w:t xml:space="preserve">确定专人</w:t>
      </w:r>
      <w:r>
        <w:rPr>
          <w:rFonts w:hint="eastAsia" w:ascii="宋体" w:hAnsi="宋体" w:eastAsia="宋体" w:cs="Times New Roman"/>
          <w:color w:val="auto"/>
          <w:szCs w:val="21"/>
          <w:highlight w:val="none"/>
        </w:rPr>
        <w:t xml:space="preserve">（不少于两人）</w:t>
      </w:r>
      <w:r>
        <w:rPr>
          <w:rFonts w:hint="eastAsia" w:ascii="宋体" w:hAnsi="宋体" w:eastAsia="宋体" w:cs="宋体"/>
          <w:color w:val="auto"/>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hint="default"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如因供应商食材配送问题而影响本项目正常</w:t>
      </w:r>
      <w:r>
        <w:rPr>
          <w:rFonts w:hint="eastAsia" w:ascii="宋体" w:hAnsi="宋体" w:eastAsia="宋体" w:cs="宋体"/>
          <w:color w:val="auto"/>
          <w:szCs w:val="21"/>
          <w:highlight w:val="none"/>
        </w:rPr>
        <w:t xml:space="preserve">供</w:t>
      </w:r>
      <w:r>
        <w:rPr>
          <w:rFonts w:hint="eastAsia" w:ascii="宋体" w:hAnsi="宋体" w:eastAsia="宋体" w:cs="宋体"/>
          <w:color w:val="auto"/>
          <w:szCs w:val="21"/>
          <w:highlight w:val="none"/>
          <w:lang w:val="zh-CN"/>
        </w:rPr>
        <w:t xml:space="preserve">餐，出现一次，采购方提出口头警告并要求供应商做出书面保证，</w:t>
      </w:r>
      <w:r>
        <w:rPr>
          <w:rFonts w:hint="eastAsia" w:ascii="宋体" w:hAnsi="宋体" w:eastAsia="宋体" w:cs="宋体"/>
          <w:color w:val="auto"/>
          <w:szCs w:val="21"/>
          <w:highlight w:val="none"/>
        </w:rPr>
        <w:t xml:space="preserve">出现</w:t>
      </w:r>
      <w:r>
        <w:rPr>
          <w:rFonts w:hint="eastAsia" w:ascii="宋体" w:hAnsi="宋体" w:eastAsia="宋体" w:cs="宋体"/>
          <w:color w:val="auto"/>
          <w:szCs w:val="21"/>
          <w:highlight w:val="none"/>
          <w:lang w:val="zh-CN"/>
        </w:rPr>
        <w:t xml:space="preserve">二次扣当天货款10%-30%；达到三次，采购方可解除供货合同。</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.采购方</w:t>
      </w:r>
      <w:r>
        <w:rPr>
          <w:rFonts w:hint="eastAsia" w:ascii="宋体" w:hAnsi="宋体" w:eastAsia="宋体" w:cs="宋体"/>
          <w:color w:val="auto"/>
          <w:szCs w:val="21"/>
          <w:highlight w:val="none"/>
        </w:rPr>
        <w:t xml:space="preserve">对食材品质有所要求的，供应商应按要求提供对应品质食材。采购方将</w:t>
      </w:r>
      <w:r>
        <w:rPr>
          <w:rFonts w:hint="eastAsia" w:ascii="宋体" w:hAnsi="宋体" w:eastAsia="宋体" w:cs="宋体"/>
          <w:color w:val="auto"/>
          <w:szCs w:val="21"/>
          <w:highlight w:val="none"/>
          <w:lang w:val="zh-CN"/>
        </w:rPr>
        <w:t xml:space="preserve">对所供食材进行定期检查</w:t>
      </w:r>
      <w:r>
        <w:rPr>
          <w:rFonts w:hint="eastAsia" w:ascii="宋体" w:hAnsi="宋体" w:eastAsia="宋体" w:cs="宋体"/>
          <w:color w:val="auto"/>
          <w:szCs w:val="21"/>
          <w:highlight w:val="none"/>
        </w:rPr>
        <w:t xml:space="preserve">或不定时抽查</w:t>
      </w:r>
      <w:r>
        <w:rPr>
          <w:rFonts w:hint="eastAsia" w:ascii="宋体" w:hAnsi="宋体" w:eastAsia="宋体" w:cs="宋体"/>
          <w:color w:val="auto"/>
          <w:szCs w:val="21"/>
          <w:highlight w:val="none"/>
          <w:lang w:val="zh-CN"/>
        </w:rPr>
        <w:t xml:space="preserve">，如发现问题随时向供应商反映，供应商应及时改进并将整改方案及措施告知采购方，否则，采购人有权解除合同。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.临时加货处理：对于采购方</w:t>
      </w:r>
      <w:r>
        <w:rPr>
          <w:rFonts w:hint="eastAsia" w:ascii="宋体" w:hAnsi="宋体" w:eastAsia="宋体" w:cs="宋体"/>
          <w:color w:val="auto"/>
          <w:szCs w:val="21"/>
          <w:highlight w:val="none"/>
        </w:rPr>
        <w:t xml:space="preserve">在节假日或其他时段</w:t>
      </w:r>
      <w:r>
        <w:rPr>
          <w:rFonts w:hint="eastAsia" w:ascii="宋体" w:hAnsi="宋体" w:eastAsia="宋体" w:cs="宋体"/>
          <w:color w:val="auto"/>
          <w:szCs w:val="21"/>
          <w:highlight w:val="none"/>
          <w:lang w:val="zh-CN"/>
        </w:rPr>
        <w:t xml:space="preserve">有临时</w:t>
      </w:r>
      <w:r>
        <w:rPr>
          <w:rFonts w:hint="eastAsia" w:ascii="宋体" w:hAnsi="宋体" w:eastAsia="宋体" w:cs="宋体"/>
          <w:color w:val="auto"/>
          <w:szCs w:val="21"/>
          <w:highlight w:val="none"/>
        </w:rPr>
        <w:t xml:space="preserve">食材需求</w:t>
      </w:r>
      <w:r>
        <w:rPr>
          <w:rFonts w:hint="eastAsia" w:ascii="宋体" w:hAnsi="宋体" w:eastAsia="宋体" w:cs="宋体"/>
          <w:color w:val="auto"/>
          <w:szCs w:val="21"/>
          <w:highlight w:val="none"/>
          <w:lang w:val="zh-CN"/>
        </w:rPr>
        <w:t xml:space="preserve">或临时增加员工用餐时，供应商需在接到采购方口头或书面通知时按要求将货物送到采购方的指定地点，派专人负责跟踪服务，保证用餐正常。</w:t>
      </w:r>
      <w:r/>
    </w:p>
    <w:p>
      <w:pPr>
        <w:ind w:left="0" w:right="0" w:firstLine="422"/>
        <w:keepLines w:val="0"/>
        <w:keepNext w:val="0"/>
        <w:pageBreakBefore w:val="0"/>
        <w:spacing w:line="360" w:lineRule="auto"/>
        <w:widowControl w:val="off"/>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八、其他要求</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2.供应商不得对采购人或验收人员有行贿行为，一经发现，采购人有权无条件终止合同扣除剩余货款。供应商应遵守采购人保密规定，不得将采购人信息泄露给第三方或其他有关利益方。</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3.供应商在整个配送服务周期内应配备充足人员、车辆及货物等，满足项目需求。不得将本项目全部或部分转包，若转包一经采购人发现，采购人可提前终止配送合同。</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4.供应商工作人员在本项目服务中出现人身等安全事故，供应商独立承担一切刑事、民事责任，与采购人无关。</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5.供应商应具备承担风险能力，保障用餐人员权益，供应商应在服务期内提供有效的食品安全责任保险。</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九、</w:t>
      </w:r>
      <w:r>
        <w:rPr>
          <w:rFonts w:hint="eastAsia" w:ascii="宋体" w:hAnsi="宋体" w:eastAsia="宋体" w:cs="宋体"/>
          <w:b/>
          <w:bCs/>
          <w:color w:val="auto"/>
          <w:szCs w:val="21"/>
          <w:highlight w:val="none"/>
        </w:rPr>
        <w:t xml:space="preserve">监督管理</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食材供应商在合同执行期间有下列行为之一的，采购方有权直接解除供货服务合同：</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1.中标后无正当理由不与采购单位签订合同的；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2.擅自变更或者终止采购服务合同的；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3.试供期不合格的（详见合同）；</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4.不按采购需求、投标文件以及采购服务合同要求全面履约或履约情况评价不合格的；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5.未按规定出具检测报告或相关承诺书等资料达到二次的；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6.经核实配送食材不符合采购单位要求达到三次的；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7.不按要求提供报价三次的；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8.虚高报价三次的；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9.配送的食材存在严重质量问题的；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10.因配送的食材质量达不到国家有关食品安全标准而造成食物中毒或其它后果，经公安机关或卫生防疫部门鉴定属于供应商（配送单位）责任的；</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11.造成严重后果或恶劣影响的行为。</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十、履约保证金 </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1.本项目不设。</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十一、合同终止</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甲方对乙方送货有任何意见，可随时向乙方反映，乙方应及时改进，否则，甲方有权在无须征得乙方同意的情况下单方面直接中断与乙方的合同。一方终止合同须提前十五天通知对方。 </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十二、合同转让和分包</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乙方不得部分转让和分包或全部转让和分包其应履行的合同义务。</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十三、争议处理</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上述条款未尽事宜，甲乙双方本着友好合作的精神协商解决。对本合同发生争议时，由甲乙双方协商解决；协商不成，可向昆山市人民法院提起诉讼。 </w:t>
      </w:r>
      <w:r/>
    </w:p>
    <w:p>
      <w:pPr>
        <w:ind w:left="0" w:righ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十四、合同生效 </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1.双方签约人为各自法定代表人或被授权代表。</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2.本合同系指本文件及其附件中的所有部分，招标文件、中标的投标文件、中标通知书、中标单位在招标过程中的澄清和承诺等为本合同不可缺少的组成部分。</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3.采购合同自双方签字盖章后生效，采购合同需在市政府采购管理部门备案。</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4.本合同壹式肆份，甲乙双方、招标代理机构、备案机构各执壹份，各份具有同等法律效力。</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5.本合同应按照中华人民共和国的现行法律进行解释。</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6.合同修改：除甲乙双方签署书面修改、补充协议，并成为本合同不可分割的一部分之外，本合同条件不得有任何变化或修改。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bl>
      <w:tblPr>
        <w:tblStyle w:val="77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0"/>
      </w:tblGrid>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lang w:val="en-US" w:eastAsia="zh-CN"/>
              </w:rPr>
            </w:pPr>
            <w:r>
              <w:rPr>
                <w:rFonts w:hint="eastAsia" w:asciiTheme="minorEastAsia" w:hAnsiTheme="minorEastAsia" w:eastAsiaTheme="minorEastAsia" w:cstheme="minorEastAsia"/>
                <w:color w:val="auto"/>
                <w:szCs w:val="21"/>
                <w:highlight w:val="none"/>
                <w:vertAlign w:val="baseline"/>
                <w:lang w:val="en-US" w:eastAsia="zh-CN"/>
              </w:rPr>
              <w:t xml:space="preserve">甲方（盖章）：</w:t>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lang w:eastAsia="zh-CN"/>
              </w:rPr>
            </w:pPr>
            <w:r>
              <w:rPr>
                <w:rFonts w:hint="eastAsia" w:asciiTheme="minorEastAsia" w:hAnsiTheme="minorEastAsia" w:eastAsiaTheme="minorEastAsia" w:cstheme="minorEastAsia"/>
                <w:color w:val="auto"/>
                <w:szCs w:val="21"/>
                <w:highlight w:val="none"/>
                <w:vertAlign w:val="baseline"/>
                <w:lang w:val="en-US" w:eastAsia="zh-CN"/>
              </w:rPr>
              <w:t xml:space="preserve">乙方（盖章）</w:t>
            </w:r>
            <w:r>
              <w:rPr>
                <w:rFonts w:hint="eastAsia" w:asciiTheme="minorEastAsia" w:hAnsiTheme="minorEastAsia" w:eastAsiaTheme="minorEastAsia" w:cstheme="minorEastAsia"/>
                <w:color w:val="auto"/>
                <w:szCs w:val="21"/>
                <w:highlight w:val="none"/>
                <w:vertAlign w:val="baseline"/>
                <w:lang w:eastAsia="zh-CN"/>
              </w:rPr>
              <w:t xml:space="preserve">：</w:t>
            </w:r>
            <w:r/>
          </w:p>
        </w:tc>
      </w:tr>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法人代表 </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签字或盖章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 </w:t>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法人代表 </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签字或盖章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 </w:t>
            </w:r>
            <w:r/>
          </w:p>
        </w:tc>
      </w:tr>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日期 :     年     月     日</w:t>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vertAlign w:val="baseline"/>
              </w:rPr>
            </w:pPr>
            <w:r>
              <w:rPr>
                <w:rFonts w:hint="eastAsia" w:asciiTheme="minorEastAsia" w:hAnsiTheme="minorEastAsia" w:eastAsiaTheme="minorEastAsia" w:cstheme="minorEastAsia"/>
                <w:color w:val="auto"/>
                <w:szCs w:val="21"/>
                <w:highlight w:val="none"/>
              </w:rPr>
              <w:t xml:space="preserve">日期 :     年     月     日</w:t>
            </w:r>
            <w:r/>
          </w:p>
        </w:tc>
      </w:tr>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开户行：</w:t>
            </w:r>
            <w:r/>
          </w:p>
        </w:tc>
      </w:tr>
      <w:tr>
        <w:trPr>
          <w:trHeight w:val="850"/>
        </w:trPr>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4978"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帐户：</w:t>
            </w:r>
            <w: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jc w:val="left"/>
        <w:spacing w:before="240" w:after="240"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附考核表：</w:t>
      </w:r>
      <w:r/>
    </w:p>
    <w:tbl>
      <w:tblPr>
        <w:tblStyle w:val="727"/>
        <w:tblW w:w="9528" w:type="dxa"/>
        <w:jc w:val="center"/>
        <w:tblLayout w:type="autofit"/>
        <w:tblCellMar>
          <w:left w:w="108" w:type="dxa"/>
          <w:top w:w="0" w:type="dxa"/>
          <w:right w:w="108" w:type="dxa"/>
          <w:bottom w:w="0" w:type="dxa"/>
        </w:tblCellMar>
        <w:tblLook w:val="04A0" w:firstRow="1" w:lastRow="0" w:firstColumn="1" w:lastColumn="0" w:noHBand="0" w:noVBand="1"/>
      </w:tblPr>
      <w:tblGrid>
        <w:gridCol w:w="478"/>
        <w:gridCol w:w="560"/>
        <w:gridCol w:w="7497"/>
        <w:gridCol w:w="516"/>
        <w:gridCol w:w="477"/>
      </w:tblGrid>
      <w:tr>
        <w:trPr>
          <w:jc w:val="center"/>
          <w:trHeight w:val="0"/>
        </w:trPr>
        <w:tc>
          <w:tcPr>
            <w:gridSpan w:val="5"/>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528" w:type="dxa"/>
            <w:vAlign w:val="center"/>
            <w:textDirection w:val="lrTb"/>
            <w:noWrap w:val="false"/>
          </w:tcPr>
          <w:p>
            <w:pPr>
              <w:jc w:val="center"/>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配送服务月度考核表</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指标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考核要素和评估内容及其标准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分值</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得分</w:t>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准时送货</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送货均使用专用车辆，其中冷藏车（4-10月须开启冷藏设备，其余时间视气温情况而定），准时送达得10分；未用专车或该开启冷藏设备而未开启冷藏设备发现一次扣2分，扣完为止，非不可抗拒情况下延误一次扣2分，扣完为止。委托其他车辆或人员代送此项不得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服务团队</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有专门的团队服务人员，定期沟通协调得2分。提供配送车辆信息材料得2分。提供从业人员身份证、健康证明复印件及工作证明得4分，人车不符或人证不符发现1次扣1分。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服务态度</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员争执的，经查实1次扣3分，扣完为止。工作人员现场操作需保证时效性，延误一次扣1分，扣完为止。</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保证质量</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保证商品质量，经过实验室功能检测，保证食材新鲜，产地直供，无以次（劣）充好现象，无过期或变质食品得</w:t>
            </w:r>
            <w:r>
              <w:rPr>
                <w:rFonts w:hint="eastAsia" w:ascii="宋体" w:hAnsi="宋体" w:eastAsia="宋体" w:cs="宋体"/>
                <w:color w:val="auto"/>
                <w:szCs w:val="21"/>
                <w:highlight w:val="none"/>
                <w:lang w:bidi="ar"/>
              </w:rPr>
              <w:t xml:space="preserve">10</w:t>
            </w:r>
            <w:r>
              <w:rPr>
                <w:rFonts w:hint="eastAsia" w:ascii="宋体" w:hAnsi="宋体" w:eastAsia="宋体" w:cs="宋体"/>
                <w:color w:val="auto"/>
                <w:szCs w:val="21"/>
                <w:highlight w:val="none"/>
                <w:u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u w:val="none"/>
                <w:lang w:bidi="ar"/>
              </w:rPr>
              <w:t xml:space="preserve">次扣</w:t>
            </w:r>
            <w:r>
              <w:rPr>
                <w:rFonts w:hint="eastAsia" w:ascii="宋体" w:hAnsi="宋体" w:eastAsia="宋体" w:cs="宋体"/>
                <w:color w:val="auto"/>
                <w:szCs w:val="21"/>
                <w:highlight w:val="none"/>
                <w:lang w:bidi="ar"/>
              </w:rPr>
              <w:t xml:space="preserve">2</w:t>
            </w:r>
            <w:r>
              <w:rPr>
                <w:rFonts w:hint="eastAsia" w:ascii="宋体" w:hAnsi="宋体" w:eastAsia="宋体" w:cs="宋体"/>
                <w:color w:val="auto"/>
                <w:szCs w:val="21"/>
                <w:highlight w:val="none"/>
                <w:u w:val="none"/>
                <w:lang w:bidi="ar"/>
              </w:rPr>
              <w:t xml:space="preserve">分，以此类推，扣完为止。所有供应的货物的保质期绝不低于产品标注保质期的三分之一（自产品标注的生产日期算起），发现一次扣1分，扣完为止。（需注明发现时间及现场实物照片）</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足斤足两</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送货无短斤缺两现象8分（份量短缺达到该类食材配送总量5%以上，有一次扣2分，以此类推，扣完为止）。</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工作细致</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单据清晰</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送货单（结算凭证）项目齐全，机器打印清晰，提供正规发票得6分，否则不得分。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品牌规范</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按照采购人公布的目录品牌规格采购、供货得6分。擅自更换品牌规格的发现</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u w:val="none"/>
                <w:lang w:bidi="ar"/>
              </w:rPr>
              <w:t xml:space="preserve">次扣</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u w:val="none"/>
                <w:lang w:bidi="ar"/>
              </w:rPr>
              <w:t xml:space="preserve">分，扣完为止。</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索证索票</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按照相关法律法规规定及监管部门要求，向采购人提供原材料的检测报告或产品合格证的得6分，每少一次扣0.5分，扣完为止；供应商应该按照采购人的要求，建立完整的各类物品追踪溯源体系，</w:t>
            </w:r>
            <w:r>
              <w:rPr>
                <w:rFonts w:hint="eastAsia" w:ascii="宋体" w:hAnsi="宋体" w:eastAsia="宋体" w:cs="Times New Roman"/>
                <w:color w:val="auto"/>
                <w:szCs w:val="21"/>
                <w:highlight w:val="none"/>
              </w:rPr>
              <w:t xml:space="preserve">提供</w:t>
            </w:r>
            <w:r>
              <w:rPr>
                <w:rFonts w:ascii="宋体" w:hAnsi="宋体" w:eastAsia="宋体" w:cs="Times New Roman"/>
                <w:color w:val="auto"/>
                <w:szCs w:val="21"/>
                <w:highlight w:val="none"/>
              </w:rPr>
              <w:t xml:space="preserve">实验室检测报告，</w:t>
            </w:r>
            <w:r>
              <w:rPr>
                <w:rFonts w:hint="eastAsia" w:ascii="宋体" w:hAnsi="宋体" w:eastAsia="宋体" w:cs="宋体"/>
                <w:color w:val="auto"/>
                <w:szCs w:val="21"/>
                <w:highlight w:val="none"/>
                <w:u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应急处置</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结算精准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送货单上单价、月底结算价格与采购人核定价一致，满分6分（擅自涨价，每次扣2分，以此类推，扣完为止）。每月10日前，将对账单发送至采购人，延误1天扣1分。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安全清洁</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运输工具、贮物筐箱、包装材料等保持清洁卫生，满分4分。（抽查到不符要求的每次扣1分，以此类推，扣完为止）。运输过程中，防止有油污血水等污染运输通道，发现一次扣2分，扣完为止。</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沟通联系</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如目录没有采购人所需商品，事先与采购人联系并谈妥商品的品牌、品级、规格、价格等事项，然后发货4分。配送公司单方定价后再送货不得分。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及时整改</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对采购人的意见、建议虚心接受，运作过程中出现的新情况新问题及时主动沟通、协调有效果，及时整改见实效4分，整改效果不明显扣1分，未见整改效果不得分。</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诚信经营</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widowControl/>
              <w:rPr>
                <w:rFonts w:ascii="宋体" w:hAnsi="宋体" w:eastAsia="宋体" w:cs="宋体"/>
                <w:color w:val="auto"/>
                <w:szCs w:val="21"/>
                <w:highlight w:val="none"/>
              </w:rPr>
            </w:pPr>
            <w:r>
              <w:rPr>
                <w:rFonts w:hint="eastAsia" w:ascii="宋体" w:hAnsi="宋体" w:eastAsia="宋体" w:cs="宋体"/>
                <w:color w:val="auto"/>
                <w:szCs w:val="21"/>
                <w:highlight w:val="none"/>
                <w:u w:val="none"/>
                <w:lang w:bidi="ar"/>
              </w:rPr>
              <w:t xml:space="preserve">不得将部分商品或部分采购人的供应权限转让或分包给他人经营8分（如有违反不得分，并考虑取消配送资格）。</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0"/>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478" w:type="dxa"/>
            <w:vAlign w:val="center"/>
            <w:textDirection w:val="lrTb"/>
            <w:noWrap w:val="false"/>
          </w:tcPr>
          <w:p>
            <w:pPr>
              <w:jc w:val="cente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560" w:type="dxa"/>
            <w:vAlign w:val="center"/>
            <w:textDirection w:val="lrTb"/>
            <w:noWrap w:val="false"/>
          </w:tcPr>
          <w:p>
            <w:pPr>
              <w:jc w:val="center"/>
              <w:rPr>
                <w:rFonts w:ascii="宋体" w:hAnsi="宋体" w:eastAsia="宋体" w:cs="Calibri"/>
                <w:color w:val="auto"/>
                <w:sz w:val="18"/>
                <w:szCs w:val="18"/>
                <w:highlight w:val="none"/>
              </w:rPr>
            </w:pPr>
            <w:r>
              <w:rPr>
                <w:rFonts w:ascii="宋体" w:hAnsi="宋体" w:eastAsia="宋体" w:cs="Calibri"/>
                <w:color w:val="auto"/>
                <w:sz w:val="18"/>
                <w:szCs w:val="18"/>
                <w:highlight w:val="none"/>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7497" w:type="dxa"/>
            <w:vAlign w:val="center"/>
            <w:textDirection w:val="lrTb"/>
            <w:noWrap w:val="false"/>
          </w:tcPr>
          <w:p>
            <w:pPr>
              <w:rPr>
                <w:rFonts w:ascii="宋体" w:hAnsi="宋体" w:eastAsia="宋体" w:cs="Calibri"/>
                <w:color w:val="auto"/>
                <w:sz w:val="18"/>
                <w:szCs w:val="18"/>
                <w:highlight w:val="none"/>
              </w:rPr>
            </w:pPr>
            <w:r>
              <w:rPr>
                <w:rFonts w:ascii="宋体" w:hAnsi="宋体" w:eastAsia="宋体" w:cs="Calibri"/>
                <w:color w:val="auto"/>
                <w:sz w:val="18"/>
                <w:szCs w:val="18"/>
                <w:highlight w:val="none"/>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516" w:type="dxa"/>
            <w:vAlign w:val="center"/>
            <w:textDirection w:val="lrTb"/>
            <w:noWrap w:val="false"/>
          </w:tcPr>
          <w:p>
            <w:pPr>
              <w:jc w:val="center"/>
              <w:widowControl/>
              <w:rPr>
                <w:rFonts w:ascii="宋体" w:hAnsi="宋体" w:eastAsia="宋体" w:cs="Calibri"/>
                <w:color w:val="auto"/>
                <w:sz w:val="18"/>
                <w:szCs w:val="18"/>
                <w:highlight w:val="none"/>
              </w:rPr>
            </w:pPr>
            <w:r>
              <w:rPr>
                <w:rFonts w:ascii="宋体" w:hAnsi="宋体" w:eastAsia="宋体" w:cs="Calibri"/>
                <w:color w:val="auto"/>
                <w:sz w:val="18"/>
                <w:szCs w:val="18"/>
                <w:highlight w:val="none"/>
                <w:lang w:bidi="ar"/>
              </w:rPr>
              <w:t xml:space="preserve">100</w:t>
            </w:r>
            <w:r/>
          </w:p>
        </w:tc>
        <w:tc>
          <w:tcPr>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477" w:type="dxa"/>
            <w:vAlign w:val="center"/>
            <w:textDirection w:val="lrTb"/>
            <w:noWrap w:val="false"/>
          </w:tcPr>
          <w:p>
            <w:pPr>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bl>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717"/>
        <w:jc w:val="center"/>
        <w:spacing w:line="240" w:lineRule="auto"/>
        <w:tabs>
          <w:tab w:val="left" w:pos="2754" w:leader="none"/>
          <w:tab w:val="center" w:pos="4215" w:leader="none"/>
        </w:tabs>
        <w:rPr>
          <w:rStyle w:val="1055"/>
          <w:rFonts w:hint="eastAsia" w:asciiTheme="minorEastAsia" w:hAnsiTheme="minorEastAsia" w:eastAsiaTheme="minorEastAsia" w:cstheme="minorEastAsia"/>
          <w:b/>
          <w:bCs/>
          <w:color w:val="auto"/>
          <w:sz w:val="32"/>
          <w:szCs w:val="32"/>
          <w:highlight w:val="none"/>
        </w:rPr>
      </w:pPr>
      <w:r/>
      <w:bookmarkStart w:id="18" w:name="_Toc9214"/>
      <w:r/>
      <w:bookmarkStart w:id="19" w:name="_Toc17446"/>
      <w:r>
        <w:rPr>
          <w:rStyle w:val="1055"/>
          <w:rFonts w:hint="eastAsia" w:asciiTheme="minorEastAsia" w:hAnsiTheme="minorEastAsia" w:eastAsiaTheme="minorEastAsia" w:cstheme="minorEastAsia"/>
          <w:b/>
          <w:bCs/>
          <w:color w:val="auto"/>
          <w:sz w:val="32"/>
          <w:szCs w:val="32"/>
          <w:highlight w:val="none"/>
        </w:rPr>
        <w:t xml:space="preserve">第六章 </w:t>
      </w:r>
      <w:r>
        <w:rPr>
          <w:rStyle w:val="1055"/>
          <w:rFonts w:hint="eastAsia" w:asciiTheme="minorEastAsia" w:hAnsiTheme="minorEastAsia" w:eastAsiaTheme="minorEastAsia" w:cstheme="minorEastAsia"/>
          <w:b/>
          <w:bCs/>
          <w:color w:val="auto"/>
          <w:sz w:val="32"/>
          <w:szCs w:val="32"/>
          <w:highlight w:val="none"/>
          <w:lang w:val="en-US"/>
        </w:rPr>
        <w:t xml:space="preserve"> </w:t>
      </w:r>
      <w:r>
        <w:rPr>
          <w:rStyle w:val="1055"/>
          <w:rFonts w:hint="eastAsia" w:asciiTheme="minorEastAsia" w:hAnsiTheme="minorEastAsia" w:eastAsiaTheme="minorEastAsia" w:cstheme="minorEastAsia"/>
          <w:b/>
          <w:bCs/>
          <w:color w:val="auto"/>
          <w:sz w:val="32"/>
          <w:szCs w:val="32"/>
          <w:highlight w:val="none"/>
        </w:rPr>
        <w:t xml:space="preserve">评审方法</w:t>
      </w:r>
      <w:bookmarkEnd w:id="17"/>
      <w:r/>
      <w:bookmarkEnd w:id="18"/>
      <w:r/>
      <w:bookmarkEnd w:id="19"/>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一、评审办法</w:t>
      </w:r>
      <w:r/>
    </w:p>
    <w:p>
      <w:pPr>
        <w:ind w:firstLine="420"/>
        <w:spacing w:line="360" w:lineRule="auto"/>
        <w:tabs>
          <w:tab w:val="left" w:pos="287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 xml:space="preserve">1.</w:t>
      </w:r>
      <w:r>
        <w:rPr>
          <w:rFonts w:hint="eastAsia" w:asciiTheme="minorEastAsia" w:hAnsiTheme="minorEastAsia" w:eastAsiaTheme="minorEastAsia" w:cstheme="minorEastAsia"/>
          <w:color w:val="auto"/>
          <w:szCs w:val="21"/>
          <w:highlight w:val="none"/>
        </w:rPr>
        <w:t xml:space="preserve">本次采购评审采用最低评标价法，即在符合采购采购需求、质量和服务相等的前提下，以提出最低报价（以第二次报价为准</w:t>
      </w:r>
      <w:r>
        <w:rPr>
          <w:rFonts w:hint="eastAsia" w:asciiTheme="minorEastAsia" w:hAnsiTheme="minorEastAsia" w:eastAsiaTheme="minorEastAsia" w:cstheme="minorEastAsia"/>
          <w:b/>
          <w:color w:val="auto"/>
          <w:szCs w:val="21"/>
          <w:highlight w:val="none"/>
        </w:rPr>
        <w:t xml:space="preserve">，且最后报价时间为10分钟</w:t>
      </w:r>
      <w:r>
        <w:rPr>
          <w:rFonts w:hint="eastAsia" w:asciiTheme="minorEastAsia" w:hAnsiTheme="minorEastAsia" w:eastAsiaTheme="minorEastAsia" w:cstheme="minorEastAsia"/>
          <w:color w:val="auto"/>
          <w:szCs w:val="21"/>
          <w:highlight w:val="none"/>
        </w:rPr>
        <w:t xml:space="preserve">）的供应商作为成交供应商。</w:t>
      </w:r>
      <w:r/>
    </w:p>
    <w:p>
      <w:pPr>
        <w:ind w:firstLine="420"/>
        <w:spacing w:line="360" w:lineRule="auto"/>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4.谈判小组认为供应商的报价明显低于其他通过符合性审查的供应商的报价，有可能影响产品质量或者不能诚信履约的，</w:t>
      </w:r>
      <w:r>
        <w:rPr>
          <w:rFonts w:hint="eastAsia" w:asciiTheme="minorEastAsia" w:hAnsiTheme="minorEastAsia" w:eastAsiaTheme="minorEastAsia" w:cstheme="minorEastAsia"/>
          <w:color w:val="auto"/>
          <w:szCs w:val="21"/>
          <w:highlight w:val="none"/>
        </w:rPr>
        <w:t xml:space="preserve">则谈判小组有权要求</w:t>
      </w:r>
      <w:r>
        <w:rPr>
          <w:rFonts w:hint="eastAsia" w:asciiTheme="minorEastAsia" w:hAnsiTheme="minorEastAsia" w:eastAsiaTheme="minorEastAsia" w:cstheme="minorEastAsia"/>
          <w:color w:val="auto"/>
          <w:highlight w:val="none"/>
        </w:rPr>
        <w:t xml:space="preserve">其以书面形式作出相关说明，供应商不能证明其报价合理性的，谈判小组应当认定其响应无效</w:t>
      </w:r>
      <w:r>
        <w:rPr>
          <w:rFonts w:hint="eastAsia" w:asciiTheme="minorEastAsia" w:hAnsiTheme="minorEastAsia" w:eastAsiaTheme="minorEastAsia" w:cstheme="minorEastAsia"/>
          <w:color w:val="auto"/>
          <w:szCs w:val="21"/>
          <w:highlight w:val="none"/>
        </w:rPr>
        <w:t xml:space="preserve">取消该供应商的成交候选资格</w:t>
      </w:r>
      <w:r>
        <w:rPr>
          <w:rFonts w:hint="eastAsia" w:asciiTheme="minorEastAsia" w:hAnsiTheme="minorEastAsia" w:eastAsiaTheme="minorEastAsia" w:cstheme="minorEastAsia"/>
          <w:color w:val="auto"/>
          <w:highlight w:val="none"/>
        </w:rPr>
        <w:t xml:space="preserve">。</w:t>
      </w:r>
      <w:r/>
    </w:p>
    <w:p>
      <w:pPr>
        <w:ind w:firstLine="420"/>
        <w:spacing w:line="360" w:lineRule="auto"/>
        <w:tabs>
          <w:tab w:val="left" w:pos="287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二、采购政策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（一）中小微企业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根据《政府采购促进中小企业发展管理办法》（财库〔2020〕46号）的相关规定，</w:t>
      </w:r>
      <w:r>
        <w:rPr>
          <w:rFonts w:hint="eastAsia" w:asciiTheme="minorEastAsia" w:hAnsiTheme="minorEastAsia" w:eastAsiaTheme="minorEastAsia" w:cstheme="minorEastAsia"/>
          <w:b/>
          <w:color w:val="auto"/>
          <w:szCs w:val="21"/>
          <w:highlight w:val="none"/>
        </w:rPr>
        <w:t xml:space="preserve">本项目为专门面向中小企业采购</w:t>
      </w:r>
      <w:r>
        <w:rPr>
          <w:rFonts w:hint="eastAsia" w:asciiTheme="minorEastAsia" w:hAnsiTheme="minorEastAsia" w:eastAsiaTheme="minorEastAsia" w:cstheme="minorEastAsia"/>
          <w:color w:val="auto"/>
          <w:szCs w:val="21"/>
          <w:highlight w:val="none"/>
        </w:rPr>
        <w:t xml:space="preserve">。如投标人认定本企业为中型、小型或微型企业，则需根据《中小企业划型标准规定》（工信部联企业〔2011〕300号）填报《中小企业声明函》。</w:t>
      </w:r>
      <w:r>
        <w:rPr>
          <w:rFonts w:hint="eastAsia" w:asciiTheme="minorEastAsia" w:hAnsiTheme="minorEastAsia" w:eastAsiaTheme="minorEastAsia" w:cstheme="minorEastAsia"/>
          <w:b/>
          <w:color w:val="auto"/>
          <w:szCs w:val="21"/>
          <w:highlight w:val="none"/>
        </w:rPr>
        <w:t xml:space="preserve">加盖公章后的《中小企业声明函》电子件放置于响应文件中提交。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Theme="minorEastAsia" w:hAnsiTheme="minorEastAsia" w:eastAsiaTheme="minorEastAsia" w:cstheme="minorEastAsia"/>
          <w:b/>
          <w:color w:val="auto"/>
          <w:szCs w:val="21"/>
          <w:highlight w:val="none"/>
        </w:rPr>
        <w:t xml:space="preserve">加盖公章后的《残疾人福利性单位声明函》电子件放置于响应文件中提交。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（三）监狱企业</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cstheme="minorEastAsia"/>
          <w:b/>
          <w:color w:val="auto"/>
          <w:szCs w:val="21"/>
          <w:highlight w:val="none"/>
        </w:rPr>
        <w:t xml:space="preserve">证明文件电子件放置于响应文件中提交。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（四）对本国产品的支持政策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（五）绿色采购</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color w:val="auto"/>
          <w:highlight w:val="none"/>
        </w:rPr>
        <w:t xml:space="preserve">对属于《节能产品政府采购品目清单》政府强制采购产品的，供应商</w:t>
      </w:r>
      <w:r>
        <w:rPr>
          <w:rFonts w:hint="eastAsia" w:asciiTheme="minorEastAsia" w:hAnsiTheme="minorEastAsia" w:eastAsiaTheme="minorEastAsia" w:cstheme="minorEastAsia"/>
          <w:b/>
          <w:color w:val="auto"/>
          <w:szCs w:val="21"/>
          <w:highlight w:val="none"/>
        </w:rPr>
        <w:t xml:space="preserve">需提供该产品有效期内的认证等相关证明材料，证明材料电子件放置于响应文件中提交。</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六</w:t>
      </w:r>
      <w:r>
        <w:rPr>
          <w:rFonts w:hint="eastAsia" w:asciiTheme="minorEastAsia" w:hAnsiTheme="minorEastAsia" w:eastAsiaTheme="minorEastAsia" w:cstheme="minorEastAsia"/>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 w:val="21"/>
          <w:szCs w:val="21"/>
          <w:highlight w:val="none"/>
          <w:lang w:val="en-US" w:eastAsia="zh-CN" w:bidi="ar-SA"/>
        </w:rPr>
        <w:t xml:space="preserve">（七）</w:t>
      </w:r>
      <w:r>
        <w:rPr>
          <w:rFonts w:hint="eastAsia" w:asciiTheme="minorEastAsia" w:hAnsiTheme="minorEastAsia" w:eastAsiaTheme="minorEastAsia" w:cstheme="minorEastAsia"/>
          <w:b/>
          <w:bCs/>
          <w:color w:val="auto"/>
          <w:szCs w:val="21"/>
          <w:highlight w:val="none"/>
          <w:lang w:val="en-US" w:eastAsia="zh-CN"/>
        </w:rPr>
        <w:t xml:space="preserve">异常低价审查</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按照财政部发布的《关于推动解决政府采购异常低价问题的通知》（财库〔2026〕2号）文，政府采购评审中出现下列情形之一的，评审委员会应当启动异常低价投标（响应）审查程序：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A、评审过程中出现下列情形之一的，评审委员会应当启动异常低价投标（响应）审查程序：</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3.投标（响应）报价低于采购项目最高限价45%的，即投标（响应）报价&lt;采购项目最高限价×45%；</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注：本项目报优惠率，投标（响应）价格按(1-投标优惠率)转换。</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4.评审委员会基于专业判断，认为供应商报价过低，有可能影响产品质量或者不能诚信履约的其他情形。</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供应商在项目评审全过程中应全程在线关注苏采云系统且随时保持通讯畅通，并安排专人与代理机构及谈判小组联系；造成后果自行承担。</w:t>
      </w:r>
      <w:r>
        <w:rPr>
          <w:rFonts w:hint="eastAsia" w:asciiTheme="minorEastAsia" w:hAnsiTheme="minorEastAsia" w:eastAsiaTheme="minorEastAsia" w:cstheme="minorEastAsia"/>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二、评审内容：</w:t>
      </w:r>
      <w:r/>
    </w:p>
    <w:tbl>
      <w:tblPr>
        <w:tblStyle w:val="727"/>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6555"/>
        <w:gridCol w:w="1679"/>
        <w:gridCol w:w="861"/>
      </w:tblGrid>
      <w:tr>
        <w:trPr>
          <w:jc w:val="center"/>
          <w:trHeight w:val="567"/>
          <w:tblHeader/>
        </w:trPr>
        <w:tc>
          <w:tcPr>
            <w:tcBorders>
              <w:top w:val="single" w:color="auto" w:sz="12"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bookmarkStart w:id="20" w:name="gpc_accord_horizontal_1"/>
            <w:r>
              <w:rPr>
                <w:rFonts w:hint="eastAsia" w:asciiTheme="minorEastAsia" w:hAnsiTheme="minorEastAsia" w:eastAsiaTheme="minorEastAsia" w:cstheme="minorEastAsia"/>
                <w:b/>
                <w:bCs/>
                <w:color w:val="auto"/>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评审内容</w:t>
            </w:r>
            <w:r/>
          </w:p>
        </w:tc>
        <w:tc>
          <w:tcPr>
            <w:tcBorders>
              <w:top w:val="single" w:color="auto" w:sz="12"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是否合格</w:t>
            </w:r>
            <w:r/>
          </w:p>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（是/否）</w:t>
            </w:r>
            <w:r/>
          </w:p>
        </w:tc>
        <w:tc>
          <w:tcPr>
            <w:tcBorders>
              <w:top w:val="single" w:color="auto" w:sz="12"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4"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555" w:type="dxa"/>
            <w:vAlign w:val="center"/>
            <w:textDirection w:val="lrTb"/>
            <w:noWrap w:val="false"/>
          </w:tcPr>
          <w:p>
            <w:pPr>
              <w:ind w:left="0" w:right="0" w:firstLine="0"/>
              <w:jc w:val="left"/>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服务期、付款等其他综合内容承诺</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single" w:color="auto" w:sz="4" w:space="0"/>
            </w:tcBorders>
            <w:tcW w:w="861" w:type="dxa"/>
            <w:vAlign w:val="center"/>
            <w:textDirection w:val="lrTb"/>
            <w:noWrap w:val="false"/>
          </w:tcPr>
          <w:p>
            <w:pPr>
              <w:ind w:left="0" w:right="0" w:firstLine="0"/>
              <w:jc w:val="center"/>
              <w:spacing w:line="24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bookmarkEnd w:id="20"/>
            <w:r/>
            <w:r/>
          </w:p>
        </w:tc>
        <w:tc>
          <w:tcPr>
            <w:tcBorders>
              <w:top w:val="single" w:color="auto" w:sz="4" w:space="0"/>
              <w:left w:val="single" w:color="auto" w:sz="4" w:space="0"/>
              <w:bottom w:val="single" w:color="auto" w:sz="12" w:space="0"/>
              <w:right w:val="single" w:color="auto" w:sz="4" w:space="0"/>
            </w:tcBorders>
            <w:tcW w:w="6555" w:type="dxa"/>
            <w:vAlign w:val="center"/>
            <w:textDirection w:val="lrTb"/>
            <w:noWrap w:val="false"/>
          </w:tcPr>
          <w:p>
            <w:pPr>
              <w:ind w:left="0" w:right="0" w:firstLine="0"/>
              <w:jc w:val="left"/>
              <w:spacing w:line="240" w:lineRule="auto"/>
              <w:tabs>
                <w:tab w:val="left" w:pos="0" w:leader="none"/>
                <w:tab w:val="left" w:pos="3048"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其他（除供应商资格条件及采购技术内容以外的其他涉及实质性响应谈判文件的条款内容）</w:t>
            </w:r>
            <w:r>
              <w:rPr>
                <w:rFonts w:hint="eastAsia" w:asciiTheme="minorEastAsia" w:hAnsiTheme="minorEastAsia" w:eastAsiaTheme="minorEastAsia" w:cstheme="minorEastAsia"/>
                <w:color w:val="auto"/>
                <w:szCs w:val="21"/>
                <w:highlight w:val="none"/>
              </w:rPr>
              <w:tab/>
            </w:r>
            <w:r/>
          </w:p>
        </w:tc>
        <w:tc>
          <w:tcPr>
            <w:tcBorders>
              <w:top w:val="single" w:color="auto" w:sz="4" w:space="0"/>
              <w:left w:val="single" w:color="auto" w:sz="4" w:space="0"/>
              <w:bottom w:val="single" w:color="auto" w:sz="12" w:space="0"/>
              <w:right w:val="single" w:color="auto" w:sz="4" w:space="0"/>
            </w:tcBorders>
            <w:tcW w:w="1679"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W w:w="86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rPr>
          <w:rFonts w:hint="eastAsia" w:asciiTheme="minorEastAsia" w:hAnsiTheme="minorEastAsia" w:eastAsiaTheme="minorEastAsia" w:cstheme="minorEastAsia"/>
          <w:color w:val="auto"/>
          <w:highlight w:val="none"/>
        </w:rPr>
        <w:sectPr>
          <w:footerReference w:type="even" r:id="rId12"/>
          <w:footnotePr/>
          <w:endnotePr/>
          <w:type w:val="nextPage"/>
          <w:pgSz w:w="11906" w:h="16838" w:orient="portrait"/>
          <w:pgMar w:top="1440" w:right="1083" w:bottom="1440" w:left="1083" w:header="822" w:footer="992" w:gutter="0"/>
          <w:cols w:num="1" w:sep="0" w:space="0" w:equalWidth="1"/>
          <w:docGrid w:linePitch="360"/>
        </w:sectPr>
      </w:pPr>
      <w:r>
        <w:rPr>
          <w:rFonts w:hint="eastAsia" w:asciiTheme="minorEastAsia" w:hAnsiTheme="minorEastAsia" w:eastAsiaTheme="minorEastAsia" w:cstheme="minorEastAsia"/>
          <w:color w:val="auto"/>
          <w:highlight w:val="none"/>
        </w:rPr>
      </w:r>
      <w:r/>
    </w:p>
    <w:p>
      <w:pPr>
        <w:pStyle w:val="717"/>
        <w:jc w:val="center"/>
        <w:spacing w:line="240" w:lineRule="auto"/>
        <w:rPr>
          <w:rStyle w:val="1055"/>
          <w:rFonts w:hint="eastAsia" w:asciiTheme="minorEastAsia" w:hAnsiTheme="minorEastAsia" w:eastAsiaTheme="minorEastAsia" w:cstheme="minorEastAsia"/>
          <w:b/>
          <w:bCs w:val="0"/>
          <w:color w:val="auto"/>
          <w:sz w:val="32"/>
          <w:szCs w:val="32"/>
          <w:highlight w:val="none"/>
        </w:rPr>
      </w:pPr>
      <w:r/>
      <w:bookmarkStart w:id="21" w:name="_Toc18696"/>
      <w:r/>
      <w:bookmarkStart w:id="22" w:name="_Toc26130"/>
      <w:r/>
      <w:bookmarkStart w:id="23" w:name="_Toc7"/>
      <w:r>
        <w:rPr>
          <w:rStyle w:val="1055"/>
          <w:rFonts w:hint="eastAsia" w:asciiTheme="minorEastAsia" w:hAnsiTheme="minorEastAsia" w:eastAsiaTheme="minorEastAsia" w:cstheme="minorEastAsia"/>
          <w:b/>
          <w:bCs w:val="0"/>
          <w:color w:val="auto"/>
          <w:sz w:val="32"/>
          <w:szCs w:val="32"/>
          <w:highlight w:val="none"/>
        </w:rPr>
        <w:t xml:space="preserve">第七章</w:t>
      </w:r>
      <w:r>
        <w:rPr>
          <w:rStyle w:val="1055"/>
          <w:rFonts w:hint="eastAsia" w:asciiTheme="minorEastAsia" w:hAnsiTheme="minorEastAsia" w:eastAsiaTheme="minorEastAsia" w:cstheme="minorEastAsia"/>
          <w:b/>
          <w:bCs w:val="0"/>
          <w:color w:val="auto"/>
          <w:sz w:val="32"/>
          <w:szCs w:val="32"/>
          <w:highlight w:val="none"/>
          <w:lang w:val="en-US"/>
        </w:rPr>
        <w:t xml:space="preserve"> </w:t>
      </w:r>
      <w:r>
        <w:rPr>
          <w:rStyle w:val="1055"/>
          <w:rFonts w:hint="eastAsia" w:asciiTheme="minorEastAsia" w:hAnsiTheme="minorEastAsia" w:eastAsiaTheme="minorEastAsia" w:cstheme="minorEastAsia"/>
          <w:b/>
          <w:bCs w:val="0"/>
          <w:color w:val="auto"/>
          <w:sz w:val="32"/>
          <w:szCs w:val="32"/>
          <w:highlight w:val="none"/>
        </w:rPr>
        <w:t xml:space="preserve"> 附件</w:t>
      </w:r>
      <w:bookmarkEnd w:id="21"/>
      <w:r/>
      <w:bookmarkEnd w:id="22"/>
      <w:r/>
      <w:bookmarkEnd w:id="23"/>
      <w:r/>
      <w:bookmarkStart w:id="24" w:name="gpcItem_SubmitDocStruct"/>
      <w:r/>
      <w:bookmarkEnd w:id="24"/>
      <w:r/>
      <w:r/>
    </w:p>
    <w:p>
      <w:pPr>
        <w:pStyle w:val="729"/>
        <w:ind w:firstLine="0"/>
        <w:spacing w:line="360" w:lineRule="auto"/>
        <w:rPr>
          <w:rFonts w:hint="eastAsia" w:asciiTheme="minorEastAsia" w:hAnsiTheme="minorEastAsia" w:eastAsiaTheme="minorEastAsia" w:cstheme="minorEastAsia"/>
          <w:b/>
          <w:color w:val="auto"/>
          <w:sz w:val="28"/>
          <w:szCs w:val="28"/>
          <w:highlight w:val="none"/>
        </w:rPr>
      </w:pPr>
      <w:r/>
      <w:bookmarkStart w:id="25" w:name="gpcItem_tenderStruct2"/>
      <w:r>
        <w:rPr>
          <w:rFonts w:hint="eastAsia" w:asciiTheme="minorEastAsia" w:hAnsiTheme="minorEastAsia" w:eastAsiaTheme="minorEastAsia" w:cstheme="minorEastAsia"/>
          <w:b/>
          <w:color w:val="auto"/>
          <w:sz w:val="28"/>
          <w:szCs w:val="28"/>
          <w:highlight w:val="none"/>
        </w:rPr>
        <w:t xml:space="preserve">响应文档结构表</w:t>
      </w:r>
      <w:r/>
    </w:p>
    <w:tbl>
      <w:tblPr>
        <w:tblStyle w:val="727"/>
        <w:tblW w:w="995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3680"/>
        <w:gridCol w:w="4797"/>
      </w:tblGrid>
      <w:tr>
        <w:trPr>
          <w:jc w:val="center"/>
          <w:trHeight w:val="567"/>
          <w:tblHeader/>
        </w:trPr>
        <w:tc>
          <w:tcPr>
            <w:tcMar>
              <w:left w:w="-1" w:type="dxa"/>
              <w:top w:w="-1" w:type="dxa"/>
              <w:right w:w="-1" w:type="dxa"/>
              <w:bottom w:w="-1" w:type="dxa"/>
            </w:tcMar>
            <w:tcW w:w="1473" w:type="dxa"/>
            <w:vAlign w:val="center"/>
            <w:textDirection w:val="lrTb"/>
            <w:noWrap w:val="false"/>
          </w:tcPr>
          <w:p>
            <w:pPr>
              <w:pStyle w:val="729"/>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标书名称</w:t>
            </w:r>
            <w:r/>
          </w:p>
        </w:tc>
        <w:tc>
          <w:tcPr>
            <w:tcMar>
              <w:left w:w="-1" w:type="dxa"/>
              <w:top w:w="-1" w:type="dxa"/>
              <w:right w:w="-1" w:type="dxa"/>
              <w:bottom w:w="-1" w:type="dxa"/>
            </w:tcMar>
            <w:tcW w:w="3680" w:type="dxa"/>
            <w:vAlign w:val="center"/>
            <w:textDirection w:val="lrTb"/>
            <w:noWrap w:val="false"/>
          </w:tcPr>
          <w:p>
            <w:pPr>
              <w:pStyle w:val="729"/>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Mar>
              <w:left w:w="-1" w:type="dxa"/>
              <w:top w:w="-1" w:type="dxa"/>
              <w:right w:w="-1" w:type="dxa"/>
              <w:bottom w:w="-1" w:type="dxa"/>
            </w:tcMar>
            <w:tcW w:w="4797" w:type="dxa"/>
            <w:vAlign w:val="center"/>
            <w:textDirection w:val="lrTb"/>
            <w:noWrap w:val="false"/>
          </w:tcPr>
          <w:p>
            <w:pPr>
              <w:pStyle w:val="729"/>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jc w:val="center"/>
          <w:trHeight w:val="567"/>
        </w:trPr>
        <w:tc>
          <w:tcPr>
            <w:tcMar>
              <w:left w:w="-1" w:type="dxa"/>
              <w:top w:w="-1" w:type="dxa"/>
              <w:right w:w="-1" w:type="dxa"/>
              <w:bottom w:w="-1" w:type="dxa"/>
            </w:tcMar>
            <w:tcW w:w="1473" w:type="dxa"/>
            <w:vAlign w:val="center"/>
            <w:vMerge w:val="restart"/>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标书结构</w:t>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供应商情况表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_Ref15302730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附件1：供应商情况表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响应承诺函</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_Ref33617519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附件2：响应承诺函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_Ref33617527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附件3：中小企业声明函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_Ref33617531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附件4：残疾人福利性单位声明函</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食品安全承诺书</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szCs w:val="21"/>
                <w:highlight w:val="none"/>
              </w:rPr>
              <w:t xml:space="preserve">附件5</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食品安全承诺书</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法定代表人授权委托书</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_Ref33617535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：法定代表人授权委托书:</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_Ref15302750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：开标一览表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报价分析表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_Ref15304724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br w:type="column"/>
            </w: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：报价分析表</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相关业绩一览表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：相关业绩一览表</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拟投入人员及设备一览表</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：拟投入人员及设备一览表</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服务方案</w:t>
            </w:r>
            <w:r/>
          </w:p>
        </w:tc>
        <w:tc>
          <w:tcPr>
            <w:tcMar>
              <w:left w:w="-1" w:type="dxa"/>
              <w:top w:w="-1" w:type="dxa"/>
              <w:right w:w="-1" w:type="dxa"/>
              <w:bottom w:w="-1" w:type="dxa"/>
            </w:tcMar>
            <w:tcW w:w="4797"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附件1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：服务方案</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highlight w:val="none"/>
              </w:rPr>
              <w:fldChar w:fldCharType="begin"/>
            </w:r>
            <w:r>
              <w:rPr>
                <w:rFonts w:hint="eastAsia" w:asciiTheme="minorEastAsia" w:hAnsiTheme="minorEastAsia" w:eastAsiaTheme="minorEastAsia" w:cstheme="minorEastAsia"/>
                <w:color w:val="auto"/>
                <w:sz w:val="21"/>
                <w:highlight w:val="none"/>
              </w:rPr>
              <w:instrText xml:space="preserve"> REF _Ref33617553 \h  \* MERGEFORMAT </w:instrText>
            </w:r>
            <w:r>
              <w:rPr>
                <w:rFonts w:hint="eastAsia" w:asciiTheme="minorEastAsia" w:hAnsiTheme="minorEastAsia" w:eastAsiaTheme="minorEastAsia" w:cstheme="minorEastAsia"/>
                <w:color w:val="auto"/>
                <w:sz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附件1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：偏离表（技术、商务）</w:t>
            </w:r>
            <w:r>
              <w:rPr>
                <w:rFonts w:hint="eastAsia" w:asciiTheme="minorEastAsia" w:hAnsiTheme="minorEastAsia" w:eastAsiaTheme="minorEastAsia" w:cstheme="minorEastAsia"/>
                <w:color w:val="auto"/>
                <w:sz w:val="21"/>
                <w:highlight w:val="none"/>
              </w:rPr>
              <w:fldChar w:fldCharType="end"/>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资格证明声明函</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3</w:t>
            </w:r>
            <w:r>
              <w:rPr>
                <w:rFonts w:hint="eastAsia" w:asciiTheme="minorEastAsia" w:hAnsiTheme="minorEastAsia" w:eastAsiaTheme="minorEastAsia" w:cstheme="minorEastAsia"/>
                <w:color w:val="auto"/>
                <w:sz w:val="21"/>
                <w:highlight w:val="none"/>
              </w:rPr>
              <w:t xml:space="preserve">：</w:t>
            </w:r>
            <w:r>
              <w:rPr>
                <w:rFonts w:hint="eastAsia" w:asciiTheme="minorEastAsia" w:hAnsiTheme="minorEastAsia" w:eastAsiaTheme="minorEastAsia" w:cstheme="minorEastAsia"/>
                <w:color w:val="auto"/>
                <w:sz w:val="21"/>
                <w:szCs w:val="21"/>
                <w:highlight w:val="none"/>
              </w:rPr>
              <w:t xml:space="preserve">资格证明声明函</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4</w:t>
            </w:r>
            <w:r>
              <w:rPr>
                <w:rFonts w:hint="eastAsia" w:asciiTheme="minorEastAsia" w:hAnsiTheme="minorEastAsia" w:eastAsiaTheme="minorEastAsia" w:cstheme="minorEastAsia"/>
                <w:color w:val="auto"/>
                <w:sz w:val="21"/>
                <w:highlight w:val="none"/>
              </w:rPr>
              <w:t xml:space="preserve">：</w:t>
            </w:r>
            <w:r>
              <w:rPr>
                <w:rFonts w:hint="eastAsia" w:asciiTheme="minorEastAsia" w:hAnsiTheme="minorEastAsia" w:eastAsiaTheme="minorEastAsia" w:cstheme="minorEastAsia"/>
                <w:color w:val="auto"/>
                <w:sz w:val="21"/>
                <w:szCs w:val="21"/>
                <w:highlight w:val="none"/>
              </w:rPr>
              <w:t xml:space="preserve">远程参与开标会议诚信承诺书</w:t>
            </w:r>
            <w:r/>
          </w:p>
        </w:tc>
      </w:tr>
      <w:tr>
        <w:trPr>
          <w:jc w:val="center"/>
          <w:trHeight w:val="567"/>
        </w:trPr>
        <w:tc>
          <w:tcPr>
            <w:tcMar>
              <w:left w:w="-1" w:type="dxa"/>
              <w:top w:w="-1" w:type="dxa"/>
              <w:right w:w="-1" w:type="dxa"/>
              <w:bottom w:w="-1" w:type="dxa"/>
            </w:tcMar>
            <w:tcW w:w="1473" w:type="dxa"/>
            <w:vAlign w:val="center"/>
            <w:vMerge w:val="continue"/>
            <w:textDirection w:val="lrTb"/>
            <w:noWrap w:val="false"/>
          </w:tcPr>
          <w:p>
            <w:pPr>
              <w:ind w:left="0" w:right="0" w:firstLine="0"/>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Mar>
              <w:left w:w="-1" w:type="dxa"/>
              <w:top w:w="-1" w:type="dxa"/>
              <w:right w:w="-1" w:type="dxa"/>
              <w:bottom w:w="-1" w:type="dxa"/>
            </w:tcMar>
            <w:tcW w:w="3680" w:type="dxa"/>
            <w:vAlign w:val="center"/>
            <w:textDirection w:val="lrTb"/>
            <w:noWrap w:val="false"/>
          </w:tcPr>
          <w:p>
            <w:pPr>
              <w:pStyle w:val="729"/>
              <w:ind w:left="0" w:right="0" w:firstLine="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关于符合本国产品标准的声明函</w:t>
            </w:r>
            <w:bookmarkEnd w:id="25"/>
            <w:r/>
            <w:r/>
          </w:p>
        </w:tc>
        <w:tc>
          <w:tcPr>
            <w:tcMar>
              <w:left w:w="-1" w:type="dxa"/>
              <w:top w:w="-1" w:type="dxa"/>
              <w:right w:w="-1" w:type="dxa"/>
              <w:bottom w:w="-1" w:type="dxa"/>
            </w:tcMar>
            <w:tcW w:w="4797" w:type="dxa"/>
            <w:vAlign w:val="center"/>
            <w:textDirection w:val="lrTb"/>
            <w:noWrap w:val="false"/>
          </w:tcPr>
          <w:p>
            <w:pPr>
              <w:ind w:left="0" w:right="0" w:firstLine="0"/>
              <w:jc w:val="left"/>
              <w:widowControl/>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附件1</w:t>
            </w:r>
            <w:r>
              <w:rPr>
                <w:rFonts w:hint="eastAsia" w:asciiTheme="minorEastAsia" w:hAnsiTheme="minorEastAsia" w:eastAsiaTheme="minorEastAsia" w:cstheme="minorEastAsia"/>
                <w:color w:val="auto"/>
                <w:sz w:val="21"/>
                <w:highlight w:val="none"/>
                <w:lang w:val="en-US" w:eastAsia="zh-CN"/>
              </w:rPr>
              <w:t xml:space="preserve">5</w:t>
            </w:r>
            <w:r>
              <w:rPr>
                <w:rFonts w:hint="eastAsia" w:asciiTheme="minorEastAsia" w:hAnsiTheme="minorEastAsia" w:eastAsiaTheme="minorEastAsia" w:cstheme="minorEastAsia"/>
                <w:color w:val="auto"/>
                <w:sz w:val="21"/>
                <w:highlight w:val="none"/>
              </w:rPr>
              <w:t xml:space="preserve">：关于符合本国产品标准的声明函</w:t>
            </w:r>
            <w:r/>
          </w:p>
        </w:tc>
      </w:tr>
    </w:tbl>
    <w:p>
      <w:pPr>
        <w:pStyle w:val="729"/>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w:t>
      </w:r>
      <w:r/>
    </w:p>
    <w:p>
      <w:pPr>
        <w:pStyle w:val="72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对本章的格式，供应商可根据自身情况进行补充和修改，但补充和修改不得造成与本格式内容有实质性的违背。</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26" w:name="_Ref10712456"/>
      <w:r/>
      <w:bookmarkStart w:id="27" w:name="_Ref499899149"/>
      <w:r/>
      <w:bookmarkStart w:id="28" w:name="_Toc8"/>
      <w:r/>
      <w:bookmarkStart w:id="29" w:name="_Ref15302730"/>
      <w:r/>
      <w:bookmarkStart w:id="30" w:name="_Ref477865927"/>
      <w:r>
        <w:rPr>
          <w:rFonts w:hint="eastAsia" w:asciiTheme="minorEastAsia" w:hAnsiTheme="minorEastAsia" w:eastAsiaTheme="minorEastAsia" w:cstheme="minorEastAsia"/>
          <w:color w:val="auto"/>
          <w:sz w:val="24"/>
          <w:szCs w:val="24"/>
          <w:highlight w:val="none"/>
        </w:rPr>
        <w:t xml:space="preserve">附件1：</w:t>
      </w:r>
      <w:bookmarkEnd w:id="26"/>
      <w:r/>
      <w:bookmarkEnd w:id="27"/>
      <w:r>
        <w:rPr>
          <w:rFonts w:hint="eastAsia" w:asciiTheme="minorEastAsia" w:hAnsiTheme="minorEastAsia" w:eastAsiaTheme="minorEastAsia" w:cstheme="minorEastAsia"/>
          <w:color w:val="auto"/>
          <w:sz w:val="24"/>
          <w:szCs w:val="24"/>
          <w:highlight w:val="none"/>
        </w:rPr>
        <w:t xml:space="preserve">供应商情况表</w:t>
      </w:r>
      <w:bookmarkEnd w:id="28"/>
      <w:r/>
      <w:bookmarkEnd w:id="29"/>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供应商情况表</w:t>
      </w:r>
      <w:r/>
    </w:p>
    <w:p>
      <w:pPr>
        <w:spacing w:line="30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单位名称（加盖公章）：</w:t>
      </w:r>
      <w:r/>
    </w:p>
    <w:tbl>
      <w:tblPr>
        <w:tblStyle w:val="727"/>
        <w:tblW w:w="5029" w:type="pct"/>
        <w:jc w:val="center"/>
        <w:tblBorders>
          <w:top w:val="none" w:color="auto" w:sz="6" w:space="0"/>
          <w:left w:val="none" w:color="auto" w:sz="6" w:space="0"/>
          <w:bottom w:val="none" w:color="auto" w:sz="6" w:space="0"/>
          <w:right w:val="none" w:color="auto" w:sz="6" w:space="0"/>
          <w:insideH w:val="none" w:color="auto" w:sz="4" w:space="0"/>
          <w:insideV w:val="none" w:color="auto" w:sz="4" w:space="0"/>
        </w:tblBorders>
        <w:tblLayout w:type="fixed"/>
        <w:tblCellMar>
          <w:left w:w="28" w:type="dxa"/>
          <w:top w:w="0" w:type="dxa"/>
          <w:right w:w="28" w:type="dxa"/>
          <w:bottom w:w="0" w:type="dxa"/>
        </w:tblCellMar>
        <w:tblLook w:val="04A0" w:firstRow="1" w:lastRow="0" w:firstColumn="1" w:lastColumn="0" w:noHBand="0" w:noVBand="1"/>
      </w:tblPr>
      <w:tblGrid>
        <w:gridCol w:w="584"/>
        <w:gridCol w:w="3619"/>
        <w:gridCol w:w="848"/>
        <w:gridCol w:w="343"/>
        <w:gridCol w:w="51"/>
        <w:gridCol w:w="1554"/>
        <w:gridCol w:w="1572"/>
        <w:gridCol w:w="1226"/>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w:t>
            </w:r>
            <w:r/>
          </w:p>
        </w:tc>
        <w:tc>
          <w:tcPr>
            <w:gridSpan w:val="3"/>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49"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144"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公司成立日期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233"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总部地址</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26"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本地办事处地址</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26"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98"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14"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联系人电话（手机）</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14"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98"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14"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814"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（必填，涉及澄清、解释等的书面形式沟通）</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单位从业人员数量</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198" w:type="dxa"/>
            <w:vAlign w:val="center"/>
            <w:textDirection w:val="lrTb"/>
            <w:noWrap w:val="false"/>
          </w:tcPr>
          <w:p>
            <w:pPr>
              <w:pStyle w:val="729"/>
              <w:jc w:val="right"/>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w:t>
            </w:r>
            <w:r/>
          </w:p>
        </w:tc>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195"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年总营业收入</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33"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640" w:type="dxa"/>
            <w:vAlign w:val="center"/>
            <w:textDirection w:val="lrTb"/>
            <w:noWrap w:val="false"/>
          </w:tcPr>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企业规模</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626" w:type="dxa"/>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□大型       □中型       □小型       □微型</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gridSpan w:val="7"/>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6"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主营范围</w:t>
            </w:r>
            <w:r/>
          </w:p>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1、_____________________________________</w:t>
            </w:r>
            <w:r/>
          </w:p>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2、_____________________________________</w:t>
            </w:r>
            <w:r/>
          </w:p>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rPr>
              <w:t xml:space="preserve">_____________________________________</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3" w:type="dxa"/>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最近3年内在经营过程中受到何种奖励或处分</w:t>
            </w:r>
            <w:r/>
          </w:p>
        </w:tc>
        <w:tc>
          <w:tcPr>
            <w:gridSpan w:val="5"/>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73" w:type="dxa"/>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3" w:type="dxa"/>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5"/>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73" w:type="dxa"/>
            <w:vAlign w:val="top"/>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587" w:type="dxa"/>
            <w:vAlign w:val="center"/>
            <w:textDirection w:val="lrTb"/>
            <w:noWrap w:val="false"/>
          </w:tcPr>
          <w:p>
            <w:pPr>
              <w:pStyle w:val="729"/>
              <w:ind w:firstLine="0"/>
              <w:jc w:val="center"/>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gridSpan w:val="7"/>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9266" w:type="dxa"/>
            <w:vAlign w:val="center"/>
            <w:textDirection w:val="lrTb"/>
            <w:noWrap w:val="false"/>
          </w:tcPr>
          <w:p>
            <w:pPr>
              <w:pStyle w:val="729"/>
              <w:ind w:firstLine="0"/>
              <w:jc w:val="both"/>
              <w:spacing w:line="30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r>
    </w:tbl>
    <w:p>
      <w:pPr>
        <w:pStyle w:val="1128"/>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注：企业规模的企业划型标准请根据《中小企业划型标准规定》（工信部联企业〔2011〕300号）。</w:t>
      </w:r>
      <w:bookmarkEnd w:id="30"/>
      <w:r/>
      <w:r/>
    </w:p>
    <w:p>
      <w:pPr>
        <w:rPr>
          <w:rFonts w:hint="eastAsia" w:asciiTheme="minorEastAsia" w:hAnsiTheme="minorEastAsia" w:eastAsiaTheme="minorEastAsia" w:cstheme="minorEastAsia"/>
          <w:color w:val="auto"/>
          <w:highlight w:val="none"/>
        </w:rPr>
      </w:pPr>
      <w:r/>
      <w:bookmarkStart w:id="31" w:name="_Ref507166820"/>
      <w:r/>
      <w:bookmarkStart w:id="32" w:name="_Ref15302737"/>
      <w:r/>
      <w:bookmarkStart w:id="33" w:name="_Ref477865930"/>
      <w:r/>
      <w:bookmarkStart w:id="34" w:name="_Ref376770270"/>
      <w:r/>
      <w:r/>
    </w:p>
    <w:p>
      <w:pPr>
        <w:rPr>
          <w:rFonts w:hint="eastAsia" w:asciiTheme="minorEastAsia" w:hAnsiTheme="minorEastAsia" w:eastAsiaTheme="minorEastAsia" w:cstheme="minorEastAsia"/>
          <w:color w:val="auto"/>
          <w:sz w:val="24"/>
          <w:szCs w:val="24"/>
          <w:highlight w:val="none"/>
        </w:rPr>
      </w:pPr>
      <w:r/>
      <w:bookmarkStart w:id="35" w:name="_Toc9"/>
      <w:r/>
      <w:bookmarkStart w:id="36" w:name="_Ref33617519"/>
      <w:r>
        <w:rPr>
          <w:rFonts w:hint="eastAsia" w:asciiTheme="minorEastAsia" w:hAnsiTheme="minorEastAsia" w:eastAsiaTheme="minorEastAsia" w:cstheme="minorEastAsia"/>
          <w:color w:val="auto"/>
          <w:sz w:val="24"/>
          <w:szCs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附件2：</w:t>
      </w:r>
      <w:bookmarkEnd w:id="31"/>
      <w:r>
        <w:rPr>
          <w:rFonts w:hint="eastAsia" w:asciiTheme="minorEastAsia" w:hAnsiTheme="minorEastAsia" w:eastAsiaTheme="minorEastAsia" w:cstheme="minorEastAsia"/>
          <w:color w:val="auto"/>
          <w:sz w:val="24"/>
          <w:szCs w:val="24"/>
          <w:highlight w:val="none"/>
        </w:rPr>
        <w:t xml:space="preserve">响应承诺函</w:t>
      </w:r>
      <w:bookmarkEnd w:id="32"/>
      <w:r/>
      <w:bookmarkEnd w:id="35"/>
      <w:r/>
      <w:bookmarkEnd w:id="36"/>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响应承诺函</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w:t>
      </w:r>
      <w:r>
        <w:rPr>
          <w:rFonts w:hint="eastAsia" w:asciiTheme="minorEastAsia" w:hAnsiTheme="minorEastAsia" w:eastAsiaTheme="minorEastAsia" w:cstheme="minorEastAsia"/>
          <w:iCs/>
          <w:color w:val="auto"/>
          <w:highlight w:val="none"/>
          <w:u w:val="single"/>
        </w:rPr>
        <w:t xml:space="preserve">（采购人名称）</w:t>
      </w:r>
      <w:r>
        <w:rPr>
          <w:rFonts w:hint="eastAsia" w:asciiTheme="minorEastAsia" w:hAnsiTheme="minorEastAsia" w:eastAsiaTheme="minorEastAsia" w:cstheme="minorEastAsia"/>
          <w:iCs/>
          <w:color w:val="auto"/>
          <w:highlight w:val="none"/>
        </w:rPr>
        <w:t xml:space="preserve">、</w:t>
      </w: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经仔细阅读和研究，我方</w:t>
      </w:r>
      <w:r>
        <w:rPr>
          <w:rFonts w:hint="eastAsia" w:asciiTheme="minorEastAsia" w:hAnsiTheme="minorEastAsia" w:eastAsiaTheme="minorEastAsia" w:cstheme="minorEastAsia"/>
          <w:color w:val="auto"/>
          <w:highlight w:val="none"/>
        </w:rPr>
        <w:t xml:space="preserve">自愿参加_</w:t>
      </w:r>
      <w:r>
        <w:rPr>
          <w:rFonts w:hint="eastAsia" w:asciiTheme="minorEastAsia" w:hAnsiTheme="minorEastAsia" w:eastAsiaTheme="minorEastAsia" w:cstheme="minorEastAsia"/>
          <w:iCs/>
          <w:color w:val="auto"/>
          <w:highlight w:val="none"/>
          <w:u w:val="single"/>
        </w:rPr>
        <w:t xml:space="preserve">（项目名称及项目编号）</w:t>
      </w:r>
      <w:r>
        <w:rPr>
          <w:rFonts w:hint="eastAsia" w:asciiTheme="minorEastAsia" w:hAnsiTheme="minorEastAsia" w:eastAsiaTheme="minorEastAsia" w:cstheme="minorEastAsia"/>
          <w:color w:val="auto"/>
          <w:highlight w:val="none"/>
        </w:rPr>
        <w:t xml:space="preserve">的采购活动，并做出如下承诺：</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2、如果我们的谈判响应文件被接受，我们将严格履行采购文件中规定的每一项要求，按期、按质、按量履行合同的义务。</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3、我们已详细审查全部采购文件，包括补充文件(如果有的话)。我们完全理解并同意放弃对这方面有不明及误解的权力。</w:t>
      </w:r>
      <w:r/>
    </w:p>
    <w:p>
      <w:pPr>
        <w:ind w:firstLine="42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4、我们响应招标文件中要求的投标有效期</w:t>
      </w:r>
      <w:r>
        <w:rPr>
          <w:rFonts w:hint="eastAsia" w:asciiTheme="minorEastAsia" w:hAnsiTheme="minorEastAsia" w:eastAsiaTheme="minorEastAsia" w:cstheme="minorEastAsia"/>
          <w:color w:val="auto"/>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5、我们愿意提供谈判采购单位在采购文件中要求的所有资料。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6、我们认为你们有权决定成交单位，还认为你们有权接受或拒绝所有的谈判供应商。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7、我们愿意遵守采购文件中所列的收费标准。</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8、我们承诺该谈判响应文件在谈判开始后的全过程中保持有效，不作任何更改和变动。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9、我们愿意按采购文件的规定交纳谈判保证金，并同意谈判供应商须知中关于没收谈判保证金的规定。</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11、综合说明：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（1）伴随服务及配合措施；</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（2）要求甲方提供的配合；</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（3）对采购文件有不同意见的偏离说明；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（4）其它说明。</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 除不可抗力外，我单位如果发生以下行为，将在行为发生的10个工作日内，向贵方支付本采购文件公布的预算价的2%作为违约赔偿金。</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（3）在投标（响应）文件中提供虚假材料；</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（4）恶意串通；</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（5）其他违法违规情形。</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13.</w:t>
      </w:r>
      <w:r>
        <w:rPr>
          <w:rFonts w:hint="eastAsia" w:asciiTheme="minorEastAsia" w:hAnsiTheme="minorEastAsia" w:eastAsiaTheme="minorEastAsia" w:cstheme="minorEastAsia"/>
          <w:color w:val="auto"/>
          <w:highlight w:val="none"/>
        </w:rPr>
        <w:t xml:space="preserve">我方知晓上述行为的法律后果，并认可本承诺函作为采购人要求我方履行违约赔偿的依据。</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5775"/>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供应商：（加盖公章）</w:t>
      </w:r>
      <w:r/>
    </w:p>
    <w:p>
      <w:pPr>
        <w:ind w:firstLine="420"/>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法定代表人或被授权人：（签字或盖章）</w:t>
      </w:r>
      <w:r/>
    </w:p>
    <w:p>
      <w:pPr>
        <w:ind w:firstLine="420"/>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日期：    年  月  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bookmarkEnd w:id="33"/>
      <w:r/>
      <w:bookmarkEnd w:id="34"/>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37" w:name="_Ref33617527"/>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38" w:name="_Toc10"/>
      <w:r>
        <w:rPr>
          <w:rFonts w:hint="eastAsia" w:asciiTheme="minorEastAsia" w:hAnsiTheme="minorEastAsia" w:eastAsiaTheme="minorEastAsia" w:cstheme="minorEastAsia"/>
          <w:color w:val="auto"/>
          <w:sz w:val="24"/>
          <w:szCs w:val="24"/>
          <w:highlight w:val="none"/>
        </w:rPr>
        <w:t xml:space="preserve">附件3：中小企业声明函</w:t>
      </w:r>
      <w:bookmarkEnd w:id="37"/>
      <w:r/>
      <w:bookmarkEnd w:id="38"/>
      <w:r/>
      <w:r/>
    </w:p>
    <w:p>
      <w:pPr>
        <w:pStyle w:val="1123"/>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______________________：</w:t>
      </w:r>
      <w:r/>
    </w:p>
    <w:p>
      <w:pPr>
        <w:pStyle w:val="1123"/>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本公司（联合体）郑重声明，根据《政府采购促进中小企业发展管理办法》（财库[2020]46号）的规定，本公司参加</w:t>
      </w:r>
      <w:r>
        <w:rPr>
          <w:rFonts w:hint="eastAsia" w:asciiTheme="minorEastAsia" w:hAnsiTheme="minorEastAsia" w:eastAsiaTheme="minorEastAsia" w:cstheme="minorEastAsia"/>
          <w:i/>
          <w:iCs/>
          <w:color w:val="auto"/>
          <w:sz w:val="21"/>
          <w:szCs w:val="21"/>
          <w:highlight w:val="none"/>
          <w:u w:val="single"/>
        </w:rPr>
        <w:t xml:space="preserve">（单位名称）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i/>
          <w:iCs/>
          <w:color w:val="auto"/>
          <w:sz w:val="21"/>
          <w:szCs w:val="21"/>
          <w:highlight w:val="none"/>
          <w:u w:val="single"/>
        </w:rPr>
        <w:t xml:space="preserve">（项目名称）</w:t>
      </w:r>
      <w:r>
        <w:rPr>
          <w:rFonts w:hint="eastAsia" w:asciiTheme="minorEastAsia" w:hAnsiTheme="minorEastAsia" w:eastAsiaTheme="minorEastAsia" w:cstheme="minorEastAsia"/>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i/>
          <w:iCs/>
          <w:color w:val="auto"/>
          <w:highlight w:val="none"/>
          <w:u w:val="single"/>
        </w:rPr>
        <w:t xml:space="preserve">（标的名称）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i/>
          <w:iCs/>
          <w:color w:val="auto"/>
          <w:highlight w:val="none"/>
          <w:u w:val="single"/>
        </w:rPr>
        <w:t xml:space="preserve">（招标文件中明确的所属行业）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i/>
          <w:iCs/>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i/>
          <w:iCs/>
          <w:color w:val="auto"/>
          <w:highlight w:val="none"/>
          <w:u w:val="single"/>
        </w:rPr>
        <w:t xml:space="preserve">（中型企业、小 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i/>
          <w:iCs/>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i/>
          <w:iCs/>
          <w:color w:val="auto"/>
          <w:highlight w:val="none"/>
          <w:u w:val="single"/>
        </w:rPr>
        <w:t xml:space="preserve">（招标文件中明确的所属行业）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i/>
          <w:iCs/>
          <w:color w:val="auto"/>
          <w:highlight w:val="none"/>
          <w:u w:val="single"/>
        </w:rPr>
        <w:t xml:space="preserve">（企业名称）</w:t>
      </w:r>
      <w:r>
        <w:rPr>
          <w:rFonts w:hint="eastAsia" w:asciiTheme="minorEastAsia" w:hAnsiTheme="minorEastAsia" w:eastAsiaTheme="minorEastAsia" w:cstheme="minorEastAsia"/>
          <w:color w:val="auto"/>
          <w:highlight w:val="none"/>
        </w:rPr>
        <w:t xml:space="preserve">，从业人员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万元，属于</w:t>
      </w:r>
      <w:r>
        <w:rPr>
          <w:rFonts w:hint="eastAsia" w:asciiTheme="minorEastAsia" w:hAnsiTheme="minorEastAsia" w:eastAsiaTheme="minorEastAsia" w:cstheme="minorEastAsia"/>
          <w:i/>
          <w:iCs/>
          <w:color w:val="auto"/>
          <w:highlight w:val="none"/>
          <w:u w:val="single"/>
        </w:rPr>
        <w:t xml:space="preserve">（中型企业、小 型企业、微型企业）</w:t>
      </w:r>
      <w:r>
        <w:rPr>
          <w:rFonts w:hint="eastAsia" w:asciiTheme="minorEastAsia" w:hAnsiTheme="minorEastAsia" w:eastAsiaTheme="minorEastAsia" w:cstheme="minorEastAsia"/>
          <w:color w:val="auto"/>
          <w:highlight w:val="none"/>
        </w:rPr>
        <w:t xml:space="preserve">；</w:t>
      </w:r>
      <w:r/>
    </w:p>
    <w:p>
      <w:pPr>
        <w:ind w:firstLine="42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1128"/>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本项目所属行业为：</w:t>
      </w:r>
      <w:r>
        <w:rPr>
          <w:rFonts w:hint="eastAsia" w:asciiTheme="minorEastAsia" w:hAnsiTheme="minorEastAsia" w:eastAsiaTheme="minorEastAsia" w:cstheme="minorEastAsia"/>
          <w:b/>
          <w:color w:val="auto"/>
          <w:sz w:val="21"/>
          <w:szCs w:val="21"/>
          <w:highlight w:val="none"/>
          <w:lang w:val="en-US" w:eastAsia="zh-CN"/>
        </w:rPr>
        <w:t xml:space="preserve">批发</w:t>
      </w:r>
      <w:r>
        <w:rPr>
          <w:rFonts w:hint="eastAsia" w:asciiTheme="minorEastAsia" w:hAnsiTheme="minorEastAsia" w:eastAsiaTheme="minorEastAsia" w:cstheme="minorEastAsia"/>
          <w:b/>
          <w:color w:val="auto"/>
          <w:sz w:val="21"/>
          <w:szCs w:val="21"/>
          <w:highlight w:val="none"/>
        </w:rPr>
        <w:t xml:space="preserve">业。中小微企业划型标准请根据《中小企业划型标准规定》（工信部联企业〔2011〕300号）。</w:t>
      </w:r>
      <w:r/>
    </w:p>
    <w:p>
      <w:pPr>
        <w:pStyle w:val="112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注：从业人员、营业收入、资产总额填报上一年度数据，无上一年度数据的新成立企业可不填报。</w:t>
      </w:r>
      <w:r/>
    </w:p>
    <w:p>
      <w:pPr>
        <w:pStyle w:val="112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39" w:name="_Ref33617531"/>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40" w:name="_Toc11"/>
      <w:r>
        <w:rPr>
          <w:rFonts w:hint="eastAsia" w:asciiTheme="minorEastAsia" w:hAnsiTheme="minorEastAsia" w:eastAsiaTheme="minorEastAsia" w:cstheme="minorEastAsia"/>
          <w:color w:val="auto"/>
          <w:sz w:val="24"/>
          <w:szCs w:val="24"/>
          <w:highlight w:val="none"/>
        </w:rPr>
        <w:t xml:space="preserve">附件4：残疾人福利性单位声明函</w:t>
      </w:r>
      <w:bookmarkEnd w:id="39"/>
      <w:r/>
      <w:bookmarkEnd w:id="40"/>
      <w:r/>
      <w:r/>
    </w:p>
    <w:p>
      <w:pPr>
        <w:pStyle w:val="1126"/>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w:t>
      </w:r>
      <w:r/>
    </w:p>
    <w:p>
      <w:pPr>
        <w:pStyle w:val="1126"/>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26"/>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pStyle w:val="1124"/>
        <w:ind w:firstLine="425"/>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  年  月  日</w:t>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29"/>
        <w:ind w:left="0" w:firstLine="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718"/>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 xml:space="preserve">附件5：</w:t>
      </w:r>
      <w:r>
        <w:rPr>
          <w:rFonts w:hint="eastAsia" w:asciiTheme="minorEastAsia" w:hAnsiTheme="minorEastAsia" w:eastAsiaTheme="minorEastAsia" w:cstheme="minorEastAsia"/>
          <w:color w:val="auto"/>
          <w:sz w:val="24"/>
          <w:szCs w:val="24"/>
          <w:highlight w:val="none"/>
          <w:lang w:val="zh-CN" w:eastAsia="zh-CN"/>
        </w:rPr>
        <w:t xml:space="preserve">食品安全承诺书</w:t>
      </w:r>
      <w:r/>
    </w:p>
    <w:p>
      <w:pPr>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21"/>
          <w:szCs w:val="21"/>
          <w:highlight w:val="none"/>
          <w:lang w:val="zh-CN" w:eastAsia="zh-CN" w:bidi="ar-SA"/>
        </w:rPr>
        <w:t xml:space="preserve">食品安全承诺书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为保障食堂食品原材料安全，进一步贯彻执行《食品安全法》，本单位郑重承诺：</w:t>
      </w:r>
      <w:r/>
    </w:p>
    <w:p>
      <w:pPr>
        <w:numPr>
          <w:ilvl w:val="0"/>
          <w:numId w:val="12"/>
        </w:num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严格依照《食品安全法》等法律法规从事食品经营活动，诚信经营，保证食品安全，接受社会监督，承担社会责任。</w:t>
      </w:r>
      <w:r/>
    </w:p>
    <w:p>
      <w:pPr>
        <w:numPr>
          <w:ilvl w:val="0"/>
          <w:numId w:val="12"/>
        </w:num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严格落实国家市场监管总局60号令《企业落实食品安全主体责任监督管理规定》要求，建立健全食品安全责任体系，通过“苏食安”平台进行食安履责，明确责任人、做好三件事、记好三本账。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五、严格落实食品安全管理制度。建立健全食品安全责任制，落实食品安全培训考核制度，加强食品从业人员的岗位管理与培训，提升食品管理水平。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六、严格执行从业人员健康管理制度。经营人员每年进行健康检查，取得健康证明后方从事食品经营活动。保持个人卫生，按照要求开展加工操作。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严格落实加工经营过程控制制度，加工、经营的布局、流程，设施设备的数量符合食品安全法律法规的要求，经营场所保持清洁，设施设备及时消毒并按规定存放，并不断更新投入以确保食堂食品原材料配送的需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八、严格执行法律法规以及规范对食堂禁用、慎用食品的规定，坚决不采购、配送违反食品安全法律法规以及食堂禁用、慎用规定的食品原材料。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严格落实食品加工、贮存、运输管理规定，保证食品安全所需的环境条件，定期检查货架及库存食品，及时清理变质或者超过保质期的食品。防止交叉污染和贮存运输不当导致食品变质。承诺向食堂供应的食品原料</w:t>
      </w:r>
      <w:r>
        <w:rPr>
          <w:rFonts w:hint="eastAsia" w:asciiTheme="minorEastAsia" w:hAnsiTheme="minorEastAsia" w:eastAsiaTheme="minorEastAsia" w:cstheme="minorEastAsia"/>
          <w:color w:val="auto"/>
          <w:szCs w:val="21"/>
          <w:highlight w:val="none"/>
          <w:lang w:val="en-US" w:eastAsia="zh-CN"/>
        </w:rPr>
        <w:t xml:space="preserve">均在保质期内，且未超过保质时间的1/3</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十、严格落实食品标签管理规定，所有配送食品必须标签完整、清晰。配送散装食品必须在散装食品的容器、外包装上标明食品的名称、生产日期、保质期、生产经营者名称及联系方式等内容；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十一、严格落实食品检验制度，设置食品检测室，配备专门的检测设备，有专职的检测人员，按规定开展食品检测工作，检测结果即时上传并按规定公示。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r/>
    </w:p>
    <w:p>
      <w:pPr>
        <w:pStyle w:val="101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101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pStyle w:val="1012"/>
        <w:ind w:left="3400" w:firstLine="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rPr>
          <w:rFonts w:hint="eastAsia" w:asciiTheme="minorEastAsia" w:hAnsiTheme="minorEastAsia" w:eastAsiaTheme="minorEastAsia" w:cstheme="minorEastAsia"/>
          <w:b/>
          <w:bCs/>
          <w:color w:val="auto"/>
          <w:szCs w:val="21"/>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41" w:name="_Ref33617535"/>
      <w:r/>
      <w:bookmarkStart w:id="42" w:name="_Toc12"/>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：法定代表人授权委托书:</w:t>
      </w:r>
      <w:bookmarkEnd w:id="41"/>
      <w:r/>
      <w:bookmarkEnd w:id="42"/>
      <w:r/>
      <w:r/>
    </w:p>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法定代表人授权委托书</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苏州宇恩项目咨询有限公司：</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本授权委托书声明：我</w:t>
      </w:r>
      <w:r>
        <w:rPr>
          <w:rFonts w:hint="eastAsia" w:asciiTheme="minorEastAsia" w:hAnsiTheme="minorEastAsia" w:eastAsiaTheme="minorEastAsia" w:cstheme="minorEastAsia"/>
          <w:color w:val="auto"/>
          <w:szCs w:val="21"/>
          <w:highlight w:val="none"/>
          <w:u w:val="single"/>
        </w:rPr>
        <w:t xml:space="preserve">（法定代表人姓名）</w:t>
      </w:r>
      <w:r>
        <w:rPr>
          <w:rFonts w:hint="eastAsia" w:asciiTheme="minorEastAsia" w:hAnsiTheme="minorEastAsia" w:eastAsiaTheme="minorEastAsia" w:cstheme="minorEastAsia"/>
          <w:color w:val="auto"/>
          <w:szCs w:val="21"/>
          <w:highlight w:val="none"/>
        </w:rPr>
        <w:t xml:space="preserve">系</w:t>
      </w:r>
      <w:r>
        <w:rPr>
          <w:rFonts w:hint="eastAsia" w:asciiTheme="minorEastAsia" w:hAnsiTheme="minorEastAsia" w:eastAsiaTheme="minorEastAsia" w:cstheme="minorEastAsia"/>
          <w:color w:val="auto"/>
          <w:szCs w:val="21"/>
          <w:highlight w:val="none"/>
          <w:u w:val="single"/>
        </w:rPr>
        <w:t xml:space="preserve">（公司名称）</w:t>
      </w:r>
      <w:r>
        <w:rPr>
          <w:rFonts w:hint="eastAsia" w:asciiTheme="minorEastAsia" w:hAnsiTheme="minorEastAsia" w:eastAsiaTheme="minorEastAsia" w:cstheme="minorEastAsia"/>
          <w:color w:val="auto"/>
          <w:szCs w:val="21"/>
          <w:highlight w:val="none"/>
        </w:rPr>
        <w:t xml:space="preserve">的法定代表人，现授权委托</w:t>
      </w:r>
      <w:r>
        <w:rPr>
          <w:rFonts w:hint="eastAsia" w:asciiTheme="minorEastAsia" w:hAnsiTheme="minorEastAsia" w:eastAsiaTheme="minorEastAsia" w:cstheme="minorEastAsia"/>
          <w:color w:val="auto"/>
          <w:szCs w:val="21"/>
          <w:highlight w:val="none"/>
          <w:u w:val="single"/>
        </w:rPr>
        <w:t xml:space="preserve">（代理人姓名）</w:t>
      </w:r>
      <w:r>
        <w:rPr>
          <w:rFonts w:hint="eastAsia" w:asciiTheme="minorEastAsia" w:hAnsiTheme="minorEastAsia" w:eastAsiaTheme="minorEastAsia" w:cstheme="minorEastAsia"/>
          <w:color w:val="auto"/>
          <w:szCs w:val="21"/>
          <w:highlight w:val="none"/>
        </w:rPr>
        <w:t xml:space="preserve">代表我公司参加贵公司组织实施的项目编号为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本授权委托书自投标开始至合同履行完毕止。</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                            职务：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身份证号码：                        联系电话：</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代理人签字：                       法定代表人签字：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 月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日</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bookmarkStart w:id="43" w:name="_Ref376770274"/>
      <w:r/>
      <w:bookmarkStart w:id="44" w:name="_Ref15302750"/>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45" w:name="_Toc13"/>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bookmarkEnd w:id="43"/>
      <w:r>
        <w:rPr>
          <w:rFonts w:hint="eastAsia" w:asciiTheme="minorEastAsia" w:hAnsiTheme="minorEastAsia" w:eastAsiaTheme="minorEastAsia" w:cstheme="minorEastAsia"/>
          <w:color w:val="auto"/>
          <w:sz w:val="24"/>
          <w:szCs w:val="24"/>
          <w:highlight w:val="none"/>
        </w:rPr>
        <w:t xml:space="preserve">开标一览表</w:t>
      </w:r>
      <w:bookmarkEnd w:id="44"/>
      <w:r/>
      <w:bookmarkEnd w:id="45"/>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开标一览表（优惠率）</w:t>
      </w:r>
      <w:r/>
    </w:p>
    <w:p>
      <w:pPr>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投标人全称（加盖公章）：供应商名称 </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项目编号：  </w:t>
      </w:r>
      <w:r/>
    </w:p>
    <w:p>
      <w:pPr>
        <w:jc w:val="both"/>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tbl>
      <w:tblPr>
        <w:tblStyle w:val="727"/>
        <w:tblW w:w="9766"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3286"/>
        <w:gridCol w:w="6480"/>
      </w:tblGrid>
      <w:tr>
        <w:trPr>
          <w:jc w:val="center"/>
          <w:trHeight w:val="567"/>
          <w:tblHeader/>
        </w:trPr>
        <w:tc>
          <w:tcPr>
            <w:shd w:val="clear" w:color="auto" w:fill="auto"/>
            <w:tcBorders>
              <w:top w:val="single" w:color="auto" w:sz="12" w:space="0"/>
              <w:left w:val="single" w:color="auto" w:sz="12" w:space="0"/>
              <w:bottom w:val="single" w:color="auto" w:sz="4" w:space="0"/>
              <w:right w:val="single" w:color="auto" w:sz="4" w:space="0"/>
            </w:tcBorders>
            <w:tcW w:w="328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szCs w:val="24"/>
                <w:highlight w:val="none"/>
                <w:lang w:val="en-US" w:eastAsia="zh-CN" w:bidi="ar"/>
              </w:rPr>
              <w:t xml:space="preserve">项目名称</w:t>
            </w:r>
            <w:r/>
          </w:p>
        </w:tc>
        <w:tc>
          <w:tcPr>
            <w:shd w:val="clear" w:color="auto" w:fill="auto"/>
            <w:tcBorders>
              <w:top w:val="single" w:color="auto" w:sz="12" w:space="0"/>
              <w:left w:val="single" w:color="auto" w:sz="4" w:space="0"/>
              <w:bottom w:val="single" w:color="auto" w:sz="4" w:space="0"/>
              <w:right w:val="single" w:color="auto" w:sz="12" w:space="0"/>
            </w:tcBorders>
            <w:tcW w:w="6480"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b/>
                <w:color w:val="auto"/>
                <w:sz w:val="24"/>
                <w:highlight w:val="none"/>
              </w:rPr>
              <w:suppressLineNumbers w:val="0"/>
            </w:pPr>
            <w:r>
              <w:rPr>
                <w:rFonts w:hint="eastAsia" w:asciiTheme="minorEastAsia" w:hAnsiTheme="minorEastAsia" w:eastAsiaTheme="minorEastAsia" w:cstheme="minorEastAsia"/>
                <w:b/>
                <w:color w:val="auto"/>
                <w:sz w:val="24"/>
                <w:szCs w:val="24"/>
                <w:highlight w:val="none"/>
                <w:lang w:val="en-US" w:eastAsia="zh-CN" w:bidi="ar"/>
              </w:rPr>
              <w:t xml:space="preserve">统一单价优惠率</w:t>
            </w:r>
            <w:r/>
          </w:p>
        </w:tc>
      </w:tr>
      <w:tr>
        <w:trPr>
          <w:jc w:val="center"/>
          <w:trHeight w:val="567"/>
        </w:trPr>
        <w:tc>
          <w:tcPr>
            <w:shd w:val="clear" w:color="auto" w:fill="auto"/>
            <w:tcBorders>
              <w:top w:val="single" w:color="auto" w:sz="4" w:space="0"/>
              <w:left w:val="single" w:color="auto" w:sz="12" w:space="0"/>
              <w:bottom w:val="single" w:color="auto" w:sz="12" w:space="0"/>
              <w:right w:val="single" w:color="auto" w:sz="4" w:space="0"/>
            </w:tcBorders>
            <w:tcW w:w="3286"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shd w:val="clear" w:color="auto" w:fill="auto"/>
            <w:tcBorders>
              <w:top w:val="single" w:color="auto" w:sz="4" w:space="0"/>
              <w:left w:val="single" w:color="auto" w:sz="4" w:space="0"/>
              <w:bottom w:val="single" w:color="auto" w:sz="12" w:space="0"/>
              <w:right w:val="single" w:color="auto" w:sz="12" w:space="0"/>
            </w:tcBorders>
            <w:tcW w:w="6480" w:type="dxa"/>
            <w:vAlign w:val="center"/>
            <w:textDirection w:val="lrTb"/>
            <w:noWrap w:val="false"/>
          </w:tcPr>
          <w:p>
            <w:pPr>
              <w:ind w:left="0" w:right="0" w:firstLine="0"/>
              <w:jc w:val="center"/>
              <w:keepLines w:val="0"/>
              <w:keepNext w:val="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小写：</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w:t>
            </w:r>
            <w:r/>
          </w:p>
        </w:tc>
      </w:tr>
    </w:tbl>
    <w:p>
      <w:pPr>
        <w:jc w:val="right"/>
        <w:rPr>
          <w:rFonts w:hint="eastAsia"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r>
      <w:r/>
    </w:p>
    <w:p>
      <w:pPr>
        <w:jc w:val="righ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highlight w:val="none"/>
        </w:rPr>
        <w:t xml:space="preserve">日期： 年   月   日</w:t>
      </w:r>
      <w:r/>
    </w:p>
    <w:p>
      <w:pPr>
        <w:pStyle w:val="1012"/>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101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p>
    <w:p>
      <w:pPr>
        <w:pStyle w:val="10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1、开标一览表必须加盖投标人公章（复印件无效）。</w:t>
      </w:r>
      <w:r/>
    </w:p>
    <w:p>
      <w:pPr>
        <w:pStyle w:val="1012"/>
        <w:jc w:val="left"/>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2、本项目采用优惠率方式报价。优惠率是指结算价占预算单价的百分比。</w:t>
      </w:r>
      <w:r>
        <w:rPr>
          <w:rFonts w:hint="eastAsia" w:asciiTheme="minorEastAsia" w:hAnsiTheme="minorEastAsia" w:eastAsiaTheme="minorEastAsia" w:cstheme="minorEastAsia"/>
          <w:b/>
          <w:bCs/>
          <w:color w:val="auto"/>
          <w:sz w:val="21"/>
          <w:szCs w:val="21"/>
          <w:highlight w:val="none"/>
        </w:rPr>
        <w:t xml:space="preserve">计算公式：结算单价 = 预算单价×</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eastAsia="zh-CN"/>
        </w:rPr>
        <w:t xml:space="preserve">统一单价优惠率）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br/>
      </w:r>
      <w:r/>
    </w:p>
    <w:p>
      <w:pPr>
        <w:jc w:val="righ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rPr>
          <w:rFonts w:hint="eastAsia" w:asciiTheme="minorEastAsia" w:hAnsiTheme="minorEastAsia" w:eastAsiaTheme="minorEastAsia" w:cstheme="minorEastAsia"/>
          <w:color w:val="auto"/>
          <w:sz w:val="24"/>
          <w:szCs w:val="24"/>
          <w:highlight w:val="none"/>
        </w:rPr>
      </w:pPr>
      <w:r/>
      <w:bookmarkStart w:id="46" w:name="_Ref477865934"/>
      <w:r/>
      <w:bookmarkStart w:id="47" w:name="_Ref15304724"/>
      <w:r/>
      <w:bookmarkStart w:id="48" w:name="_Toc14"/>
      <w:r>
        <w:rPr>
          <w:rFonts w:hint="eastAsia" w:asciiTheme="minorEastAsia" w:hAnsiTheme="minorEastAsia" w:eastAsiaTheme="minorEastAsia" w:cstheme="minorEastAsia"/>
          <w:color w:val="auto"/>
          <w:sz w:val="24"/>
          <w:szCs w:val="24"/>
          <w:highlight w:val="none"/>
        </w:rPr>
        <w:br w:type="column"/>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bookmarkEnd w:id="46"/>
      <w:r>
        <w:rPr>
          <w:rFonts w:hint="eastAsia" w:asciiTheme="minorEastAsia" w:hAnsiTheme="minorEastAsia" w:eastAsiaTheme="minorEastAsia" w:cstheme="minorEastAsia"/>
          <w:color w:val="auto"/>
          <w:sz w:val="24"/>
          <w:szCs w:val="24"/>
          <w:highlight w:val="none"/>
        </w:rPr>
        <w:t xml:space="preserve">报价分析表</w:t>
      </w:r>
      <w:bookmarkEnd w:id="47"/>
      <w:r/>
      <w:bookmarkEnd w:id="48"/>
      <w:r/>
      <w:r/>
    </w:p>
    <w:p>
      <w:pPr>
        <w:pStyle w:val="1012"/>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1012"/>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项目投标报价表</w:t>
      </w:r>
      <w:r/>
    </w:p>
    <w:p>
      <w:pPr>
        <w:ind w:firstLine="422"/>
        <w:spacing w:line="360" w:lineRule="auto"/>
        <w:rPr>
          <w:rFonts w:hint="eastAsia" w:asciiTheme="minorEastAsia" w:hAnsiTheme="minorEastAsia" w:eastAsiaTheme="minorEastAsia" w:cstheme="minorEastAsia"/>
          <w:color w:val="auto"/>
          <w:szCs w:val="21"/>
          <w:highlight w:val="none"/>
        </w:rPr>
        <w:outlineLvl w:val="9"/>
      </w:pPr>
      <w:r>
        <w:rPr>
          <w:rFonts w:hint="eastAsia" w:asciiTheme="minorEastAsia" w:hAnsiTheme="minorEastAsia" w:eastAsiaTheme="minorEastAsia" w:cstheme="minorEastAsia"/>
          <w:color w:val="auto"/>
          <w:szCs w:val="21"/>
          <w:highlight w:val="none"/>
        </w:rPr>
      </w:r>
      <w:r/>
    </w:p>
    <w:tbl>
      <w:tblPr>
        <w:tblStyle w:val="727"/>
        <w:tblW w:w="110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63"/>
        <w:gridCol w:w="1226"/>
        <w:gridCol w:w="2300"/>
        <w:gridCol w:w="1174"/>
        <w:gridCol w:w="791"/>
        <w:gridCol w:w="1851"/>
        <w:gridCol w:w="1263"/>
        <w:gridCol w:w="1146"/>
      </w:tblGrid>
      <w:tr>
        <w:trPr>
          <w:jc w:val="center"/>
          <w:trHeight w:val="0"/>
          <w:tblHeader/>
        </w:trPr>
        <w:tc>
          <w:tcPr>
            <w:shd w:val="clear" w:color="auto" w:fill="ffffff"/>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菜品分类</w:t>
            </w:r>
            <w:r/>
          </w:p>
        </w:tc>
        <w:tc>
          <w:tcPr>
            <w:shd w:val="clear" w:color="auto" w:fill="auto"/>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存货</w:t>
            </w:r>
            <w:r/>
          </w:p>
        </w:tc>
        <w:tc>
          <w:tcPr>
            <w:shd w:val="clear" w:color="auto" w:fill="auto"/>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规格型号</w:t>
            </w:r>
            <w:r/>
          </w:p>
        </w:tc>
        <w:tc>
          <w:tcPr>
            <w:shd w:val="clear" w:color="auto" w:fill="auto"/>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销售单位</w:t>
            </w:r>
            <w:r/>
          </w:p>
        </w:tc>
        <w:tc>
          <w:tcPr>
            <w:shd w:val="clear" w:color="auto" w:fill="auto"/>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p>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w:t>
            </w:r>
            <w:r/>
          </w:p>
        </w:tc>
        <w:tc>
          <w:tcPr>
            <w:shd w:val="clear" w:color="auto" w:fill="ffffff"/>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统一单价优惠率</w:t>
            </w:r>
            <w:r/>
          </w:p>
        </w:tc>
        <w:tc>
          <w:tcPr>
            <w:shd w:val="clear" w:color="auto" w:fill="ffffff"/>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restart"/>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茭白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青南瓜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秋葵</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鸡毛菜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青杭椒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茼蒿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球生菜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茨菇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红苋菜（去根）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彩圆椒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新鲜百合</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娃娃菜（小）</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扁蒲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小白菜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蒜黄</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绿豆芽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蟹味菇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韭菜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青甘蓝</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长豇豆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西葫芦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带皮莴笋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紫条长茄</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大白菜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油麦菜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松花菜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铁棍山药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去皮大蒜头</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毛豆（带壳）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糯玉米棒（去皮）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厚皮青椒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荠菜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红苋菜（带根）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西红柿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土豆（带皮）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大红椒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丝瓜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兰州包菜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大蒜叶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杏鲍菇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秀珍菇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空心菜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紫甘蓝</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圆茄</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紫圆茄</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小米椒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芥兰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芦笋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苦瓜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菠菜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青圆椒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青线椒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薄皮青椒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广东菜心</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黄豆芽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贝贝南瓜（青）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荷兰豆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青苋菜（去根）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莴笋（去皮）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上海青菜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白萝卜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西兰花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青苋菜（带根）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蒜苔</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海鲜菇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蘑菇（带根）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蘑菇（去根）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白玉菇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小青菜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大蒜头</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冬瓜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红杭椒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胡萝卜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金针菇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娃娃菜（大）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甜玉米棒（去皮）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白洋葱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红洋葱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莲藕</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杭白菜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茭白（去壳）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毛豆仁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南瓜（长）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鲜黑木耳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鲜香菇（带根）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鲜香菇（去根）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红薯叶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小黄豆芽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糖藕</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太湖青菜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光板栗</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四季豆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蜜薯</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佛手瓜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甜蜜豆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光水果玉米（黄）</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辣木苗（龙须菜）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牛心包菜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韭芽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蓬花菜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黑塌菜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紫角叶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豆苗</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芸豆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带壳蚕豆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新鲜豌豆仁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蔬菜</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洋槐花</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鸭腿 （新鲜）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禽蛋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熟咸鸭蛋（散装）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禽蛋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禽蛋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鹌鹑蛋（去壳）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禽蛋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皮蛋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三黄鸡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鸽子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仔排（切块）</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去皮五花肉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去皮后腿肉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带皮后腿肉（新鲜）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纯精肉（新鲜）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小里脊肉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大里脊肉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带皮夹心肉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肥膘（新鲜）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梅花肉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大排（去膘）（新鲜）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小排（新鲜）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纯瘦肉（新鲜）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猪肝（新鲜）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猪肚（新鲜）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猪脚（新鲜）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仔排（新鲜）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带肋中方（新鲜）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去皮夹心（新鲜）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肋排（新鲜）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排条（新鲜）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五花肉（新鲜）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蹄髈（新鲜）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肉丝（新鲜）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猪夹心（去骨）（新鲜）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纯精肉片（新鲜）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去皮前腿肉（新鲜）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板油（新鲜）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猪心（新鲜）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大肠</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新鲜猪肉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雨润骨头(筒骨）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12.31</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鲜牛里脊肉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牛百叶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熟牛肉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牛腿肉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牛腩</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新鲜牛肚</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(安井)酒酿小圆子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安井香脆油条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约10根/包，约45g/个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安井红糖发糕</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约10块/包，约70g/块</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安井撒尿肉丸</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约119个/包，约21g/个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安井包心鱼豆腐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约263个/包，约9.5g/个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冷冻大虾仁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5斤装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巴沙鱼柳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带鱼（深海）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23-24条/4包/件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370.32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精品带鱼段</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琵琶腿120-130克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每箱80个左右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圣农单冻鸡大胸</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约150-180g1片每包15个左右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翅中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40g以上,约20个/包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六和去皮鸭胸</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约100个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鸭边腿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约26个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六和半片鸭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约11片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200克以上/个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燕森绿茶佛饼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青川鱼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150g以上/个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德翔鸡边腿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不分级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212.04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兴昌农超甜玉米粒（精品）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鸭胗（冰鲜）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猪蹄筋（水发）</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肥牛卷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雨润配餐三文治（大方腿）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1*4*1.8kg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雨润*美味盐方腿220G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220g/块</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雄福康棒棒香玉米棒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20斤（40根）/箱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青虾仁（冻）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精品鲳鱼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鱿鱼条</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8斤左右/箱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鸡胸肉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鸡边腿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鲁大鸡中翅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鸭三节翅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2.2每只/70个一箱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鸡三节翅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50个一箱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鱿鱼花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兴昌农青豆（精品）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腊鸡腿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腊肉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猪头肉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六和鸭翅根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10kg/箱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巴沙鱼柳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5斤*1包/箱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桂花糕</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德汇鸡翅根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一包20斤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雪花鸡排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10kg/箱（100片）</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长鸡爪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安井千页豆腐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鸡杂</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冷冻小黄鱼</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0.2斤/条</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冷冻小黄鱼（净膛）</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0.2斤/条</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24.61</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目鱼花</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500g*10包/箱</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230.77</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掌中宝</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冷冻</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安井手抓饼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18.53</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咸腿肉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刀板香（咸肉真空包装）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五花咸肉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香荷腊鸡腿（本色）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白斩鸡（熟）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熟食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素鸡熟食</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百叶结</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（艺杏）日本豆腐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50只/箱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手指年糕</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品恒佳*大麻球</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板豆腐（彬彬）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油豆腐（小油豆腐）（彬彬）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老豆腐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长方盒豆腐（彬彬）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薄百叶（彬彬）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厚百叶（彬彬）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白干（彬彬）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红干（彬彬）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小油泡（彬彬）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油面筋（彬彬）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水面筋（彬彬）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（白）干丝（彬彬）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粉皮（彬彬）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小红香干（彬彬）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大油泡（彬彬）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百叶干丝（彬彬）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方盒绢豆腐（彬彬）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油片（彬彬）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油炸素鸡片（彬彬）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食俞美鸭血</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（艺杏）五香干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素鸡（彬彬）</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豆制品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凉粉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咸菜（青雪菜）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咸菜（黄雪菜）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榨菜丝（散称）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优质雪菜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酱菜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酸豆角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蛏子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草鱼（净膛）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净膛</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鳊鱼（3斤左右）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昂刺鱼（杀好）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小鲫鱼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白虾（大）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海带丝</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冰鲜带鱼（杀好）</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白鲢（4斤左右）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鲫鱼（1斤左右）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鳊鱼（1斤左右）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鲈鱼（1斤左右）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黑鱼（2斤左右）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大头虾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基围虾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黄鳝（中等）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水产</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花蛤</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奥灶面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加碱直径1.0mm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不加碱-小宽面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宽度3.0mm，需要加碱备注加碱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加碱小宽面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宽度3.0mm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大馄饨皮厚款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9*10cm，大约35-37张/斤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全面好食品（米粉）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手工面-细拉面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直径1.75mm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水饺皮小号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直径8-8.5cm，大约40-45张/斤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加碱龙须面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不加碱-阳春面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直径1.5mm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小馄饨皮大号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8.5*8.5cm，大约90张/斤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水饺皮大号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直径9-9.5cm，大约37-40张/斤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全面好食品（粗米线）</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烧麦皮大号</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直径12cm，大约20张/斤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加碱苏式面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直径1.25mm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小馄饨皮常规格</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7*7cm，大约110-120张/斤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不加碱-苏式细面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直径1.25mm</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春卷皮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（蟹喜稻田）盘锦大米25kg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烧麦皮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直径10cm，大约30张/斤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环龙食用小苏打</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藜麦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五得利面粉（25kg）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糙米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水饺皮（中）</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散装称重</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荞麦面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面食(米面食品 )</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炒面</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粮油（食用油）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元宝牌大豆油(20L)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粮油（食用油）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金龙鱼低芥非转基因菜籽油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70.81</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粮油（食用油）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多力葵花籽油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粮油（食用油）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金龙鱼非转基因大豆油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5L/桶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虾皮（分包装）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丁香（分包装）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单晶冰糖（分包装）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小茴香（分包装）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小西米（分包装）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山药片（分包装）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裙带菜（分包装）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干海带（分包装）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干贝（分包装）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扁尖笋（分包装）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油炸肉皮（分包装）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燕麦米（分包装）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白芷（分包装）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白芸豆（分包装）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白蔻（分包装）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百合干（分包装）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莲子（分包装）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竹荪（分包装）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红曲米（分包装）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红芸豆（分包装）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笋干（分包装）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腐竹（分包装）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腰果（分包装）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花生仁（红皮花生）（分包装）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花芸豆（分包装）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草果（分包装）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薏米仁（分包装）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血糯米（分包装）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赤豆（分包装）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辣椒粉（分包装）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辣椒面（分包装）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银耳（分包装）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高粱米（分包装）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黄花菜（分包装）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开洋（分包装）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去皮花生米（分包装）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密封包装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扁尖丝（分包装）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密封包装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红薯宽粉（分包装）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八宝粥科（分包装）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密封包装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干黑木耳（分包装）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八角（分包装）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干海带丝（分包装）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无核红枣（分包装）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桂皮（分包装）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玉米糁（分包装）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糯米（分包装）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糯米粉（分包装）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紫菜（分包装）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红薯粉丝（分包装）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花生米（白皮花生）（分包装）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蜜枣（分包装）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辣椒段（分包装）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28.92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香叶（分包装）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干香菇（分包装）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黄冰糖（分包装）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黄小米（分包装）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黄豆（分包装）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黑米（分包装）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5.99</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黑芝麻（分包装）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龙口粉丝（分包装）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燕麦片（分包装）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密封包装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生白芝麻（分包装）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皇上皇腊肠</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新繁*鱼酸菜（2.5kg）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小米椒（泡椒）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干笋干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干海带</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干豆皮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胡辣汤（成品）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蒙牛纯牛奶</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53.9</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伊利纯牛奶</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395</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玉棠绵白糖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展艺无蔗糖纳红小豆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太太乐(纯香芝麻油 410ml/瓶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干云丝</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笋干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梅干菜（分包装）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百味佳万用香炸粉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江门广式腊肠</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散称</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恒仁牌食用玉米淀粉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25kg/袋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黑豆</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枸杞</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核桃仁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33.85</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干鹿茸菇</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55.38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南北干货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味好美鱼香肉丝粉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老恒和浙江黄酒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海天蒸鱼豉油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安佳黄油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77.52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恒顺料酒1.75L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1.75L/桶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百利黄色面包糠</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1kg*10包/箱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家乐辣鲜露</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海天味极鲜酱油1.9L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恒顺香醋500ml/瓶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坛坛乡红剁椒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2.3kg/瓶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百利白色面包糠</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1kg*10包/箱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海天上等蚝油6kg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家乐金酸汤酱调味料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海天黄豆酱6kg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糖桂花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嘉厨玉米生粉（袋）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一箱25包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甘汁园白砂糖5kg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5kg/袋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恒星牌红油豆瓣500g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家乐酸汤肥牛调味料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好人家粉蒸肉调料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家乐金酸汤调味料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加碘精制盐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500g*40包/箱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家用食用低钠盐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400g/袋*50包/箱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桂冠沙拉酱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风车生粉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好人家老坛酸菜鱼调料350g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梅林牌番茄酱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罐</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海天金标生抽 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老恒和原酿料酒 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1.9L/桶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海天白米醋1.9L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1.9L/桶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17.62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海天鲜味生抽1.9L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李锦记金标生抽 1.75升/桶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23.45</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李锦记草菇老抽1.75升/桶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李锦记海鲜酱  240克/瓶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240克/瓶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家乐浓汤汤底</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味好美花椒粉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坛坛乡青剁椒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一箱6桶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李锦记豉油鸡汁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三五火锅底料150g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家乐干锅酱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老干妈风味豆豉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家乐黑胡椒汁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家乐浓缩鸡汁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三五火锅底料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32包/箱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味好美孜然粉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花椒油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37.08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太太乐鸡精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菱花味精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恒星牌豆瓣酱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海天蚝油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6kg*2桶/箱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京日红豆沙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白玫绵白糖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恒顺陈醋500ml/瓶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凤球唛番茄酱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1*12*850g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海天蒸鱼豉油450ml/瓶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14.40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味好美细黑胡椒粉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425g/瓶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海天白米醋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450ml*12瓶/箱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海天海鲜酱7kg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7kg/桶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味好美胡椒粉（混合型）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王守义十三香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45克/盒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王守义麻辣鲜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102克/包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淮盐食用低钠盐400g/袋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一箱50袋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151.90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五仁酱丁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麻辣蒸肉米粉（孔师傅）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五丰黎红（花椒油）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阳江豆豉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60g/包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红星二锅头</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莲花鸡精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伊利家红烧酱油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六必居芝麻酱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63.24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太太乐天天旺鸡精</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白蚬湖糯米黄酒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400ml*30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巴厨麻辣香锅酱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4kg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270.72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六月鲜红烧酱油</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大红浙醋 （顿顿美）</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750ml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雪碧</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1*24*500ml</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485</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冠生园蜂蜜 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冠生园500g/瓶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桂林麦芽糖</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桂林230g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3.59</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487</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海天锦上鲜蒜蓉辣椒酱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230g/瓶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9.288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调料品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鼎丰南乳汁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安琪酵母粉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李锦记柱候酱</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240g</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15.12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红糖</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500g/包</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调味品</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凤梨（优）</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去皮</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柠檬（优）</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进口香蕉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库尔勒香梨（中等）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496</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白心火龙果</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斤</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497</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德国咸猪手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箱/14只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498</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易太蚝油牛柳</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2kg*1包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120.00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499</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安井小酥肉</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1kg*1包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护心肉</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10kg/箱</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292.31</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501</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蓬盛橄榄菜</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450g/瓶</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15.96</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502</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李锦记叉烧酱</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240克/瓶</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22.32</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503</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味好美椒盐</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660g/瓶</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54.60</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504</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得生星火味椒盐</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45g/瓶</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4.68</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505</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新增</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恒顺苹果醋</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450ml*12瓶/箱</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6.64</w:t>
            </w:r>
            <w:r/>
          </w:p>
        </w:tc>
        <w:tc>
          <w:tcPr>
            <w:shd w:val="clear" w:color="auto" w:fill="ffffff"/>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46" w:type="dxa"/>
            <w:vAlign w:val="center"/>
            <w:vMerge w:val="continue"/>
            <w:textDirection w:val="lrTb"/>
            <w:noWrap w:val="false"/>
          </w:tcPr>
          <w:p>
            <w:pPr>
              <w:ind w:left="0" w:right="0" w:firstLine="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0"/>
        </w:trPr>
        <w:tc>
          <w:tcPr>
            <w:shd w:val="clear" w:color="auto" w:fill="ffffff"/>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A</w:t>
            </w:r>
            <w:r/>
          </w:p>
        </w:tc>
        <w:tc>
          <w:tcPr>
            <w:shd w:val="clear" w:color="auto" w:fill="ffffff"/>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22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300" w:type="dxa"/>
            <w:vAlign w:val="center"/>
            <w:textDirection w:val="lrTb"/>
            <w:noWrap w:val="false"/>
          </w:tcPr>
          <w:p>
            <w:pPr>
              <w:ind w:left="0" w:right="0" w:firstLine="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174" w:type="dxa"/>
            <w:vAlign w:val="center"/>
            <w:textDirection w:val="lrTb"/>
            <w:noWrap w:val="false"/>
          </w:tcPr>
          <w:p>
            <w:pPr>
              <w:ind w:left="0" w:right="0" w:firstLine="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791" w:type="dxa"/>
            <w:vAlign w:val="center"/>
            <w:textDirection w:val="lrTb"/>
            <w:noWrap w:val="false"/>
          </w:tcPr>
          <w:p>
            <w:pPr>
              <w:ind w:left="0" w:right="0" w:firstLine="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851" w:type="dxa"/>
            <w:vAlign w:val="center"/>
            <w:textDirection w:val="lrTb"/>
            <w:noWrap w:val="false"/>
          </w:tcPr>
          <w:p>
            <w:pPr>
              <w:ind w:left="0" w:right="0" w:firstLine="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263" w:type="dxa"/>
            <w:vAlign w:val="center"/>
            <w:textDirection w:val="lrTb"/>
            <w:noWrap w:val="false"/>
          </w:tcPr>
          <w:p>
            <w:pPr>
              <w:ind w:left="0" w:right="0" w:firstLine="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1146" w:type="dxa"/>
            <w:vAlign w:val="center"/>
            <w:textDirection w:val="lrTb"/>
            <w:noWrap w:val="false"/>
          </w:tcPr>
          <w:p>
            <w:pPr>
              <w:ind w:left="0" w:right="0" w:firstLine="0"/>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bl>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highlight w:val="none"/>
        </w:rPr>
        <w:t xml:space="preserve">各投标单位可参照上述格式自制《投标报价分析表》投标，本表格未列出的费用明细各投标单位可根据实际情况自行添加</w:t>
      </w:r>
      <w:r>
        <w:rPr>
          <w:rFonts w:hint="eastAsia" w:asciiTheme="minorEastAsia" w:hAnsiTheme="minorEastAsia" w:eastAsiaTheme="minorEastAsia" w:cstheme="minorEastAsia"/>
          <w:color w:val="auto"/>
          <w:szCs w:val="21"/>
          <w:highlight w:val="none"/>
        </w:rPr>
        <w:t xml:space="preserve">。</w:t>
      </w:r>
      <w:r/>
    </w:p>
    <w:p>
      <w:pPr>
        <w:numPr>
          <w:ilvl w:val="0"/>
          <w:numId w:val="0"/>
        </w:num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以上费用包括但不限于人工费、材料费、机械费、措施费、规费、税金、成交服务费等完成本工作所发生的全部费用以及政策性文件规定的所有风险、责任等各项费用。采购文件未列明，而乙方认为其他必需的费用也包含在本次合同价格中，甲方将不再予以支付其他任何费用。</w:t>
      </w:r>
      <w:r/>
    </w:p>
    <w:p>
      <w:pPr>
        <w:jc w:val="left"/>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3、本次成交服务费用包含在本次投标报价中(成交服务费为16870元不可竞争性费用)。</w:t>
      </w:r>
      <w:r/>
    </w:p>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如有需要说明的事项，请在备注中列明。</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投标人：（单位盖章）</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法人/被授权人：（签字或盖章）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bookmarkStart w:id="49" w:name="_Ref477865937"/>
      <w:r/>
      <w:bookmarkStart w:id="50" w:name="_Ref15304731"/>
      <w:r/>
      <w:bookmarkStart w:id="51" w:name="_Ref33617553"/>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2" w:name="_Toc15"/>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bookmarkEnd w:id="49"/>
      <w:r/>
      <w:bookmarkEnd w:id="50"/>
      <w:r>
        <w:rPr>
          <w:rFonts w:hint="eastAsia" w:asciiTheme="minorEastAsia" w:hAnsiTheme="minorEastAsia" w:eastAsiaTheme="minorEastAsia" w:cstheme="minorEastAsia"/>
          <w:color w:val="auto"/>
          <w:sz w:val="24"/>
          <w:szCs w:val="24"/>
          <w:highlight w:val="none"/>
        </w:rPr>
        <w:t xml:space="preserve">相关业绩一览表</w:t>
      </w:r>
      <w:bookmarkEnd w:id="52"/>
      <w:r/>
      <w:r/>
    </w:p>
    <w:p>
      <w:pPr>
        <w:pStyle w:val="1119"/>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相关业绩一览表</w:t>
      </w:r>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服务单位名称：_________________________</w:t>
      </w:r>
      <w:r/>
    </w:p>
    <w:tbl>
      <w:tblPr>
        <w:tblStyle w:val="727"/>
        <w:tblW w:w="9788" w:type="dxa"/>
        <w:jc w:val="center"/>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5"/>
        <w:gridCol w:w="2027"/>
        <w:gridCol w:w="1554"/>
        <w:gridCol w:w="2028"/>
        <w:gridCol w:w="2028"/>
        <w:gridCol w:w="1076"/>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项目名称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合同期</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服务内容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合同金额</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right"/>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tbRlV"/>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7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7"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54"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28"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076"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left="420" w:right="357" w:hanging="400"/>
        <w:spacing w:before="120" w:line="40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w:t>
      </w:r>
      <w:r/>
    </w:p>
    <w:p>
      <w:pPr>
        <w:ind w:left="420" w:right="357" w:hanging="400"/>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1）合同等证明材料复印件作为本表的附件须同时提供；</w:t>
      </w:r>
      <w:r/>
    </w:p>
    <w:p>
      <w:pPr>
        <w:ind w:left="420" w:right="357" w:hanging="400"/>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2）以上格式仅供参考，投标单位可自行编辑类似项目业绩汇总表，表格内容需至少包</w:t>
      </w:r>
      <w:r/>
    </w:p>
    <w:p>
      <w:pPr>
        <w:ind w:right="357"/>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含上表要求提供的内容。</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18"/>
        <w:rPr>
          <w:rFonts w:hint="eastAsia" w:asciiTheme="minorEastAsia" w:hAnsiTheme="minorEastAsia" w:eastAsiaTheme="minorEastAsia" w:cstheme="minorEastAsia"/>
          <w:color w:val="auto"/>
          <w:sz w:val="24"/>
          <w:szCs w:val="24"/>
          <w:highlight w:val="none"/>
        </w:rPr>
      </w:pPr>
      <w:r/>
      <w:bookmarkStart w:id="53" w:name="_Toc16"/>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：拟投入人员及设备一览表</w:t>
      </w:r>
      <w:bookmarkEnd w:id="53"/>
      <w:r/>
      <w:r/>
    </w:p>
    <w:p>
      <w:pPr>
        <w:pStyle w:val="1119"/>
        <w:jc w:val="cente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拟投入人员及设备一览表</w:t>
      </w:r>
      <w:r/>
    </w:p>
    <w:tbl>
      <w:tblPr>
        <w:tblStyle w:val="727"/>
        <w:tblW w:w="9952" w:type="dxa"/>
        <w:jc w:val="center"/>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1"/>
        <w:gridCol w:w="3465"/>
        <w:gridCol w:w="2312"/>
        <w:gridCol w:w="1392"/>
        <w:gridCol w:w="1392"/>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人员/设备名称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配备数量</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要求</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391"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65"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31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392" w:type="dxa"/>
            <w:vAlign w:val="center"/>
            <w:textDirection w:val="lrTb"/>
            <w:noWrap w:val="false"/>
          </w:tcPr>
          <w:p>
            <w:pPr>
              <w:ind w:left="0" w:right="0" w:firstLine="0"/>
              <w:jc w:val="center"/>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357"/>
        <w:spacing w:before="120"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w:t>
      </w:r>
      <w:r/>
    </w:p>
    <w:p>
      <w:pPr>
        <w:ind w:right="357"/>
        <w:spacing w:before="120" w:line="40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以上格式仅供参考，投标单位可自行编辑人员配备表，格式自拟，满足采购需求。</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4" w:name="_Toc17"/>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：服务方案</w:t>
      </w:r>
      <w:bookmarkEnd w:id="54"/>
      <w:r/>
      <w:r/>
    </w:p>
    <w:tbl>
      <w:tblPr>
        <w:tblStyle w:val="727"/>
        <w:tblW w:w="9952"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2"/>
      </w:tblGrid>
      <w:tr>
        <w:trPr>
          <w:jc w:val="center"/>
          <w:trHeight w:val="0"/>
        </w:trPr>
        <w:tc>
          <w:tcPr>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2" w:type="dxa"/>
            <w:vAlign w:val="top"/>
            <w:textDirection w:val="lrTb"/>
            <w:noWrap w:val="false"/>
          </w:tcPr>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提示：</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1、投标人可根据自身情况编写，本页不够可另加页附后。</w:t>
            </w:r>
            <w:r/>
          </w:p>
        </w:tc>
      </w:tr>
      <w:tr>
        <w:trPr>
          <w:jc w:val="center"/>
          <w:trHeight w:val="0"/>
        </w:trPr>
        <w:tc>
          <w:tcPr>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952" w:type="dxa"/>
            <w:vAlign w:val="top"/>
            <w:textDirection w:val="lrTb"/>
            <w:noWrap w:val="false"/>
          </w:tcPr>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10"/>
              <w:spacing w:line="360" w:lineRule="auto"/>
              <w:tabs>
                <w:tab w:val="left" w:pos="13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单位名称（盖章）：</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5" w:name="_Toc18"/>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：偏离表（技术、商务）</w:t>
      </w:r>
      <w:bookmarkEnd w:id="51"/>
      <w:r/>
      <w:bookmarkEnd w:id="55"/>
      <w:r/>
      <w:r/>
    </w:p>
    <w:p>
      <w:pPr>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偏离表（技术）</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727"/>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偏离说明（正偏离、无偏离、负偏离）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729"/>
        <w:ind w:right="105" w:firstLine="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 xml:space="preserve">偏离表（商务）</w:t>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727"/>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1511"/>
        <w:gridCol w:w="1511"/>
        <w:gridCol w:w="5418"/>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偏离说明（正偏离、无偏离、负偏离）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付款方式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tabs>
                <w:tab w:val="center" w:pos="886"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29"/>
              <w:ind w:left="0" w:right="0" w:firstLine="0"/>
              <w:jc w:val="cente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729"/>
        <w:ind w:right="105" w:firstLine="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right"/>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供应商：（加盖公章）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法定代表人或代理人：（签字或盖章）</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w:t>
      </w:r>
      <w:r/>
    </w:p>
    <w:p>
      <w:pPr>
        <w:pStyle w:val="1123"/>
        <w:ind w:left="-210" w:right="-21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6" w:name="_Toc19"/>
      <w:r>
        <w:rPr>
          <w:rFonts w:hint="eastAsia" w:asciiTheme="minorEastAsia" w:hAnsiTheme="minorEastAsia" w:eastAsiaTheme="minorEastAsia" w:cstheme="minorEastAsia"/>
          <w:color w:val="auto"/>
          <w:sz w:val="24"/>
          <w:szCs w:val="24"/>
          <w:highlight w:val="none"/>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：资格证明声明函</w:t>
      </w:r>
      <w:bookmarkEnd w:id="56"/>
      <w:r/>
      <w:r/>
    </w:p>
    <w:p>
      <w:pPr>
        <w:pStyle w:val="729"/>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关于资格文件的声明函</w:t>
      </w:r>
      <w:r/>
    </w:p>
    <w:p>
      <w:pPr>
        <w:pStyle w:val="729"/>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29"/>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w:t>
      </w:r>
      <w:r/>
    </w:p>
    <w:p>
      <w:pPr>
        <w:pStyle w:val="729"/>
        <w:ind w:firstLine="66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29"/>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29"/>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29"/>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供应商：（单位盖章）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法定代表人或代理人：（签字或盖章）</w:t>
      </w:r>
      <w:r/>
    </w:p>
    <w:p>
      <w:pPr>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    年    月   日        </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lang w:val="zh-CN"/>
        </w:rPr>
        <w:br w:type="page" w:clear="all"/>
      </w:r>
      <w:r/>
    </w:p>
    <w:p>
      <w:pPr>
        <w:pStyle w:val="718"/>
        <w:rPr>
          <w:rFonts w:hint="eastAsia" w:asciiTheme="minorEastAsia" w:hAnsiTheme="minorEastAsia" w:eastAsiaTheme="minorEastAsia" w:cstheme="minorEastAsia"/>
          <w:color w:val="auto"/>
          <w:sz w:val="24"/>
          <w:szCs w:val="24"/>
          <w:highlight w:val="none"/>
        </w:rPr>
      </w:pPr>
      <w:r/>
      <w:bookmarkStart w:id="57" w:name="_Toc20"/>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远程参与开标会议诚信承诺书</w:t>
      </w:r>
      <w:bookmarkEnd w:id="57"/>
      <w:r/>
      <w:r/>
    </w:p>
    <w:p>
      <w:pPr>
        <w:pStyle w:val="729"/>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 (采购人)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承诺单位(盖章):</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法定代表人及授权委托人(签名):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    月    日</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71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附件1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关于符合本国产品标准的声明函（如符合）</w:t>
      </w:r>
      <w:r/>
    </w:p>
    <w:p>
      <w:pPr>
        <w:pStyle w:val="765"/>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773"/>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76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76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6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76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76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rPr>
        <w:rStyle w:val="1157"/>
      </w:rPr>
      <w:framePr w:wrap="around" w:vAnchor="text" w:hAnchor="margin" w:xAlign="right" w:y="1"/>
    </w:pPr>
    <w:r>
      <w:fldChar w:fldCharType="begin"/>
    </w:r>
    <w:r>
      <w:rPr>
        <w:rStyle w:val="1157"/>
      </w:rPr>
      <w:instrText xml:space="preserve">PAGE  </w:instrText>
    </w:r>
    <w:r>
      <w:fldChar w:fldCharType="end"/>
    </w:r>
    <w:r/>
  </w:p>
  <w:p>
    <w:pPr>
      <w:pStyle w:val="115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5"/>
      </w:rPr>
      <w:framePr w:wrap="around" w:vAnchor="text" w:hAnchor="margin" w:xAlign="center" w:y="1"/>
    </w:pPr>
    <w:r>
      <w:rPr>
        <w:rStyle w:val="775"/>
      </w:rPr>
      <w:fldChar w:fldCharType="begin"/>
    </w:r>
    <w:r>
      <w:rPr>
        <w:rStyle w:val="775"/>
      </w:rPr>
      <w:instrText xml:space="preserve">PAGE  </w:instrText>
    </w:r>
    <w:r>
      <w:rPr>
        <w:rStyle w:val="775"/>
      </w:rPr>
      <w:fldChar w:fldCharType="end"/>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both"/>
      <w:tabs>
        <w:tab w:val="clear" w:pos="4153" w:leader="none"/>
        <w:tab w:val="clear" w:pos="8306" w:leader="none"/>
        <w:tab w:val="right" w:pos="9286" w:leader="none"/>
      </w:tabs>
      <w:rPr>
        <w:rFonts w:hint="eastAsia" w:ascii="宋体" w:hAnsi="宋体" w:eastAsia="宋体"/>
        <w:lang w:val="en-US" w:eastAsia="zh-CN"/>
      </w:rPr>
    </w:pPr>
    <w:r>
      <w:rPr>
        <w:rFonts w:hint="eastAsia" w:ascii="宋体" w:hAnsi="宋体" w:eastAsia="宋体"/>
      </w:rPr>
      <w:t xml:space="preserve">编号：</w:t>
    </w:r>
    <w:r>
      <w:rPr>
        <w:rFonts w:hint="eastAsia" w:ascii="宋体" w:hAnsi="宋体" w:eastAsia="宋体"/>
        <w:lang w:eastAsia="zh-CN"/>
      </w:rPr>
      <w:t xml:space="preserve">JSZC-320583-SZYE-T2026-0037    </w:t>
    </w:r>
    <w:r>
      <w:rPr>
        <w:rFonts w:hint="eastAsia" w:ascii="宋体" w:hAnsi="宋体" w:eastAsia="宋体"/>
      </w:rPr>
      <w:t xml:space="preserve">  </w:t>
    </w:r>
    <w:r>
      <w:rPr>
        <w:rFonts w:hint="eastAsia" w:ascii="宋体" w:hAnsi="宋体" w:eastAsia="宋体"/>
        <w:lang w:val="en-US" w:eastAsia="zh-CN"/>
      </w:rPr>
      <w:t xml:space="preserve">                                                   竞争性谈判采购文件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eastAsia="zh-CN"/>
      </w:rPr>
      <w:t xml:space="preserve">JSZC-320583-SZYE-T2026-0037</w:t>
    </w:r>
    <w:r>
      <w:rPr>
        <w:rFonts w:ascii="宋体" w:hAnsi="宋体" w:eastAsia="宋体"/>
      </w:rPr>
      <w:tab/>
    </w:r>
    <w:r>
      <w:rPr>
        <w:rFonts w:hint="eastAsia" w:ascii="宋体" w:hAnsi="宋体" w:eastAsia="宋体"/>
        <w:lang w:val="en-US" w:eastAsia="zh-CN"/>
      </w:rPr>
      <w:t xml:space="preserve">                 竞争性谈判采购文件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005"/>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5"/>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86"/>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88"/>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979"/>
      <w:isLgl w:val="false"/>
      <w:suff w:val="tab"/>
      <w:lvlText w:val="%1．"/>
      <w:lvlJc w:val="left"/>
      <w:pPr>
        <w:ind w:left="720" w:hanging="720"/>
        <w:tabs>
          <w:tab w:val="left" w:pos="720" w:leader="none"/>
        </w:tabs>
      </w:pPr>
      <w:rPr>
        <w:rFonts w:hint="eastAsia"/>
      </w:rPr>
    </w:lvl>
    <w:lvl w:ilvl="1">
      <w:start w:val="1"/>
      <w:numFmt w:val="lowerLetter"/>
      <w:pStyle w:val="110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21"/>
      <w:isLgl w:val="false"/>
      <w:suff w:val="tab"/>
      <w:lvlText w:val="%5)"/>
      <w:lvlJc w:val="left"/>
      <w:pPr>
        <w:ind w:left="2100" w:hanging="420"/>
        <w:tabs>
          <w:tab w:val="left" w:pos="2100" w:leader="none"/>
        </w:tabs>
      </w:pPr>
    </w:lvl>
    <w:lvl w:ilvl="5">
      <w:start w:val="1"/>
      <w:numFmt w:val="lowerRoman"/>
      <w:pStyle w:val="722"/>
      <w:isLgl w:val="false"/>
      <w:suff w:val="tab"/>
      <w:lvlText w:val="%6."/>
      <w:lvlJc w:val="right"/>
      <w:pPr>
        <w:ind w:left="2520" w:hanging="420"/>
        <w:tabs>
          <w:tab w:val="left" w:pos="2520" w:leader="none"/>
        </w:tabs>
      </w:pPr>
    </w:lvl>
    <w:lvl w:ilvl="6">
      <w:start w:val="1"/>
      <w:numFmt w:val="decimal"/>
      <w:pStyle w:val="72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05"/>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06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0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bullet"/>
      <w:pStyle w:val="110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3"/>
  </w:num>
  <w:num w:numId="3">
    <w:abstractNumId w:val="10"/>
  </w:num>
  <w:num w:numId="4">
    <w:abstractNumId w:val="1"/>
  </w:num>
  <w:num w:numId="5">
    <w:abstractNumId w:val="0"/>
  </w:num>
  <w:num w:numId="6">
    <w:abstractNumId w:val="6"/>
  </w:num>
  <w:num w:numId="7">
    <w:abstractNumId w:val="7"/>
  </w:num>
  <w:num w:numId="8">
    <w:abstractNumId w:val="11"/>
  </w:num>
  <w:num w:numId="9">
    <w:abstractNumId w:val="5"/>
  </w:num>
  <w:num w:numId="10">
    <w:abstractNumId w:val="2"/>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11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950"/>
    <w:uiPriority w:val="0"/>
    <w:qFormat/>
    <w:pPr>
      <w:keepLines/>
      <w:keepNext/>
      <w:spacing w:before="340" w:after="330" w:line="578" w:lineRule="auto"/>
      <w:outlineLvl w:val="0"/>
    </w:pPr>
    <w:rPr>
      <w:rFonts w:ascii="Calibri" w:hAnsi="Calibri"/>
      <w:b/>
      <w:bCs/>
      <w:sz w:val="44"/>
      <w:szCs w:val="44"/>
    </w:rPr>
  </w:style>
  <w:style w:type="paragraph" w:styleId="718">
    <w:name w:val="Heading 2"/>
    <w:basedOn w:val="716"/>
    <w:next w:val="716"/>
    <w:link w:val="951"/>
    <w:uiPriority w:val="0"/>
    <w:qFormat/>
    <w:pPr>
      <w:keepLines/>
      <w:keepNext/>
      <w:spacing w:before="260" w:after="260" w:line="416" w:lineRule="auto"/>
      <w:outlineLvl w:val="1"/>
    </w:pPr>
    <w:rPr>
      <w:rFonts w:ascii="Arial" w:hAnsi="Arial" w:eastAsia="黑体"/>
      <w:b/>
      <w:bCs/>
      <w:sz w:val="32"/>
      <w:szCs w:val="32"/>
    </w:rPr>
  </w:style>
  <w:style w:type="paragraph" w:styleId="719">
    <w:name w:val="Heading 3"/>
    <w:basedOn w:val="716"/>
    <w:next w:val="716"/>
    <w:link w:val="952"/>
    <w:uiPriority w:val="0"/>
    <w:qFormat/>
    <w:pPr>
      <w:keepLines/>
      <w:keepNext/>
      <w:spacing w:before="260" w:after="260" w:line="416" w:lineRule="auto"/>
      <w:outlineLvl w:val="2"/>
    </w:pPr>
    <w:rPr>
      <w:rFonts w:ascii="Calibri" w:hAnsi="Calibri"/>
      <w:b/>
      <w:bCs/>
      <w:sz w:val="32"/>
      <w:szCs w:val="32"/>
    </w:rPr>
  </w:style>
  <w:style w:type="paragraph" w:styleId="720">
    <w:name w:val="Heading 4"/>
    <w:basedOn w:val="716"/>
    <w:next w:val="716"/>
    <w:link w:val="953"/>
    <w:uiPriority w:val="0"/>
    <w:qFormat/>
    <w:pPr>
      <w:keepLines/>
      <w:keepNext/>
      <w:spacing w:before="280" w:after="290" w:line="374" w:lineRule="auto"/>
      <w:outlineLvl w:val="3"/>
    </w:pPr>
    <w:rPr>
      <w:rFonts w:ascii="Arial" w:hAnsi="Arial" w:eastAsia="黑体"/>
      <w:b/>
      <w:sz w:val="28"/>
      <w:szCs w:val="20"/>
    </w:rPr>
  </w:style>
  <w:style w:type="paragraph" w:styleId="721">
    <w:name w:val="Heading 5"/>
    <w:basedOn w:val="716"/>
    <w:next w:val="716"/>
    <w:link w:val="954"/>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22">
    <w:name w:val="Heading 6"/>
    <w:basedOn w:val="716"/>
    <w:next w:val="716"/>
    <w:link w:val="955"/>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23">
    <w:name w:val="Heading 7"/>
    <w:basedOn w:val="716"/>
    <w:next w:val="716"/>
    <w:link w:val="956"/>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24">
    <w:name w:val="Heading 8"/>
    <w:basedOn w:val="716"/>
    <w:next w:val="716"/>
    <w:link w:val="95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25">
    <w:name w:val="Heading 9"/>
    <w:basedOn w:val="716"/>
    <w:next w:val="716"/>
    <w:link w:val="95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26" w:default="1">
    <w:name w:val="Default Paragraph Font"/>
    <w:uiPriority w:val="1"/>
    <w:unhideWhenUsed/>
    <w:qFormat/>
  </w:style>
  <w:style w:type="table" w:styleId="727" w:default="1">
    <w:name w:val="Normal Table"/>
    <w:uiPriority w:val="99"/>
    <w:unhideWhenUsed/>
    <w:qFormat/>
    <w:tblPr>
      <w:tblCellMar>
        <w:left w:w="108" w:type="dxa"/>
        <w:top w:w="0" w:type="dxa"/>
        <w:right w:w="108" w:type="dxa"/>
        <w:bottom w:w="0" w:type="dxa"/>
      </w:tblCellMar>
    </w:tblPr>
  </w:style>
  <w:style w:type="paragraph" w:styleId="728">
    <w:name w:val="toc 7"/>
    <w:basedOn w:val="716"/>
    <w:next w:val="716"/>
    <w:uiPriority w:val="0"/>
    <w:qFormat/>
    <w:pPr>
      <w:ind w:left="1440"/>
      <w:jc w:val="left"/>
      <w:spacing w:line="360" w:lineRule="auto"/>
    </w:pPr>
    <w:rPr>
      <w:rFonts w:ascii="Calibri" w:hAnsi="Calibri" w:cs="Calibri"/>
      <w:sz w:val="18"/>
      <w:szCs w:val="18"/>
    </w:rPr>
  </w:style>
  <w:style w:type="paragraph" w:styleId="729">
    <w:name w:val="Normal Indent"/>
    <w:basedOn w:val="716"/>
    <w:link w:val="959"/>
    <w:uiPriority w:val="0"/>
    <w:qFormat/>
    <w:pPr>
      <w:ind w:firstLine="420"/>
      <w:jc w:val="left"/>
    </w:pPr>
    <w:rPr>
      <w:rFonts w:ascii="Calibri" w:hAnsi="Calibri" w:eastAsia="楷体_GB2312"/>
      <w:sz w:val="24"/>
      <w:szCs w:val="20"/>
    </w:rPr>
  </w:style>
  <w:style w:type="paragraph" w:styleId="730">
    <w:name w:val="Caption"/>
    <w:basedOn w:val="716"/>
    <w:next w:val="716"/>
    <w:uiPriority w:val="0"/>
    <w:qFormat/>
    <w:pPr>
      <w:ind w:left="640" w:hanging="640"/>
      <w:jc w:val="center"/>
    </w:pPr>
    <w:rPr>
      <w:rFonts w:ascii="BankGothic Lt BT" w:hAnsi="BankGothic Lt BT" w:cs="Arial"/>
      <w:sz w:val="32"/>
    </w:rPr>
  </w:style>
  <w:style w:type="paragraph" w:styleId="731">
    <w:name w:val="Document Map"/>
    <w:basedOn w:val="716"/>
    <w:uiPriority w:val="0"/>
    <w:semiHidden/>
    <w:qFormat/>
    <w:pPr>
      <w:shd w:val="clear" w:color="auto" w:fill="000080"/>
    </w:pPr>
    <w:rPr>
      <w:szCs w:val="20"/>
    </w:rPr>
  </w:style>
  <w:style w:type="paragraph" w:styleId="732">
    <w:name w:val="annotation text"/>
    <w:basedOn w:val="716"/>
    <w:link w:val="1127"/>
    <w:uiPriority w:val="0"/>
    <w:unhideWhenUsed/>
    <w:qFormat/>
    <w:pPr>
      <w:jc w:val="left"/>
    </w:pPr>
  </w:style>
  <w:style w:type="paragraph" w:styleId="733">
    <w:name w:val="Salutation"/>
    <w:basedOn w:val="716"/>
    <w:next w:val="716"/>
    <w:uiPriority w:val="0"/>
    <w:qFormat/>
    <w:rPr>
      <w:rFonts w:ascii="宋体" w:hAnsi="宋体"/>
      <w:spacing w:val="20"/>
      <w:sz w:val="24"/>
      <w:szCs w:val="22"/>
      <w:lang w:eastAsia="en-US" w:bidi="en-US"/>
    </w:rPr>
  </w:style>
  <w:style w:type="paragraph" w:styleId="734">
    <w:name w:val="Body Text 3"/>
    <w:basedOn w:val="716"/>
    <w:uiPriority w:val="0"/>
    <w:qFormat/>
    <w:pPr>
      <w:ind w:firstLine="250"/>
      <w:spacing w:after="120" w:line="300" w:lineRule="auto"/>
    </w:pPr>
    <w:rPr>
      <w:sz w:val="16"/>
      <w:szCs w:val="16"/>
    </w:rPr>
  </w:style>
  <w:style w:type="paragraph" w:styleId="735">
    <w:name w:val="Closing"/>
    <w:basedOn w:val="716"/>
    <w:uiPriority w:val="0"/>
    <w:qFormat/>
    <w:pPr>
      <w:ind w:left="100"/>
    </w:pPr>
    <w:rPr>
      <w:rFonts w:ascii="宋体" w:hAnsi="宋体"/>
      <w:spacing w:val="20"/>
      <w:sz w:val="24"/>
      <w:szCs w:val="22"/>
      <w:lang w:eastAsia="en-US" w:bidi="en-US"/>
    </w:rPr>
  </w:style>
  <w:style w:type="paragraph" w:styleId="736">
    <w:name w:val="Body Text"/>
    <w:basedOn w:val="716"/>
    <w:link w:val="960"/>
    <w:uiPriority w:val="0"/>
    <w:qFormat/>
    <w:pPr>
      <w:tabs>
        <w:tab w:val="left" w:pos="5250" w:leader="none"/>
      </w:tabs>
    </w:pPr>
    <w:rPr>
      <w:rFonts w:ascii="Calibri" w:hAnsi="Calibri"/>
      <w:sz w:val="28"/>
    </w:rPr>
  </w:style>
  <w:style w:type="paragraph" w:styleId="737">
    <w:name w:val="Body Text Indent"/>
    <w:basedOn w:val="716"/>
    <w:link w:val="961"/>
    <w:uiPriority w:val="0"/>
    <w:qFormat/>
    <w:pPr>
      <w:ind w:left="570"/>
      <w:spacing w:line="520" w:lineRule="exact"/>
    </w:pPr>
    <w:rPr>
      <w:rFonts w:ascii="方正仿宋简体" w:hAnsi="创艺简仿宋" w:eastAsia="方正仿宋简体"/>
      <w:sz w:val="24"/>
      <w:szCs w:val="20"/>
    </w:rPr>
  </w:style>
  <w:style w:type="paragraph" w:styleId="738">
    <w:name w:val="List 2"/>
    <w:basedOn w:val="716"/>
    <w:uiPriority w:val="0"/>
    <w:qFormat/>
    <w:pPr>
      <w:ind w:left="100" w:hanging="200"/>
    </w:pPr>
    <w:rPr>
      <w:lang w:eastAsia="en-US" w:bidi="en-US"/>
    </w:rPr>
  </w:style>
  <w:style w:type="paragraph" w:styleId="739">
    <w:name w:val="Block Text"/>
    <w:basedOn w:val="716"/>
    <w:uiPriority w:val="0"/>
    <w:qFormat/>
    <w:pPr>
      <w:ind w:left="113" w:right="113"/>
      <w:jc w:val="center"/>
    </w:pPr>
    <w:rPr>
      <w:rFonts w:ascii="仿宋_GB2312" w:eastAsia="仿宋_GB2312"/>
      <w:b/>
      <w:szCs w:val="20"/>
    </w:rPr>
  </w:style>
  <w:style w:type="paragraph" w:styleId="740">
    <w:name w:val="List Bullet 2"/>
    <w:basedOn w:val="716"/>
    <w:uiPriority w:val="0"/>
    <w:qFormat/>
    <w:pPr>
      <w:ind w:left="780" w:hanging="360"/>
      <w:tabs>
        <w:tab w:val="left" w:pos="780" w:leader="none"/>
      </w:tabs>
      <w:outlineLvl w:val="0"/>
    </w:pPr>
    <w:rPr>
      <w:color w:val="0000ff"/>
      <w:sz w:val="24"/>
      <w:szCs w:val="20"/>
    </w:rPr>
  </w:style>
  <w:style w:type="paragraph" w:styleId="741">
    <w:name w:val="toc 5"/>
    <w:basedOn w:val="716"/>
    <w:next w:val="716"/>
    <w:uiPriority w:val="0"/>
    <w:qFormat/>
    <w:pPr>
      <w:ind w:left="960"/>
      <w:jc w:val="left"/>
      <w:spacing w:line="360" w:lineRule="auto"/>
    </w:pPr>
    <w:rPr>
      <w:rFonts w:ascii="Calibri" w:hAnsi="Calibri" w:cs="Calibri"/>
      <w:sz w:val="18"/>
      <w:szCs w:val="18"/>
    </w:rPr>
  </w:style>
  <w:style w:type="paragraph" w:styleId="742">
    <w:name w:val="toc 3"/>
    <w:basedOn w:val="716"/>
    <w:next w:val="716"/>
    <w:uiPriority w:val="39"/>
    <w:qFormat/>
    <w:pPr>
      <w:ind w:left="840"/>
    </w:pPr>
  </w:style>
  <w:style w:type="paragraph" w:styleId="743">
    <w:name w:val="Plain Text"/>
    <w:basedOn w:val="716"/>
    <w:next w:val="716"/>
    <w:link w:val="962"/>
    <w:uiPriority w:val="0"/>
    <w:qFormat/>
    <w:rPr>
      <w:rFonts w:ascii="宋体" w:hAnsi="Courier New" w:eastAsia="楷体_GB2312"/>
      <w:sz w:val="28"/>
      <w:szCs w:val="20"/>
    </w:rPr>
  </w:style>
  <w:style w:type="paragraph" w:styleId="744">
    <w:name w:val="toc 8"/>
    <w:basedOn w:val="716"/>
    <w:next w:val="716"/>
    <w:uiPriority w:val="0"/>
    <w:qFormat/>
    <w:pPr>
      <w:ind w:left="1680"/>
      <w:jc w:val="left"/>
      <w:spacing w:line="360" w:lineRule="auto"/>
    </w:pPr>
    <w:rPr>
      <w:rFonts w:ascii="Calibri" w:hAnsi="Calibri" w:cs="Calibri"/>
      <w:sz w:val="18"/>
      <w:szCs w:val="18"/>
    </w:rPr>
  </w:style>
  <w:style w:type="paragraph" w:styleId="745">
    <w:name w:val="Date"/>
    <w:basedOn w:val="716"/>
    <w:next w:val="716"/>
    <w:link w:val="963"/>
    <w:uiPriority w:val="0"/>
    <w:qFormat/>
    <w:pPr>
      <w:ind w:left="100"/>
    </w:pPr>
    <w:rPr>
      <w:rFonts w:ascii="Calibri" w:hAnsi="Calibri"/>
      <w:sz w:val="28"/>
    </w:rPr>
  </w:style>
  <w:style w:type="paragraph" w:styleId="746">
    <w:name w:val="Body Text Indent 2"/>
    <w:basedOn w:val="716"/>
    <w:uiPriority w:val="0"/>
    <w:qFormat/>
    <w:pPr>
      <w:ind w:firstLine="570"/>
      <w:spacing w:line="520" w:lineRule="exact"/>
    </w:pPr>
    <w:rPr>
      <w:rFonts w:ascii="方正仿宋简体" w:hAnsi="创艺简仿宋" w:eastAsia="方正仿宋简体"/>
      <w:bCs/>
      <w:sz w:val="24"/>
      <w:szCs w:val="20"/>
    </w:rPr>
  </w:style>
  <w:style w:type="paragraph" w:styleId="747">
    <w:name w:val="endnote text"/>
    <w:basedOn w:val="716"/>
    <w:link w:val="948"/>
    <w:uiPriority w:val="99"/>
    <w:unhideWhenUsed/>
    <w:qFormat/>
    <w:rPr>
      <w:sz w:val="20"/>
    </w:rPr>
  </w:style>
  <w:style w:type="paragraph" w:styleId="748">
    <w:name w:val="Balloon Text"/>
    <w:basedOn w:val="716"/>
    <w:uiPriority w:val="0"/>
    <w:semiHidden/>
    <w:qFormat/>
    <w:rPr>
      <w:sz w:val="18"/>
      <w:szCs w:val="18"/>
    </w:rPr>
  </w:style>
  <w:style w:type="paragraph" w:styleId="749">
    <w:name w:val="Footer"/>
    <w:basedOn w:val="716"/>
    <w:link w:val="821"/>
    <w:uiPriority w:val="0"/>
    <w:qFormat/>
    <w:pPr>
      <w:jc w:val="left"/>
      <w:tabs>
        <w:tab w:val="center" w:pos="4153" w:leader="none"/>
        <w:tab w:val="right" w:pos="8306" w:leader="none"/>
      </w:tabs>
    </w:pPr>
    <w:rPr>
      <w:sz w:val="18"/>
      <w:szCs w:val="18"/>
    </w:rPr>
  </w:style>
  <w:style w:type="paragraph" w:styleId="750">
    <w:name w:val="Header"/>
    <w:basedOn w:val="716"/>
    <w:link w:val="964"/>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51">
    <w:name w:val="toc 1"/>
    <w:basedOn w:val="716"/>
    <w:next w:val="716"/>
    <w:uiPriority w:val="39"/>
    <w:qFormat/>
    <w:rPr>
      <w:sz w:val="30"/>
    </w:rPr>
  </w:style>
  <w:style w:type="paragraph" w:styleId="752">
    <w:name w:val="toc 4"/>
    <w:basedOn w:val="716"/>
    <w:next w:val="716"/>
    <w:uiPriority w:val="0"/>
    <w:qFormat/>
    <w:pPr>
      <w:ind w:left="720"/>
      <w:jc w:val="left"/>
      <w:spacing w:line="360" w:lineRule="auto"/>
    </w:pPr>
    <w:rPr>
      <w:rFonts w:ascii="Calibri" w:hAnsi="Calibri" w:cs="Calibri"/>
      <w:sz w:val="18"/>
      <w:szCs w:val="18"/>
    </w:rPr>
  </w:style>
  <w:style w:type="paragraph" w:styleId="753">
    <w:name w:val="index heading"/>
    <w:basedOn w:val="716"/>
    <w:next w:val="754"/>
    <w:uiPriority w:val="0"/>
    <w:semiHidden/>
    <w:qFormat/>
    <w:pPr>
      <w:jc w:val="left"/>
      <w:spacing w:after="200" w:line="276" w:lineRule="auto"/>
      <w:widowControl/>
    </w:pPr>
    <w:rPr>
      <w:rFonts w:ascii="Arial" w:hAnsi="Arial" w:cs="Arial"/>
      <w:b/>
      <w:bCs/>
      <w:sz w:val="22"/>
      <w:szCs w:val="22"/>
      <w:lang w:eastAsia="en-US" w:bidi="en-US"/>
    </w:rPr>
  </w:style>
  <w:style w:type="paragraph" w:styleId="754">
    <w:name w:val="index 1"/>
    <w:basedOn w:val="716"/>
    <w:next w:val="716"/>
    <w:uiPriority w:val="0"/>
    <w:qFormat/>
    <w:rPr>
      <w:b/>
      <w:bCs/>
    </w:rPr>
  </w:style>
  <w:style w:type="paragraph" w:styleId="755">
    <w:name w:val="Subtitle"/>
    <w:basedOn w:val="716"/>
    <w:next w:val="716"/>
    <w:link w:val="965"/>
    <w:uiPriority w:val="0"/>
    <w:qFormat/>
    <w:pPr>
      <w:jc w:val="left"/>
      <w:spacing w:after="200" w:line="276" w:lineRule="auto"/>
      <w:widowControl/>
    </w:pPr>
    <w:rPr>
      <w:rFonts w:ascii="Calibri" w:hAnsi="Calibri"/>
    </w:rPr>
  </w:style>
  <w:style w:type="paragraph" w:styleId="756">
    <w:name w:val="List"/>
    <w:basedOn w:val="716"/>
    <w:uiPriority w:val="0"/>
    <w:qFormat/>
    <w:pPr>
      <w:ind w:left="420" w:hanging="420"/>
    </w:pPr>
    <w:rPr>
      <w:szCs w:val="20"/>
    </w:rPr>
  </w:style>
  <w:style w:type="paragraph" w:styleId="757">
    <w:name w:val="footnote text"/>
    <w:basedOn w:val="716"/>
    <w:link w:val="947"/>
    <w:uiPriority w:val="99"/>
    <w:unhideWhenUsed/>
    <w:qFormat/>
    <w:pPr>
      <w:spacing w:after="40"/>
    </w:pPr>
    <w:rPr>
      <w:sz w:val="18"/>
    </w:rPr>
  </w:style>
  <w:style w:type="paragraph" w:styleId="758">
    <w:name w:val="toc 6"/>
    <w:basedOn w:val="716"/>
    <w:next w:val="716"/>
    <w:uiPriority w:val="0"/>
    <w:qFormat/>
    <w:pPr>
      <w:ind w:left="2100"/>
    </w:pPr>
  </w:style>
  <w:style w:type="paragraph" w:styleId="759">
    <w:name w:val="Body Text Indent 3"/>
    <w:basedOn w:val="716"/>
    <w:uiPriority w:val="0"/>
    <w:qFormat/>
    <w:pPr>
      <w:ind w:left="659"/>
      <w:spacing w:line="360" w:lineRule="auto"/>
    </w:pPr>
    <w:rPr>
      <w:rFonts w:ascii="宋体" w:hAnsi="宋体"/>
      <w:sz w:val="24"/>
    </w:rPr>
  </w:style>
  <w:style w:type="paragraph" w:styleId="760">
    <w:name w:val="table of figures"/>
    <w:basedOn w:val="716"/>
    <w:next w:val="716"/>
    <w:uiPriority w:val="99"/>
    <w:unhideWhenUsed/>
    <w:qFormat/>
  </w:style>
  <w:style w:type="paragraph" w:styleId="761">
    <w:name w:val="toc 2"/>
    <w:basedOn w:val="716"/>
    <w:next w:val="716"/>
    <w:uiPriority w:val="39"/>
    <w:qFormat/>
    <w:pPr>
      <w:ind w:left="420"/>
    </w:pPr>
  </w:style>
  <w:style w:type="paragraph" w:styleId="762">
    <w:name w:val="toc 9"/>
    <w:basedOn w:val="716"/>
    <w:next w:val="716"/>
    <w:uiPriority w:val="0"/>
    <w:qFormat/>
    <w:pPr>
      <w:ind w:left="1920"/>
      <w:jc w:val="left"/>
      <w:spacing w:line="360" w:lineRule="auto"/>
    </w:pPr>
    <w:rPr>
      <w:rFonts w:ascii="Calibri" w:hAnsi="Calibri" w:cs="Calibri"/>
      <w:sz w:val="18"/>
      <w:szCs w:val="18"/>
    </w:rPr>
  </w:style>
  <w:style w:type="paragraph" w:styleId="763">
    <w:name w:val="Body Text 2"/>
    <w:basedOn w:val="716"/>
    <w:uiPriority w:val="0"/>
    <w:qFormat/>
    <w:pPr>
      <w:spacing w:after="120" w:line="480" w:lineRule="auto"/>
    </w:pPr>
  </w:style>
  <w:style w:type="paragraph" w:styleId="764">
    <w:name w:val="List Continue 2"/>
    <w:basedOn w:val="716"/>
    <w:uiPriority w:val="0"/>
    <w:qFormat/>
    <w:pPr>
      <w:ind w:left="840"/>
      <w:spacing w:after="120"/>
    </w:pPr>
    <w:rPr>
      <w:lang w:eastAsia="en-US" w:bidi="en-US"/>
    </w:rPr>
  </w:style>
  <w:style w:type="paragraph" w:styleId="765">
    <w:name w:val="Normal (Web)"/>
    <w:basedOn w:val="716"/>
    <w:uiPriority w:val="0"/>
    <w:unhideWhenUsed/>
    <w:qFormat/>
    <w:pPr>
      <w:jc w:val="left"/>
      <w:spacing w:before="100" w:beforeAutospacing="1" w:after="100" w:afterAutospacing="1"/>
      <w:widowControl/>
    </w:pPr>
    <w:rPr>
      <w:rFonts w:ascii="宋体" w:hAnsi="宋体" w:cs="宋体"/>
      <w:sz w:val="24"/>
    </w:rPr>
  </w:style>
  <w:style w:type="paragraph" w:styleId="766">
    <w:name w:val="Title"/>
    <w:basedOn w:val="716"/>
    <w:next w:val="716"/>
    <w:link w:val="815"/>
    <w:uiPriority w:val="0"/>
    <w:qFormat/>
    <w:pPr>
      <w:contextualSpacing/>
      <w:jc w:val="left"/>
      <w:spacing w:after="300"/>
      <w:widowControl/>
    </w:pPr>
    <w:rPr>
      <w:rFonts w:ascii="Cambria" w:hAnsi="Cambria"/>
      <w:smallCaps/>
      <w:sz w:val="52"/>
      <w:szCs w:val="52"/>
      <w:lang w:eastAsia="en-US" w:bidi="en-US"/>
    </w:rPr>
  </w:style>
  <w:style w:type="paragraph" w:styleId="767">
    <w:name w:val="annotation subject"/>
    <w:basedOn w:val="732"/>
    <w:next w:val="732"/>
    <w:link w:val="1130"/>
    <w:uiPriority w:val="0"/>
    <w:unhideWhenUsed/>
    <w:qFormat/>
    <w:rPr>
      <w:b/>
      <w:bCs/>
    </w:rPr>
  </w:style>
  <w:style w:type="paragraph" w:styleId="768">
    <w:name w:val="Body Text First Indent"/>
    <w:next w:val="769"/>
    <w:link w:val="966"/>
    <w:uiPriority w:val="0"/>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69" w:customStyle="1">
    <w:name w:val="样式 正文首行缩进 + 首行缩进:  1 字符"/>
    <w:basedOn w:val="716"/>
    <w:next w:val="750"/>
    <w:uiPriority w:val="0"/>
    <w:qFormat/>
    <w:pPr>
      <w:ind w:firstLine="200"/>
      <w:jc w:val="left"/>
      <w:spacing w:after="40" w:line="276" w:lineRule="auto"/>
      <w:widowControl/>
    </w:pPr>
    <w:rPr>
      <w:rFonts w:ascii="Cambria" w:hAnsi="Cambria"/>
      <w:sz w:val="22"/>
      <w:szCs w:val="20"/>
      <w:lang w:eastAsia="en-US" w:bidi="en-US"/>
    </w:rPr>
  </w:style>
  <w:style w:type="paragraph" w:styleId="770">
    <w:name w:val="Body Text First Indent 2"/>
    <w:basedOn w:val="737"/>
    <w:uiPriority w:val="0"/>
    <w:qFormat/>
    <w:pPr>
      <w:ind w:left="420"/>
      <w:spacing w:after="120" w:line="240" w:lineRule="auto"/>
    </w:pPr>
    <w:rPr>
      <w:rFonts w:ascii="Times New Roman" w:hAnsi="Times New Roman"/>
    </w:rPr>
  </w:style>
  <w:style w:type="table" w:styleId="771">
    <w:name w:val="Table Grid"/>
    <w:basedOn w:val="72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2">
    <w:name w:val="Table Theme"/>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22"/>
    <w:qFormat/>
    <w:rPr>
      <w:b/>
      <w:bCs/>
    </w:rPr>
  </w:style>
  <w:style w:type="character" w:styleId="774">
    <w:name w:val="endnote reference"/>
    <w:basedOn w:val="726"/>
    <w:uiPriority w:val="99"/>
    <w:unhideWhenUsed/>
    <w:qFormat/>
    <w:rPr>
      <w:vertAlign w:val="superscript"/>
    </w:rPr>
  </w:style>
  <w:style w:type="character" w:styleId="775">
    <w:name w:val="page number"/>
    <w:basedOn w:val="726"/>
    <w:uiPriority w:val="0"/>
    <w:qFormat/>
  </w:style>
  <w:style w:type="character" w:styleId="776">
    <w:name w:val="FollowedHyperlink"/>
    <w:uiPriority w:val="99"/>
    <w:qFormat/>
    <w:rPr>
      <w:color w:val="800080"/>
      <w:u w:val="single"/>
    </w:rPr>
  </w:style>
  <w:style w:type="character" w:styleId="777">
    <w:name w:val="Emphasis"/>
    <w:basedOn w:val="726"/>
    <w:uiPriority w:val="0"/>
    <w:qFormat/>
  </w:style>
  <w:style w:type="character" w:styleId="778">
    <w:name w:val="Hyperlink"/>
    <w:uiPriority w:val="99"/>
    <w:qFormat/>
    <w:rPr>
      <w:color w:val="0000ff"/>
      <w:u w:val="single"/>
    </w:rPr>
  </w:style>
  <w:style w:type="character" w:styleId="779">
    <w:name w:val="annotation reference"/>
    <w:basedOn w:val="726"/>
    <w:uiPriority w:val="0"/>
    <w:unhideWhenUsed/>
    <w:qFormat/>
    <w:rPr>
      <w:sz w:val="21"/>
      <w:szCs w:val="21"/>
    </w:rPr>
  </w:style>
  <w:style w:type="character" w:styleId="780">
    <w:name w:val="footnote reference"/>
    <w:basedOn w:val="726"/>
    <w:uiPriority w:val="99"/>
    <w:unhideWhenUsed/>
    <w:qFormat/>
    <w:rPr>
      <w:vertAlign w:val="superscript"/>
    </w:rPr>
  </w:style>
  <w:style w:type="paragraph" w:styleId="781" w:customStyle="1">
    <w:name w:val="标题 21"/>
    <w:basedOn w:val="716"/>
    <w:next w:val="716"/>
    <w:uiPriority w:val="0"/>
    <w:qFormat/>
    <w:pPr>
      <w:keepLines/>
      <w:keepNext/>
      <w:spacing w:before="260" w:after="260" w:line="413" w:lineRule="auto"/>
      <w:outlineLvl w:val="1"/>
    </w:pPr>
    <w:rPr>
      <w:rFonts w:ascii="Arial" w:hAnsi="Arial" w:eastAsia="黑体"/>
      <w:b/>
      <w:bCs/>
      <w:sz w:val="32"/>
      <w:szCs w:val="32"/>
    </w:rPr>
  </w:style>
  <w:style w:type="table" w:styleId="782"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Title Char"/>
    <w:basedOn w:val="726"/>
    <w:uiPriority w:val="10"/>
    <w:qFormat/>
    <w:rPr>
      <w:sz w:val="48"/>
      <w:szCs w:val="48"/>
    </w:rPr>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rPr>
      <w:rFonts w:hint="default" w:ascii="Calibri" w:hAnsi="Calibri" w:eastAsia="宋体" w:cs="Times New Roman"/>
      <w:lang w:val="en-US" w:eastAsia="zh-CN" w:bidi="ar-SA"/>
    </w:rPr>
  </w:style>
  <w:style w:type="character" w:styleId="807" w:customStyle="1">
    <w:name w:val="Heading 1 Char"/>
    <w:basedOn w:val="726"/>
    <w:uiPriority w:val="9"/>
    <w:qFormat/>
    <w:rPr>
      <w:rFonts w:ascii="Arial" w:hAnsi="Arial" w:eastAsia="Arial" w:cs="Arial"/>
      <w:sz w:val="40"/>
      <w:szCs w:val="40"/>
    </w:rPr>
  </w:style>
  <w:style w:type="character" w:styleId="808" w:customStyle="1">
    <w:name w:val="Heading 2 Char"/>
    <w:basedOn w:val="726"/>
    <w:uiPriority w:val="9"/>
    <w:qFormat/>
    <w:rPr>
      <w:rFonts w:ascii="Arial" w:hAnsi="Arial" w:eastAsia="Arial" w:cs="Arial"/>
      <w:sz w:val="34"/>
    </w:rPr>
  </w:style>
  <w:style w:type="character" w:styleId="809" w:customStyle="1">
    <w:name w:val="Heading 4 Char"/>
    <w:basedOn w:val="726"/>
    <w:uiPriority w:val="9"/>
    <w:qFormat/>
    <w:rPr>
      <w:rFonts w:ascii="Arial" w:hAnsi="Arial" w:eastAsia="Arial" w:cs="Arial"/>
      <w:b/>
      <w:bCs/>
      <w:sz w:val="26"/>
      <w:szCs w:val="26"/>
    </w:rPr>
  </w:style>
  <w:style w:type="character" w:styleId="810" w:customStyle="1">
    <w:name w:val="Heading 5 Char"/>
    <w:basedOn w:val="726"/>
    <w:uiPriority w:val="9"/>
    <w:qFormat/>
    <w:rPr>
      <w:rFonts w:ascii="Arial" w:hAnsi="Arial" w:eastAsia="Arial" w:cs="Arial"/>
      <w:b/>
      <w:bCs/>
      <w:sz w:val="24"/>
      <w:szCs w:val="24"/>
    </w:rPr>
  </w:style>
  <w:style w:type="character" w:styleId="811" w:customStyle="1">
    <w:name w:val="Heading 6 Char"/>
    <w:basedOn w:val="726"/>
    <w:uiPriority w:val="9"/>
    <w:qFormat/>
    <w:rPr>
      <w:rFonts w:ascii="Arial" w:hAnsi="Arial" w:eastAsia="Arial" w:cs="Arial"/>
      <w:b/>
      <w:bCs/>
      <w:sz w:val="22"/>
      <w:szCs w:val="22"/>
    </w:rPr>
  </w:style>
  <w:style w:type="character" w:styleId="812" w:customStyle="1">
    <w:name w:val="Heading 7 Char"/>
    <w:basedOn w:val="726"/>
    <w:uiPriority w:val="9"/>
    <w:qFormat/>
    <w:rPr>
      <w:rFonts w:ascii="Arial" w:hAnsi="Arial" w:eastAsia="Arial" w:cs="Arial"/>
      <w:b/>
      <w:bCs/>
      <w:i/>
      <w:iCs/>
      <w:sz w:val="22"/>
      <w:szCs w:val="22"/>
    </w:rPr>
  </w:style>
  <w:style w:type="character" w:styleId="813" w:customStyle="1">
    <w:name w:val="Heading 8 Char"/>
    <w:basedOn w:val="726"/>
    <w:uiPriority w:val="9"/>
    <w:qFormat/>
    <w:rPr>
      <w:rFonts w:ascii="Arial" w:hAnsi="Arial" w:eastAsia="Arial" w:cs="Arial"/>
      <w:i/>
      <w:iCs/>
      <w:sz w:val="22"/>
      <w:szCs w:val="22"/>
    </w:rPr>
  </w:style>
  <w:style w:type="character" w:styleId="814" w:customStyle="1">
    <w:name w:val="Heading 9 Char"/>
    <w:basedOn w:val="726"/>
    <w:uiPriority w:val="9"/>
    <w:qFormat/>
    <w:rPr>
      <w:rFonts w:ascii="Arial" w:hAnsi="Arial" w:eastAsia="Arial" w:cs="Arial"/>
      <w:i/>
      <w:iCs/>
      <w:sz w:val="21"/>
      <w:szCs w:val="21"/>
    </w:rPr>
  </w:style>
  <w:style w:type="character" w:styleId="815" w:customStyle="1">
    <w:name w:val="标题 字符"/>
    <w:basedOn w:val="726"/>
    <w:link w:val="766"/>
    <w:uiPriority w:val="10"/>
    <w:qFormat/>
    <w:rPr>
      <w:sz w:val="48"/>
      <w:szCs w:val="48"/>
    </w:rPr>
  </w:style>
  <w:style w:type="character" w:styleId="816" w:customStyle="1">
    <w:name w:val="Subtitle Char"/>
    <w:basedOn w:val="726"/>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26"/>
    <w:uiPriority w:val="99"/>
    <w:qFormat/>
  </w:style>
  <w:style w:type="character" w:styleId="820" w:customStyle="1">
    <w:name w:val="Footer Char"/>
    <w:basedOn w:val="726"/>
    <w:uiPriority w:val="99"/>
    <w:qFormat/>
  </w:style>
  <w:style w:type="character" w:styleId="821" w:customStyle="1">
    <w:name w:val="页脚 字符"/>
    <w:link w:val="749"/>
    <w:uiPriority w:val="99"/>
    <w:qFormat/>
  </w:style>
  <w:style w:type="table" w:styleId="822"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3"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1"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2"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4"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9"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字符"/>
    <w:link w:val="757"/>
    <w:uiPriority w:val="99"/>
    <w:qFormat/>
    <w:rPr>
      <w:sz w:val="18"/>
    </w:rPr>
  </w:style>
  <w:style w:type="character" w:styleId="948" w:customStyle="1">
    <w:name w:val="尾注文本 字符"/>
    <w:link w:val="747"/>
    <w:uiPriority w:val="99"/>
    <w:qFormat/>
    <w:rPr>
      <w:sz w:val="20"/>
    </w:rPr>
  </w:style>
  <w:style w:type="paragraph" w:styleId="949" w:customStyle="1">
    <w:name w:val="TOC 标题111"/>
    <w:uiPriority w:val="39"/>
    <w:unhideWhenUsed/>
    <w:qFormat/>
    <w:rPr>
      <w:rFonts w:hint="default" w:ascii="Calibri" w:hAnsi="Calibri" w:eastAsia="宋体" w:cs="Times New Roman"/>
      <w:lang w:val="en-US" w:eastAsia="zh-CN" w:bidi="ar-SA"/>
    </w:rPr>
  </w:style>
  <w:style w:type="character" w:styleId="950" w:customStyle="1">
    <w:name w:val="标题 1 字符"/>
    <w:link w:val="717"/>
    <w:uiPriority w:val="0"/>
    <w:qFormat/>
    <w:rPr>
      <w:rFonts w:ascii="Calibri" w:hAnsi="Calibri" w:eastAsia="宋体"/>
      <w:b/>
      <w:bCs/>
      <w:sz w:val="44"/>
      <w:szCs w:val="44"/>
      <w:lang w:val="en-US" w:eastAsia="zh-CN" w:bidi="ar-SA"/>
    </w:rPr>
  </w:style>
  <w:style w:type="character" w:styleId="951" w:customStyle="1">
    <w:name w:val="标题 2 字符1"/>
    <w:link w:val="718"/>
    <w:uiPriority w:val="0"/>
    <w:qFormat/>
    <w:rPr>
      <w:rFonts w:ascii="Arial" w:hAnsi="Arial" w:eastAsia="黑体"/>
      <w:b/>
      <w:bCs/>
      <w:sz w:val="32"/>
      <w:szCs w:val="32"/>
      <w:lang w:val="en-US" w:eastAsia="zh-CN" w:bidi="ar-SA"/>
    </w:rPr>
  </w:style>
  <w:style w:type="character" w:styleId="952" w:customStyle="1">
    <w:name w:val="标题 3 字符"/>
    <w:link w:val="719"/>
    <w:uiPriority w:val="0"/>
    <w:qFormat/>
    <w:rPr>
      <w:rFonts w:eastAsia="宋体"/>
      <w:b/>
      <w:bCs/>
      <w:sz w:val="32"/>
      <w:szCs w:val="32"/>
      <w:lang w:val="en-US" w:eastAsia="zh-CN" w:bidi="ar-SA"/>
    </w:rPr>
  </w:style>
  <w:style w:type="character" w:styleId="953" w:customStyle="1">
    <w:name w:val="标题 4 字符"/>
    <w:link w:val="720"/>
    <w:uiPriority w:val="0"/>
    <w:qFormat/>
    <w:rPr>
      <w:rFonts w:ascii="Arial" w:hAnsi="Arial" w:eastAsia="黑体"/>
      <w:b/>
      <w:sz w:val="28"/>
      <w:lang w:val="en-US" w:eastAsia="zh-CN" w:bidi="ar-SA"/>
    </w:rPr>
  </w:style>
  <w:style w:type="character" w:styleId="954" w:customStyle="1">
    <w:name w:val="标题 5 字符"/>
    <w:link w:val="721"/>
    <w:uiPriority w:val="0"/>
    <w:qFormat/>
    <w:rPr>
      <w:rFonts w:eastAsia="宋体"/>
      <w:b/>
      <w:sz w:val="24"/>
      <w:lang w:val="en-US" w:eastAsia="zh-CN" w:bidi="ar-SA"/>
    </w:rPr>
  </w:style>
  <w:style w:type="character" w:styleId="955" w:customStyle="1">
    <w:name w:val="标题 6 字符"/>
    <w:link w:val="722"/>
    <w:uiPriority w:val="0"/>
    <w:qFormat/>
    <w:rPr>
      <w:rFonts w:eastAsia="宋体"/>
      <w:b/>
      <w:sz w:val="24"/>
      <w:lang w:val="en-US" w:eastAsia="zh-CN" w:bidi="ar-SA"/>
    </w:rPr>
  </w:style>
  <w:style w:type="character" w:styleId="956" w:customStyle="1">
    <w:name w:val="标题 7 字符"/>
    <w:link w:val="723"/>
    <w:uiPriority w:val="0"/>
    <w:qFormat/>
    <w:rPr>
      <w:rFonts w:eastAsia="宋体"/>
      <w:b/>
      <w:sz w:val="24"/>
      <w:lang w:val="en-US" w:eastAsia="zh-CN" w:bidi="ar-SA"/>
    </w:rPr>
  </w:style>
  <w:style w:type="character" w:styleId="957" w:customStyle="1">
    <w:name w:val="标题 8 字符"/>
    <w:link w:val="724"/>
    <w:uiPriority w:val="0"/>
    <w:qFormat/>
    <w:rPr>
      <w:rFonts w:ascii="Arial" w:hAnsi="Arial" w:eastAsia="黑体"/>
      <w:sz w:val="24"/>
      <w:szCs w:val="24"/>
      <w:lang w:val="en-US" w:eastAsia="zh-CN" w:bidi="ar-SA"/>
    </w:rPr>
  </w:style>
  <w:style w:type="character" w:styleId="958" w:customStyle="1">
    <w:name w:val="标题 9 字符"/>
    <w:link w:val="725"/>
    <w:uiPriority w:val="0"/>
    <w:qFormat/>
    <w:rPr>
      <w:rFonts w:ascii="Arial" w:hAnsi="Arial" w:eastAsia="黑体"/>
      <w:sz w:val="21"/>
      <w:szCs w:val="21"/>
      <w:lang w:val="en-US" w:eastAsia="zh-CN" w:bidi="ar-SA"/>
    </w:rPr>
  </w:style>
  <w:style w:type="character" w:styleId="959" w:customStyle="1">
    <w:name w:val="正文缩进 字符1"/>
    <w:link w:val="729"/>
    <w:uiPriority w:val="0"/>
    <w:qFormat/>
    <w:rPr>
      <w:rFonts w:eastAsia="楷体_GB2312"/>
      <w:sz w:val="24"/>
      <w:lang w:val="en-US" w:eastAsia="zh-CN" w:bidi="ar-SA"/>
    </w:rPr>
  </w:style>
  <w:style w:type="character" w:styleId="960" w:customStyle="1">
    <w:name w:val="正文文本 字符"/>
    <w:link w:val="736"/>
    <w:uiPriority w:val="0"/>
    <w:semiHidden/>
    <w:qFormat/>
    <w:rPr>
      <w:rFonts w:eastAsia="宋体"/>
      <w:sz w:val="28"/>
      <w:szCs w:val="24"/>
      <w:lang w:val="en-US" w:eastAsia="zh-CN" w:bidi="ar-SA"/>
    </w:rPr>
  </w:style>
  <w:style w:type="character" w:styleId="961" w:customStyle="1">
    <w:name w:val="正文文本缩进 字符"/>
    <w:link w:val="737"/>
    <w:uiPriority w:val="0"/>
    <w:qFormat/>
    <w:rPr>
      <w:rFonts w:ascii="方正仿宋简体" w:hAnsi="创艺简仿宋" w:eastAsia="方正仿宋简体"/>
      <w:sz w:val="24"/>
    </w:rPr>
  </w:style>
  <w:style w:type="character" w:styleId="962" w:customStyle="1">
    <w:name w:val="纯文本 字符"/>
    <w:link w:val="743"/>
    <w:uiPriority w:val="0"/>
    <w:qFormat/>
    <w:rPr>
      <w:rFonts w:ascii="宋体" w:hAnsi="Courier New" w:eastAsia="楷体_GB2312"/>
      <w:sz w:val="28"/>
      <w:lang w:val="en-US" w:eastAsia="zh-CN" w:bidi="ar-SA"/>
    </w:rPr>
  </w:style>
  <w:style w:type="character" w:styleId="963" w:customStyle="1">
    <w:name w:val="日期 字符"/>
    <w:link w:val="745"/>
    <w:uiPriority w:val="0"/>
    <w:qFormat/>
    <w:rPr>
      <w:sz w:val="28"/>
      <w:szCs w:val="24"/>
    </w:rPr>
  </w:style>
  <w:style w:type="character" w:styleId="964" w:customStyle="1">
    <w:name w:val="页眉 字符"/>
    <w:link w:val="750"/>
    <w:uiPriority w:val="0"/>
    <w:semiHidden/>
    <w:qFormat/>
    <w:rPr>
      <w:rFonts w:eastAsia="宋体"/>
      <w:sz w:val="18"/>
      <w:szCs w:val="18"/>
      <w:lang w:val="en-US" w:eastAsia="zh-CN" w:bidi="ar-SA"/>
    </w:rPr>
  </w:style>
  <w:style w:type="character" w:styleId="965" w:customStyle="1">
    <w:name w:val="副标题 字符"/>
    <w:link w:val="755"/>
    <w:uiPriority w:val="0"/>
    <w:qFormat/>
    <w:rPr>
      <w:rFonts w:eastAsia="宋体"/>
      <w:sz w:val="21"/>
      <w:szCs w:val="24"/>
      <w:lang w:val="en-US" w:eastAsia="zh-CN" w:bidi="ar-SA"/>
    </w:rPr>
  </w:style>
  <w:style w:type="character" w:styleId="966" w:customStyle="1">
    <w:name w:val="正文文本首行缩进 字符"/>
    <w:link w:val="768"/>
    <w:uiPriority w:val="0"/>
    <w:semiHidden/>
    <w:qFormat/>
    <w:rPr>
      <w:rFonts w:ascii="Cambria" w:hAnsi="Cambria"/>
      <w:sz w:val="21"/>
      <w:szCs w:val="24"/>
      <w:lang w:val="en-US" w:eastAsia="zh-CN" w:bidi="ar-SA"/>
    </w:rPr>
  </w:style>
  <w:style w:type="table" w:styleId="967" w:customStyle="1">
    <w:name w:val="浅色网格 - 强调文字颜色 61"/>
    <w:basedOn w:val="727"/>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68" w:customStyle="1">
    <w:name w:val="彩色底纹 - 强调文字颜色 51"/>
    <w:basedOn w:val="727"/>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69" w:customStyle="1">
    <w:name w:val="彩色列表 - 强调文字颜色 41"/>
    <w:basedOn w:val="727"/>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0" w:customStyle="1">
    <w:name w:val="pa-0"/>
    <w:basedOn w:val="716"/>
    <w:uiPriority w:val="0"/>
    <w:qFormat/>
    <w:pPr>
      <w:jc w:val="center"/>
      <w:spacing w:line="320" w:lineRule="atLeast"/>
      <w:widowControl/>
    </w:pPr>
    <w:rPr>
      <w:rFonts w:ascii="宋体" w:hAnsi="宋体" w:cs="宋体"/>
      <w:sz w:val="24"/>
    </w:rPr>
  </w:style>
  <w:style w:type="paragraph" w:styleId="971" w:customStyle="1">
    <w:name w:val="pa-1"/>
    <w:basedOn w:val="716"/>
    <w:uiPriority w:val="0"/>
    <w:qFormat/>
    <w:pPr>
      <w:ind w:firstLine="540"/>
      <w:spacing w:line="360" w:lineRule="atLeast"/>
      <w:widowControl/>
    </w:pPr>
    <w:rPr>
      <w:rFonts w:ascii="宋体" w:hAnsi="宋体" w:cs="宋体"/>
      <w:sz w:val="24"/>
    </w:rPr>
  </w:style>
  <w:style w:type="paragraph" w:styleId="972" w:customStyle="1">
    <w:name w:val="pa-2"/>
    <w:basedOn w:val="716"/>
    <w:uiPriority w:val="0"/>
    <w:qFormat/>
    <w:pPr>
      <w:ind w:firstLine="480"/>
      <w:spacing w:line="280" w:lineRule="atLeast"/>
      <w:widowControl/>
    </w:pPr>
    <w:rPr>
      <w:rFonts w:ascii="宋体" w:hAnsi="宋体" w:cs="宋体"/>
      <w:sz w:val="24"/>
    </w:rPr>
  </w:style>
  <w:style w:type="paragraph" w:styleId="973" w:customStyle="1">
    <w:name w:val="pa-3"/>
    <w:basedOn w:val="716"/>
    <w:uiPriority w:val="0"/>
    <w:qFormat/>
    <w:pPr>
      <w:ind w:firstLine="480"/>
      <w:spacing w:line="360" w:lineRule="atLeast"/>
      <w:widowControl/>
    </w:pPr>
    <w:rPr>
      <w:rFonts w:ascii="宋体" w:hAnsi="宋体" w:cs="宋体"/>
      <w:sz w:val="24"/>
    </w:rPr>
  </w:style>
  <w:style w:type="paragraph" w:styleId="974" w:customStyle="1">
    <w:name w:val="pa-4"/>
    <w:basedOn w:val="716"/>
    <w:uiPriority w:val="0"/>
    <w:qFormat/>
    <w:pPr>
      <w:spacing w:line="360" w:lineRule="atLeast"/>
      <w:widowControl/>
    </w:pPr>
    <w:rPr>
      <w:rFonts w:ascii="宋体" w:hAnsi="宋体" w:cs="宋体"/>
      <w:sz w:val="24"/>
    </w:rPr>
  </w:style>
  <w:style w:type="paragraph" w:styleId="975" w:customStyle="1">
    <w:name w:val="pa-5"/>
    <w:basedOn w:val="716"/>
    <w:uiPriority w:val="0"/>
    <w:qFormat/>
    <w:pPr>
      <w:spacing w:line="280" w:lineRule="atLeast"/>
      <w:widowControl/>
    </w:pPr>
    <w:rPr>
      <w:rFonts w:ascii="宋体" w:hAnsi="宋体" w:cs="宋体"/>
      <w:sz w:val="24"/>
    </w:rPr>
  </w:style>
  <w:style w:type="character" w:styleId="976" w:customStyle="1">
    <w:name w:val="ca-01"/>
    <w:uiPriority w:val="0"/>
    <w:qFormat/>
    <w:rPr>
      <w:rFonts w:hint="eastAsia" w:ascii="黑体" w:eastAsia="黑体"/>
      <w:sz w:val="28"/>
      <w:szCs w:val="28"/>
    </w:rPr>
  </w:style>
  <w:style w:type="character" w:styleId="977" w:customStyle="1">
    <w:name w:val="ca-11"/>
    <w:uiPriority w:val="0"/>
    <w:qFormat/>
    <w:rPr>
      <w:rFonts w:hint="eastAsia" w:ascii="宋体" w:hAnsi="宋体" w:eastAsia="宋体"/>
      <w:sz w:val="24"/>
      <w:szCs w:val="24"/>
    </w:rPr>
  </w:style>
  <w:style w:type="character" w:styleId="978" w:customStyle="1">
    <w:name w:val="ca-21"/>
    <w:uiPriority w:val="0"/>
    <w:qFormat/>
    <w:rPr>
      <w:rFonts w:hint="eastAsia" w:ascii="宋体" w:hAnsi="宋体" w:eastAsia="宋体"/>
      <w:b/>
      <w:bCs/>
      <w:color w:val="000000"/>
      <w:spacing w:val="-20"/>
      <w:sz w:val="24"/>
      <w:szCs w:val="24"/>
    </w:rPr>
  </w:style>
  <w:style w:type="paragraph" w:styleId="979" w:customStyle="1">
    <w:name w:val="Char"/>
    <w:basedOn w:val="716"/>
    <w:uiPriority w:val="0"/>
    <w:qFormat/>
    <w:pPr>
      <w:numPr>
        <w:ilvl w:val="0"/>
        <w:numId w:val="1"/>
      </w:numPr>
    </w:pPr>
    <w:rPr>
      <w:sz w:val="24"/>
    </w:rPr>
  </w:style>
  <w:style w:type="paragraph" w:styleId="980" w:customStyle="1">
    <w:name w:val="Char2"/>
    <w:basedOn w:val="716"/>
    <w:uiPriority w:val="0"/>
    <w:qFormat/>
    <w:rPr>
      <w:rFonts w:ascii="Tahoma" w:hAnsi="Tahoma"/>
      <w:sz w:val="24"/>
      <w:szCs w:val="20"/>
    </w:rPr>
  </w:style>
  <w:style w:type="character" w:styleId="981" w:customStyle="1">
    <w:name w:val="正文（首行缩进两字） Char1"/>
    <w:uiPriority w:val="0"/>
    <w:qFormat/>
    <w:rPr>
      <w:rFonts w:eastAsia="宋体"/>
      <w:sz w:val="21"/>
      <w:szCs w:val="24"/>
      <w:lang w:val="en-US" w:eastAsia="zh-CN" w:bidi="ar-SA"/>
    </w:rPr>
  </w:style>
  <w:style w:type="paragraph" w:styleId="982" w:customStyle="1">
    <w:name w:val="Char Char"/>
    <w:basedOn w:val="716"/>
    <w:uiPriority w:val="0"/>
    <w:qFormat/>
    <w:rPr>
      <w:rFonts w:ascii="Tahoma" w:hAnsi="Tahoma"/>
      <w:sz w:val="24"/>
      <w:szCs w:val="20"/>
    </w:rPr>
  </w:style>
  <w:style w:type="paragraph" w:styleId="983" w:customStyle="1">
    <w:name w:val="默认段落字体 Para Char Char Char Char"/>
    <w:basedOn w:val="716"/>
    <w:uiPriority w:val="0"/>
    <w:qFormat/>
  </w:style>
  <w:style w:type="paragraph" w:styleId="984" w:customStyle="1">
    <w:name w:val="默认段落字体 Para Char Char"/>
    <w:basedOn w:val="716"/>
    <w:uiPriority w:val="0"/>
    <w:qFormat/>
  </w:style>
  <w:style w:type="paragraph" w:styleId="985" w:customStyle="1">
    <w:name w:val="金保标题1"/>
    <w:basedOn w:val="717"/>
    <w:next w:val="716"/>
    <w:uiPriority w:val="0"/>
    <w:qFormat/>
    <w:pPr>
      <w:numPr>
        <w:ilvl w:val="0"/>
        <w:numId w:val="2"/>
      </w:numPr>
      <w:jc w:val="center"/>
      <w:pageBreakBefore/>
      <w:spacing w:line="240" w:lineRule="auto"/>
    </w:pPr>
    <w:rPr>
      <w:rFonts w:ascii="黑体" w:hAnsi="Tahoma" w:eastAsia="黑体"/>
      <w:sz w:val="32"/>
      <w:szCs w:val="32"/>
    </w:rPr>
  </w:style>
  <w:style w:type="paragraph" w:styleId="986" w:customStyle="1">
    <w:name w:val="标题2"/>
    <w:basedOn w:val="718"/>
    <w:next w:val="716"/>
    <w:link w:val="987"/>
    <w:uiPriority w:val="0"/>
    <w:qFormat/>
    <w:pPr>
      <w:numPr>
        <w:ilvl w:val="1"/>
        <w:numId w:val="2"/>
      </w:numPr>
      <w:jc w:val="left"/>
      <w:spacing w:line="415" w:lineRule="auto"/>
    </w:pPr>
    <w:rPr>
      <w:rFonts w:ascii="Calibri" w:hAnsi="Calibri"/>
      <w:b w:val="0"/>
      <w:sz w:val="30"/>
      <w:szCs w:val="30"/>
    </w:rPr>
  </w:style>
  <w:style w:type="character" w:styleId="987" w:customStyle="1">
    <w:name w:val="标题2 Char"/>
    <w:link w:val="986"/>
    <w:uiPriority w:val="0"/>
    <w:qFormat/>
    <w:rPr>
      <w:rFonts w:eastAsia="黑体"/>
      <w:bCs/>
      <w:sz w:val="30"/>
      <w:szCs w:val="30"/>
      <w:lang w:val="en-US" w:eastAsia="zh-CN" w:bidi="ar-SA"/>
    </w:rPr>
  </w:style>
  <w:style w:type="paragraph" w:styleId="988" w:customStyle="1">
    <w:name w:val="金保标题3"/>
    <w:basedOn w:val="719"/>
    <w:next w:val="716"/>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89" w:customStyle="1">
    <w:name w:val="标准正文格式"/>
    <w:basedOn w:val="716"/>
    <w:link w:val="990"/>
    <w:uiPriority w:val="0"/>
    <w:qFormat/>
    <w:pPr>
      <w:ind w:firstLine="200"/>
      <w:spacing w:before="60" w:after="120" w:line="360" w:lineRule="auto"/>
      <w:widowControl/>
    </w:pPr>
    <w:rPr>
      <w:rFonts w:ascii="Calibri" w:hAnsi="Calibri" w:eastAsia="仿宋_GB2312"/>
      <w:bCs/>
      <w:sz w:val="28"/>
      <w:szCs w:val="20"/>
    </w:rPr>
  </w:style>
  <w:style w:type="character" w:styleId="990" w:customStyle="1">
    <w:name w:val="标准正文格式 Char"/>
    <w:link w:val="989"/>
    <w:uiPriority w:val="0"/>
    <w:qFormat/>
    <w:rPr>
      <w:rFonts w:eastAsia="仿宋_GB2312"/>
      <w:bCs/>
      <w:sz w:val="28"/>
      <w:lang w:val="en-US" w:eastAsia="zh-CN" w:bidi="ar-SA"/>
    </w:rPr>
  </w:style>
  <w:style w:type="paragraph" w:styleId="991" w:customStyle="1">
    <w:name w:val="List Paragraph"/>
    <w:basedOn w:val="716"/>
    <w:uiPriority w:val="34"/>
    <w:qFormat/>
    <w:pPr>
      <w:ind w:firstLine="420"/>
    </w:pPr>
    <w:rPr>
      <w:rFonts w:ascii="Calibri" w:hAnsi="Calibri"/>
      <w:szCs w:val="20"/>
    </w:rPr>
  </w:style>
  <w:style w:type="paragraph" w:styleId="992" w:customStyle="1">
    <w:name w:val="样式 标题 1第一章：标题 1µÚÒ»ÕÂ£º±êÌâ 1合同标题H1标书1h1Section HeadingH..."/>
    <w:basedOn w:val="717"/>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93" w:customStyle="1">
    <w:name w:val="标准正文1"/>
    <w:basedOn w:val="716"/>
    <w:link w:val="994"/>
    <w:uiPriority w:val="0"/>
    <w:qFormat/>
    <w:pPr>
      <w:ind w:firstLine="420"/>
      <w:spacing w:line="288" w:lineRule="auto"/>
    </w:pPr>
    <w:rPr>
      <w:rFonts w:ascii="Calibri" w:hAnsi="Calibri" w:cs="宋体"/>
      <w:szCs w:val="20"/>
    </w:rPr>
  </w:style>
  <w:style w:type="character" w:styleId="994" w:customStyle="1">
    <w:name w:val="标准正文1 Char"/>
    <w:link w:val="993"/>
    <w:uiPriority w:val="0"/>
    <w:qFormat/>
    <w:rPr>
      <w:rFonts w:eastAsia="宋体" w:cs="宋体"/>
      <w:sz w:val="21"/>
      <w:lang w:val="en-US" w:eastAsia="zh-CN" w:bidi="ar-SA"/>
    </w:rPr>
  </w:style>
  <w:style w:type="paragraph" w:styleId="995" w:customStyle="1">
    <w:name w:val="样式 标题 2h22nd levelheading 2H2Title2H21Heading 2 HiddenHe...1"/>
    <w:basedOn w:val="718"/>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96" w:customStyle="1">
    <w:name w:val="样式 标题 3heading 3H3h33rd levelHeading 3 - oldl3CTLevel 3 ..."/>
    <w:basedOn w:val="719"/>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97" w:customStyle="1">
    <w:name w:val="Char Char Char Char Char Char Char Char Char Char Char Char Char Char Char Char"/>
    <w:basedOn w:val="716"/>
    <w:uiPriority w:val="0"/>
    <w:qFormat/>
    <w:rPr>
      <w:rFonts w:ascii="Tahoma" w:hAnsi="Tahoma" w:eastAsia="仿宋_GB2312"/>
      <w:color w:val="000000"/>
      <w:sz w:val="24"/>
      <w:szCs w:val="20"/>
    </w:rPr>
  </w:style>
  <w:style w:type="character" w:styleId="998" w:customStyle="1">
    <w:name w:val="grame"/>
    <w:basedOn w:val="726"/>
    <w:uiPriority w:val="0"/>
    <w:qFormat/>
  </w:style>
  <w:style w:type="character" w:styleId="999" w:customStyle="1">
    <w:name w:val="p101"/>
    <w:uiPriority w:val="0"/>
    <w:qFormat/>
    <w:rPr>
      <w:rFonts w:hint="default"/>
      <w:sz w:val="20"/>
      <w:u w:val="none"/>
    </w:rPr>
  </w:style>
  <w:style w:type="paragraph" w:styleId="1000" w:customStyle="1">
    <w:name w:val="textfontgray"/>
    <w:basedOn w:val="716"/>
    <w:uiPriority w:val="0"/>
    <w:qFormat/>
    <w:pPr>
      <w:jc w:val="left"/>
      <w:spacing w:before="100" w:beforeAutospacing="1" w:after="100" w:afterAutospacing="1" w:line="432" w:lineRule="auto"/>
      <w:widowControl/>
    </w:pPr>
    <w:rPr>
      <w:color w:val="999999"/>
      <w:sz w:val="18"/>
      <w:szCs w:val="20"/>
    </w:rPr>
  </w:style>
  <w:style w:type="paragraph" w:styleId="1001" w:customStyle="1">
    <w:name w:val="dashed"/>
    <w:basedOn w:val="716"/>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02" w:customStyle="1">
    <w:name w:val="salefont9"/>
    <w:basedOn w:val="716"/>
    <w:uiPriority w:val="0"/>
    <w:qFormat/>
    <w:pPr>
      <w:jc w:val="left"/>
      <w:spacing w:before="100" w:beforeAutospacing="1" w:after="100" w:afterAutospacing="1" w:line="384" w:lineRule="auto"/>
      <w:widowControl/>
    </w:pPr>
    <w:rPr>
      <w:color w:val="ff3300"/>
      <w:sz w:val="18"/>
      <w:szCs w:val="20"/>
    </w:rPr>
  </w:style>
  <w:style w:type="paragraph" w:styleId="1003" w:customStyle="1">
    <w:name w:val="flType"/>
    <w:basedOn w:val="716"/>
    <w:uiPriority w:val="0"/>
    <w:qFormat/>
    <w:pPr>
      <w:jc w:val="center"/>
      <w:spacing w:after="284" w:line="113" w:lineRule="atLeast"/>
    </w:pPr>
    <w:rPr>
      <w:sz w:val="24"/>
      <w:szCs w:val="20"/>
    </w:rPr>
  </w:style>
  <w:style w:type="paragraph" w:styleId="1004" w:customStyle="1">
    <w:name w:val="Char1"/>
    <w:basedOn w:val="731"/>
    <w:uiPriority w:val="0"/>
    <w:qFormat/>
    <w:rPr>
      <w:rFonts w:ascii="Tahoma" w:hAnsi="Tahoma"/>
      <w:sz w:val="24"/>
    </w:rPr>
  </w:style>
  <w:style w:type="paragraph" w:styleId="1005" w:customStyle="1">
    <w:name w:val="序号正文"/>
    <w:basedOn w:val="716"/>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06" w:customStyle="1">
    <w:name w:val="p10"/>
    <w:basedOn w:val="716"/>
    <w:uiPriority w:val="0"/>
    <w:qFormat/>
    <w:pPr>
      <w:jc w:val="left"/>
      <w:spacing w:before="100" w:beforeAutospacing="1" w:after="100" w:afterAutospacing="1" w:line="432" w:lineRule="auto"/>
      <w:widowControl/>
    </w:pPr>
    <w:rPr>
      <w:color w:val="000000"/>
      <w:sz w:val="20"/>
      <w:szCs w:val="20"/>
    </w:rPr>
  </w:style>
  <w:style w:type="paragraph" w:styleId="1007" w:customStyle="1">
    <w:name w:val="headfont9"/>
    <w:basedOn w:val="716"/>
    <w:uiPriority w:val="0"/>
    <w:qFormat/>
    <w:pPr>
      <w:jc w:val="left"/>
      <w:spacing w:before="100" w:beforeAutospacing="1" w:after="100" w:afterAutospacing="1"/>
      <w:widowControl/>
    </w:pPr>
    <w:rPr>
      <w:color w:val="ffffff"/>
      <w:sz w:val="18"/>
      <w:szCs w:val="20"/>
    </w:rPr>
  </w:style>
  <w:style w:type="paragraph" w:styleId="1008" w:customStyle="1">
    <w:name w:val="textfont12"/>
    <w:basedOn w:val="716"/>
    <w:uiPriority w:val="0"/>
    <w:qFormat/>
    <w:pPr>
      <w:jc w:val="left"/>
      <w:spacing w:before="100" w:beforeAutospacing="1" w:after="100" w:afterAutospacing="1"/>
      <w:widowControl/>
    </w:pPr>
    <w:rPr>
      <w:b/>
      <w:color w:val="000000"/>
      <w:sz w:val="24"/>
      <w:szCs w:val="20"/>
    </w:rPr>
  </w:style>
  <w:style w:type="paragraph" w:styleId="1009" w:customStyle="1">
    <w:name w:val="表1"/>
    <w:basedOn w:val="716"/>
    <w:uiPriority w:val="0"/>
    <w:qFormat/>
    <w:pPr>
      <w:jc w:val="center"/>
    </w:pPr>
    <w:rPr>
      <w:spacing w:val="20"/>
      <w:szCs w:val="20"/>
    </w:rPr>
  </w:style>
  <w:style w:type="paragraph" w:styleId="1010" w:customStyle="1">
    <w:name w:val="p9"/>
    <w:basedOn w:val="716"/>
    <w:uiPriority w:val="0"/>
    <w:qFormat/>
    <w:pPr>
      <w:jc w:val="left"/>
      <w:spacing w:before="100" w:beforeAutospacing="1" w:after="100" w:afterAutospacing="1"/>
      <w:widowControl/>
    </w:pPr>
    <w:rPr>
      <w:color w:val="000000"/>
      <w:sz w:val="18"/>
      <w:szCs w:val="20"/>
    </w:rPr>
  </w:style>
  <w:style w:type="paragraph" w:styleId="1011" w:customStyle="1">
    <w:name w:val="profont"/>
    <w:basedOn w:val="716"/>
    <w:uiPriority w:val="0"/>
    <w:qFormat/>
    <w:pPr>
      <w:jc w:val="left"/>
      <w:spacing w:before="100" w:beforeAutospacing="1" w:after="100" w:afterAutospacing="1"/>
      <w:widowControl/>
    </w:pPr>
    <w:rPr>
      <w:rFonts w:ascii="Verdana" w:hAnsi="Verdana"/>
      <w:b/>
      <w:color w:val="333333"/>
      <w:sz w:val="24"/>
      <w:szCs w:val="20"/>
    </w:rPr>
  </w:style>
  <w:style w:type="paragraph" w:styleId="1012" w:customStyle="1">
    <w:name w:val="纯文本1"/>
    <w:basedOn w:val="716"/>
    <w:link w:val="1013"/>
    <w:uiPriority w:val="0"/>
    <w:qFormat/>
    <w:rPr>
      <w:rFonts w:ascii="宋体" w:hAnsi="Courier New" w:eastAsia="楷体_GB2312"/>
      <w:sz w:val="28"/>
      <w:szCs w:val="20"/>
    </w:rPr>
  </w:style>
  <w:style w:type="character" w:styleId="1013" w:customStyle="1">
    <w:name w:val="Plain Text Char"/>
    <w:link w:val="1012"/>
    <w:uiPriority w:val="0"/>
    <w:qFormat/>
    <w:rPr>
      <w:rFonts w:ascii="宋体" w:hAnsi="Courier New" w:eastAsia="楷体_GB2312"/>
      <w:sz w:val="28"/>
    </w:rPr>
  </w:style>
  <w:style w:type="paragraph" w:styleId="101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15" w:customStyle="1">
    <w:name w:val="font0"/>
    <w:basedOn w:val="716"/>
    <w:uiPriority w:val="0"/>
    <w:qFormat/>
    <w:pPr>
      <w:jc w:val="left"/>
      <w:spacing w:before="100" w:beforeAutospacing="1" w:after="100" w:afterAutospacing="1"/>
      <w:widowControl/>
    </w:pPr>
    <w:rPr>
      <w:rFonts w:hint="eastAsia" w:ascii="宋体" w:hAnsi="宋体"/>
      <w:sz w:val="24"/>
      <w:szCs w:val="20"/>
    </w:rPr>
  </w:style>
  <w:style w:type="paragraph" w:styleId="1016" w:customStyle="1">
    <w:name w:val="input"/>
    <w:basedOn w:val="716"/>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17" w:customStyle="1">
    <w:name w:val="小标题"/>
    <w:basedOn w:val="716"/>
    <w:uiPriority w:val="0"/>
    <w:qFormat/>
    <w:rPr>
      <w:rFonts w:ascii="宋体" w:hAnsi="宋体"/>
      <w:b/>
      <w:sz w:val="24"/>
      <w:szCs w:val="20"/>
    </w:rPr>
  </w:style>
  <w:style w:type="paragraph" w:styleId="1018" w:customStyle="1">
    <w:name w:val="样式 Arial 小四 行距: 1.5 倍行距"/>
    <w:basedOn w:val="716"/>
    <w:uiPriority w:val="0"/>
    <w:qFormat/>
    <w:pPr>
      <w:ind w:firstLine="480"/>
      <w:spacing w:line="360" w:lineRule="auto"/>
    </w:pPr>
    <w:rPr>
      <w:rFonts w:ascii="Arial" w:hAnsi="Arial"/>
      <w:sz w:val="24"/>
      <w:szCs w:val="20"/>
    </w:rPr>
  </w:style>
  <w:style w:type="paragraph" w:styleId="1019" w:customStyle="1">
    <w:name w:val="条例"/>
    <w:basedOn w:val="716"/>
    <w:uiPriority w:val="0"/>
    <w:qFormat/>
    <w:pPr>
      <w:ind w:left="2" w:right="210" w:firstLine="2"/>
      <w:keepLines/>
      <w:spacing w:line="320" w:lineRule="exact"/>
      <w:widowControl/>
    </w:pPr>
    <w:rPr>
      <w:rFonts w:ascii="宋体" w:hAnsi="宋体"/>
      <w:sz w:val="24"/>
      <w:szCs w:val="20"/>
    </w:rPr>
  </w:style>
  <w:style w:type="paragraph" w:styleId="1020" w:customStyle="1">
    <w:name w:val="符号列表"/>
    <w:basedOn w:val="716"/>
    <w:uiPriority w:val="0"/>
    <w:qFormat/>
    <w:pPr>
      <w:numPr>
        <w:ilvl w:val="0"/>
        <w:numId w:val="5"/>
      </w:numPr>
      <w:spacing w:line="440" w:lineRule="exact"/>
    </w:pPr>
    <w:rPr>
      <w:sz w:val="24"/>
      <w:szCs w:val="20"/>
    </w:rPr>
  </w:style>
  <w:style w:type="paragraph" w:styleId="1021" w:customStyle="1">
    <w:name w:val="font5"/>
    <w:basedOn w:val="716"/>
    <w:uiPriority w:val="0"/>
    <w:qFormat/>
    <w:pPr>
      <w:jc w:val="left"/>
      <w:spacing w:before="100" w:beforeAutospacing="1" w:after="100" w:afterAutospacing="1"/>
      <w:widowControl/>
    </w:pPr>
    <w:rPr>
      <w:rFonts w:ascii="宋体" w:hAnsi="宋体" w:cs="宋体"/>
      <w:sz w:val="18"/>
      <w:szCs w:val="18"/>
    </w:rPr>
  </w:style>
  <w:style w:type="paragraph" w:styleId="1022" w:customStyle="1">
    <w:name w:val="xl23"/>
    <w:basedOn w:val="716"/>
    <w:uiPriority w:val="0"/>
    <w:qFormat/>
    <w:pPr>
      <w:jc w:val="center"/>
      <w:spacing w:before="100" w:beforeAutospacing="1" w:after="100" w:afterAutospacing="1"/>
      <w:widowControl/>
    </w:pPr>
    <w:rPr>
      <w:rFonts w:ascii="宋体" w:hAnsi="宋体" w:cs="宋体"/>
      <w:sz w:val="24"/>
    </w:rPr>
  </w:style>
  <w:style w:type="paragraph" w:styleId="1023" w:customStyle="1">
    <w:name w:val="xl24"/>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4" w:customStyle="1">
    <w:name w:val="xl25"/>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5" w:customStyle="1">
    <w:name w:val="xl26"/>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6" w:customStyle="1">
    <w:name w:val="xl27"/>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7" w:customStyle="1">
    <w:name w:val="xl2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28" w:customStyle="1">
    <w:name w:val="xl2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9" w:customStyle="1">
    <w:name w:val="xl3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0" w:customStyle="1">
    <w:name w:val="xl31"/>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1" w:customStyle="1">
    <w:name w:val="xl32"/>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2" w:customStyle="1">
    <w:name w:val="xl33"/>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33" w:customStyle="1">
    <w:name w:val="xl34"/>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34" w:customStyle="1">
    <w:name w:val="xl35"/>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5" w:customStyle="1">
    <w:name w:val="xl36"/>
    <w:basedOn w:val="71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6" w:customStyle="1">
    <w:name w:val="xl37"/>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37" w:customStyle="1">
    <w:name w:val="xl38"/>
    <w:basedOn w:val="716"/>
    <w:uiPriority w:val="0"/>
    <w:qFormat/>
    <w:pPr>
      <w:jc w:val="center"/>
      <w:spacing w:before="100" w:beforeAutospacing="1" w:after="100" w:afterAutospacing="1"/>
      <w:widowControl/>
    </w:pPr>
    <w:rPr>
      <w:rFonts w:ascii="宋体" w:hAnsi="宋体" w:cs="宋体"/>
      <w:b/>
      <w:bCs/>
      <w:sz w:val="32"/>
      <w:szCs w:val="32"/>
    </w:rPr>
  </w:style>
  <w:style w:type="paragraph" w:styleId="1038" w:customStyle="1">
    <w:name w:val="xl39"/>
    <w:basedOn w:val="71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39" w:customStyle="1">
    <w:name w:val="xl40"/>
    <w:basedOn w:val="7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0" w:customStyle="1">
    <w:name w:val="style31"/>
    <w:uiPriority w:val="0"/>
    <w:qFormat/>
    <w:rPr>
      <w:sz w:val="23"/>
      <w:szCs w:val="23"/>
    </w:rPr>
  </w:style>
  <w:style w:type="character" w:styleId="1041" w:customStyle="1">
    <w:name w:val="headertext"/>
    <w:basedOn w:val="726"/>
    <w:uiPriority w:val="0"/>
    <w:qFormat/>
  </w:style>
  <w:style w:type="character" w:styleId="1042" w:customStyle="1">
    <w:name w:val="style5"/>
    <w:basedOn w:val="726"/>
    <w:uiPriority w:val="0"/>
    <w:qFormat/>
  </w:style>
  <w:style w:type="character" w:styleId="1043" w:customStyle="1">
    <w:name w:val="style3"/>
    <w:basedOn w:val="726"/>
    <w:uiPriority w:val="0"/>
    <w:qFormat/>
  </w:style>
  <w:style w:type="character" w:styleId="1044" w:customStyle="1">
    <w:name w:val="font1"/>
    <w:uiPriority w:val="0"/>
    <w:qFormat/>
    <w:rPr>
      <w:color w:val="0066cc"/>
      <w:sz w:val="18"/>
      <w:szCs w:val="18"/>
      <w:u w:val="none"/>
    </w:rPr>
  </w:style>
  <w:style w:type="character" w:styleId="1045" w:customStyle="1">
    <w:name w:val="txt1"/>
    <w:uiPriority w:val="0"/>
    <w:qFormat/>
    <w:rPr>
      <w:rFonts w:hint="default"/>
      <w:sz w:val="18"/>
      <w:szCs w:val="18"/>
    </w:rPr>
  </w:style>
  <w:style w:type="character" w:styleId="1046" w:customStyle="1">
    <w:name w:val="font-121"/>
    <w:uiPriority w:val="0"/>
    <w:qFormat/>
    <w:rPr>
      <w:color w:val="666666"/>
      <w:sz w:val="24"/>
      <w:szCs w:val="24"/>
      <w:u w:val="none"/>
    </w:rPr>
  </w:style>
  <w:style w:type="character" w:styleId="1047" w:customStyle="1">
    <w:name w:val="style41"/>
    <w:uiPriority w:val="0"/>
    <w:qFormat/>
    <w:rPr>
      <w:color w:val="f49304"/>
    </w:rPr>
  </w:style>
  <w:style w:type="character" w:styleId="1048" w:customStyle="1">
    <w:name w:val="正文缩进 Char"/>
    <w:uiPriority w:val="0"/>
    <w:qFormat/>
    <w:rPr>
      <w:rFonts w:eastAsia="宋体"/>
      <w:sz w:val="24"/>
      <w:lang w:val="en-US" w:eastAsia="zh-CN" w:bidi="ar-SA"/>
    </w:rPr>
  </w:style>
  <w:style w:type="character" w:styleId="1049" w:customStyle="1">
    <w:name w:val="text1"/>
    <w:uiPriority w:val="0"/>
    <w:qFormat/>
    <w:rPr>
      <w:rFonts w:hint="default" w:ascii="ˎ̥" w:hAnsi="ˎ̥"/>
      <w:color w:val="000000"/>
      <w:sz w:val="18"/>
      <w:szCs w:val="18"/>
      <w:u w:val="none"/>
    </w:rPr>
  </w:style>
  <w:style w:type="character" w:styleId="1050" w:customStyle="1">
    <w:name w:val="style61"/>
    <w:uiPriority w:val="0"/>
    <w:qFormat/>
    <w:rPr>
      <w:b/>
      <w:bCs/>
      <w:color w:val="f49304"/>
    </w:rPr>
  </w:style>
  <w:style w:type="character" w:styleId="1051" w:customStyle="1">
    <w:name w:val="headerboxgreen"/>
    <w:basedOn w:val="726"/>
    <w:uiPriority w:val="0"/>
    <w:qFormat/>
  </w:style>
  <w:style w:type="character" w:styleId="1052" w:customStyle="1">
    <w:name w:val="textnorm_chn1"/>
    <w:uiPriority w:val="0"/>
    <w:qFormat/>
    <w:rPr>
      <w:rFonts w:hint="default" w:ascii="Arial" w:hAnsi="Arial" w:cs="Arial"/>
      <w:color w:val="21254a"/>
      <w:sz w:val="22"/>
      <w:szCs w:val="22"/>
    </w:rPr>
  </w:style>
  <w:style w:type="character" w:styleId="1053" w:customStyle="1">
    <w:name w:val="marklong"/>
    <w:basedOn w:val="726"/>
    <w:uiPriority w:val="0"/>
    <w:qFormat/>
  </w:style>
  <w:style w:type="character" w:styleId="1054" w:customStyle="1">
    <w:name w:val="style51"/>
    <w:uiPriority w:val="0"/>
    <w:qFormat/>
    <w:rPr>
      <w:color w:val="ffffff"/>
    </w:rPr>
  </w:style>
  <w:style w:type="character" w:styleId="1055" w:customStyle="1">
    <w:name w:val="Char Char4"/>
    <w:uiPriority w:val="0"/>
    <w:qFormat/>
    <w:rPr>
      <w:rFonts w:eastAsia="宋体"/>
      <w:b/>
      <w:bCs/>
      <w:sz w:val="44"/>
      <w:szCs w:val="44"/>
      <w:lang w:val="en-US" w:eastAsia="zh-CN" w:bidi="ar-SA"/>
    </w:rPr>
  </w:style>
  <w:style w:type="character" w:styleId="1056" w:customStyle="1">
    <w:name w:val="H2 Char"/>
    <w:uiPriority w:val="0"/>
    <w:qFormat/>
    <w:rPr>
      <w:rFonts w:ascii="Arial" w:hAnsi="Arial" w:eastAsia="黑体"/>
      <w:b/>
      <w:bCs/>
      <w:sz w:val="32"/>
      <w:szCs w:val="32"/>
    </w:rPr>
  </w:style>
  <w:style w:type="character" w:styleId="1057" w:customStyle="1">
    <w:name w:val="style35"/>
    <w:basedOn w:val="726"/>
    <w:uiPriority w:val="0"/>
    <w:qFormat/>
  </w:style>
  <w:style w:type="character" w:styleId="1058" w:customStyle="1">
    <w:name w:val="black1"/>
    <w:uiPriority w:val="0"/>
    <w:qFormat/>
    <w:rPr>
      <w:b/>
      <w:bCs/>
      <w:color w:val="000000"/>
      <w:sz w:val="19"/>
      <w:szCs w:val="19"/>
    </w:rPr>
  </w:style>
  <w:style w:type="paragraph" w:styleId="1059" w:customStyle="1">
    <w:name w:val="样式 标题 2 + 宋体 小四"/>
    <w:basedOn w:val="718"/>
    <w:next w:val="739"/>
    <w:uiPriority w:val="0"/>
    <w:qFormat/>
    <w:pPr>
      <w:spacing w:line="415" w:lineRule="auto"/>
    </w:pPr>
    <w:rPr>
      <w:rFonts w:ascii="宋体" w:hAnsi="宋体" w:eastAsia="宋体"/>
      <w:sz w:val="24"/>
    </w:rPr>
  </w:style>
  <w:style w:type="paragraph" w:styleId="1060" w:customStyle="1">
    <w:name w:val="CM20"/>
    <w:basedOn w:val="716"/>
    <w:next w:val="716"/>
    <w:uiPriority w:val="0"/>
    <w:qFormat/>
    <w:pPr>
      <w:jc w:val="left"/>
      <w:spacing w:after="115"/>
    </w:pPr>
    <w:rPr>
      <w:rFonts w:ascii=".a..DD.." w:eastAsia=".a..DD.."/>
      <w:sz w:val="24"/>
    </w:rPr>
  </w:style>
  <w:style w:type="paragraph" w:styleId="1061" w:customStyle="1">
    <w:name w:val="标准"/>
    <w:basedOn w:val="716"/>
    <w:uiPriority w:val="0"/>
    <w:qFormat/>
    <w:pPr>
      <w:spacing w:line="240" w:lineRule="atLeast"/>
    </w:pPr>
    <w:rPr>
      <w:rFonts w:eastAsia="楷体_GB2312"/>
      <w:sz w:val="24"/>
      <w:szCs w:val="20"/>
    </w:rPr>
  </w:style>
  <w:style w:type="paragraph" w:styleId="1062" w:customStyle="1">
    <w:name w:val="CM3"/>
    <w:basedOn w:val="1063"/>
    <w:next w:val="1063"/>
    <w:uiPriority w:val="0"/>
    <w:qFormat/>
    <w:pPr>
      <w:spacing w:line="626" w:lineRule="atLeast"/>
    </w:pPr>
    <w:rPr>
      <w:color w:val="auto"/>
    </w:rPr>
  </w:style>
  <w:style w:type="paragraph" w:styleId="1063"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64" w:customStyle="1">
    <w:name w:val="Char21"/>
    <w:basedOn w:val="716"/>
    <w:uiPriority w:val="0"/>
    <w:qFormat/>
    <w:rPr>
      <w:rFonts w:ascii="Tahoma" w:hAnsi="Tahoma"/>
      <w:sz w:val="24"/>
      <w:szCs w:val="20"/>
    </w:rPr>
  </w:style>
  <w:style w:type="paragraph" w:styleId="1065" w:customStyle="1">
    <w:name w:val="6"/>
    <w:basedOn w:val="716"/>
    <w:next w:val="736"/>
    <w:uiPriority w:val="0"/>
    <w:qFormat/>
    <w:pPr>
      <w:spacing w:after="120"/>
    </w:pPr>
  </w:style>
  <w:style w:type="paragraph" w:styleId="1066" w:customStyle="1">
    <w:name w:val="标题 61"/>
    <w:basedOn w:val="716"/>
    <w:uiPriority w:val="0"/>
    <w:qFormat/>
    <w:pPr>
      <w:jc w:val="left"/>
      <w:widowControl/>
      <w:outlineLvl w:val="6"/>
    </w:pPr>
    <w:rPr>
      <w:rFonts w:ascii="宋体" w:hAnsi="宋体" w:cs="宋体"/>
      <w:color w:val="00569b"/>
      <w:szCs w:val="21"/>
    </w:rPr>
  </w:style>
  <w:style w:type="paragraph" w:styleId="1067" w:customStyle="1">
    <w:name w:val="项符&gt;"/>
    <w:basedOn w:val="716"/>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68" w:customStyle="1">
    <w:name w:val="样式1"/>
    <w:basedOn w:val="717"/>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69" w:customStyle="1">
    <w:name w:val="样式2"/>
    <w:basedOn w:val="718"/>
    <w:uiPriority w:val="0"/>
    <w:qFormat/>
    <w:pPr>
      <w:numPr>
        <w:ilvl w:val="0"/>
        <w:numId w:val="6"/>
      </w:numPr>
      <w:spacing w:line="415" w:lineRule="auto"/>
      <w:tabs>
        <w:tab w:val="left" w:pos="840" w:leader="none"/>
      </w:tabs>
    </w:pPr>
    <w:rPr>
      <w:rFonts w:eastAsia="宋体"/>
      <w:sz w:val="24"/>
    </w:rPr>
  </w:style>
  <w:style w:type="paragraph" w:styleId="1070" w:customStyle="1">
    <w:name w:val="CM2"/>
    <w:basedOn w:val="1063"/>
    <w:next w:val="1063"/>
    <w:uiPriority w:val="0"/>
    <w:qFormat/>
    <w:pPr>
      <w:spacing w:line="623" w:lineRule="atLeast"/>
    </w:pPr>
    <w:rPr>
      <w:color w:val="auto"/>
    </w:rPr>
  </w:style>
  <w:style w:type="paragraph" w:styleId="1071" w:customStyle="1">
    <w:name w:val="样式 Verdana 首行缩进:  0.74 厘米"/>
    <w:basedOn w:val="716"/>
    <w:uiPriority w:val="0"/>
    <w:qFormat/>
    <w:pPr>
      <w:ind w:firstLine="420"/>
      <w:spacing w:line="360" w:lineRule="auto"/>
    </w:pPr>
    <w:rPr>
      <w:rFonts w:ascii="Verdana" w:hAnsi="Verdana" w:cs="宋体"/>
      <w:sz w:val="24"/>
      <w:szCs w:val="20"/>
    </w:rPr>
  </w:style>
  <w:style w:type="paragraph" w:styleId="1072" w:customStyle="1">
    <w:name w:val="样式 正文（首行缩进两字） + 首行缩进:  2 字符"/>
    <w:basedOn w:val="729"/>
    <w:uiPriority w:val="0"/>
    <w:qFormat/>
    <w:pPr>
      <w:ind w:firstLine="200"/>
      <w:jc w:val="both"/>
    </w:pPr>
    <w:rPr>
      <w:rFonts w:eastAsia="宋体"/>
      <w:sz w:val="21"/>
      <w:szCs w:val="24"/>
    </w:rPr>
  </w:style>
  <w:style w:type="paragraph" w:styleId="1073" w:customStyle="1">
    <w:name w:val="样式3"/>
    <w:basedOn w:val="1069"/>
    <w:next w:val="1069"/>
    <w:uiPriority w:val="0"/>
    <w:qFormat/>
  </w:style>
  <w:style w:type="paragraph" w:styleId="1074" w:customStyle="1">
    <w:name w:val="Char Char Char Char"/>
    <w:basedOn w:val="716"/>
    <w:uiPriority w:val="0"/>
    <w:qFormat/>
  </w:style>
  <w:style w:type="paragraph" w:styleId="1075" w:customStyle="1">
    <w:name w:val="Definition Term"/>
    <w:basedOn w:val="716"/>
    <w:next w:val="716"/>
    <w:uiPriority w:val="0"/>
    <w:qFormat/>
    <w:pPr>
      <w:jc w:val="left"/>
      <w:widowControl/>
    </w:pPr>
    <w:rPr>
      <w:sz w:val="20"/>
      <w:lang w:eastAsia="en-US"/>
    </w:rPr>
  </w:style>
  <w:style w:type="paragraph" w:styleId="1076" w:customStyle="1">
    <w:name w:val="7"/>
    <w:basedOn w:val="716"/>
    <w:next w:val="743"/>
    <w:uiPriority w:val="0"/>
    <w:qFormat/>
    <w:rPr>
      <w:rFonts w:ascii="宋体" w:hAnsi="Courier New"/>
      <w:sz w:val="24"/>
      <w:szCs w:val="20"/>
    </w:rPr>
  </w:style>
  <w:style w:type="paragraph" w:styleId="1077" w:customStyle="1">
    <w:name w:val="Char3"/>
    <w:basedOn w:val="716"/>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78" w:customStyle="1">
    <w:name w:val="-"/>
    <w:basedOn w:val="716"/>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79" w:customStyle="1">
    <w:name w:val="style8801"/>
    <w:basedOn w:val="716"/>
    <w:uiPriority w:val="0"/>
    <w:qFormat/>
    <w:pPr>
      <w:jc w:val="left"/>
      <w:spacing w:before="100" w:beforeAutospacing="1" w:after="100" w:afterAutospacing="1"/>
      <w:widowControl/>
    </w:pPr>
    <w:rPr>
      <w:rFonts w:ascii="宋体" w:hAnsi="宋体" w:cs="宋体"/>
      <w:color w:val="000000"/>
      <w:sz w:val="24"/>
    </w:rPr>
  </w:style>
  <w:style w:type="paragraph" w:styleId="1080" w:customStyle="1">
    <w:name w:val="biaoge1"/>
    <w:basedOn w:val="716"/>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81" w:customStyle="1">
    <w:name w:val="info4"/>
    <w:uiPriority w:val="0"/>
    <w:qFormat/>
  </w:style>
  <w:style w:type="paragraph" w:styleId="1082" w:customStyle="1">
    <w:name w:val="No Spacing"/>
    <w:basedOn w:val="716"/>
    <w:link w:val="1083"/>
    <w:uiPriority w:val="0"/>
    <w:qFormat/>
    <w:pPr>
      <w:jc w:val="left"/>
      <w:widowControl/>
    </w:pPr>
    <w:rPr>
      <w:rFonts w:ascii="Cambria" w:hAnsi="Cambria"/>
      <w:sz w:val="22"/>
      <w:szCs w:val="22"/>
      <w:lang w:eastAsia="en-US" w:bidi="en-US"/>
    </w:rPr>
  </w:style>
  <w:style w:type="character" w:styleId="1083" w:customStyle="1">
    <w:name w:val="无间隔 字符"/>
    <w:link w:val="1082"/>
    <w:uiPriority w:val="0"/>
    <w:qFormat/>
    <w:rPr>
      <w:rFonts w:ascii="Cambria" w:hAnsi="Cambria" w:eastAsia="宋体"/>
      <w:sz w:val="22"/>
      <w:szCs w:val="22"/>
      <w:lang w:val="en-US" w:eastAsia="en-US" w:bidi="en-US"/>
    </w:rPr>
  </w:style>
  <w:style w:type="paragraph" w:styleId="1084" w:customStyle="1">
    <w:name w:val="Quote"/>
    <w:basedOn w:val="716"/>
    <w:next w:val="716"/>
    <w:link w:val="1085"/>
    <w:uiPriority w:val="0"/>
    <w:qFormat/>
    <w:pPr>
      <w:jc w:val="left"/>
      <w:spacing w:after="200" w:line="276" w:lineRule="auto"/>
      <w:widowControl/>
    </w:pPr>
    <w:rPr>
      <w:rFonts w:ascii="Cambria" w:hAnsi="Cambria"/>
      <w:i/>
      <w:iCs/>
      <w:sz w:val="22"/>
      <w:szCs w:val="22"/>
      <w:lang w:eastAsia="en-US" w:bidi="en-US"/>
    </w:rPr>
  </w:style>
  <w:style w:type="character" w:styleId="1085" w:customStyle="1">
    <w:name w:val="引用 字符"/>
    <w:link w:val="1084"/>
    <w:uiPriority w:val="0"/>
    <w:qFormat/>
    <w:rPr>
      <w:rFonts w:ascii="Cambria" w:hAnsi="Cambria" w:eastAsia="宋体"/>
      <w:i/>
      <w:iCs/>
      <w:sz w:val="22"/>
      <w:szCs w:val="22"/>
      <w:lang w:val="en-US" w:eastAsia="en-US" w:bidi="en-US"/>
    </w:rPr>
  </w:style>
  <w:style w:type="paragraph" w:styleId="1086" w:customStyle="1">
    <w:name w:val="Intense Quote"/>
    <w:basedOn w:val="716"/>
    <w:next w:val="716"/>
    <w:link w:val="1087"/>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87" w:customStyle="1">
    <w:name w:val="明显引用 字符"/>
    <w:link w:val="1086"/>
    <w:uiPriority w:val="0"/>
    <w:qFormat/>
    <w:rPr>
      <w:rFonts w:ascii="Cambria" w:hAnsi="Cambria" w:eastAsia="宋体"/>
      <w:i/>
      <w:iCs/>
      <w:sz w:val="22"/>
      <w:szCs w:val="22"/>
      <w:lang w:val="en-US" w:eastAsia="en-US" w:bidi="en-US"/>
    </w:rPr>
  </w:style>
  <w:style w:type="paragraph" w:styleId="1088" w:customStyle="1">
    <w:name w:val="TOC 标题11"/>
    <w:basedOn w:val="717"/>
    <w:next w:val="716"/>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89" w:customStyle="1">
    <w:name w:val="浅色列表 - 强调文字颜色 11"/>
    <w:basedOn w:val="727"/>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0" w:customStyle="1">
    <w:name w:val="浅色网格 - 强调文字颜色 11"/>
    <w:basedOn w:val="727"/>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1" w:customStyle="1">
    <w:name w:val="navtext"/>
    <w:basedOn w:val="716"/>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92" w:customStyle="1">
    <w:name w:val="锐丰正文 Char"/>
    <w:basedOn w:val="716"/>
    <w:link w:val="1093"/>
    <w:uiPriority w:val="0"/>
    <w:qFormat/>
    <w:pPr>
      <w:ind w:firstLine="200"/>
      <w:spacing w:line="520" w:lineRule="exact"/>
    </w:pPr>
    <w:rPr>
      <w:rFonts w:ascii="Calibri" w:hAnsi="Calibri" w:eastAsia="楷体_GB2312"/>
      <w:sz w:val="28"/>
      <w:lang w:eastAsia="en-US" w:bidi="en-US"/>
    </w:rPr>
  </w:style>
  <w:style w:type="character" w:styleId="1093" w:customStyle="1">
    <w:name w:val="锐丰正文 Char Char"/>
    <w:link w:val="1092"/>
    <w:uiPriority w:val="0"/>
    <w:qFormat/>
    <w:rPr>
      <w:rFonts w:eastAsia="楷体_GB2312"/>
      <w:sz w:val="28"/>
      <w:szCs w:val="24"/>
      <w:lang w:val="en-US" w:eastAsia="en-US" w:bidi="en-US"/>
    </w:rPr>
  </w:style>
  <w:style w:type="paragraph" w:styleId="1094" w:customStyle="1">
    <w:name w:val="锐丰图片"/>
    <w:link w:val="1095"/>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95" w:customStyle="1">
    <w:name w:val="锐丰图片 Char"/>
    <w:link w:val="1094"/>
    <w:uiPriority w:val="0"/>
    <w:qFormat/>
    <w:rPr>
      <w:rFonts w:eastAsia="楷体_GB2312"/>
      <w:color w:val="0000ff"/>
      <w:sz w:val="28"/>
      <w:szCs w:val="28"/>
      <w:lang w:val="en-US" w:eastAsia="zh-CN" w:bidi="ar-SA"/>
    </w:rPr>
  </w:style>
  <w:style w:type="paragraph" w:styleId="1096" w:customStyle="1">
    <w:name w:val="锐丰图片 Char Char"/>
    <w:link w:val="109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097" w:customStyle="1">
    <w:name w:val="锐丰图片 Char Char Char"/>
    <w:link w:val="1096"/>
    <w:uiPriority w:val="0"/>
    <w:qFormat/>
    <w:rPr>
      <w:rFonts w:eastAsia="楷体_GB2312"/>
      <w:color w:val="0000ff"/>
      <w:sz w:val="28"/>
      <w:szCs w:val="28"/>
      <w:lang w:val="en-US" w:eastAsia="zh-CN" w:bidi="ar-SA"/>
    </w:rPr>
  </w:style>
  <w:style w:type="paragraph" w:styleId="1098" w:customStyle="1">
    <w:name w:val="样式 样式 标题 4 + 楷体_GB2312 非加粗 段前: 0 磅 段后: 0 磅 + 段前: 0.5 行"/>
    <w:basedOn w:val="716"/>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99" w:customStyle="1">
    <w:name w:val="锐丰表格"/>
    <w:basedOn w:val="716"/>
    <w:uiPriority w:val="0"/>
    <w:qFormat/>
    <w:pPr>
      <w:jc w:val="left"/>
    </w:pPr>
    <w:rPr>
      <w:rFonts w:ascii="Arial" w:hAnsi="Arial" w:cs="Arial"/>
      <w:sz w:val="24"/>
      <w:lang w:eastAsia="en-US" w:bidi="en-US"/>
    </w:rPr>
  </w:style>
  <w:style w:type="paragraph" w:styleId="1100" w:customStyle="1">
    <w:name w:val="bodytext"/>
    <w:basedOn w:val="716"/>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01" w:customStyle="1">
    <w:name w:val="样式 (中文) 楷体_GB2312 四号 左 行距: 固定值 28 磅"/>
    <w:basedOn w:val="716"/>
    <w:uiPriority w:val="0"/>
    <w:qFormat/>
    <w:pPr>
      <w:ind w:firstLine="200"/>
      <w:jc w:val="left"/>
      <w:spacing w:line="560" w:lineRule="exact"/>
    </w:pPr>
    <w:rPr>
      <w:rFonts w:eastAsia="楷体_GB2312" w:cs="宋体"/>
      <w:sz w:val="28"/>
      <w:szCs w:val="22"/>
      <w:lang w:eastAsia="en-US" w:bidi="en-US"/>
    </w:rPr>
  </w:style>
  <w:style w:type="paragraph" w:styleId="1102" w:customStyle="1">
    <w:name w:val="锐丰正文"/>
    <w:basedOn w:val="716"/>
    <w:uiPriority w:val="0"/>
    <w:qFormat/>
    <w:pPr>
      <w:ind w:firstLine="200"/>
      <w:spacing w:line="520" w:lineRule="exact"/>
    </w:pPr>
    <w:rPr>
      <w:rFonts w:eastAsia="楷体_GB2312"/>
      <w:sz w:val="28"/>
      <w:lang w:eastAsia="en-US" w:bidi="en-US"/>
    </w:rPr>
  </w:style>
  <w:style w:type="paragraph" w:styleId="1103" w:customStyle="1">
    <w:name w:val="锐丰编号3"/>
    <w:basedOn w:val="1102"/>
    <w:uiPriority w:val="0"/>
    <w:qFormat/>
    <w:pPr>
      <w:numPr>
        <w:ilvl w:val="0"/>
        <w:numId w:val="7"/>
      </w:numPr>
      <w:ind w:firstLine="0"/>
    </w:pPr>
    <w:rPr>
      <w:szCs w:val="20"/>
    </w:rPr>
  </w:style>
  <w:style w:type="paragraph" w:styleId="1104" w:customStyle="1">
    <w:name w:val="锐丰编号二"/>
    <w:basedOn w:val="1102"/>
    <w:uiPriority w:val="0"/>
    <w:qFormat/>
    <w:pPr>
      <w:numPr>
        <w:ilvl w:val="0"/>
        <w:numId w:val="8"/>
      </w:numPr>
      <w:ind w:firstLine="0"/>
    </w:pPr>
    <w:rPr>
      <w:szCs w:val="20"/>
    </w:rPr>
  </w:style>
  <w:style w:type="paragraph" w:styleId="1105" w:customStyle="1">
    <w:name w:val="样式 宋体 小三 行距: 1.5 倍行距1"/>
    <w:basedOn w:val="736"/>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06" w:customStyle="1">
    <w:name w:val="bigtitle1"/>
    <w:uiPriority w:val="0"/>
    <w:qFormat/>
    <w:rPr>
      <w:rFonts w:hint="default" w:ascii="Arial" w:hAnsi="Arial" w:cs="Arial"/>
      <w:color w:val="263470"/>
      <w:sz w:val="48"/>
      <w:szCs w:val="48"/>
    </w:rPr>
  </w:style>
  <w:style w:type="character" w:styleId="1107" w:customStyle="1">
    <w:name w:val="product_nav_bg1"/>
    <w:basedOn w:val="726"/>
    <w:uiPriority w:val="0"/>
    <w:qFormat/>
  </w:style>
  <w:style w:type="paragraph" w:styleId="1108" w:customStyle="1">
    <w:name w:val="标题 3 + 宋体"/>
    <w:basedOn w:val="718"/>
    <w:uiPriority w:val="0"/>
    <w:qFormat/>
    <w:pPr>
      <w:keepLines w:val="0"/>
      <w:spacing w:before="0" w:after="0" w:line="360" w:lineRule="auto"/>
    </w:pPr>
    <w:rPr>
      <w:rFonts w:ascii="宋体" w:hAnsi="宋体" w:eastAsia="宋体"/>
      <w:caps/>
      <w:smallCaps/>
      <w:color w:val="000000"/>
      <w:sz w:val="21"/>
      <w:szCs w:val="21"/>
      <w:lang w:bidi="en-US"/>
    </w:rPr>
  </w:style>
  <w:style w:type="paragraph" w:styleId="1109" w:customStyle="1">
    <w:name w:val="样式 样式 标题 2H2Heading 2 HiddenHeading 2 CCBS部分标题h2Underrubrik1... ..."/>
    <w:basedOn w:val="716"/>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0" w:customStyle="1">
    <w:name w:val="列出段落1"/>
    <w:basedOn w:val="716"/>
    <w:uiPriority w:val="0"/>
    <w:qFormat/>
    <w:pPr>
      <w:ind w:firstLine="420"/>
    </w:pPr>
    <w:rPr>
      <w:sz w:val="28"/>
    </w:rPr>
  </w:style>
  <w:style w:type="character" w:styleId="1111" w:customStyle="1">
    <w:name w:val="Heading 3 Char"/>
    <w:uiPriority w:val="0"/>
    <w:qFormat/>
    <w:rPr>
      <w:rFonts w:eastAsia="黑体" w:cs="Times New Roman"/>
      <w:b/>
      <w:bCs/>
      <w:sz w:val="32"/>
      <w:szCs w:val="32"/>
    </w:rPr>
  </w:style>
  <w:style w:type="character" w:styleId="1112" w:customStyle="1">
    <w:name w:val="short_text"/>
    <w:basedOn w:val="726"/>
    <w:uiPriority w:val="0"/>
    <w:qFormat/>
  </w:style>
  <w:style w:type="character" w:styleId="1113" w:customStyle="1">
    <w:name w:val="普通文字 Char1"/>
    <w:uiPriority w:val="0"/>
    <w:qFormat/>
    <w:rPr>
      <w:rFonts w:ascii="宋体" w:hAnsi="Courier New" w:eastAsia="楷体_GB2312"/>
      <w:sz w:val="28"/>
      <w:lang w:val="en-US" w:eastAsia="zh-CN" w:bidi="ar-SA"/>
    </w:rPr>
  </w:style>
  <w:style w:type="paragraph" w:styleId="1114" w:customStyle="1">
    <w:name w:val="样式 仿宋_GB2312 四号 黑色 行距: 1.5 倍行距1"/>
    <w:basedOn w:val="716"/>
    <w:uiPriority w:val="0"/>
    <w:qFormat/>
    <w:pPr>
      <w:spacing w:line="360" w:lineRule="auto"/>
    </w:pPr>
    <w:rPr>
      <w:rFonts w:ascii="仿宋_GB2312" w:hAnsi="宋体" w:eastAsia="仿宋_GB2312"/>
      <w:color w:val="000000"/>
      <w:sz w:val="24"/>
      <w:szCs w:val="20"/>
    </w:rPr>
  </w:style>
  <w:style w:type="character" w:styleId="1115"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16" w:customStyle="1">
    <w:name w:val="纯文本3"/>
    <w:basedOn w:val="716"/>
    <w:uiPriority w:val="0"/>
    <w:qFormat/>
    <w:rPr>
      <w:rFonts w:hint="eastAsia" w:ascii="宋体" w:hAnsi="Courier New" w:eastAsia="楷体_GB2312"/>
      <w:sz w:val="28"/>
      <w:szCs w:val="20"/>
    </w:rPr>
  </w:style>
  <w:style w:type="paragraph" w:styleId="1117" w:customStyle="1">
    <w:name w:val="p0"/>
    <w:basedOn w:val="716"/>
    <w:uiPriority w:val="0"/>
    <w:qFormat/>
    <w:pPr>
      <w:jc w:val="left"/>
      <w:spacing w:before="100" w:beforeAutospacing="1" w:after="100" w:afterAutospacing="1"/>
      <w:widowControl/>
    </w:pPr>
    <w:rPr>
      <w:rFonts w:ascii="宋体" w:hAnsi="宋体" w:cs="宋体"/>
      <w:sz w:val="24"/>
    </w:rPr>
  </w:style>
  <w:style w:type="paragraph" w:styleId="1118" w:customStyle="1">
    <w:name w:val="p15"/>
    <w:basedOn w:val="716"/>
    <w:uiPriority w:val="0"/>
    <w:qFormat/>
    <w:pPr>
      <w:widowControl/>
    </w:pPr>
    <w:rPr>
      <w:rFonts w:ascii="宋体" w:hAnsi="宋体" w:cs="宋体"/>
      <w:sz w:val="28"/>
      <w:szCs w:val="28"/>
    </w:rPr>
  </w:style>
  <w:style w:type="paragraph" w:styleId="1119" w:customStyle="1">
    <w:name w:val="纯文本11"/>
    <w:basedOn w:val="716"/>
    <w:link w:val="1120"/>
    <w:uiPriority w:val="0"/>
    <w:qFormat/>
    <w:rPr>
      <w:rFonts w:ascii="宋体" w:hAnsi="Courier New" w:eastAsia="楷体_GB2312"/>
      <w:sz w:val="28"/>
      <w:szCs w:val="20"/>
    </w:rPr>
  </w:style>
  <w:style w:type="character" w:styleId="1120" w:customStyle="1">
    <w:name w:val="Plain Text Char Char"/>
    <w:link w:val="1119"/>
    <w:uiPriority w:val="0"/>
    <w:qFormat/>
    <w:rPr>
      <w:rFonts w:ascii="宋体" w:hAnsi="Courier New" w:eastAsia="楷体_GB2312"/>
      <w:sz w:val="28"/>
    </w:rPr>
  </w:style>
  <w:style w:type="paragraph" w:styleId="1121" w:customStyle="1">
    <w:name w:val="列出段落4"/>
    <w:basedOn w:val="716"/>
    <w:uiPriority w:val="34"/>
    <w:qFormat/>
    <w:pPr>
      <w:ind w:firstLine="420"/>
      <w:jc w:val="left"/>
      <w:spacing w:after="200"/>
      <w:widowControl/>
    </w:pPr>
    <w:rPr>
      <w:rFonts w:ascii="Tahoma" w:hAnsi="Tahoma" w:eastAsia="微软雅黑"/>
      <w:sz w:val="22"/>
      <w:szCs w:val="22"/>
    </w:rPr>
  </w:style>
  <w:style w:type="character" w:styleId="1122" w:customStyle="1">
    <w:name w:val="正文缩进 字符"/>
    <w:uiPriority w:val="0"/>
    <w:qFormat/>
    <w:rPr>
      <w:rFonts w:eastAsia="楷体_GB2312"/>
      <w:sz w:val="24"/>
      <w:lang w:val="en-US" w:eastAsia="zh-CN" w:bidi="ar-SA"/>
    </w:rPr>
  </w:style>
  <w:style w:type="paragraph" w:styleId="1123" w:customStyle="1">
    <w:name w:val="纯文本2"/>
    <w:basedOn w:val="716"/>
    <w:uiPriority w:val="0"/>
    <w:qFormat/>
    <w:rPr>
      <w:rFonts w:hint="eastAsia" w:ascii="宋体" w:hAnsi="Courier New" w:eastAsia="楷体_GB2312"/>
      <w:sz w:val="28"/>
      <w:szCs w:val="20"/>
    </w:rPr>
  </w:style>
  <w:style w:type="paragraph" w:styleId="1124" w:customStyle="1">
    <w:name w:val="纯文本4"/>
    <w:basedOn w:val="716"/>
    <w:uiPriority w:val="0"/>
    <w:qFormat/>
    <w:rPr>
      <w:rFonts w:ascii="宋体" w:hAnsi="Courier New" w:eastAsia="楷体_GB2312"/>
      <w:sz w:val="28"/>
      <w:szCs w:val="20"/>
    </w:rPr>
  </w:style>
  <w:style w:type="character" w:styleId="1125" w:customStyle="1">
    <w:name w:val="标题 2 字符"/>
    <w:uiPriority w:val="9"/>
    <w:qFormat/>
    <w:rPr>
      <w:rFonts w:ascii="Arial" w:hAnsi="Arial" w:eastAsia="黑体"/>
      <w:b/>
      <w:bCs/>
      <w:sz w:val="32"/>
      <w:szCs w:val="32"/>
    </w:rPr>
  </w:style>
  <w:style w:type="paragraph" w:styleId="1126" w:customStyle="1">
    <w:name w:val="纯文本41"/>
    <w:basedOn w:val="716"/>
    <w:uiPriority w:val="0"/>
    <w:qFormat/>
    <w:rPr>
      <w:rFonts w:ascii="宋体" w:hAnsi="Courier New" w:eastAsia="楷体_GB2312"/>
      <w:sz w:val="28"/>
      <w:szCs w:val="20"/>
    </w:rPr>
  </w:style>
  <w:style w:type="character" w:styleId="1127" w:customStyle="1">
    <w:name w:val="批注文字 字符"/>
    <w:basedOn w:val="726"/>
    <w:link w:val="732"/>
    <w:uiPriority w:val="0"/>
    <w:semiHidden/>
    <w:qFormat/>
    <w:rPr>
      <w:rFonts w:ascii="Times New Roman" w:hAnsi="Times New Roman"/>
      <w:sz w:val="21"/>
      <w:szCs w:val="24"/>
    </w:rPr>
  </w:style>
  <w:style w:type="paragraph" w:styleId="1128" w:customStyle="1">
    <w:name w:val="纯文本12"/>
    <w:basedOn w:val="716"/>
    <w:uiPriority w:val="0"/>
    <w:qFormat/>
    <w:rPr>
      <w:rFonts w:ascii="宋体" w:hAnsi="Courier New" w:eastAsia="楷体_GB2312"/>
      <w:sz w:val="28"/>
      <w:szCs w:val="20"/>
    </w:rPr>
  </w:style>
  <w:style w:type="character" w:styleId="1129" w:customStyle="1">
    <w:name w:val="正文文本缩进 Char1"/>
    <w:uiPriority w:val="0"/>
    <w:qFormat/>
    <w:rPr>
      <w:rFonts w:ascii="方正仿宋简体" w:hAnsi="创艺简仿宋" w:eastAsia="方正仿宋简体"/>
      <w:sz w:val="24"/>
    </w:rPr>
  </w:style>
  <w:style w:type="character" w:styleId="1130" w:customStyle="1">
    <w:name w:val="批注主题 字符"/>
    <w:basedOn w:val="1127"/>
    <w:link w:val="767"/>
    <w:uiPriority w:val="0"/>
    <w:semiHidden/>
    <w:qFormat/>
    <w:rPr>
      <w:rFonts w:ascii="Times New Roman" w:hAnsi="Times New Roman"/>
      <w:b/>
      <w:bCs/>
      <w:sz w:val="21"/>
      <w:szCs w:val="24"/>
    </w:rPr>
  </w:style>
  <w:style w:type="paragraph" w:styleId="1131" w:customStyle="1">
    <w:name w:val="*正文"/>
    <w:basedOn w:val="716"/>
    <w:uiPriority w:val="0"/>
    <w:qFormat/>
    <w:pPr>
      <w:ind w:firstLine="480"/>
      <w:spacing w:line="360" w:lineRule="auto"/>
    </w:pPr>
    <w:rPr>
      <w:rFonts w:ascii="Arial" w:hAnsi="Arial" w:cs="宋体"/>
      <w:sz w:val="28"/>
      <w:szCs w:val="21"/>
    </w:rPr>
  </w:style>
  <w:style w:type="paragraph" w:styleId="1132" w:customStyle="1">
    <w:name w:val="msonormal"/>
    <w:basedOn w:val="716"/>
    <w:uiPriority w:val="0"/>
    <w:qFormat/>
    <w:pPr>
      <w:jc w:val="left"/>
      <w:spacing w:before="100" w:beforeAutospacing="1" w:after="100" w:afterAutospacing="1"/>
      <w:widowControl/>
    </w:pPr>
    <w:rPr>
      <w:rFonts w:ascii="宋体" w:hAnsi="宋体" w:cs="宋体"/>
      <w:sz w:val="24"/>
    </w:rPr>
  </w:style>
  <w:style w:type="paragraph" w:styleId="1133" w:customStyle="1">
    <w:name w:val="font6"/>
    <w:basedOn w:val="716"/>
    <w:uiPriority w:val="0"/>
    <w:qFormat/>
    <w:pPr>
      <w:jc w:val="left"/>
      <w:spacing w:before="100" w:beforeAutospacing="1" w:after="100" w:afterAutospacing="1"/>
      <w:widowControl/>
    </w:pPr>
    <w:rPr>
      <w:rFonts w:ascii="Calibri" w:hAnsi="Calibri" w:cs="Calibri"/>
      <w:color w:val="000000"/>
      <w:szCs w:val="21"/>
    </w:rPr>
  </w:style>
  <w:style w:type="paragraph" w:styleId="1134" w:customStyle="1">
    <w:name w:val="font7"/>
    <w:basedOn w:val="716"/>
    <w:uiPriority w:val="0"/>
    <w:qFormat/>
    <w:pPr>
      <w:jc w:val="left"/>
      <w:spacing w:before="100" w:beforeAutospacing="1" w:after="100" w:afterAutospacing="1"/>
      <w:widowControl/>
    </w:pPr>
    <w:rPr>
      <w:rFonts w:ascii="宋体" w:hAnsi="宋体" w:cs="宋体"/>
      <w:color w:val="000000"/>
      <w:szCs w:val="21"/>
    </w:rPr>
  </w:style>
  <w:style w:type="paragraph" w:styleId="1135" w:customStyle="1">
    <w:name w:val="font8"/>
    <w:basedOn w:val="716"/>
    <w:uiPriority w:val="0"/>
    <w:qFormat/>
    <w:pPr>
      <w:jc w:val="left"/>
      <w:spacing w:before="100" w:beforeAutospacing="1" w:after="100" w:afterAutospacing="1"/>
      <w:widowControl/>
    </w:pPr>
    <w:rPr>
      <w:rFonts w:ascii="Calibri" w:hAnsi="Calibri" w:cs="Calibri"/>
      <w:color w:val="000000"/>
      <w:szCs w:val="21"/>
    </w:rPr>
  </w:style>
  <w:style w:type="paragraph" w:styleId="1136" w:customStyle="1">
    <w:name w:val="font9"/>
    <w:basedOn w:val="716"/>
    <w:uiPriority w:val="0"/>
    <w:qFormat/>
    <w:pPr>
      <w:jc w:val="left"/>
      <w:spacing w:before="100" w:beforeAutospacing="1" w:after="100" w:afterAutospacing="1"/>
      <w:widowControl/>
    </w:pPr>
    <w:rPr>
      <w:rFonts w:ascii="Calibri" w:hAnsi="Calibri" w:cs="Calibri"/>
      <w:color w:val="333333"/>
      <w:szCs w:val="21"/>
    </w:rPr>
  </w:style>
  <w:style w:type="paragraph" w:styleId="1137" w:customStyle="1">
    <w:name w:val="font10"/>
    <w:basedOn w:val="716"/>
    <w:uiPriority w:val="0"/>
    <w:qFormat/>
    <w:pPr>
      <w:jc w:val="left"/>
      <w:spacing w:before="100" w:beforeAutospacing="1" w:after="100" w:afterAutospacing="1"/>
      <w:widowControl/>
    </w:pPr>
    <w:rPr>
      <w:rFonts w:ascii="宋体" w:hAnsi="宋体" w:cs="宋体"/>
      <w:color w:val="333333"/>
      <w:szCs w:val="21"/>
    </w:rPr>
  </w:style>
  <w:style w:type="paragraph" w:styleId="1138" w:customStyle="1">
    <w:name w:val="xl65"/>
    <w:basedOn w:val="716"/>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39" w:customStyle="1">
    <w:name w:val="xl66"/>
    <w:basedOn w:val="716"/>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40" w:customStyle="1">
    <w:name w:val="xl67"/>
    <w:basedOn w:val="716"/>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41" w:customStyle="1">
    <w:name w:val="xl68"/>
    <w:basedOn w:val="7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42" w:customStyle="1">
    <w:name w:val="xl69"/>
    <w:basedOn w:val="7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43" w:customStyle="1">
    <w:name w:val="xl70"/>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71"/>
    <w:basedOn w:val="7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45" w:customStyle="1">
    <w:name w:val="xl72"/>
    <w:basedOn w:val="7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46" w:customStyle="1">
    <w:name w:val="xl73"/>
    <w:basedOn w:val="716"/>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47" w:customStyle="1">
    <w:name w:val="xl74"/>
    <w:basedOn w:val="716"/>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48" w:customStyle="1">
    <w:name w:val="Plain Text11"/>
    <w:basedOn w:val="716"/>
    <w:uiPriority w:val="0"/>
    <w:qFormat/>
    <w:rPr>
      <w:rFonts w:ascii="宋体" w:hAnsi="Courier New" w:eastAsia="楷体_GB2312"/>
      <w:sz w:val="28"/>
      <w:szCs w:val="20"/>
    </w:rPr>
  </w:style>
  <w:style w:type="paragraph" w:styleId="1149" w:customStyle="1">
    <w:name w:val="列出段落3"/>
    <w:basedOn w:val="716"/>
    <w:uiPriority w:val="34"/>
    <w:qFormat/>
    <w:pPr>
      <w:ind w:firstLine="420"/>
    </w:pPr>
  </w:style>
  <w:style w:type="character" w:styleId="1150" w:customStyle="1">
    <w:name w:val="font31"/>
    <w:uiPriority w:val="0"/>
    <w:qFormat/>
    <w:rPr>
      <w:rFonts w:hint="eastAsia" w:ascii="宋体" w:hAnsi="宋体" w:eastAsia="宋体" w:cs="宋体"/>
      <w:color w:val="333333"/>
      <w:sz w:val="21"/>
      <w:szCs w:val="21"/>
      <w:u w:val="none"/>
    </w:rPr>
  </w:style>
  <w:style w:type="paragraph" w:styleId="1151" w:customStyle="1">
    <w:name w:val="Table Paragraph"/>
    <w:basedOn w:val="716"/>
    <w:uiPriority w:val="1"/>
    <w:qFormat/>
    <w:pPr>
      <w:jc w:val="center"/>
      <w:spacing w:before="48"/>
    </w:pPr>
    <w:rPr>
      <w:rFonts w:ascii="宋体" w:hAnsi="宋体" w:cs="宋体"/>
      <w:lang w:val="zh-CN" w:bidi="zh-CN"/>
    </w:rPr>
  </w:style>
  <w:style w:type="character" w:styleId="1152" w:customStyle="1">
    <w:name w:val="font41"/>
    <w:link w:val="716"/>
    <w:uiPriority w:val="0"/>
    <w:qFormat/>
    <w:rPr>
      <w:rFonts w:hint="default" w:ascii="Times New Roman" w:hAnsi="Times New Roman" w:eastAsia="宋体" w:cs="Times New Roman"/>
      <w:sz w:val="21"/>
      <w:szCs w:val="24"/>
      <w:lang w:val="en-US" w:eastAsia="zh-CN" w:bidi="ar-SA"/>
    </w:rPr>
  </w:style>
  <w:style w:type="character" w:styleId="1153" w:customStyle="1">
    <w:name w:val="font51"/>
    <w:link w:val="716"/>
    <w:uiPriority w:val="0"/>
    <w:qFormat/>
    <w:rPr>
      <w:rFonts w:hint="eastAsia" w:ascii="宋体" w:hAnsi="宋体" w:eastAsia="宋体" w:cs="宋体"/>
      <w:color w:val="ff0000"/>
      <w:sz w:val="21"/>
      <w:szCs w:val="21"/>
      <w:u w:val="none"/>
    </w:rPr>
  </w:style>
  <w:style w:type="paragraph" w:styleId="1154" w:customStyle="1">
    <w:name w:val="Table Text"/>
    <w:basedOn w:val="716"/>
    <w:uiPriority w:val="0"/>
    <w:qFormat/>
    <w:rPr>
      <w:rFonts w:ascii="宋体" w:hAnsi="宋体" w:eastAsia="宋体" w:cs="宋体"/>
      <w:sz w:val="24"/>
      <w:szCs w:val="24"/>
    </w:rPr>
  </w:style>
  <w:style w:type="paragraph" w:styleId="1155" w:customStyle="1">
    <w:name w:val="页眉1"/>
    <w:basedOn w:val="716"/>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paragraph" w:styleId="1156" w:customStyle="1">
    <w:name w:val="页脚1"/>
    <w:basedOn w:val="716"/>
    <w:uiPriority w:val="99"/>
    <w:qFormat/>
    <w:pPr>
      <w:jc w:val="left"/>
      <w:tabs>
        <w:tab w:val="center" w:pos="4153" w:leader="none"/>
        <w:tab w:val="right" w:pos="8306" w:leader="none"/>
      </w:tabs>
    </w:pPr>
    <w:rPr>
      <w:rFonts w:eastAsia="楷体_GB2312"/>
      <w:sz w:val="18"/>
      <w:szCs w:val="20"/>
    </w:rPr>
  </w:style>
  <w:style w:type="character" w:styleId="1157" w:customStyle="1">
    <w:name w:val="页码1"/>
    <w:uiPriority w:val="0"/>
    <w:qFormat/>
  </w:style>
  <w:style w:type="paragraph" w:styleId="1158" w:customStyle="1">
    <w:name w:val="正文缩进1"/>
    <w:basedOn w:val="716"/>
    <w:uiPriority w:val="0"/>
    <w:qFormat/>
    <w:pPr>
      <w:ind w:firstLine="420"/>
      <w:jc w:val="left"/>
    </w:pPr>
    <w:rPr>
      <w:rFonts w:ascii="Tahoma" w:hAnsi="Tahoma" w:eastAsia="楷体_GB2312"/>
      <w:sz w:val="24"/>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17</cp:revision>
  <dcterms:created xsi:type="dcterms:W3CDTF">2025-02-26T16:05:00Z</dcterms:created>
  <dcterms:modified xsi:type="dcterms:W3CDTF">2026-09-28T08:23:30Z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B422CCAD52B34A41855081B27C88000B_13</vt:lpwstr>
  </property>
  <property fmtid="{D5CDD505-2E9C-101B-9397-08002B2CF9AE}" pid="4" name="KSOTemplateDocerSaveRecord">
    <vt:lpwstr>eyJoZGlkIjoiZjExZTU2NzNjMmJhNTdmZTljZGQ2ZWM4NGMwNDUwNmUiLCJ1c2VySWQiOiI0MjQ3MzQ0MjIifQ==</vt:lpwstr>
  </property>
</Properties>
</file>