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57"/>
        <w:jc w:val="center"/>
        <w:spacing w:line="400" w:lineRule="exact"/>
        <w:rPr>
          <w:rFonts w:hint="eastAsia" w:ascii="方正仿宋_GB2312" w:hAnsi="方正仿宋_GB2312" w:eastAsia="方正仿宋_GB2312" w:cs="方正仿宋_GB2312"/>
          <w:b/>
          <w:bCs/>
          <w:color w:val="000000"/>
          <w:sz w:val="60"/>
          <w:szCs w:val="72"/>
          <w:highlight w:val="none"/>
        </w:rPr>
      </w:pPr>
      <w:r>
        <w:rPr>
          <w:rFonts w:hint="eastAsia" w:ascii="方正仿宋_GB2312" w:hAnsi="方正仿宋_GB2312" w:eastAsia="方正仿宋_GB2312" w:cs="方正仿宋_GB2312"/>
          <w:b/>
          <w:bCs/>
          <w:color w:val="000000"/>
          <w:sz w:val="60"/>
          <w:szCs w:val="72"/>
          <w:highlight w:val="none"/>
        </w:rPr>
      </w:r>
      <w:r/>
    </w:p>
    <w:p>
      <w:pPr>
        <w:pStyle w:val="957"/>
        <w:jc w:val="center"/>
        <w:rPr>
          <w:rFonts w:hint="eastAsia" w:ascii="方正仿宋_GB2312" w:hAnsi="方正仿宋_GB2312" w:eastAsia="方正仿宋_GB2312" w:cs="方正仿宋_GB2312"/>
          <w:b/>
          <w:bCs/>
          <w:color w:val="000000"/>
          <w:sz w:val="56"/>
          <w:szCs w:val="60"/>
          <w:highlight w:val="none"/>
        </w:rPr>
      </w:pPr>
      <w:r>
        <w:rPr>
          <w:rFonts w:hint="eastAsia" w:ascii="方正仿宋_GB2312" w:hAnsi="方正仿宋_GB2312" w:eastAsia="方正仿宋_GB2312" w:cs="方正仿宋_GB2312"/>
          <w:b/>
          <w:bCs/>
          <w:color w:val="000000"/>
          <w:sz w:val="56"/>
          <w:szCs w:val="60"/>
          <w:highlight w:val="none"/>
        </w:rPr>
        <w:t xml:space="preserve">招　标　文　件</w:t>
      </w:r>
      <w:r>
        <w:rPr>
          <w:rFonts w:hint="eastAsia" w:ascii="方正仿宋_GB2312" w:hAnsi="方正仿宋_GB2312" w:eastAsia="方正仿宋_GB2312" w:cs="方正仿宋_GB2312"/>
          <w:b/>
          <w:bCs/>
          <w:color w:val="000000"/>
          <w:sz w:val="56"/>
          <w:szCs w:val="60"/>
          <w:highlight w:val="none"/>
        </w:rPr>
      </w:r>
      <w:r/>
    </w:p>
    <w:p>
      <w:pPr>
        <w:pStyle w:val="957"/>
        <w:jc w:val="left"/>
        <w:spacing w:before="120" w:after="120" w:line="400" w:lineRule="exact"/>
        <w:rPr>
          <w:rFonts w:hint="eastAsia" w:ascii="方正仿宋_GB2312" w:hAnsi="方正仿宋_GB2312" w:eastAsia="方正仿宋_GB2312" w:cs="方正仿宋_GB2312"/>
          <w:b/>
          <w:bCs/>
          <w:color w:val="000000"/>
          <w:sz w:val="36"/>
          <w:szCs w:val="28"/>
          <w:highlight w:val="none"/>
        </w:rPr>
      </w:pPr>
      <w:r>
        <w:rPr>
          <w:rFonts w:hint="eastAsia" w:ascii="方正仿宋_GB2312" w:hAnsi="方正仿宋_GB2312" w:eastAsia="方正仿宋_GB2312" w:cs="方正仿宋_GB2312"/>
          <w:b/>
          <w:bCs/>
          <w:color w:val="000000"/>
          <w:sz w:val="36"/>
          <w:szCs w:val="28"/>
          <w:highlight w:val="none"/>
        </w:rPr>
      </w:r>
      <w:r/>
    </w:p>
    <w:p>
      <w:pPr>
        <w:pStyle w:val="957"/>
        <w:ind w:left="1606" w:hanging="1807"/>
        <w:jc w:val="left"/>
        <w:spacing w:before="120" w:after="120" w:line="400" w:lineRule="exact"/>
        <w:rPr>
          <w:rFonts w:hint="eastAsia" w:ascii="方正仿宋_GB2312" w:hAnsi="方正仿宋_GB2312" w:eastAsia="方正仿宋_GB2312" w:cs="方正仿宋_GB2312"/>
          <w:b/>
          <w:bCs/>
          <w:color w:val="000000"/>
          <w:sz w:val="36"/>
          <w:szCs w:val="36"/>
          <w:highlight w:val="none"/>
          <w:u w:val="single"/>
        </w:rPr>
      </w:pPr>
      <w:r>
        <w:rPr>
          <w:rFonts w:hint="eastAsia" w:ascii="方正仿宋_GB2312" w:hAnsi="方正仿宋_GB2312" w:eastAsia="方正仿宋_GB2312" w:cs="方正仿宋_GB2312"/>
          <w:b/>
          <w:color w:val="000000"/>
          <w:sz w:val="36"/>
          <w:szCs w:val="36"/>
          <w:highlight w:val="none"/>
        </w:rPr>
        <w:t xml:space="preserve">项目名称：如东县洋口镇化工园（西区）土壤污染重点监管单位隐患排查、自行监测质量提升和周边监测、自行监测数据分析应用项目 </w:t>
      </w:r>
      <w:r>
        <w:rPr>
          <w:rFonts w:hint="eastAsia" w:ascii="方正仿宋_GB2312" w:hAnsi="方正仿宋_GB2312" w:eastAsia="方正仿宋_GB2312" w:cs="方正仿宋_GB2312"/>
          <w:b/>
          <w:color w:val="000000"/>
          <w:sz w:val="32"/>
          <w:szCs w:val="32"/>
          <w:highlight w:val="none"/>
        </w:rPr>
        <w:t xml:space="preserve"> </w:t>
      </w:r>
      <w:r>
        <w:rPr>
          <w:rFonts w:hint="eastAsia" w:ascii="方正仿宋_GB2312" w:hAnsi="方正仿宋_GB2312" w:eastAsia="方正仿宋_GB2312" w:cs="方正仿宋_GB2312"/>
          <w:b/>
          <w:bCs/>
          <w:color w:val="000000"/>
          <w:sz w:val="36"/>
          <w:szCs w:val="36"/>
          <w:highlight w:val="none"/>
        </w:rPr>
        <w:t xml:space="preserve">   </w:t>
      </w:r>
      <w:r>
        <w:rPr>
          <w:rFonts w:hint="eastAsia" w:ascii="方正仿宋_GB2312" w:hAnsi="方正仿宋_GB2312" w:eastAsia="方正仿宋_GB2312" w:cs="方正仿宋_GB2312"/>
          <w:b/>
          <w:bCs/>
          <w:color w:val="000000"/>
          <w:sz w:val="36"/>
          <w:szCs w:val="36"/>
          <w:highlight w:val="none"/>
          <w:u w:val="single"/>
        </w:rPr>
      </w:r>
      <w:r/>
    </w:p>
    <w:p>
      <w:pPr>
        <w:pStyle w:val="957"/>
        <w:spacing w:before="120" w:after="120"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
          <w:bCs/>
          <w:color w:val="000000"/>
          <w:sz w:val="36"/>
          <w:szCs w:val="36"/>
          <w:highlight w:val="none"/>
        </w:rPr>
        <w:t xml:space="preserve">项目编号：JSZC-320623-NTJC-G2026-0016 </w:t>
      </w:r>
      <w:r>
        <w:rPr>
          <w:rFonts w:hint="eastAsia" w:ascii="方正仿宋_GB2312" w:hAnsi="方正仿宋_GB2312" w:eastAsia="方正仿宋_GB2312" w:cs="方正仿宋_GB2312"/>
          <w:b/>
          <w:bCs/>
          <w:color w:val="000000"/>
          <w:sz w:val="36"/>
          <w:szCs w:val="28"/>
          <w:highlight w:val="none"/>
        </w:rPr>
        <w:t xml:space="preserve"> </w:t>
      </w:r>
      <w:r>
        <w:rPr>
          <w:rFonts w:hint="eastAsia" w:ascii="方正仿宋_GB2312" w:hAnsi="方正仿宋_GB2312" w:eastAsia="方正仿宋_GB2312" w:cs="方正仿宋_GB2312"/>
          <w:color w:val="000000"/>
          <w:highlight w:val="none"/>
        </w:rPr>
      </w:r>
      <w:r/>
    </w:p>
    <w:p>
      <w:pPr>
        <w:pStyle w:val="957"/>
        <w:ind w:firstLine="964"/>
        <w:spacing w:before="120" w:after="120"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ind w:firstLine="964"/>
        <w:spacing w:before="120" w:after="120"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t xml:space="preserve">（全流程电子化-服务类项目，适用苏采云系统）</w:t>
      </w:r>
      <w:r>
        <w:rPr>
          <w:rFonts w:hint="eastAsia" w:ascii="方正仿宋_GB2312" w:hAnsi="方正仿宋_GB2312" w:eastAsia="方正仿宋_GB2312" w:cs="方正仿宋_GB2312"/>
          <w:b/>
          <w:color w:val="000000"/>
          <w:sz w:val="32"/>
          <w:szCs w:val="32"/>
          <w:highlight w:val="none"/>
        </w:rPr>
      </w:r>
      <w:r/>
    </w:p>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before="120" w:after="120" w:line="400" w:lineRule="exact"/>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57"/>
        <w:jc w:val="center"/>
        <w:spacing w:before="120" w:after="120" w:line="400" w:lineRule="exact"/>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57"/>
        <w:jc w:val="center"/>
        <w:spacing w:before="120" w:after="120" w:line="400" w:lineRule="exact"/>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57"/>
        <w:jc w:val="center"/>
        <w:spacing w:before="120" w:after="120" w:line="400" w:lineRule="exact"/>
        <w:rPr>
          <w:rFonts w:hint="eastAsia" w:ascii="方正仿宋_GB2312" w:hAnsi="方正仿宋_GB2312" w:eastAsia="方正仿宋_GB2312" w:cs="方正仿宋_GB2312"/>
          <w:b/>
          <w:bCs/>
          <w:color w:val="000000"/>
          <w:sz w:val="32"/>
          <w:szCs w:val="24"/>
          <w:highlight w:val="none"/>
        </w:rPr>
      </w:pPr>
      <w:r>
        <w:rPr>
          <w:rFonts w:hint="eastAsia" w:ascii="方正仿宋_GB2312" w:hAnsi="方正仿宋_GB2312" w:eastAsia="方正仿宋_GB2312" w:cs="方正仿宋_GB2312"/>
          <w:b/>
          <w:bCs/>
          <w:color w:val="000000"/>
          <w:sz w:val="32"/>
          <w:szCs w:val="24"/>
          <w:highlight w:val="none"/>
        </w:rPr>
      </w:r>
      <w:r/>
    </w:p>
    <w:p>
      <w:pPr>
        <w:pStyle w:val="957"/>
        <w:jc w:val="center"/>
        <w:spacing w:before="120" w:after="120"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b/>
          <w:bCs/>
          <w:color w:val="000000"/>
          <w:sz w:val="32"/>
          <w:szCs w:val="24"/>
          <w:highlight w:val="none"/>
          <w:u w:val="single"/>
        </w:rPr>
        <w:t xml:space="preserve">2026 </w:t>
      </w:r>
      <w:r>
        <w:rPr>
          <w:rFonts w:hint="eastAsia" w:ascii="方正仿宋_GB2312" w:hAnsi="方正仿宋_GB2312" w:eastAsia="方正仿宋_GB2312" w:cs="方正仿宋_GB2312"/>
          <w:b/>
          <w:bCs/>
          <w:color w:val="000000"/>
          <w:sz w:val="32"/>
          <w:szCs w:val="24"/>
          <w:highlight w:val="none"/>
        </w:rPr>
        <w:t xml:space="preserve">年</w:t>
      </w:r>
      <w:r>
        <w:rPr>
          <w:rFonts w:hint="eastAsia" w:ascii="方正仿宋_GB2312" w:hAnsi="方正仿宋_GB2312" w:eastAsia="方正仿宋_GB2312" w:cs="方正仿宋_GB2312"/>
          <w:b/>
          <w:bCs/>
          <w:color w:val="000000"/>
          <w:sz w:val="32"/>
          <w:szCs w:val="24"/>
          <w:highlight w:val="none"/>
          <w:u w:val="single"/>
        </w:rPr>
        <w:t xml:space="preserve">9 </w:t>
      </w:r>
      <w:r>
        <w:rPr>
          <w:rFonts w:hint="eastAsia" w:ascii="方正仿宋_GB2312" w:hAnsi="方正仿宋_GB2312" w:eastAsia="方正仿宋_GB2312" w:cs="方正仿宋_GB2312"/>
          <w:b/>
          <w:bCs/>
          <w:color w:val="000000"/>
          <w:sz w:val="32"/>
          <w:szCs w:val="24"/>
          <w:highlight w:val="none"/>
        </w:rPr>
        <w:t xml:space="preserve">月</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jc w:val="center"/>
        <w:spacing w:line="400" w:lineRule="exact"/>
        <w:rPr>
          <w:rFonts w:hint="eastAsia" w:ascii="方正仿宋_GB2312" w:hAnsi="方正仿宋_GB2312" w:eastAsia="方正仿宋_GB2312" w:cs="方正仿宋_GB2312"/>
          <w:b/>
          <w:color w:val="000000"/>
          <w:sz w:val="44"/>
          <w:szCs w:val="21"/>
          <w:highlight w:val="none"/>
        </w:rPr>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pPr>
      <w:r/>
      <w:bookmarkStart w:id="0" w:name="_Toc120614210"/>
      <w:r/>
      <w:bookmarkStart w:id="1" w:name="_Toc513029200"/>
      <w:r/>
      <w:bookmarkStart w:id="2" w:name="_Toc523127445"/>
      <w:r/>
      <w:bookmarkStart w:id="3" w:name="_Toc20823272"/>
      <w:r/>
      <w:bookmarkStart w:id="4" w:name="_Toc16938516"/>
      <w:r/>
      <w:bookmarkStart w:id="5" w:name="_Toc479757206"/>
      <w:r>
        <w:rPr>
          <w:rFonts w:hint="eastAsia" w:ascii="方正仿宋_GB2312" w:hAnsi="方正仿宋_GB2312" w:eastAsia="方正仿宋_GB2312" w:cs="方正仿宋_GB2312"/>
          <w:b/>
          <w:color w:val="000000"/>
          <w:sz w:val="44"/>
          <w:szCs w:val="21"/>
          <w:highlight w:val="none"/>
        </w:rPr>
      </w:r>
      <w:r/>
    </w:p>
    <w:p>
      <w:pPr>
        <w:pStyle w:val="957"/>
        <w:jc w:val="center"/>
        <w:rPr>
          <w:rFonts w:hint="eastAsia" w:ascii="方正仿宋_GB2312" w:hAnsi="方正仿宋_GB2312" w:eastAsia="方正仿宋_GB2312" w:cs="方正仿宋_GB2312"/>
          <w:b/>
          <w:bCs/>
          <w:color w:val="000000"/>
          <w:sz w:val="44"/>
          <w:szCs w:val="48"/>
          <w:highlight w:val="none"/>
        </w:rPr>
      </w:pPr>
      <w:r>
        <w:rPr>
          <w:rFonts w:hint="eastAsia" w:ascii="方正仿宋_GB2312" w:hAnsi="方正仿宋_GB2312" w:eastAsia="方正仿宋_GB2312" w:cs="方正仿宋_GB2312"/>
          <w:b/>
          <w:bCs/>
          <w:color w:val="000000"/>
          <w:sz w:val="44"/>
          <w:szCs w:val="48"/>
          <w:highlight w:val="none"/>
        </w:rPr>
        <w:t xml:space="preserve">总  目  录</w:t>
      </w:r>
      <w:r>
        <w:rPr>
          <w:rFonts w:hint="eastAsia" w:ascii="方正仿宋_GB2312" w:hAnsi="方正仿宋_GB2312" w:eastAsia="方正仿宋_GB2312" w:cs="方正仿宋_GB2312"/>
          <w:b/>
          <w:bCs/>
          <w:color w:val="000000"/>
          <w:sz w:val="44"/>
          <w:szCs w:val="48"/>
          <w:highlight w:val="none"/>
        </w:rPr>
      </w:r>
      <w:r/>
    </w:p>
    <w:p>
      <w:pPr>
        <w:pStyle w:val="957"/>
        <w:spacing w:line="400" w:lineRule="exact"/>
        <w:rPr>
          <w:rFonts w:hint="eastAsia" w:ascii="方正仿宋_GB2312" w:hAnsi="方正仿宋_GB2312" w:eastAsia="方正仿宋_GB2312" w:cs="方正仿宋_GB2312"/>
          <w:b/>
          <w:color w:val="000000"/>
          <w:sz w:val="28"/>
          <w:szCs w:val="21"/>
          <w:highlight w:val="none"/>
        </w:rPr>
      </w:pPr>
      <w:r>
        <w:rPr>
          <w:rFonts w:hint="eastAsia" w:ascii="方正仿宋_GB2312" w:hAnsi="方正仿宋_GB2312" w:eastAsia="方正仿宋_GB2312" w:cs="方正仿宋_GB2312"/>
          <w:b/>
          <w:color w:val="000000"/>
          <w:sz w:val="28"/>
          <w:szCs w:val="21"/>
          <w:highlight w:val="none"/>
        </w:rPr>
      </w:r>
      <w:r/>
    </w:p>
    <w:p>
      <w:pPr>
        <w:pStyle w:val="1010"/>
        <w:tabs>
          <w:tab w:val="right" w:pos="8720" w:leader="dot"/>
          <w:tab w:val="right" w:pos="8953" w:leader="dot"/>
        </w:tabs>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 w:val="36"/>
          <w:szCs w:val="36"/>
          <w:highlight w:val="none"/>
        </w:rPr>
        <w:fldChar w:fldCharType="begin"/>
      </w:r>
      <w:r>
        <w:rPr>
          <w:rFonts w:hint="eastAsia" w:ascii="方正仿宋_GB2312" w:hAnsi="方正仿宋_GB2312" w:eastAsia="方正仿宋_GB2312" w:cs="方正仿宋_GB2312"/>
          <w:color w:val="000000"/>
          <w:sz w:val="36"/>
          <w:szCs w:val="36"/>
          <w:highlight w:val="none"/>
        </w:rPr>
        <w:instrText xml:space="preserve">TOC \o "1-1" \h \u </w:instrText>
      </w:r>
      <w:r>
        <w:rPr>
          <w:rFonts w:hint="eastAsia" w:ascii="方正仿宋_GB2312" w:hAnsi="方正仿宋_GB2312" w:eastAsia="方正仿宋_GB2312" w:cs="方正仿宋_GB2312"/>
          <w:color w:val="000000"/>
          <w:sz w:val="36"/>
          <w:szCs w:val="36"/>
          <w:highlight w:val="none"/>
        </w:rPr>
        <w:fldChar w:fldCharType="separate"/>
      </w: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_Toc28938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color w:val="000000"/>
          <w:sz w:val="36"/>
          <w:szCs w:val="56"/>
          <w:highlight w:val="none"/>
        </w:rPr>
        <w:t xml:space="preserve">第一章  投标邀请</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1010"/>
        <w:tabs>
          <w:tab w:val="right" w:pos="8720" w:leader="dot"/>
          <w:tab w:val="right" w:pos="8953" w:leader="dot"/>
        </w:tabs>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_Toc8900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56"/>
          <w:highlight w:val="none"/>
        </w:rPr>
        <w:t xml:space="preserve">第二章  投标人须知</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4</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1010"/>
        <w:tabs>
          <w:tab w:val="right" w:pos="8720" w:leader="dot"/>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_Toc15715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第三章  合同文本</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4</w:t>
      </w:r>
      <w:r>
        <w:rPr>
          <w:rFonts w:hint="eastAsia" w:ascii="方正仿宋_GB2312" w:hAnsi="方正仿宋_GB2312" w:eastAsia="方正仿宋_GB2312" w:cs="方正仿宋_GB2312"/>
          <w:color w:val="000000"/>
          <w:sz w:val="36"/>
          <w:szCs w:val="36"/>
          <w:highlight w:val="none"/>
          <w:lang w:val="en-US" w:eastAsia="zh-CN"/>
        </w:rPr>
      </w:r>
      <w:r/>
    </w:p>
    <w:p>
      <w:pPr>
        <w:pStyle w:val="1010"/>
        <w:tabs>
          <w:tab w:val="right" w:pos="8720" w:leader="dot"/>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_Toc26382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28"/>
          <w:highlight w:val="none"/>
        </w:rPr>
        <w:t xml:space="preserve">第四章 </w:t>
      </w:r>
      <w:r>
        <w:rPr>
          <w:rFonts w:hint="eastAsia" w:ascii="方正仿宋_GB2312" w:hAnsi="方正仿宋_GB2312" w:eastAsia="方正仿宋_GB2312" w:cs="方正仿宋_GB2312"/>
          <w:bCs/>
          <w:color w:val="000000"/>
          <w:sz w:val="36"/>
          <w:szCs w:val="28"/>
          <w:highlight w:val="none"/>
          <w:lang w:val="en-US" w:eastAsia="zh-CN"/>
        </w:rPr>
        <w:t xml:space="preserve"> </w:t>
      </w:r>
      <w:r>
        <w:rPr>
          <w:rFonts w:hint="eastAsia" w:ascii="方正仿宋_GB2312" w:hAnsi="方正仿宋_GB2312" w:eastAsia="方正仿宋_GB2312" w:cs="方正仿宋_GB2312"/>
          <w:bCs/>
          <w:color w:val="000000"/>
          <w:sz w:val="36"/>
          <w:szCs w:val="28"/>
          <w:highlight w:val="none"/>
        </w:rPr>
        <w:t xml:space="preserve">采购需求</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1</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8</w:t>
      </w:r>
      <w:r>
        <w:rPr>
          <w:rFonts w:hint="eastAsia" w:ascii="方正仿宋_GB2312" w:hAnsi="方正仿宋_GB2312" w:eastAsia="方正仿宋_GB2312" w:cs="方正仿宋_GB2312"/>
          <w:color w:val="000000"/>
          <w:sz w:val="36"/>
          <w:szCs w:val="36"/>
          <w:highlight w:val="none"/>
          <w:lang w:val="en-US" w:eastAsia="zh-CN"/>
        </w:rPr>
      </w:r>
      <w:r/>
    </w:p>
    <w:p>
      <w:pPr>
        <w:pStyle w:val="1010"/>
        <w:tabs>
          <w:tab w:val="right" w:pos="8720" w:leader="dot"/>
          <w:tab w:val="right" w:pos="8953" w:leader="dot"/>
        </w:tabs>
        <w:rPr>
          <w:rFonts w:hint="eastAsia" w:ascii="方正仿宋_GB2312" w:hAnsi="方正仿宋_GB2312" w:eastAsia="方正仿宋_GB2312" w:cs="方正仿宋_GB2312"/>
          <w:color w:val="000000"/>
          <w:sz w:val="36"/>
          <w:szCs w:val="36"/>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_Toc8870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第五章  评标方法与评标标准</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2</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2</w:t>
      </w:r>
      <w:r>
        <w:rPr>
          <w:rFonts w:hint="eastAsia" w:ascii="方正仿宋_GB2312" w:hAnsi="方正仿宋_GB2312" w:eastAsia="方正仿宋_GB2312" w:cs="方正仿宋_GB2312"/>
          <w:color w:val="000000"/>
          <w:sz w:val="36"/>
          <w:szCs w:val="36"/>
          <w:highlight w:val="none"/>
          <w:lang w:val="en-US" w:eastAsia="zh-CN"/>
        </w:rPr>
      </w:r>
      <w:r/>
    </w:p>
    <w:p>
      <w:pPr>
        <w:pStyle w:val="1010"/>
        <w:tabs>
          <w:tab w:val="right" w:pos="8720" w:leader="dot"/>
          <w:tab w:val="right" w:pos="8953" w:leader="dot"/>
        </w:tabs>
        <w:rPr>
          <w:rFonts w:hint="eastAsia" w:ascii="方正仿宋_GB2312" w:hAnsi="方正仿宋_GB2312" w:eastAsia="方正仿宋_GB2312" w:cs="方正仿宋_GB2312"/>
          <w:color w:val="000000"/>
          <w:highlight w:val="none"/>
          <w:lang w:val="en-US" w:eastAsia="zh-CN"/>
        </w:rPr>
      </w:pPr>
      <w:r>
        <w:rPr>
          <w:rFonts w:hint="eastAsia" w:ascii="方正仿宋_GB2312" w:hAnsi="方正仿宋_GB2312" w:eastAsia="方正仿宋_GB2312" w:cs="方正仿宋_GB2312"/>
          <w:color w:val="000000"/>
          <w:sz w:val="36"/>
          <w:szCs w:val="48"/>
          <w:highlight w:val="none"/>
        </w:rPr>
        <w:fldChar w:fldCharType="begin"/>
      </w:r>
      <w:r>
        <w:rPr>
          <w:rFonts w:hint="eastAsia" w:ascii="方正仿宋_GB2312" w:hAnsi="方正仿宋_GB2312" w:eastAsia="方正仿宋_GB2312" w:cs="方正仿宋_GB2312"/>
          <w:color w:val="000000"/>
          <w:sz w:val="36"/>
          <w:szCs w:val="48"/>
          <w:highlight w:val="none"/>
        </w:rPr>
        <w:instrText xml:space="preserve"> HYPERLINK \l _Toc5763 </w:instrText>
      </w:r>
      <w:r>
        <w:rPr>
          <w:rFonts w:hint="eastAsia" w:ascii="方正仿宋_GB2312" w:hAnsi="方正仿宋_GB2312" w:eastAsia="方正仿宋_GB2312" w:cs="方正仿宋_GB2312"/>
          <w:color w:val="000000"/>
          <w:sz w:val="36"/>
          <w:szCs w:val="48"/>
          <w:highlight w:val="none"/>
        </w:rPr>
        <w:fldChar w:fldCharType="separate"/>
      </w:r>
      <w:r>
        <w:rPr>
          <w:rFonts w:hint="eastAsia" w:ascii="方正仿宋_GB2312" w:hAnsi="方正仿宋_GB2312" w:eastAsia="方正仿宋_GB2312" w:cs="方正仿宋_GB2312"/>
          <w:bCs/>
          <w:color w:val="000000"/>
          <w:sz w:val="36"/>
          <w:szCs w:val="40"/>
          <w:highlight w:val="none"/>
        </w:rPr>
        <w:t xml:space="preserve">第六章  投标文件格式</w:t>
      </w:r>
      <w:r>
        <w:rPr>
          <w:rFonts w:hint="eastAsia" w:ascii="方正仿宋_GB2312" w:hAnsi="方正仿宋_GB2312" w:eastAsia="方正仿宋_GB2312" w:cs="方正仿宋_GB2312"/>
          <w:color w:val="000000"/>
          <w:sz w:val="36"/>
          <w:szCs w:val="36"/>
          <w:highlight w:val="none"/>
        </w:rPr>
        <w:tab/>
      </w:r>
      <w:r>
        <w:rPr>
          <w:rFonts w:hint="eastAsia" w:ascii="方正仿宋_GB2312" w:hAnsi="方正仿宋_GB2312" w:eastAsia="方正仿宋_GB2312" w:cs="方正仿宋_GB2312"/>
          <w:color w:val="000000"/>
          <w:sz w:val="36"/>
          <w:szCs w:val="36"/>
          <w:highlight w:val="none"/>
          <w:lang w:val="en-US" w:eastAsia="zh-CN"/>
        </w:rPr>
        <w:t xml:space="preserve">2</w:t>
      </w:r>
      <w:r>
        <w:rPr>
          <w:rFonts w:hint="eastAsia" w:ascii="方正仿宋_GB2312" w:hAnsi="方正仿宋_GB2312" w:eastAsia="方正仿宋_GB2312" w:cs="方正仿宋_GB2312"/>
          <w:color w:val="000000"/>
          <w:sz w:val="36"/>
          <w:szCs w:val="48"/>
          <w:highlight w:val="none"/>
        </w:rPr>
        <w:fldChar w:fldCharType="end"/>
      </w:r>
      <w:r>
        <w:rPr>
          <w:rFonts w:hint="eastAsia" w:ascii="方正仿宋_GB2312" w:hAnsi="方正仿宋_GB2312" w:eastAsia="方正仿宋_GB2312" w:cs="方正仿宋_GB2312"/>
          <w:color w:val="000000"/>
          <w:sz w:val="36"/>
          <w:szCs w:val="48"/>
          <w:highlight w:val="none"/>
          <w:lang w:val="en-US" w:eastAsia="zh-CN"/>
        </w:rPr>
        <w:t xml:space="preserve">6</w:t>
      </w:r>
      <w:r>
        <w:rPr>
          <w:rFonts w:hint="eastAsia" w:ascii="方正仿宋_GB2312" w:hAnsi="方正仿宋_GB2312" w:eastAsia="方正仿宋_GB2312" w:cs="方正仿宋_GB2312"/>
          <w:color w:val="000000"/>
          <w:highlight w:val="none"/>
          <w:lang w:val="en-US" w:eastAsia="zh-CN"/>
        </w:rPr>
      </w:r>
      <w:r/>
    </w:p>
    <w:p>
      <w:pPr>
        <w:pStyle w:val="957"/>
        <w:spacing w:line="400" w:lineRule="exact"/>
        <w:rPr>
          <w:rFonts w:hint="eastAsia" w:ascii="方正仿宋_GB2312" w:hAnsi="方正仿宋_GB2312" w:eastAsia="方正仿宋_GB2312" w:cs="方正仿宋_GB2312"/>
          <w:color w:val="000000"/>
          <w:sz w:val="36"/>
          <w:szCs w:val="36"/>
          <w:highlight w:val="none"/>
        </w:rPr>
      </w:pPr>
      <w:r>
        <w:rPr>
          <w:rFonts w:hint="eastAsia" w:ascii="方正仿宋_GB2312" w:hAnsi="方正仿宋_GB2312" w:eastAsia="方正仿宋_GB2312" w:cs="方正仿宋_GB2312"/>
          <w:color w:val="000000"/>
          <w:szCs w:val="36"/>
          <w:highlight w:val="none"/>
        </w:rPr>
        <w:fldChar w:fldCharType="end"/>
      </w:r>
      <w:r>
        <w:rPr>
          <w:rFonts w:hint="eastAsia" w:ascii="方正仿宋_GB2312" w:hAnsi="方正仿宋_GB2312" w:eastAsia="方正仿宋_GB2312" w:cs="方正仿宋_GB2312"/>
          <w:color w:val="000000"/>
          <w:sz w:val="36"/>
          <w:szCs w:val="36"/>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keepNext/>
        <w:spacing w:line="400" w:lineRule="exact"/>
        <w:rPr>
          <w:rFonts w:hint="eastAsia" w:ascii="方正仿宋_GB2312" w:hAnsi="方正仿宋_GB2312" w:eastAsia="方正仿宋_GB2312" w:cs="方正仿宋_GB2312"/>
          <w:b/>
          <w:bCs/>
          <w:color w:val="000000"/>
          <w:sz w:val="36"/>
          <w:szCs w:val="36"/>
          <w:highlight w:val="none"/>
        </w:rPr>
        <w:sectPr>
          <w:footerReference w:type="default" r:id="rId12"/>
          <w:footerReference w:type="first" r:id="rId13"/>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bookmarkStart w:id="6" w:name="_Toc28938"/>
      <w:r>
        <w:rPr>
          <w:rFonts w:hint="eastAsia" w:ascii="方正仿宋_GB2312" w:hAnsi="方正仿宋_GB2312" w:eastAsia="方正仿宋_GB2312" w:cs="方正仿宋_GB2312"/>
          <w:b/>
          <w:bCs/>
          <w:color w:val="000000"/>
          <w:sz w:val="36"/>
          <w:szCs w:val="36"/>
          <w:highlight w:val="none"/>
        </w:rPr>
      </w:r>
      <w:r/>
    </w:p>
    <w:p>
      <w:pPr>
        <w:pStyle w:val="957"/>
        <w:jc w:val="center"/>
        <w:keepNext/>
        <w:spacing w:line="400" w:lineRule="exact"/>
        <w:rPr>
          <w:rFonts w:hint="eastAsia" w:ascii="方正仿宋_GB2312" w:hAnsi="方正仿宋_GB2312" w:eastAsia="方正仿宋_GB2312" w:cs="方正仿宋_GB2312"/>
          <w:b/>
          <w:bCs/>
          <w:color w:val="000000"/>
          <w:sz w:val="36"/>
          <w:szCs w:val="36"/>
          <w:highlight w:val="none"/>
        </w:rPr>
        <w:outlineLvl w:val="0"/>
      </w:pPr>
      <w:r>
        <w:rPr>
          <w:rFonts w:hint="eastAsia" w:ascii="方正仿宋_GB2312" w:hAnsi="方正仿宋_GB2312" w:eastAsia="方正仿宋_GB2312" w:cs="方正仿宋_GB2312"/>
          <w:b/>
          <w:bCs/>
          <w:color w:val="000000"/>
          <w:sz w:val="36"/>
          <w:szCs w:val="36"/>
          <w:highlight w:val="none"/>
        </w:rPr>
        <w:t xml:space="preserve">第一章  </w:t>
      </w:r>
      <w:bookmarkEnd w:id="0"/>
      <w:r>
        <w:rPr>
          <w:rFonts w:hint="eastAsia" w:ascii="方正仿宋_GB2312" w:hAnsi="方正仿宋_GB2312" w:eastAsia="方正仿宋_GB2312" w:cs="方正仿宋_GB2312"/>
          <w:b/>
          <w:bCs/>
          <w:color w:val="000000"/>
          <w:sz w:val="36"/>
          <w:szCs w:val="36"/>
          <w:highlight w:val="none"/>
        </w:rPr>
        <w:t xml:space="preserve">投标邀请</w:t>
      </w:r>
      <w:bookmarkEnd w:id="6"/>
      <w:r>
        <w:rPr>
          <w:rFonts w:hint="eastAsia" w:ascii="方正仿宋_GB2312" w:hAnsi="方正仿宋_GB2312" w:eastAsia="方正仿宋_GB2312" w:cs="方正仿宋_GB2312"/>
          <w:b/>
          <w:bCs/>
          <w:color w:val="000000"/>
          <w:sz w:val="36"/>
          <w:szCs w:val="36"/>
          <w:highlight w:val="none"/>
        </w:rPr>
      </w:r>
      <w:r/>
    </w:p>
    <w:p>
      <w:pPr>
        <w:pStyle w:val="957"/>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受[如东县洋口镇人民政府]的委托，南通建辰工程咨询有限公司就</w:t>
      </w:r>
      <w:r>
        <w:rPr>
          <w:rFonts w:hint="eastAsia" w:ascii="方正仿宋_GB2312" w:hAnsi="方正仿宋_GB2312" w:eastAsia="方正仿宋_GB2312" w:cs="方正仿宋_GB2312"/>
          <w:color w:val="000000"/>
          <w:sz w:val="24"/>
          <w:szCs w:val="24"/>
          <w:highlight w:val="none"/>
          <w:u w:val="single"/>
        </w:rPr>
        <w:t xml:space="preserve">[如东县洋口镇化工园（西区）土壤污染重点监管单位隐患排查、自行监测质量提升和周边监测、自行监测数据分析应用项目]</w:t>
      </w:r>
      <w:r>
        <w:rPr>
          <w:rFonts w:hint="eastAsia" w:ascii="方正仿宋_GB2312" w:hAnsi="方正仿宋_GB2312" w:eastAsia="方正仿宋_GB2312" w:cs="方正仿宋_GB2312"/>
          <w:color w:val="000000"/>
          <w:sz w:val="24"/>
          <w:szCs w:val="24"/>
          <w:highlight w:val="none"/>
        </w:rPr>
        <w:t xml:space="preserve">([项目编号JSZC-320623-NTJC-G2026-0016])进行公开招标采购，欢迎符合条件的供应商投标。</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rPr>
        <w:t xml:space="preserve">项目概况</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方正仿宋_GB2312" w:hAnsi="方正仿宋_GB2312" w:eastAsia="方正仿宋_GB2312" w:cs="方正仿宋_GB2312"/>
          <w:color w:val="000000"/>
          <w:sz w:val="24"/>
          <w:szCs w:val="24"/>
          <w:highlight w:val="none"/>
          <w:u w:val="single"/>
        </w:rPr>
        <w:t xml:space="preserve">如东县洋口镇化工园（西区）土壤污染重点监管单位隐患排查、自行监测质量提升和周边监测、自行监测数据分析应用项目 </w:t>
      </w:r>
      <w:r>
        <w:rPr>
          <w:rFonts w:hint="eastAsia" w:ascii="方正仿宋_GB2312" w:hAnsi="方正仿宋_GB2312" w:eastAsia="方正仿宋_GB2312" w:cs="方正仿宋_GB2312"/>
          <w:color w:val="000000"/>
          <w:sz w:val="24"/>
          <w:szCs w:val="24"/>
          <w:highlight w:val="none"/>
        </w:rPr>
        <w:t xml:space="preserve">的潜在投标人可在</w:t>
      </w:r>
      <w:r>
        <w:rPr>
          <w:rFonts w:hint="eastAsia" w:ascii="方正仿宋_GB2312" w:hAnsi="方正仿宋_GB2312" w:eastAsia="方正仿宋_GB2312" w:cs="方正仿宋_GB2312"/>
          <w:color w:val="000000"/>
          <w:sz w:val="24"/>
          <w:szCs w:val="24"/>
          <w:highlight w:val="none"/>
          <w:u w:val="single"/>
        </w:rPr>
        <w:t xml:space="preserve">“江苏政府采购网”自行免费下载</w:t>
      </w:r>
      <w:r>
        <w:rPr>
          <w:rFonts w:hint="eastAsia" w:ascii="方正仿宋_GB2312" w:hAnsi="方正仿宋_GB2312" w:eastAsia="方正仿宋_GB2312" w:cs="方正仿宋_GB2312"/>
          <w:color w:val="000000"/>
          <w:sz w:val="24"/>
          <w:szCs w:val="24"/>
          <w:highlight w:val="none"/>
        </w:rPr>
        <w:t xml:space="preserve">招标文件，</w:t>
      </w:r>
      <w:r>
        <w:rPr>
          <w:rFonts w:hint="eastAsia" w:ascii="方正仿宋_GB2312" w:hAnsi="方正仿宋_GB2312" w:eastAsia="方正仿宋_GB2312" w:cs="方正仿宋_GB2312"/>
          <w:b/>
          <w:bCs/>
          <w:color w:val="000000"/>
          <w:sz w:val="24"/>
          <w:szCs w:val="24"/>
          <w:highlight w:val="none"/>
        </w:rPr>
        <w:t xml:space="preserve">并于</w:t>
      </w:r>
      <w:r>
        <w:rPr>
          <w:rFonts w:hint="eastAsia" w:ascii="方正仿宋_GB2312" w:hAnsi="方正仿宋_GB2312" w:eastAsia="方正仿宋_GB2312" w:cs="方正仿宋_GB2312"/>
          <w:b/>
          <w:bCs/>
          <w:color w:val="000000"/>
          <w:sz w:val="24"/>
          <w:szCs w:val="24"/>
          <w:highlight w:val="none"/>
          <w:u w:val="single"/>
        </w:rPr>
        <w:t xml:space="preserve"> 2026年</w:t>
      </w:r>
      <w:r>
        <w:rPr>
          <w:rFonts w:hint="eastAsia" w:ascii="方正仿宋_GB2312" w:hAnsi="方正仿宋_GB2312" w:eastAsia="方正仿宋_GB2312" w:cs="方正仿宋_GB2312"/>
          <w:b/>
          <w:bCs/>
          <w:color w:val="000000"/>
          <w:sz w:val="24"/>
          <w:szCs w:val="24"/>
          <w:highlight w:val="none"/>
          <w:u w:val="single"/>
          <w:lang w:val="en-US" w:eastAsia="zh-CN"/>
        </w:rPr>
        <w:t xml:space="preserve">10</w:t>
      </w:r>
      <w:r>
        <w:rPr>
          <w:rFonts w:hint="eastAsia" w:ascii="方正仿宋_GB2312" w:hAnsi="方正仿宋_GB2312" w:eastAsia="方正仿宋_GB2312" w:cs="方正仿宋_GB2312"/>
          <w:b/>
          <w:bCs/>
          <w:color w:val="000000"/>
          <w:sz w:val="24"/>
          <w:szCs w:val="24"/>
          <w:highlight w:val="none"/>
          <w:u w:val="single"/>
        </w:rPr>
        <w:t xml:space="preserve">月</w:t>
      </w:r>
      <w:r>
        <w:rPr>
          <w:rFonts w:hint="eastAsia" w:ascii="方正仿宋_GB2312" w:hAnsi="方正仿宋_GB2312" w:eastAsia="方正仿宋_GB2312" w:cs="方正仿宋_GB2312"/>
          <w:b/>
          <w:bCs/>
          <w:color w:val="000000"/>
          <w:sz w:val="24"/>
          <w:szCs w:val="24"/>
          <w:highlight w:val="none"/>
          <w:u w:val="single"/>
          <w:lang w:val="en-US" w:eastAsia="zh-CN"/>
        </w:rPr>
        <w:t xml:space="preserve">2</w:t>
      </w:r>
      <w:r>
        <w:rPr>
          <w:rFonts w:hint="eastAsia" w:ascii="方正仿宋_GB2312" w:hAnsi="方正仿宋_GB2312" w:eastAsia="方正仿宋_GB2312" w:cs="方正仿宋_GB2312"/>
          <w:b/>
          <w:bCs/>
          <w:color w:val="000000"/>
          <w:sz w:val="24"/>
          <w:szCs w:val="24"/>
          <w:highlight w:val="none"/>
          <w:u w:val="single"/>
          <w:lang w:val="en-US" w:eastAsia="zh-CN"/>
        </w:rPr>
        <w:t xml:space="preserve">0</w:t>
      </w:r>
      <w:r>
        <w:rPr>
          <w:rFonts w:hint="eastAsia" w:ascii="方正仿宋_GB2312" w:hAnsi="方正仿宋_GB2312" w:eastAsia="方正仿宋_GB2312" w:cs="方正仿宋_GB2312"/>
          <w:b/>
          <w:bCs/>
          <w:color w:val="000000"/>
          <w:sz w:val="24"/>
          <w:szCs w:val="24"/>
          <w:highlight w:val="none"/>
          <w:u w:val="single"/>
        </w:rPr>
        <w:t xml:space="preserve">日</w:t>
      </w:r>
      <w:r>
        <w:rPr>
          <w:rFonts w:hint="eastAsia" w:ascii="方正仿宋_GB2312" w:hAnsi="方正仿宋_GB2312" w:eastAsia="方正仿宋_GB2312" w:cs="方正仿宋_GB2312"/>
          <w:b/>
          <w:bCs/>
          <w:color w:val="000000"/>
          <w:sz w:val="24"/>
          <w:szCs w:val="24"/>
          <w:highlight w:val="none"/>
          <w:u w:val="single"/>
          <w:lang w:val="en-US" w:eastAsia="zh-CN"/>
        </w:rPr>
        <w:t xml:space="preserve">上午</w:t>
      </w:r>
      <w:r>
        <w:rPr>
          <w:rFonts w:hint="eastAsia" w:ascii="方正仿宋_GB2312" w:hAnsi="方正仿宋_GB2312" w:eastAsia="方正仿宋_GB2312" w:cs="方正仿宋_GB2312"/>
          <w:b/>
          <w:bCs/>
          <w:color w:val="000000"/>
          <w:sz w:val="24"/>
          <w:szCs w:val="24"/>
          <w:highlight w:val="none"/>
          <w:u w:val="single"/>
          <w:lang w:val="en-US" w:eastAsia="zh-CN"/>
        </w:rPr>
        <w:t xml:space="preserve">9</w:t>
      </w:r>
      <w:r>
        <w:rPr>
          <w:rFonts w:hint="eastAsia" w:ascii="方正仿宋_GB2312" w:hAnsi="方正仿宋_GB2312" w:eastAsia="方正仿宋_GB2312" w:cs="方正仿宋_GB2312"/>
          <w:b/>
          <w:bCs/>
          <w:color w:val="000000"/>
          <w:sz w:val="24"/>
          <w:szCs w:val="24"/>
          <w:highlight w:val="none"/>
          <w:u w:val="single"/>
        </w:rPr>
        <w:t xml:space="preserve">点</w:t>
      </w:r>
      <w:r>
        <w:rPr>
          <w:rFonts w:hint="eastAsia" w:ascii="方正仿宋_GB2312" w:hAnsi="方正仿宋_GB2312" w:eastAsia="方正仿宋_GB2312" w:cs="方正仿宋_GB2312"/>
          <w:b/>
          <w:bCs/>
          <w:color w:val="000000"/>
          <w:sz w:val="24"/>
          <w:szCs w:val="24"/>
          <w:highlight w:val="none"/>
          <w:u w:val="single"/>
          <w:lang w:val="en-US" w:eastAsia="zh-CN"/>
        </w:rPr>
        <w:t xml:space="preserve">30</w:t>
      </w:r>
      <w:r>
        <w:rPr>
          <w:rFonts w:hint="eastAsia" w:ascii="方正仿宋_GB2312" w:hAnsi="方正仿宋_GB2312" w:eastAsia="方正仿宋_GB2312" w:cs="方正仿宋_GB2312"/>
          <w:b/>
          <w:bCs/>
          <w:color w:val="000000"/>
          <w:sz w:val="24"/>
          <w:szCs w:val="24"/>
          <w:highlight w:val="none"/>
          <w:u w:val="single"/>
        </w:rPr>
        <w:t xml:space="preserve">分（</w:t>
      </w:r>
      <w:r>
        <w:rPr>
          <w:rFonts w:hint="eastAsia" w:ascii="方正仿宋_GB2312" w:hAnsi="方正仿宋_GB2312" w:eastAsia="方正仿宋_GB2312" w:cs="方正仿宋_GB2312"/>
          <w:b/>
          <w:bCs/>
          <w:color w:val="000000"/>
          <w:sz w:val="24"/>
          <w:szCs w:val="24"/>
          <w:highlight w:val="none"/>
        </w:rPr>
        <w:t xml:space="preserve">北京时间）前递交投标文件。</w:t>
      </w:r>
      <w:r>
        <w:rPr>
          <w:rFonts w:hint="eastAsia" w:ascii="方正仿宋_GB2312" w:hAnsi="方正仿宋_GB2312" w:eastAsia="方正仿宋_GB2312" w:cs="方正仿宋_GB2312"/>
          <w:b/>
          <w:bCs/>
          <w:color w:val="000000"/>
          <w:sz w:val="24"/>
          <w:szCs w:val="24"/>
          <w:highlight w:val="none"/>
        </w:rPr>
      </w:r>
      <w:r/>
    </w:p>
    <w:p>
      <w:pPr>
        <w:pStyle w:val="957"/>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7" w:name="_Toc35393790"/>
      <w:r/>
      <w:bookmarkStart w:id="8" w:name="_Toc35393621"/>
      <w:r/>
      <w:bookmarkStart w:id="9" w:name="_Toc28359079"/>
      <w:r/>
      <w:bookmarkStart w:id="10" w:name="_Toc38985263"/>
      <w:r/>
      <w:bookmarkStart w:id="11" w:name="_Toc28359002"/>
      <w:r/>
      <w:bookmarkStart w:id="12" w:name="_Hlk24379207"/>
      <w:r>
        <w:rPr>
          <w:rFonts w:hint="eastAsia" w:ascii="方正仿宋_GB2312" w:hAnsi="方正仿宋_GB2312" w:eastAsia="方正仿宋_GB2312" w:cs="方正仿宋_GB2312"/>
          <w:b/>
          <w:bCs/>
          <w:color w:val="000000"/>
          <w:sz w:val="28"/>
          <w:szCs w:val="28"/>
          <w:highlight w:val="none"/>
        </w:rPr>
        <w:t xml:space="preserve">一、项目基本情况</w:t>
      </w:r>
      <w:bookmarkEnd w:id="7"/>
      <w:r/>
      <w:bookmarkEnd w:id="8"/>
      <w:r/>
      <w:bookmarkEnd w:id="9"/>
      <w:r/>
      <w:bookmarkEnd w:id="10"/>
      <w:r/>
      <w:bookmarkEnd w:id="11"/>
      <w:r>
        <w:rPr>
          <w:rFonts w:hint="eastAsia" w:ascii="方正仿宋_GB2312" w:hAnsi="方正仿宋_GB2312" w:eastAsia="方正仿宋_GB2312" w:cs="方正仿宋_GB2312"/>
          <w:b/>
          <w:bCs/>
          <w:color w:val="000000"/>
          <w:sz w:val="28"/>
          <w:szCs w:val="28"/>
          <w:highlight w:val="none"/>
        </w:rPr>
      </w:r>
      <w:r/>
    </w:p>
    <w:p>
      <w:pPr>
        <w:pStyle w:val="957"/>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1.项目编号：JSZC-320623-NTJC-G2026-0016</w:t>
      </w:r>
      <w:r>
        <w:rPr>
          <w:rFonts w:hint="eastAsia" w:ascii="方正仿宋_GB2312" w:hAnsi="方正仿宋_GB2312" w:eastAsia="方正仿宋_GB2312" w:cs="方正仿宋_GB2312"/>
          <w:color w:val="000000"/>
          <w:sz w:val="24"/>
          <w:szCs w:val="24"/>
          <w:highlight w:val="none"/>
        </w:rPr>
      </w:r>
      <w:r/>
    </w:p>
    <w:p>
      <w:pPr>
        <w:pStyle w:val="957"/>
        <w:contextualSpacing/>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2.项目名称：如东县洋口镇化工园（西区）土壤污染重点监管单位隐患排查、自行监测质量提升和周边监测、自行监测数据分析应用项目</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3.采购方式：公开招标</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4.项目类型：服务</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5.所属行业：其他未列明行业</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w:t>
      </w:r>
      <w:bookmarkEnd w:id="12"/>
      <w:r>
        <w:rPr>
          <w:rFonts w:hint="eastAsia" w:ascii="方正仿宋_GB2312" w:hAnsi="方正仿宋_GB2312" w:eastAsia="方正仿宋_GB2312" w:cs="方正仿宋_GB2312"/>
          <w:color w:val="000000"/>
          <w:sz w:val="24"/>
          <w:szCs w:val="24"/>
          <w:highlight w:val="none"/>
        </w:rPr>
        <w:t xml:space="preserve">预算金额：167万元。</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bookmarkStart w:id="13" w:name="_Toc28359003"/>
      <w:r/>
      <w:bookmarkStart w:id="14" w:name="_Toc35393622"/>
      <w:r/>
      <w:bookmarkStart w:id="15" w:name="_Toc35393791"/>
      <w:r/>
      <w:bookmarkStart w:id="16" w:name="_Toc38985264"/>
      <w:r/>
      <w:bookmarkStart w:id="17" w:name="_Toc28359080"/>
      <w:r>
        <w:rPr>
          <w:rFonts w:hint="eastAsia" w:ascii="方正仿宋_GB2312" w:hAnsi="方正仿宋_GB2312" w:eastAsia="方正仿宋_GB2312" w:cs="方正仿宋_GB2312"/>
          <w:color w:val="000000"/>
          <w:sz w:val="24"/>
          <w:szCs w:val="24"/>
          <w:highlight w:val="none"/>
        </w:rPr>
        <w:t xml:space="preserve">7.最高限价：人民币165万元。投标报价高于最高限价的为无效报价。</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8.采购需求（简介）：详见招标文件，请仔细研究。</w:t>
      </w:r>
      <w:r>
        <w:rPr>
          <w:rFonts w:hint="eastAsia" w:ascii="方正仿宋_GB2312" w:hAnsi="方正仿宋_GB2312" w:eastAsia="方正仿宋_GB2312" w:cs="方正仿宋_GB2312"/>
          <w:color w:val="000000"/>
          <w:sz w:val="24"/>
          <w:szCs w:val="24"/>
          <w:highlight w:val="none"/>
        </w:rPr>
      </w:r>
      <w:r/>
    </w:p>
    <w:p>
      <w:pPr>
        <w:pStyle w:val="1036"/>
        <w:ind w:firstLine="480"/>
        <w:jc w:val="both"/>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t xml:space="preserve">9.合同履行期限：自合同签订后至2026年11月30日完成。</w:t>
      </w:r>
      <w:r>
        <w:rPr>
          <w:rFonts w:hint="eastAsia" w:ascii="方正仿宋_GB2312" w:hAnsi="方正仿宋_GB2312" w:eastAsia="方正仿宋_GB2312" w:cs="方正仿宋_GB2312"/>
          <w:color w:val="000000"/>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10.本项目是否接受联合体投标：否</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11.本项目是否接受分包：否。</w:t>
      </w:r>
      <w:r>
        <w:rPr>
          <w:rFonts w:hint="eastAsia" w:ascii="方正仿宋_GB2312" w:hAnsi="方正仿宋_GB2312" w:eastAsia="方正仿宋_GB2312" w:cs="方正仿宋_GB2312"/>
          <w:color w:val="000000"/>
          <w:sz w:val="24"/>
          <w:szCs w:val="24"/>
          <w:highlight w:val="none"/>
        </w:rPr>
      </w:r>
      <w:r/>
    </w:p>
    <w:p>
      <w:pPr>
        <w:pStyle w:val="957"/>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二、申请人的资格要求</w:t>
      </w:r>
      <w:bookmarkEnd w:id="13"/>
      <w:r/>
      <w:bookmarkEnd w:id="14"/>
      <w:r/>
      <w:bookmarkEnd w:id="15"/>
      <w:r/>
      <w:bookmarkEnd w:id="16"/>
      <w:r/>
      <w:bookmarkEnd w:id="17"/>
      <w:r>
        <w:rPr>
          <w:rFonts w:hint="eastAsia" w:ascii="方正仿宋_GB2312" w:hAnsi="方正仿宋_GB2312" w:eastAsia="方正仿宋_GB2312" w:cs="方正仿宋_GB2312"/>
          <w:b/>
          <w:bCs/>
          <w:color w:val="000000"/>
          <w:sz w:val="28"/>
          <w:szCs w:val="28"/>
          <w:highlight w:val="none"/>
        </w:rPr>
      </w:r>
      <w:r/>
    </w:p>
    <w:p>
      <w:pPr>
        <w:pStyle w:val="957"/>
        <w:ind w:firstLine="560"/>
        <w:spacing w:line="400" w:lineRule="exact"/>
        <w:rPr>
          <w:rFonts w:hint="eastAsia" w:ascii="方正仿宋_GB2312" w:hAnsi="方正仿宋_GB2312" w:eastAsia="方正仿宋_GB2312" w:cs="方正仿宋_GB2312"/>
          <w:color w:val="000000"/>
          <w:sz w:val="28"/>
          <w:szCs w:val="28"/>
          <w:highlight w:val="none"/>
        </w:rPr>
      </w:pPr>
      <w:r/>
      <w:bookmarkStart w:id="18" w:name="_Toc35393623"/>
      <w:r/>
      <w:bookmarkStart w:id="19" w:name="_Toc35393792"/>
      <w:r/>
      <w:bookmarkStart w:id="20" w:name="_Toc38985265"/>
      <w:r/>
      <w:bookmarkStart w:id="21" w:name="_Toc28359081"/>
      <w:r/>
      <w:bookmarkStart w:id="22" w:name="_Toc28359004"/>
      <w:r>
        <w:rPr>
          <w:rFonts w:hint="eastAsia" w:ascii="方正仿宋_GB2312" w:hAnsi="方正仿宋_GB2312" w:eastAsia="方正仿宋_GB2312" w:cs="方正仿宋_GB2312"/>
          <w:color w:val="000000"/>
          <w:sz w:val="28"/>
          <w:szCs w:val="28"/>
          <w:highlight w:val="none"/>
        </w:rPr>
        <w:t xml:space="preserve">（一）通用资格要求</w:t>
      </w:r>
      <w:r>
        <w:rPr>
          <w:rFonts w:hint="eastAsia" w:ascii="方正仿宋_GB2312" w:hAnsi="方正仿宋_GB2312" w:eastAsia="方正仿宋_GB2312" w:cs="方正仿宋_GB2312"/>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1.满足《中华人民共和国政府采购法》第二十二条规定；（按附件3格式进行声明，投标文件中无需提供其他证明材料）；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3.落实政府采购政策需满足的资格要求：本项目属于专门面向中小微型企业采购。残疾人福利性单位、监狱和戒毒企业（简称监狱企业）视同小型、微型企业。</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供应商按要求填写并提供《中小企业声明函》或《残疾人福利性单位声明函》，或提供由省级以上监狱管理局、戒毒管理局(含新疆生产建设兵团)出具的属于监狱企业的证明文件</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（二）本项目的特定资格要求：</w:t>
      </w:r>
      <w:r>
        <w:rPr>
          <w:rFonts w:hint="eastAsia" w:ascii="方正仿宋_GB2312" w:hAnsi="方正仿宋_GB2312" w:eastAsia="方正仿宋_GB2312" w:cs="方正仿宋_GB2312"/>
          <w:b/>
          <w:bCs/>
          <w:color w:val="000000"/>
          <w:sz w:val="24"/>
          <w:szCs w:val="24"/>
          <w:highlight w:val="none"/>
          <w:lang w:val="en-US" w:eastAsia="zh-CN"/>
        </w:rPr>
        <w:t xml:space="preserve">投标人</w:t>
      </w:r>
      <w:r>
        <w:rPr>
          <w:rFonts w:hint="eastAsia" w:ascii="方正仿宋_GB2312" w:hAnsi="方正仿宋_GB2312" w:eastAsia="方正仿宋_GB2312" w:cs="方正仿宋_GB2312"/>
          <w:b/>
          <w:bCs/>
          <w:color w:val="000000"/>
          <w:sz w:val="24"/>
          <w:szCs w:val="24"/>
          <w:highlight w:val="none"/>
        </w:rPr>
        <w:t xml:space="preserve">具备中国环境服务</w:t>
      </w:r>
      <w:r>
        <w:rPr>
          <w:rFonts w:hint="eastAsia" w:ascii="方正仿宋_GB2312" w:hAnsi="方正仿宋_GB2312" w:eastAsia="方正仿宋_GB2312" w:cs="方正仿宋_GB2312"/>
          <w:b/>
          <w:bCs/>
          <w:color w:val="000000"/>
          <w:sz w:val="24"/>
          <w:szCs w:val="24"/>
          <w:highlight w:val="none"/>
        </w:rPr>
        <w:t xml:space="preserve">等级</w:t>
      </w:r>
      <w:r/>
      <w:r>
        <w:rPr>
          <w:rFonts w:hint="eastAsia" w:ascii="方正仿宋_GB2312" w:hAnsi="方正仿宋_GB2312" w:eastAsia="方正仿宋_GB2312" w:cs="方正仿宋_GB2312"/>
          <w:b/>
          <w:bCs/>
          <w:color w:val="000000"/>
          <w:sz w:val="24"/>
          <w:szCs w:val="24"/>
          <w:highlight w:val="none"/>
        </w:rPr>
        <w:t xml:space="preserve">认证证书（服务项目包括环境问题排查诊断与解决方案服务、生态环境修复调查与方案服务在内）。</w:t>
      </w:r>
      <w:r>
        <w:rPr>
          <w:b/>
          <w:bCs/>
        </w:rPr>
      </w:r>
      <w:r/>
    </w:p>
    <w:p>
      <w:pPr>
        <w:pStyle w:val="957"/>
        <w:ind w:firstLine="562"/>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三、获取招标文件</w:t>
      </w:r>
      <w:bookmarkEnd w:id="18"/>
      <w:r/>
      <w:bookmarkEnd w:id="19"/>
      <w:r/>
      <w:bookmarkEnd w:id="20"/>
      <w:r/>
      <w:bookmarkEnd w:id="21"/>
      <w:r/>
      <w:bookmarkEnd w:id="22"/>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方正仿宋_GB2312" w:hAnsi="方正仿宋_GB2312" w:eastAsia="方正仿宋_GB2312" w:cs="方正仿宋_GB2312"/>
          <w:color w:val="000000"/>
          <w:sz w:val="24"/>
          <w:szCs w:val="24"/>
          <w:highlight w:val="none"/>
        </w:rPr>
        <w:t xml:space="preserve">1.时间：</w:t>
      </w:r>
      <w:r>
        <w:rPr>
          <w:rFonts w:hint="eastAsia" w:ascii="方正仿宋_GB2312" w:hAnsi="方正仿宋_GB2312" w:eastAsia="方正仿宋_GB2312" w:cs="方正仿宋_GB2312"/>
          <w:color w:val="000000"/>
          <w:sz w:val="24"/>
          <w:highlight w:val="none"/>
        </w:rPr>
        <w:t xml:space="preserve">自招标文件公告发布之日起5个工作日。</w:t>
      </w:r>
      <w:r>
        <w:rPr>
          <w:rFonts w:hint="eastAsia" w:ascii="方正仿宋_GB2312" w:hAnsi="方正仿宋_GB2312" w:eastAsia="方正仿宋_GB2312" w:cs="方正仿宋_GB2312"/>
          <w:color w:val="000000"/>
          <w:sz w:val="24"/>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2.地点：“江苏政府采购网”</w:t>
      </w:r>
      <w:r>
        <w:rPr>
          <w:rFonts w:hint="eastAsia" w:ascii="方正仿宋_GB2312" w:hAnsi="方正仿宋_GB2312" w:eastAsia="方正仿宋_GB2312" w:cs="方正仿宋_GB2312"/>
          <w:color w:val="000000"/>
          <w:sz w:val="24"/>
          <w:szCs w:val="24"/>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3.方式：凡有意参与投标的供应商须登录江苏政府采购网首页点击“苏采云”→通过CA锁进行响应确认，并自行在招标文件有效获取期内及时下载获取。</w:t>
      </w:r>
      <w:r>
        <w:rPr>
          <w:rFonts w:hint="eastAsia" w:ascii="方正仿宋_GB2312" w:hAnsi="方正仿宋_GB2312" w:eastAsia="方正仿宋_GB2312" w:cs="方正仿宋_GB2312"/>
          <w:color w:val="000000"/>
          <w:sz w:val="24"/>
          <w:szCs w:val="24"/>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4.售价：免费</w:t>
      </w:r>
      <w:r>
        <w:rPr>
          <w:rFonts w:hint="eastAsia" w:ascii="方正仿宋_GB2312" w:hAnsi="方正仿宋_GB2312" w:eastAsia="方正仿宋_GB2312" w:cs="方正仿宋_GB2312"/>
          <w:color w:val="000000"/>
          <w:sz w:val="24"/>
          <w:szCs w:val="24"/>
          <w:highlight w:val="none"/>
        </w:rPr>
      </w:r>
      <w:r/>
    </w:p>
    <w:p>
      <w:pPr>
        <w:pStyle w:val="957"/>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四、提交投标文件</w:t>
      </w:r>
      <w:bookmarkEnd w:id="23"/>
      <w:r/>
      <w:bookmarkEnd w:id="24"/>
      <w:r>
        <w:rPr>
          <w:rFonts w:hint="eastAsia" w:ascii="方正仿宋_GB2312" w:hAnsi="方正仿宋_GB2312" w:eastAsia="方正仿宋_GB2312" w:cs="方正仿宋_GB2312"/>
          <w:b/>
          <w:bCs/>
          <w:color w:val="000000"/>
          <w:sz w:val="28"/>
          <w:szCs w:val="28"/>
          <w:highlight w:val="none"/>
        </w:rPr>
        <w:t xml:space="preserve">截止时间、开标时间和地点</w:t>
      </w:r>
      <w:bookmarkEnd w:id="25"/>
      <w:r/>
      <w:bookmarkEnd w:id="26"/>
      <w:r/>
      <w:bookmarkEnd w:id="27"/>
      <w:r>
        <w:rPr>
          <w:rFonts w:hint="eastAsia" w:ascii="方正仿宋_GB2312" w:hAnsi="方正仿宋_GB2312" w:eastAsia="方正仿宋_GB2312" w:cs="方正仿宋_GB2312"/>
          <w:b/>
          <w:bCs/>
          <w:color w:val="000000"/>
          <w:sz w:val="28"/>
          <w:szCs w:val="28"/>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bookmarkStart w:id="28" w:name="_Toc28359007"/>
      <w:r/>
      <w:bookmarkStart w:id="29" w:name="_Toc35393625"/>
      <w:r/>
      <w:bookmarkStart w:id="30" w:name="_Toc35393794"/>
      <w:r/>
      <w:bookmarkStart w:id="31" w:name="_Toc38985267"/>
      <w:r/>
      <w:bookmarkStart w:id="32" w:name="_Toc28359084"/>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b/>
          <w:bCs/>
          <w:color w:val="000000"/>
          <w:sz w:val="24"/>
          <w:szCs w:val="24"/>
          <w:highlight w:val="none"/>
        </w:rPr>
        <w:t xml:space="preserve">截止时间</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
          <w:bCs/>
          <w:color w:val="000000"/>
          <w:sz w:val="24"/>
          <w:szCs w:val="24"/>
          <w:highlight w:val="none"/>
        </w:rPr>
        <w:t xml:space="preserve">2026年</w:t>
      </w:r>
      <w:r>
        <w:rPr>
          <w:rFonts w:hint="eastAsia" w:ascii="方正仿宋_GB2312" w:hAnsi="方正仿宋_GB2312" w:eastAsia="方正仿宋_GB2312" w:cs="方正仿宋_GB2312"/>
          <w:b/>
          <w:bCs/>
          <w:color w:val="000000"/>
          <w:sz w:val="24"/>
          <w:szCs w:val="24"/>
          <w:highlight w:val="none"/>
          <w:lang w:val="en-US" w:eastAsia="zh-CN"/>
        </w:rPr>
        <w:t xml:space="preserve">1</w:t>
      </w:r>
      <w:r>
        <w:rPr>
          <w:rFonts w:hint="eastAsia" w:ascii="方正仿宋_GB2312" w:hAnsi="方正仿宋_GB2312" w:eastAsia="方正仿宋_GB2312" w:cs="方正仿宋_GB2312"/>
          <w:b/>
          <w:bCs/>
          <w:color w:val="000000"/>
          <w:sz w:val="24"/>
          <w:szCs w:val="24"/>
          <w:highlight w:val="none"/>
          <w:lang w:val="en-US" w:eastAsia="zh-CN"/>
        </w:rPr>
        <w:t xml:space="preserve">0</w:t>
      </w:r>
      <w:r>
        <w:rPr>
          <w:rFonts w:hint="eastAsia" w:ascii="方正仿宋_GB2312" w:hAnsi="方正仿宋_GB2312" w:eastAsia="方正仿宋_GB2312" w:cs="方正仿宋_GB2312"/>
          <w:b/>
          <w:bCs/>
          <w:color w:val="000000"/>
          <w:sz w:val="24"/>
          <w:szCs w:val="24"/>
          <w:highlight w:val="none"/>
        </w:rPr>
        <w:t xml:space="preserve">月</w:t>
      </w:r>
      <w:r>
        <w:rPr>
          <w:rFonts w:hint="eastAsia" w:ascii="方正仿宋_GB2312" w:hAnsi="方正仿宋_GB2312" w:eastAsia="方正仿宋_GB2312" w:cs="方正仿宋_GB2312"/>
          <w:b/>
          <w:bCs/>
          <w:color w:val="000000"/>
          <w:sz w:val="24"/>
          <w:szCs w:val="24"/>
          <w:highlight w:val="none"/>
          <w:lang w:val="en-US" w:eastAsia="zh-CN"/>
        </w:rPr>
        <w:t xml:space="preserve">2</w:t>
      </w:r>
      <w:r>
        <w:rPr>
          <w:rFonts w:hint="eastAsia" w:ascii="方正仿宋_GB2312" w:hAnsi="方正仿宋_GB2312" w:eastAsia="方正仿宋_GB2312" w:cs="方正仿宋_GB2312"/>
          <w:b/>
          <w:bCs/>
          <w:color w:val="000000"/>
          <w:sz w:val="24"/>
          <w:szCs w:val="24"/>
          <w:highlight w:val="none"/>
          <w:lang w:val="en-US" w:eastAsia="zh-CN"/>
        </w:rPr>
        <w:t xml:space="preserve">0</w:t>
      </w:r>
      <w:r>
        <w:rPr>
          <w:rFonts w:hint="eastAsia" w:ascii="方正仿宋_GB2312" w:hAnsi="方正仿宋_GB2312" w:eastAsia="方正仿宋_GB2312" w:cs="方正仿宋_GB2312"/>
          <w:b/>
          <w:bCs/>
          <w:color w:val="000000"/>
          <w:sz w:val="24"/>
          <w:szCs w:val="24"/>
          <w:highlight w:val="none"/>
        </w:rPr>
        <w:t xml:space="preserve">日</w:t>
      </w:r>
      <w:r>
        <w:rPr>
          <w:rFonts w:hint="eastAsia" w:ascii="方正仿宋_GB2312" w:hAnsi="方正仿宋_GB2312" w:eastAsia="方正仿宋_GB2312" w:cs="方正仿宋_GB2312"/>
          <w:b/>
          <w:bCs/>
          <w:color w:val="000000"/>
          <w:sz w:val="24"/>
          <w:szCs w:val="24"/>
          <w:highlight w:val="none"/>
          <w:lang w:val="en-US" w:eastAsia="zh-CN"/>
        </w:rPr>
        <w:t xml:space="preserve">上午</w:t>
      </w:r>
      <w:r>
        <w:rPr>
          <w:rFonts w:hint="eastAsia" w:ascii="方正仿宋_GB2312" w:hAnsi="方正仿宋_GB2312" w:eastAsia="方正仿宋_GB2312" w:cs="方正仿宋_GB2312"/>
          <w:b/>
          <w:bCs/>
          <w:color w:val="000000"/>
          <w:sz w:val="24"/>
          <w:szCs w:val="24"/>
          <w:highlight w:val="none"/>
          <w:lang w:val="en-US" w:eastAsia="zh-CN"/>
        </w:rPr>
        <w:t xml:space="preserve">9</w:t>
      </w:r>
      <w:r>
        <w:rPr>
          <w:rFonts w:hint="eastAsia" w:ascii="方正仿宋_GB2312" w:hAnsi="方正仿宋_GB2312" w:eastAsia="方正仿宋_GB2312" w:cs="方正仿宋_GB2312"/>
          <w:b/>
          <w:bCs/>
          <w:color w:val="000000"/>
          <w:sz w:val="24"/>
          <w:szCs w:val="24"/>
          <w:highlight w:val="none"/>
        </w:rPr>
        <w:t xml:space="preserve">点</w:t>
      </w:r>
      <w:r>
        <w:rPr>
          <w:rFonts w:hint="eastAsia" w:ascii="方正仿宋_GB2312" w:hAnsi="方正仿宋_GB2312" w:eastAsia="方正仿宋_GB2312" w:cs="方正仿宋_GB2312"/>
          <w:b/>
          <w:bCs/>
          <w:color w:val="000000"/>
          <w:sz w:val="24"/>
          <w:szCs w:val="24"/>
          <w:highlight w:val="none"/>
          <w:lang w:val="en-US" w:eastAsia="zh-CN"/>
        </w:rPr>
        <w:t xml:space="preserve">3</w:t>
      </w:r>
      <w:r>
        <w:rPr>
          <w:rFonts w:hint="eastAsia" w:ascii="方正仿宋_GB2312" w:hAnsi="方正仿宋_GB2312" w:eastAsia="方正仿宋_GB2312" w:cs="方正仿宋_GB2312"/>
          <w:b/>
          <w:bCs/>
          <w:color w:val="000000"/>
          <w:sz w:val="24"/>
          <w:szCs w:val="24"/>
          <w:highlight w:val="none"/>
          <w:lang w:val="en-US" w:eastAsia="zh-CN"/>
        </w:rPr>
        <w:t xml:space="preserve">0</w:t>
      </w:r>
      <w:r>
        <w:rPr>
          <w:rFonts w:hint="eastAsia" w:ascii="方正仿宋_GB2312" w:hAnsi="方正仿宋_GB2312" w:eastAsia="方正仿宋_GB2312" w:cs="方正仿宋_GB2312"/>
          <w:b/>
          <w:bCs/>
          <w:color w:val="000000"/>
          <w:sz w:val="24"/>
          <w:szCs w:val="24"/>
          <w:highlight w:val="none"/>
        </w:rPr>
        <w:t xml:space="preserve">分（北京时间）。逾时，系统将拒绝接受上传投标文件电子文档</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2.地点：“苏采云”政府采购一体化平台。</w:t>
      </w:r>
      <w:r>
        <w:rPr>
          <w:rFonts w:hint="eastAsia" w:ascii="方正仿宋_GB2312" w:hAnsi="方正仿宋_GB2312" w:eastAsia="方正仿宋_GB2312" w:cs="方正仿宋_GB2312"/>
          <w:color w:val="000000"/>
          <w:sz w:val="24"/>
          <w:szCs w:val="24"/>
          <w:highlight w:val="none"/>
        </w:rPr>
      </w:r>
      <w:r/>
    </w:p>
    <w:p>
      <w:pPr>
        <w:pStyle w:val="957"/>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五、公告期限</w:t>
      </w:r>
      <w:bookmarkEnd w:id="28"/>
      <w:r/>
      <w:bookmarkEnd w:id="29"/>
      <w:r/>
      <w:bookmarkEnd w:id="30"/>
      <w:r/>
      <w:bookmarkEnd w:id="31"/>
      <w:r/>
      <w:bookmarkEnd w:id="32"/>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bookmarkStart w:id="33" w:name="_Toc35393795"/>
      <w:r/>
      <w:bookmarkStart w:id="34" w:name="_Toc35393626"/>
      <w:r/>
      <w:bookmarkStart w:id="35" w:name="_Toc38985268"/>
      <w:r>
        <w:rPr>
          <w:rFonts w:hint="eastAsia" w:ascii="方正仿宋_GB2312" w:hAnsi="方正仿宋_GB2312" w:eastAsia="方正仿宋_GB2312" w:cs="方正仿宋_GB2312"/>
          <w:color w:val="000000"/>
          <w:sz w:val="24"/>
          <w:szCs w:val="24"/>
          <w:highlight w:val="none"/>
        </w:rPr>
        <w:t xml:space="preserve">自本公告发布之日起5个工作日。</w:t>
      </w:r>
      <w:r>
        <w:rPr>
          <w:rFonts w:hint="eastAsia" w:ascii="方正仿宋_GB2312" w:hAnsi="方正仿宋_GB2312" w:eastAsia="方正仿宋_GB2312" w:cs="方正仿宋_GB2312"/>
          <w:color w:val="000000"/>
          <w:sz w:val="24"/>
          <w:szCs w:val="24"/>
          <w:highlight w:val="none"/>
        </w:rPr>
      </w:r>
      <w:r/>
    </w:p>
    <w:p>
      <w:pPr>
        <w:pStyle w:val="957"/>
        <w:numPr>
          <w:ilvl w:val="0"/>
          <w:numId w:val="4"/>
        </w:numPr>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其他补充事宜</w:t>
      </w:r>
      <w:bookmarkEnd w:id="33"/>
      <w:r/>
      <w:bookmarkEnd w:id="34"/>
      <w:r/>
      <w:bookmarkEnd w:id="35"/>
      <w:r>
        <w:rPr>
          <w:rFonts w:hint="eastAsia" w:ascii="方正仿宋_GB2312" w:hAnsi="方正仿宋_GB2312" w:eastAsia="方正仿宋_GB2312" w:cs="方正仿宋_GB2312"/>
          <w:b/>
          <w:bCs/>
          <w:color w:val="000000"/>
          <w:sz w:val="28"/>
          <w:szCs w:val="28"/>
          <w:highlight w:val="none"/>
        </w:rPr>
      </w:r>
      <w:r/>
    </w:p>
    <w:p>
      <w:pPr>
        <w:pStyle w:val="1026"/>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1.项目开标活动模式：不见面远程开标模式。</w:t>
      </w:r>
      <w:r>
        <w:rPr>
          <w:rFonts w:hint="eastAsia" w:ascii="方正仿宋_GB2312" w:hAnsi="方正仿宋_GB2312" w:eastAsia="方正仿宋_GB2312" w:cs="方正仿宋_GB2312"/>
          <w:color w:val="000000"/>
          <w:sz w:val="24"/>
          <w:szCs w:val="24"/>
          <w:highlight w:val="none"/>
        </w:rPr>
      </w:r>
      <w:r/>
    </w:p>
    <w:p>
      <w:pPr>
        <w:pStyle w:val="957"/>
        <w:ind w:firstLine="540"/>
        <w:spacing w:line="400" w:lineRule="exact"/>
        <w:rPr>
          <w:rFonts w:hint="eastAsia" w:ascii="方正仿宋_GB2312" w:hAnsi="方正仿宋_GB2312" w:eastAsia="方正仿宋_GB2312" w:cs="方正仿宋_GB2312"/>
          <w:color w:val="000000"/>
          <w:sz w:val="24"/>
          <w:szCs w:val="24"/>
          <w:highlight w:val="none"/>
        </w:rPr>
      </w:pPr>
      <w:r/>
      <w:bookmarkStart w:id="36" w:name="_Toc38985269"/>
      <w:r/>
      <w:bookmarkStart w:id="37" w:name="_Toc28359085"/>
      <w:r/>
      <w:bookmarkStart w:id="38" w:name="_Toc35393796"/>
      <w:r/>
      <w:bookmarkStart w:id="39" w:name="_Toc28359008"/>
      <w:r/>
      <w:bookmarkStart w:id="40" w:name="_Toc35393627"/>
      <w:r>
        <w:rPr>
          <w:rFonts w:hint="eastAsia" w:ascii="方正仿宋_GB2312" w:hAnsi="方正仿宋_GB2312" w:eastAsia="方正仿宋_GB2312" w:cs="方正仿宋_GB2312"/>
          <w:color w:val="000000"/>
          <w:sz w:val="24"/>
          <w:szCs w:val="24"/>
          <w:highlight w:val="none"/>
        </w:rPr>
        <w:t xml:space="preserve">2.投标人（含潜在投标人）对采购方式、招标文件中项目需求、供应商资格条件、评标方法和评标标准、资格审查部分、合同文本等应当由采购人答复的询问、质疑，请向采购人提出，由采购人负责答复。投标人对其他事项的询问、质疑请向招标代理机构提出，由招标代理机构负责答复。对在“苏采云”系统操作阶段的询问请向交易系统软件维护人员提出。</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投标人应依照规定提交各类声明函、承诺函，不再同时提供原件备查或提供有关部门出具的相关证明文件。但中标人应做好提交声明函、承诺函相应原件的核查准备；核查后发现虚假或违背承诺的，依照相关法律法规规定处理。</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4.开标当天投标人应及时登录“苏采云</w:t>
      </w:r>
      <w:r>
        <w:rPr>
          <w:rFonts w:hint="eastAsia" w:ascii="方正仿宋_GB2312" w:hAnsi="方正仿宋_GB2312" w:eastAsia="方正仿宋_GB2312" w:cs="方正仿宋_GB2312"/>
          <w:color w:val="000000"/>
          <w:sz w:val="24"/>
          <w:szCs w:val="24"/>
          <w:highlight w:val="none"/>
        </w:rPr>
        <w:t xml:space="preserve">”政府采购一体化平台，并在规定时间内自行实施远程解密。投标人解密时间限定为投标文件解密指令发出后30分钟（投标人应当充分考虑网络延时造成的本地网络计时不一致风险，提前完成解密动作）。投标人因网络、电源、浏览器不稳定、未按要求配置软硬件环境，解密锁用错或其他物理故障、操作熟练程度等自身原因，导致投标文件在规定时间内未能解密、解密失败或解密超时，相应责任由投标人自行承担；因采购人原因或网上招投标平台发生故障，导致无法按时完成投标文件解密或开、评标工作无法进行的，可根据实际情况相应延迟解密时间或调整开、评标时间。</w:t>
      </w:r>
      <w:r>
        <w:rPr>
          <w:rFonts w:hint="eastAsia" w:ascii="方正仿宋_GB2312" w:hAnsi="方正仿宋_GB2312" w:eastAsia="方正仿宋_GB2312" w:cs="方正仿宋_GB2312"/>
          <w:color w:val="000000"/>
          <w:sz w:val="24"/>
          <w:szCs w:val="24"/>
          <w:highlight w:val="none"/>
        </w:rPr>
      </w:r>
      <w:r/>
    </w:p>
    <w:p>
      <w:pPr>
        <w:pStyle w:val="957"/>
        <w:ind w:firstLine="436"/>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七、对本次招标</w:t>
      </w:r>
      <w:bookmarkEnd w:id="36"/>
      <w:r/>
      <w:bookmarkEnd w:id="37"/>
      <w:r/>
      <w:bookmarkEnd w:id="38"/>
      <w:r/>
      <w:bookmarkEnd w:id="39"/>
      <w:r/>
      <w:bookmarkEnd w:id="40"/>
      <w:r>
        <w:rPr>
          <w:rFonts w:hint="eastAsia" w:ascii="方正仿宋_GB2312" w:hAnsi="方正仿宋_GB2312" w:eastAsia="方正仿宋_GB2312" w:cs="方正仿宋_GB2312"/>
          <w:b/>
          <w:bCs/>
          <w:color w:val="000000"/>
          <w:sz w:val="28"/>
          <w:szCs w:val="28"/>
          <w:highlight w:val="none"/>
        </w:rPr>
        <w:t xml:space="preserve">提出询问，请按以下方式联系</w:t>
      </w:r>
      <w:r>
        <w:rPr>
          <w:rFonts w:hint="eastAsia" w:ascii="方正仿宋_GB2312" w:hAnsi="方正仿宋_GB2312" w:eastAsia="方正仿宋_GB2312" w:cs="方正仿宋_GB2312"/>
          <w:b/>
          <w:bCs/>
          <w:color w:val="000000"/>
          <w:sz w:val="28"/>
          <w:szCs w:val="28"/>
          <w:highlight w:val="none"/>
        </w:rPr>
      </w:r>
      <w:r/>
    </w:p>
    <w:p>
      <w:pPr>
        <w:pStyle w:val="957"/>
        <w:ind w:firstLine="240"/>
        <w:spacing w:line="400" w:lineRule="exact"/>
        <w:rPr>
          <w:rFonts w:hint="eastAsia" w:ascii="方正仿宋_GB2312" w:hAnsi="方正仿宋_GB2312" w:eastAsia="方正仿宋_GB2312" w:cs="方正仿宋_GB2312"/>
          <w:color w:val="000000"/>
          <w:sz w:val="24"/>
          <w:szCs w:val="24"/>
          <w:highlight w:val="none"/>
        </w:rPr>
      </w:pPr>
      <w:r/>
      <w:bookmarkStart w:id="41" w:name="_Toc28359087"/>
      <w:r/>
      <w:bookmarkStart w:id="42" w:name="_Toc28359010"/>
      <w:r>
        <w:rPr>
          <w:rFonts w:hint="eastAsia" w:ascii="方正仿宋_GB2312" w:hAnsi="方正仿宋_GB2312" w:eastAsia="方正仿宋_GB2312" w:cs="方正仿宋_GB2312"/>
          <w:color w:val="000000"/>
          <w:sz w:val="24"/>
          <w:szCs w:val="24"/>
          <w:highlight w:val="none"/>
        </w:rPr>
        <w:t xml:space="preserve">　1.采购人信息</w:t>
      </w:r>
      <w:r>
        <w:rPr>
          <w:rFonts w:hint="eastAsia" w:ascii="方正仿宋_GB2312" w:hAnsi="方正仿宋_GB2312" w:eastAsia="方正仿宋_GB2312" w:cs="方正仿宋_GB2312"/>
          <w:color w:val="000000"/>
          <w:sz w:val="24"/>
          <w:szCs w:val="24"/>
          <w:highlight w:val="none"/>
        </w:rPr>
      </w:r>
      <w:r/>
    </w:p>
    <w:p>
      <w:pPr>
        <w:pStyle w:val="957"/>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名 称：</w:t>
      </w:r>
      <w:r>
        <w:rPr>
          <w:rFonts w:hint="eastAsia" w:ascii="方正仿宋_GB2312" w:hAnsi="方正仿宋_GB2312" w:eastAsia="方正仿宋_GB2312" w:cs="方正仿宋_GB2312"/>
          <w:color w:val="000000"/>
          <w:sz w:val="24"/>
          <w:szCs w:val="24"/>
          <w:highlight w:val="none"/>
          <w:u w:val="single"/>
        </w:rPr>
        <w:t xml:space="preserve">　  如东县洋口镇人民政府       </w:t>
      </w:r>
      <w:r>
        <w:rPr>
          <w:rFonts w:hint="eastAsia" w:ascii="方正仿宋_GB2312" w:hAnsi="方正仿宋_GB2312" w:eastAsia="方正仿宋_GB2312" w:cs="方正仿宋_GB2312"/>
          <w:color w:val="000000"/>
          <w:sz w:val="24"/>
          <w:szCs w:val="24"/>
          <w:highlight w:val="none"/>
        </w:rPr>
      </w:r>
      <w:r/>
    </w:p>
    <w:p>
      <w:pPr>
        <w:pStyle w:val="957"/>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如东县洋口镇</w:t>
      </w:r>
      <w:r>
        <w:rPr>
          <w:rFonts w:hint="eastAsia" w:ascii="方正仿宋_GB2312" w:hAnsi="方正仿宋_GB2312" w:eastAsia="方正仿宋_GB2312" w:cs="方正仿宋_GB2312"/>
          <w:color w:val="000000"/>
          <w:sz w:val="24"/>
          <w:szCs w:val="24"/>
          <w:highlight w:val="none"/>
          <w:u w:val="single"/>
        </w:rPr>
      </w:r>
      <w:r/>
    </w:p>
    <w:p>
      <w:pPr>
        <w:pStyle w:val="957"/>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缪晓伟              </w:t>
      </w:r>
      <w:r>
        <w:rPr>
          <w:rFonts w:hint="eastAsia" w:ascii="方正仿宋_GB2312" w:hAnsi="方正仿宋_GB2312" w:eastAsia="方正仿宋_GB2312" w:cs="方正仿宋_GB2312"/>
          <w:color w:val="000000"/>
          <w:sz w:val="24"/>
          <w:szCs w:val="24"/>
          <w:highlight w:val="none"/>
          <w:u w:val="single"/>
        </w:rPr>
      </w:r>
      <w:r/>
    </w:p>
    <w:p>
      <w:pPr>
        <w:pStyle w:val="957"/>
        <w:ind w:firstLine="72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13862473570　　　　　</w:t>
      </w:r>
      <w:r>
        <w:rPr>
          <w:rFonts w:hint="eastAsia" w:ascii="方正仿宋_GB2312" w:hAnsi="方正仿宋_GB2312" w:eastAsia="方正仿宋_GB2312" w:cs="方正仿宋_GB2312"/>
          <w:color w:val="000000"/>
          <w:sz w:val="24"/>
          <w:szCs w:val="24"/>
          <w:highlight w:val="none"/>
        </w:rPr>
        <w:t xml:space="preserve">　　　</w:t>
      </w:r>
      <w:bookmarkStart w:id="43" w:name="_Toc28359086"/>
      <w:r/>
      <w:bookmarkStart w:id="44" w:name="_Toc28359009"/>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2.采购代理机构信息</w:t>
      </w:r>
      <w:bookmarkEnd w:id="43"/>
      <w:r/>
      <w:bookmarkEnd w:id="44"/>
      <w:r>
        <w:rPr>
          <w:rFonts w:hint="eastAsia" w:ascii="方正仿宋_GB2312" w:hAnsi="方正仿宋_GB2312" w:eastAsia="方正仿宋_GB2312" w:cs="方正仿宋_GB2312"/>
          <w:color w:val="000000"/>
          <w:sz w:val="24"/>
          <w:szCs w:val="24"/>
          <w:highlight w:val="none"/>
        </w:rPr>
      </w:r>
      <w:r/>
    </w:p>
    <w:p>
      <w:pPr>
        <w:pStyle w:val="957"/>
        <w:contextualSpacing/>
        <w:ind w:firstLine="7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名 称：</w:t>
      </w:r>
      <w:r>
        <w:rPr>
          <w:rFonts w:hint="eastAsia" w:ascii="方正仿宋_GB2312" w:hAnsi="方正仿宋_GB2312" w:eastAsia="方正仿宋_GB2312" w:cs="方正仿宋_GB2312"/>
          <w:color w:val="000000"/>
          <w:sz w:val="24"/>
          <w:szCs w:val="24"/>
          <w:highlight w:val="none"/>
          <w:u w:val="single"/>
        </w:rPr>
        <w:t xml:space="preserve">南通建辰工程咨询有限公司</w:t>
      </w:r>
      <w:r>
        <w:rPr>
          <w:rFonts w:hint="eastAsia" w:ascii="方正仿宋_GB2312" w:hAnsi="方正仿宋_GB2312" w:eastAsia="方正仿宋_GB2312" w:cs="方正仿宋_GB2312"/>
          <w:color w:val="000000"/>
          <w:sz w:val="24"/>
          <w:szCs w:val="24"/>
          <w:highlight w:val="none"/>
          <w:u w:val="single"/>
        </w:rPr>
      </w:r>
      <w:r/>
    </w:p>
    <w:p>
      <w:pPr>
        <w:pStyle w:val="957"/>
        <w:ind w:firstLine="72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地　址：</w:t>
      </w:r>
      <w:r>
        <w:rPr>
          <w:rFonts w:hint="eastAsia" w:ascii="方正仿宋_GB2312" w:hAnsi="方正仿宋_GB2312" w:eastAsia="方正仿宋_GB2312" w:cs="方正仿宋_GB2312"/>
          <w:color w:val="000000"/>
          <w:sz w:val="24"/>
          <w:szCs w:val="24"/>
          <w:highlight w:val="none"/>
          <w:u w:val="single"/>
        </w:rPr>
        <w:t xml:space="preserve">南通市太阳鑫城1幢</w:t>
      </w:r>
      <w:r>
        <w:rPr>
          <w:rFonts w:hint="eastAsia" w:ascii="方正仿宋_GB2312" w:hAnsi="方正仿宋_GB2312" w:eastAsia="方正仿宋_GB2312" w:cs="方正仿宋_GB2312"/>
          <w:color w:val="000000"/>
          <w:sz w:val="24"/>
          <w:szCs w:val="24"/>
          <w:highlight w:val="none"/>
          <w:u w:val="single"/>
        </w:rPr>
      </w:r>
      <w:r/>
    </w:p>
    <w:p>
      <w:pPr>
        <w:pStyle w:val="957"/>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 </w:t>
      </w:r>
      <w:r>
        <w:rPr>
          <w:rFonts w:hint="eastAsia" w:ascii="方正仿宋_GB2312" w:hAnsi="方正仿宋_GB2312" w:eastAsia="方正仿宋_GB2312" w:cs="方正仿宋_GB2312"/>
          <w:color w:val="000000"/>
          <w:sz w:val="24"/>
          <w:szCs w:val="24"/>
          <w:highlight w:val="none"/>
          <w:u w:val="single"/>
        </w:rPr>
        <w:t xml:space="preserve">于工</w:t>
      </w:r>
      <w:r>
        <w:rPr>
          <w:rFonts w:hint="eastAsia" w:ascii="方正仿宋_GB2312" w:hAnsi="方正仿宋_GB2312" w:eastAsia="方正仿宋_GB2312" w:cs="方正仿宋_GB2312"/>
          <w:color w:val="000000"/>
          <w:sz w:val="24"/>
          <w:szCs w:val="24"/>
          <w:highlight w:val="none"/>
        </w:rPr>
      </w:r>
      <w:r/>
    </w:p>
    <w:p>
      <w:pPr>
        <w:pStyle w:val="957"/>
        <w:ind w:firstLine="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19051350211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3.项目联系方式</w:t>
      </w:r>
      <w:r>
        <w:rPr>
          <w:rFonts w:hint="eastAsia" w:ascii="方正仿宋_GB2312" w:hAnsi="方正仿宋_GB2312" w:eastAsia="方正仿宋_GB2312" w:cs="方正仿宋_GB2312"/>
          <w:color w:val="000000"/>
          <w:sz w:val="24"/>
          <w:szCs w:val="24"/>
          <w:highlight w:val="none"/>
          <w:u w:val="single"/>
        </w:rPr>
      </w:r>
      <w:r/>
    </w:p>
    <w:p>
      <w:pPr>
        <w:pStyle w:val="957"/>
        <w:ind w:firstLine="72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项目联系人：</w:t>
      </w:r>
      <w:r>
        <w:rPr>
          <w:rFonts w:hint="eastAsia" w:ascii="方正仿宋_GB2312" w:hAnsi="方正仿宋_GB2312" w:eastAsia="方正仿宋_GB2312" w:cs="方正仿宋_GB2312"/>
          <w:color w:val="000000"/>
          <w:sz w:val="24"/>
          <w:szCs w:val="24"/>
          <w:highlight w:val="none"/>
          <w:u w:val="single"/>
        </w:rPr>
        <w:t xml:space="preserve"> 缪晓伟</w:t>
      </w:r>
      <w:r>
        <w:rPr>
          <w:rFonts w:hint="eastAsia" w:ascii="方正仿宋_GB2312" w:hAnsi="方正仿宋_GB2312" w:eastAsia="方正仿宋_GB2312" w:cs="方正仿宋_GB2312"/>
          <w:color w:val="000000"/>
          <w:sz w:val="24"/>
          <w:szCs w:val="24"/>
          <w:highlight w:val="none"/>
          <w:u w:val="single"/>
        </w:rPr>
      </w:r>
      <w:r/>
    </w:p>
    <w:p>
      <w:pPr>
        <w:pStyle w:val="957"/>
        <w:ind w:firstLine="720"/>
        <w:spacing w:line="400" w:lineRule="exact"/>
        <w:rPr>
          <w:rFonts w:hint="eastAsia" w:ascii="方正仿宋_GB2312" w:hAnsi="方正仿宋_GB2312" w:eastAsia="方正仿宋_GB2312" w:cs="方正仿宋_GB2312"/>
          <w:color w:val="000000"/>
          <w:sz w:val="28"/>
          <w:szCs w:val="28"/>
          <w:highlight w:val="none"/>
          <w:u w:val="singl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13862473570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8"/>
          <w:szCs w:val="28"/>
          <w:highlight w:val="none"/>
        </w:rPr>
        <w:t xml:space="preserve">　　　　　</w:t>
      </w:r>
      <w:r>
        <w:rPr>
          <w:rFonts w:hint="eastAsia" w:ascii="方正仿宋_GB2312" w:hAnsi="方正仿宋_GB2312" w:eastAsia="方正仿宋_GB2312" w:cs="方正仿宋_GB2312"/>
          <w:color w:val="000000"/>
          <w:sz w:val="28"/>
          <w:szCs w:val="28"/>
          <w:highlight w:val="none"/>
          <w:u w:val="single"/>
        </w:rPr>
      </w:r>
      <w:r/>
    </w:p>
    <w:p>
      <w:pPr>
        <w:pStyle w:val="957"/>
        <w:numPr>
          <w:ilvl w:val="0"/>
          <w:numId w:val="5"/>
        </w:numPr>
        <w:ind w:firstLine="480"/>
        <w:jc w:val="left"/>
        <w:spacing w:line="400" w:lineRule="exact"/>
        <w:tabs>
          <w:tab w:val="left" w:pos="312"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软件维护人员</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联系方式：</w:t>
      </w:r>
      <w:r>
        <w:rPr>
          <w:rFonts w:hint="eastAsia" w:ascii="方正仿宋_GB2312" w:hAnsi="方正仿宋_GB2312" w:eastAsia="方正仿宋_GB2312" w:cs="方正仿宋_GB2312"/>
          <w:color w:val="000000"/>
          <w:sz w:val="24"/>
          <w:szCs w:val="24"/>
          <w:highlight w:val="none"/>
          <w:u w:val="single"/>
        </w:rPr>
        <w:t xml:space="preserve">0519-86722801、0519-86722806  </w:t>
      </w:r>
      <w:r>
        <w:rPr>
          <w:rFonts w:hint="eastAsia" w:ascii="方正仿宋_GB2312" w:hAnsi="方正仿宋_GB2312" w:eastAsia="方正仿宋_GB2312" w:cs="方正仿宋_GB2312"/>
          <w:color w:val="000000"/>
          <w:sz w:val="24"/>
          <w:szCs w:val="24"/>
          <w:highlight w:val="none"/>
          <w:u w:val="single"/>
        </w:rPr>
      </w:r>
      <w:r/>
    </w:p>
    <w:p>
      <w:pPr>
        <w:pStyle w:val="957"/>
        <w:numPr>
          <w:ilvl w:val="0"/>
          <w:numId w:val="6"/>
        </w:numPr>
        <w:ind w:firstLine="436"/>
        <w:jc w:val="left"/>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End w:id="41"/>
      <w:r/>
      <w:bookmarkEnd w:id="42"/>
      <w:r>
        <w:rPr>
          <w:rFonts w:hint="eastAsia" w:ascii="方正仿宋_GB2312" w:hAnsi="方正仿宋_GB2312" w:eastAsia="方正仿宋_GB2312" w:cs="方正仿宋_GB2312"/>
          <w:b/>
          <w:bCs/>
          <w:color w:val="000000"/>
          <w:sz w:val="28"/>
          <w:szCs w:val="28"/>
          <w:highlight w:val="none"/>
        </w:rPr>
        <w:t xml:space="preserve">其他</w:t>
      </w:r>
      <w:r>
        <w:rPr>
          <w:rFonts w:hint="eastAsia" w:ascii="方正仿宋_GB2312" w:hAnsi="方正仿宋_GB2312" w:eastAsia="方正仿宋_GB2312" w:cs="方正仿宋_GB2312"/>
          <w:b/>
          <w:bCs/>
          <w:color w:val="000000"/>
          <w:sz w:val="28"/>
          <w:szCs w:val="28"/>
          <w:highlight w:val="none"/>
        </w:rPr>
      </w:r>
      <w:r/>
    </w:p>
    <w:p>
      <w:pPr>
        <w:pStyle w:val="957"/>
        <w:ind w:firstLine="480"/>
        <w:jc w:val="left"/>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 根据省财政厅《关于更换全省政府采购交易系统CA数字证书和电子签章的通知》（苏财购〔2023〕</w:t>
      </w:r>
      <w:r>
        <w:rPr>
          <w:rFonts w:hint="eastAsia" w:ascii="方正仿宋_GB2312" w:hAnsi="方正仿宋_GB2312" w:eastAsia="方正仿宋_GB2312" w:cs="方正仿宋_GB2312"/>
          <w:bCs/>
          <w:color w:val="000000"/>
          <w:sz w:val="24"/>
          <w:szCs w:val="24"/>
          <w:highlight w:val="none"/>
        </w:rPr>
        <w:t xml:space="preserve">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详见《江苏省政府采购管理交易系统(苏采云)供应商操作指南》（以下简称《操作指南》），《操作指南》链接：http://www.ccgp-jiangsu.gov.cn/jiangsu/zlxz/ee/ee3a4bc5a3454aa2b0d9312230633ce9.html。</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领取CA和办理电子签章请至南通市政务服务中心裙楼四楼（南通市公共资源交易中心）CA办理窗口办理，详见《江苏省政府采购数字证书(供应商)CA及电子签章办理指南》），请及时进行注册并按要求制作、上传电子投标文件。</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tabs>
          <w:tab w:val="left" w:pos="90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bCs/>
          <w:color w:val="000000"/>
          <w:sz w:val="24"/>
          <w:szCs w:val="24"/>
          <w:highlight w:val="none"/>
        </w:rPr>
        <w:t xml:space="preserve">有关本次招标的事项若存在变动或修改，敬请及时关注“江苏政府采购网”发布的更正公告。</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tabs>
          <w:tab w:val="left" w:pos="90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3.本次招标不收取投标保证金。</w:t>
      </w:r>
      <w:r>
        <w:rPr>
          <w:rFonts w:hint="eastAsia" w:ascii="方正仿宋_GB2312" w:hAnsi="方正仿宋_GB2312" w:eastAsia="方正仿宋_GB2312" w:cs="方正仿宋_GB2312"/>
          <w:bCs/>
          <w:color w:val="000000"/>
          <w:sz w:val="24"/>
          <w:szCs w:val="24"/>
          <w:highlight w:val="none"/>
        </w:rPr>
      </w:r>
      <w:r/>
    </w:p>
    <w:p>
      <w:pPr>
        <w:pStyle w:val="957"/>
        <w:ind w:right="840"/>
        <w:jc w:val="center"/>
        <w:spacing w:line="400" w:lineRule="exact"/>
        <w:rPr>
          <w:rFonts w:hint="eastAsia" w:ascii="方正仿宋_GB2312" w:hAnsi="方正仿宋_GB2312" w:eastAsia="方正仿宋_GB2312" w:cs="方正仿宋_GB2312"/>
          <w:color w:val="000000"/>
          <w:sz w:val="36"/>
          <w:szCs w:val="36"/>
          <w:highlight w:val="none"/>
        </w:rPr>
        <w:outlineLvl w:val="0"/>
      </w:pPr>
      <w:r>
        <w:rPr>
          <w:rFonts w:hint="eastAsia" w:ascii="方正仿宋_GB2312" w:hAnsi="方正仿宋_GB2312" w:eastAsia="方正仿宋_GB2312" w:cs="方正仿宋_GB2312"/>
          <w:color w:val="000000"/>
          <w:sz w:val="24"/>
          <w:szCs w:val="24"/>
          <w:highlight w:val="none"/>
        </w:rPr>
        <w:br w:type="page" w:clear="all"/>
      </w:r>
      <w:bookmarkStart w:id="45" w:name="_Toc120614211"/>
      <w:r/>
      <w:bookmarkStart w:id="46" w:name="_Toc8900"/>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b/>
          <w:bCs/>
          <w:color w:val="000000"/>
          <w:sz w:val="36"/>
          <w:szCs w:val="36"/>
          <w:highlight w:val="none"/>
        </w:rPr>
        <w:t xml:space="preserve">第二章  </w:t>
      </w:r>
      <w:bookmarkEnd w:id="1"/>
      <w:r/>
      <w:bookmarkEnd w:id="2"/>
      <w:r/>
      <w:bookmarkEnd w:id="3"/>
      <w:r/>
      <w:bookmarkEnd w:id="4"/>
      <w:r/>
      <w:bookmarkEnd w:id="5"/>
      <w:r/>
      <w:bookmarkEnd w:id="45"/>
      <w:r/>
      <w:bookmarkStart w:id="47" w:name="_Toc20823274"/>
      <w:r/>
      <w:bookmarkStart w:id="48" w:name="_Toc16938518"/>
      <w:r/>
      <w:bookmarkStart w:id="49" w:name="_Toc513029202"/>
      <w:r/>
      <w:bookmarkStart w:id="50" w:name="_Toc120614213"/>
      <w:r>
        <w:rPr>
          <w:rFonts w:hint="eastAsia" w:ascii="方正仿宋_GB2312" w:hAnsi="方正仿宋_GB2312" w:eastAsia="方正仿宋_GB2312" w:cs="方正仿宋_GB2312"/>
          <w:b/>
          <w:bCs/>
          <w:color w:val="000000"/>
          <w:sz w:val="36"/>
          <w:szCs w:val="36"/>
          <w:highlight w:val="none"/>
        </w:rPr>
        <w:t xml:space="preserve">投标人须知</w:t>
      </w:r>
      <w:bookmarkEnd w:id="46"/>
      <w:r/>
      <w:bookmarkEnd w:id="47"/>
      <w:r/>
      <w:bookmarkEnd w:id="48"/>
      <w:r/>
      <w:bookmarkEnd w:id="49"/>
      <w:r/>
      <w:bookmarkEnd w:id="50"/>
      <w:r>
        <w:rPr>
          <w:rFonts w:hint="eastAsia" w:ascii="方正仿宋_GB2312" w:hAnsi="方正仿宋_GB2312" w:eastAsia="方正仿宋_GB2312" w:cs="方正仿宋_GB2312"/>
          <w:color w:val="000000"/>
          <w:sz w:val="36"/>
          <w:szCs w:val="36"/>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51" w:name="_Toc513029203"/>
      <w:r/>
      <w:bookmarkStart w:id="52" w:name="_Toc20823275"/>
      <w:r/>
      <w:bookmarkStart w:id="53" w:name="_Toc16938519"/>
      <w:r/>
      <w:bookmarkStart w:id="54" w:name="_Toc120614214"/>
      <w:r/>
      <w:bookmarkStart w:id="55" w:name="_Toc15715"/>
      <w:r/>
      <w:bookmarkStart w:id="56" w:name="_Toc479757207"/>
      <w:r/>
      <w:bookmarkStart w:id="57" w:name="_Toc120614221"/>
      <w:r/>
      <w:bookmarkStart w:id="58" w:name="_Toc513029242"/>
      <w:r/>
      <w:bookmarkStart w:id="59" w:name="_Toc20823314"/>
      <w:r/>
      <w:bookmarkStart w:id="60" w:name="_Toc16938558"/>
      <w:r>
        <w:rPr>
          <w:rFonts w:hint="eastAsia" w:ascii="方正仿宋_GB2312" w:hAnsi="方正仿宋_GB2312" w:eastAsia="方正仿宋_GB2312" w:cs="方正仿宋_GB2312"/>
          <w:b/>
          <w:bCs/>
          <w:color w:val="000000"/>
          <w:sz w:val="28"/>
          <w:szCs w:val="28"/>
          <w:highlight w:val="none"/>
        </w:rPr>
        <w:t xml:space="preserve">一、总则</w:t>
      </w:r>
      <w:bookmarkEnd w:id="51"/>
      <w:r/>
      <w:bookmarkEnd w:id="52"/>
      <w:r/>
      <w:bookmarkEnd w:id="53"/>
      <w:r/>
      <w:bookmarkEnd w:id="54"/>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1" w:name="_Hlt16619475"/>
      <w:r/>
      <w:bookmarkEnd w:id="61"/>
      <w:r/>
      <w:bookmarkStart w:id="62" w:name="_Toc458694821"/>
      <w:r/>
      <w:bookmarkStart w:id="63" w:name="_Toc16938520"/>
      <w:r/>
      <w:bookmarkStart w:id="64" w:name="_Toc513029204"/>
      <w:r/>
      <w:bookmarkStart w:id="65" w:name="_Toc20823276"/>
      <w:r>
        <w:rPr>
          <w:rFonts w:hint="eastAsia" w:ascii="方正仿宋_GB2312" w:hAnsi="方正仿宋_GB2312" w:eastAsia="方正仿宋_GB2312" w:cs="方正仿宋_GB2312"/>
          <w:b/>
          <w:bCs/>
          <w:color w:val="000000"/>
          <w:sz w:val="28"/>
          <w:szCs w:val="28"/>
          <w:highlight w:val="none"/>
        </w:rPr>
        <w:t xml:space="preserve">1</w:t>
      </w:r>
      <w:bookmarkEnd w:id="62"/>
      <w:r>
        <w:rPr>
          <w:rFonts w:hint="eastAsia" w:ascii="方正仿宋_GB2312" w:hAnsi="方正仿宋_GB2312" w:eastAsia="方正仿宋_GB2312" w:cs="方正仿宋_GB2312"/>
          <w:b/>
          <w:bCs/>
          <w:color w:val="000000"/>
          <w:sz w:val="28"/>
          <w:szCs w:val="28"/>
          <w:highlight w:val="none"/>
        </w:rPr>
        <w:t xml:space="preserve">、招标方式</w:t>
      </w:r>
      <w:bookmarkEnd w:id="63"/>
      <w:r/>
      <w:bookmarkEnd w:id="64"/>
      <w:r/>
      <w:bookmarkEnd w:id="65"/>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1.1 本次招标采取公开招标方式，本招标文件仅适用于招标公告中所述项目。</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6" w:name="_Toc20823277"/>
      <w:r/>
      <w:bookmarkStart w:id="67" w:name="_Toc16938521"/>
      <w:r/>
      <w:bookmarkStart w:id="68" w:name="_Toc513029205"/>
      <w:r>
        <w:rPr>
          <w:rFonts w:hint="eastAsia" w:ascii="方正仿宋_GB2312" w:hAnsi="方正仿宋_GB2312" w:eastAsia="方正仿宋_GB2312" w:cs="方正仿宋_GB2312"/>
          <w:b/>
          <w:bCs/>
          <w:color w:val="000000"/>
          <w:sz w:val="28"/>
          <w:szCs w:val="28"/>
          <w:highlight w:val="none"/>
        </w:rPr>
        <w:t xml:space="preserve">2、合格的投标人</w:t>
      </w:r>
      <w:bookmarkEnd w:id="66"/>
      <w:r/>
      <w:bookmarkEnd w:id="67"/>
      <w:r/>
      <w:bookmarkEnd w:id="68"/>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2.1满足招标公告中供应商的资格要求的规定。</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2.2 满足本文件实质性要求的规定。</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69" w:name="_Toc16938522"/>
      <w:r/>
      <w:bookmarkStart w:id="70" w:name="_Toc20823278"/>
      <w:r/>
      <w:bookmarkStart w:id="71" w:name="_Toc513029206"/>
      <w:r>
        <w:rPr>
          <w:rFonts w:hint="eastAsia" w:ascii="方正仿宋_GB2312" w:hAnsi="方正仿宋_GB2312" w:eastAsia="方正仿宋_GB2312" w:cs="方正仿宋_GB2312"/>
          <w:b/>
          <w:bCs/>
          <w:color w:val="000000"/>
          <w:sz w:val="28"/>
          <w:szCs w:val="28"/>
          <w:highlight w:val="none"/>
        </w:rPr>
        <w:t xml:space="preserve">3、适用法律</w:t>
      </w:r>
      <w:bookmarkEnd w:id="69"/>
      <w:r/>
      <w:bookmarkEnd w:id="70"/>
      <w:r/>
      <w:bookmarkEnd w:id="71"/>
      <w:r>
        <w:rPr>
          <w:rFonts w:hint="eastAsia" w:ascii="方正仿宋_GB2312" w:hAnsi="方正仿宋_GB2312" w:eastAsia="方正仿宋_GB2312" w:cs="方正仿宋_GB2312"/>
          <w:b/>
          <w:bCs/>
          <w:color w:val="000000"/>
          <w:sz w:val="28"/>
          <w:szCs w:val="28"/>
          <w:highlight w:val="none"/>
        </w:rPr>
      </w:r>
      <w:r/>
    </w:p>
    <w:p>
      <w:pPr>
        <w:pStyle w:val="957"/>
        <w:ind w:firstLine="42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3.1 本次招标及由此产生的合同受中华人民共和国有关的法律法规制约和保护。</w:t>
      </w:r>
      <w:r>
        <w:rPr>
          <w:rFonts w:hint="eastAsia" w:ascii="方正仿宋_GB2312" w:hAnsi="方正仿宋_GB2312" w:eastAsia="方正仿宋_GB2312" w:cs="方正仿宋_GB2312"/>
          <w:color w:val="000000"/>
          <w:sz w:val="24"/>
          <w:highlight w:val="none"/>
        </w:rPr>
      </w:r>
      <w:r/>
    </w:p>
    <w:p>
      <w:pPr>
        <w:pStyle w:val="957"/>
        <w:ind w:firstLine="420"/>
        <w:spacing w:line="400" w:lineRule="exact"/>
        <w:rPr>
          <w:rFonts w:hint="eastAsia" w:ascii="方正仿宋_GB2312" w:hAnsi="方正仿宋_GB2312" w:eastAsia="方正仿宋_GB2312" w:cs="方正仿宋_GB2312"/>
          <w:color w:val="000000"/>
          <w:sz w:val="24"/>
          <w:highlight w:val="none"/>
        </w:rPr>
      </w:pPr>
      <w:r/>
      <w:bookmarkStart w:id="72" w:name="_Toc513029207"/>
      <w:r/>
      <w:bookmarkStart w:id="73" w:name="_Toc16938523"/>
      <w:r/>
      <w:bookmarkStart w:id="74" w:name="_Toc462564067"/>
      <w:r/>
      <w:bookmarkStart w:id="75" w:name="_Toc20823279"/>
      <w:r>
        <w:rPr>
          <w:rFonts w:hint="eastAsia" w:ascii="方正仿宋_GB2312" w:hAnsi="方正仿宋_GB2312" w:eastAsia="方正仿宋_GB2312" w:cs="方正仿宋_GB2312"/>
          <w:color w:val="000000"/>
          <w:sz w:val="24"/>
          <w:highlight w:val="none"/>
        </w:rPr>
        <w:t xml:space="preserve">3.2 在本项目政府采购活动过程中，如果所执行的标准有更新的，按照最新标准执行。</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4、投标费用</w:t>
      </w:r>
      <w:bookmarkEnd w:id="72"/>
      <w:r/>
      <w:bookmarkEnd w:id="73"/>
      <w:r/>
      <w:bookmarkEnd w:id="74"/>
      <w:r/>
      <w:bookmarkEnd w:id="75"/>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4.1</w:t>
      </w:r>
      <w:r>
        <w:rPr>
          <w:rFonts w:hint="eastAsia" w:ascii="方正仿宋_GB2312" w:hAnsi="方正仿宋_GB2312" w:eastAsia="方正仿宋_GB2312" w:cs="方正仿宋_GB2312"/>
          <w:color w:val="000000"/>
          <w:sz w:val="24"/>
          <w:highlight w:val="none"/>
        </w:rPr>
        <w:t xml:space="preserve"> 投标人应自行承担所有与参加投标有关的费用，无论投标过程中的做法和结果如何，采购人在任何情况下均无义务和责任承担这些费用。</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4.2本次招标代理机构和采购人不收取标书工本费与中标服务费。</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5、招标文件的约束力</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w:t>
      </w:r>
      <w:r>
        <w:rPr>
          <w:rFonts w:hint="eastAsia" w:ascii="方正仿宋_GB2312" w:hAnsi="方正仿宋_GB2312" w:eastAsia="方正仿宋_GB2312" w:cs="方正仿宋_GB2312"/>
          <w:color w:val="000000"/>
          <w:sz w:val="24"/>
          <w:szCs w:val="24"/>
          <w:highlight w:val="none"/>
        </w:rPr>
        <w:t xml:space="preserve"> 投标人一旦参加本项目采购活动，即被认为接受了本招标文件的规定和约束。</w:t>
      </w:r>
      <w:r>
        <w:rPr>
          <w:rFonts w:hint="eastAsia" w:ascii="方正仿宋_GB2312" w:hAnsi="方正仿宋_GB2312" w:eastAsia="方正仿宋_GB2312" w:cs="方正仿宋_GB2312"/>
          <w:color w:val="000000"/>
          <w:sz w:val="24"/>
          <w:szCs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76" w:name="_Toc120614215"/>
      <w:r/>
      <w:bookmarkStart w:id="77" w:name="_Toc16938525"/>
      <w:r/>
      <w:bookmarkStart w:id="78" w:name="_Toc20823281"/>
      <w:r/>
      <w:bookmarkStart w:id="79" w:name="_Toc513029209"/>
      <w:r>
        <w:rPr>
          <w:rFonts w:hint="eastAsia" w:ascii="方正仿宋_GB2312" w:hAnsi="方正仿宋_GB2312" w:eastAsia="方正仿宋_GB2312" w:cs="方正仿宋_GB2312"/>
          <w:b/>
          <w:bCs/>
          <w:color w:val="000000"/>
          <w:sz w:val="28"/>
          <w:szCs w:val="28"/>
          <w:highlight w:val="none"/>
        </w:rPr>
        <w:t xml:space="preserve">二、招标文件</w:t>
      </w:r>
      <w:bookmarkEnd w:id="76"/>
      <w:r/>
      <w:bookmarkEnd w:id="77"/>
      <w:r/>
      <w:bookmarkEnd w:id="78"/>
      <w:r/>
      <w:bookmarkEnd w:id="79"/>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0" w:name="_Toc513029210"/>
      <w:r/>
      <w:bookmarkStart w:id="81" w:name="_Toc20823282"/>
      <w:r/>
      <w:bookmarkStart w:id="82" w:name="_Toc16938526"/>
      <w:r>
        <w:rPr>
          <w:rFonts w:hint="eastAsia" w:ascii="方正仿宋_GB2312" w:hAnsi="方正仿宋_GB2312" w:eastAsia="方正仿宋_GB2312" w:cs="方正仿宋_GB2312"/>
          <w:b/>
          <w:bCs/>
          <w:color w:val="000000"/>
          <w:sz w:val="28"/>
          <w:szCs w:val="28"/>
          <w:highlight w:val="none"/>
        </w:rPr>
        <w:t xml:space="preserve">6、招标文件构成</w:t>
      </w:r>
      <w:bookmarkEnd w:id="80"/>
      <w:r/>
      <w:bookmarkEnd w:id="81"/>
      <w:r/>
      <w:bookmarkEnd w:id="82"/>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6.1</w:t>
      </w:r>
      <w:r>
        <w:rPr>
          <w:rFonts w:hint="eastAsia" w:ascii="方正仿宋_GB2312" w:hAnsi="方正仿宋_GB2312" w:eastAsia="方正仿宋_GB2312" w:cs="方正仿宋_GB2312"/>
          <w:color w:val="000000"/>
          <w:sz w:val="24"/>
          <w:highlight w:val="none"/>
        </w:rPr>
        <w:t xml:space="preserve"> 招标文件由以下部分组成：</w:t>
      </w:r>
      <w:r>
        <w:rPr>
          <w:rFonts w:hint="eastAsia" w:ascii="方正仿宋_GB2312" w:hAnsi="方正仿宋_GB2312" w:eastAsia="方正仿宋_GB2312" w:cs="方正仿宋_GB2312"/>
          <w:color w:val="000000"/>
          <w:sz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（1）投标邀请</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（2）投标人须知</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（3）合同文本</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（4）采购需求</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（5）评标方法与评标标准</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（6）投标文件格式</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请仔细检查招标文件是否齐全，如有缺漏请立即与代理公司联系解决。</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6.2</w:t>
      </w:r>
      <w:r>
        <w:rPr>
          <w:rFonts w:hint="eastAsia" w:ascii="方正仿宋_GB2312" w:hAnsi="方正仿宋_GB2312" w:eastAsia="方正仿宋_GB2312" w:cs="方正仿宋_GB2312"/>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3" w:name="_Toc513029211"/>
      <w:r/>
      <w:bookmarkStart w:id="84" w:name="_Toc462564070"/>
      <w:r/>
      <w:bookmarkStart w:id="85" w:name="_Toc20823283"/>
      <w:r/>
      <w:bookmarkStart w:id="86" w:name="_Toc16938527"/>
      <w:r>
        <w:rPr>
          <w:rFonts w:hint="eastAsia" w:ascii="方正仿宋_GB2312" w:hAnsi="方正仿宋_GB2312" w:eastAsia="方正仿宋_GB2312" w:cs="方正仿宋_GB2312"/>
          <w:b/>
          <w:bCs/>
          <w:color w:val="000000"/>
          <w:sz w:val="28"/>
          <w:szCs w:val="28"/>
          <w:highlight w:val="none"/>
        </w:rPr>
        <w:t xml:space="preserve">7、招标文件的澄清</w:t>
      </w:r>
      <w:bookmarkEnd w:id="83"/>
      <w:r/>
      <w:bookmarkEnd w:id="84"/>
      <w:r/>
      <w:bookmarkEnd w:id="85"/>
      <w:r/>
      <w:bookmarkEnd w:id="86"/>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7.1</w:t>
      </w:r>
      <w:r>
        <w:rPr>
          <w:rFonts w:hint="eastAsia" w:ascii="方正仿宋_GB2312" w:hAnsi="方正仿宋_GB2312" w:eastAsia="方正仿宋_GB2312" w:cs="方正仿宋_GB2312"/>
          <w:color w:val="000000"/>
          <w:sz w:val="24"/>
          <w:highlight w:val="none"/>
        </w:rPr>
        <w:t xml:space="preserve"> 任何要求对招标文件进行澄清的投标人，应在投标截止期</w:t>
      </w:r>
      <w:r>
        <w:rPr>
          <w:rFonts w:hint="eastAsia" w:ascii="方正仿宋_GB2312" w:hAnsi="方正仿宋_GB2312" w:eastAsia="方正仿宋_GB2312" w:cs="方正仿宋_GB2312"/>
          <w:b/>
          <w:color w:val="000000"/>
          <w:sz w:val="24"/>
          <w:szCs w:val="24"/>
          <w:highlight w:val="none"/>
        </w:rPr>
        <w:t xml:space="preserve">十日</w:t>
      </w:r>
      <w:r>
        <w:rPr>
          <w:rFonts w:hint="eastAsia" w:ascii="方正仿宋_GB2312" w:hAnsi="方正仿宋_GB2312" w:eastAsia="方正仿宋_GB2312" w:cs="方正仿宋_GB2312"/>
          <w:color w:val="000000"/>
          <w:sz w:val="24"/>
          <w:szCs w:val="24"/>
          <w:highlight w:val="none"/>
        </w:rPr>
        <w:t xml:space="preserve">前</w:t>
      </w:r>
      <w:r>
        <w:rPr>
          <w:rFonts w:hint="eastAsia" w:ascii="方正仿宋_GB2312" w:hAnsi="方正仿宋_GB2312" w:eastAsia="方正仿宋_GB2312" w:cs="方正仿宋_GB2312"/>
          <w:color w:val="000000"/>
          <w:sz w:val="24"/>
          <w:highlight w:val="none"/>
        </w:rPr>
        <w:t xml:space="preserve">按招标公告中的通讯地址，以书面形式通知采购人。采购人有权对发出的招标文件进行必要的澄清或修改。</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highlight w:val="none"/>
        </w:rPr>
        <w:t xml:space="preserve">7.2采购人视情组织答疑会</w:t>
      </w:r>
      <w:r>
        <w:rPr>
          <w:rFonts w:hint="eastAsia" w:ascii="方正仿宋_GB2312" w:hAnsi="方正仿宋_GB2312" w:eastAsia="方正仿宋_GB2312" w:cs="方正仿宋_GB2312"/>
          <w:color w:val="000000"/>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87" w:name="_Toc20823284"/>
      <w:r/>
      <w:bookmarkStart w:id="88" w:name="_Toc462564071"/>
      <w:r/>
      <w:bookmarkStart w:id="89" w:name="_Toc513029212"/>
      <w:r/>
      <w:bookmarkStart w:id="90" w:name="_Toc16938528"/>
      <w:r>
        <w:rPr>
          <w:rFonts w:hint="eastAsia" w:ascii="方正仿宋_GB2312" w:hAnsi="方正仿宋_GB2312" w:eastAsia="方正仿宋_GB2312" w:cs="方正仿宋_GB2312"/>
          <w:b/>
          <w:bCs/>
          <w:color w:val="000000"/>
          <w:sz w:val="28"/>
          <w:szCs w:val="28"/>
          <w:highlight w:val="none"/>
        </w:rPr>
        <w:t xml:space="preserve">8、招标文件的修改</w:t>
      </w:r>
      <w:bookmarkEnd w:id="87"/>
      <w:r/>
      <w:bookmarkEnd w:id="88"/>
      <w:r/>
      <w:bookmarkEnd w:id="89"/>
      <w:r/>
      <w:bookmarkEnd w:id="90"/>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8.1</w:t>
      </w:r>
      <w:r>
        <w:rPr>
          <w:rFonts w:hint="eastAsia" w:ascii="方正仿宋_GB2312" w:hAnsi="方正仿宋_GB2312" w:eastAsia="方正仿宋_GB2312" w:cs="方正仿宋_GB2312"/>
          <w:color w:val="000000"/>
          <w:sz w:val="24"/>
          <w:highlight w:val="none"/>
        </w:rPr>
        <w:t xml:space="preserve"> 在投标截止时间前，采购人可以对招标文件进行修改。</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8"/>
          <w:highlight w:val="none"/>
        </w:rPr>
      </w:pPr>
      <w:r>
        <w:rPr>
          <w:rFonts w:hint="eastAsia" w:ascii="方正仿宋_GB2312" w:hAnsi="方正仿宋_GB2312" w:eastAsia="方正仿宋_GB2312" w:cs="方正仿宋_GB2312"/>
          <w:bCs/>
          <w:color w:val="000000"/>
          <w:sz w:val="24"/>
          <w:highlight w:val="none"/>
        </w:rPr>
        <w:t xml:space="preserve">8.2 </w:t>
      </w:r>
      <w:r>
        <w:rPr>
          <w:rFonts w:hint="eastAsia" w:ascii="方正仿宋_GB2312" w:hAnsi="方正仿宋_GB2312" w:eastAsia="方正仿宋_GB2312" w:cs="方正仿宋_GB2312"/>
          <w:color w:val="000000"/>
          <w:sz w:val="24"/>
          <w:highlight w:val="none"/>
        </w:rPr>
        <w:t xml:space="preserve">采购人</w:t>
      </w:r>
      <w:r>
        <w:rPr>
          <w:rFonts w:hint="eastAsia" w:ascii="方正仿宋_GB2312" w:hAnsi="方正仿宋_GB2312" w:eastAsia="方正仿宋_GB2312" w:cs="方正仿宋_GB2312"/>
          <w:color w:val="000000"/>
          <w:sz w:val="24"/>
          <w:szCs w:val="24"/>
          <w:highlight w:val="none"/>
        </w:rPr>
        <w:t xml:space="preserve">有权按照法定的要求</w:t>
      </w:r>
      <w:r>
        <w:rPr>
          <w:rFonts w:hint="eastAsia" w:ascii="方正仿宋_GB2312" w:hAnsi="方正仿宋_GB2312" w:eastAsia="方正仿宋_GB2312" w:cs="方正仿宋_GB2312"/>
          <w:color w:val="000000"/>
          <w:sz w:val="24"/>
          <w:highlight w:val="none"/>
        </w:rPr>
        <w:t xml:space="preserve">推迟投标截止日期和开标日期。</w:t>
      </w:r>
      <w:r>
        <w:rPr>
          <w:rFonts w:hint="eastAsia" w:ascii="方正仿宋_GB2312" w:hAnsi="方正仿宋_GB2312" w:eastAsia="方正仿宋_GB2312" w:cs="方正仿宋_GB2312"/>
          <w:color w:val="000000"/>
          <w:sz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8.3 </w:t>
      </w:r>
      <w:r>
        <w:rPr>
          <w:rFonts w:hint="eastAsia" w:ascii="方正仿宋_GB2312" w:hAnsi="方正仿宋_GB2312" w:eastAsia="方正仿宋_GB2312" w:cs="方正仿宋_GB2312"/>
          <w:color w:val="000000"/>
          <w:sz w:val="24"/>
          <w:highlight w:val="none"/>
        </w:rPr>
        <w:t xml:space="preserve">招标文件的修改将在江苏政府采购网公布，</w:t>
      </w:r>
      <w:r>
        <w:rPr>
          <w:rFonts w:hint="eastAsia" w:ascii="方正仿宋_GB2312" w:hAnsi="方正仿宋_GB2312" w:eastAsia="方正仿宋_GB2312" w:cs="方正仿宋_GB2312"/>
          <w:color w:val="000000"/>
          <w:sz w:val="24"/>
          <w:szCs w:val="24"/>
          <w:highlight w:val="none"/>
        </w:rPr>
        <w:t xml:space="preserve">补充文件将作为招标文件的组成部分，</w:t>
      </w:r>
      <w:r>
        <w:rPr>
          <w:rFonts w:hint="eastAsia" w:ascii="方正仿宋_GB2312" w:hAnsi="方正仿宋_GB2312" w:eastAsia="方正仿宋_GB2312" w:cs="方正仿宋_GB2312"/>
          <w:color w:val="000000"/>
          <w:sz w:val="24"/>
          <w:highlight w:val="none"/>
        </w:rPr>
        <w:t xml:space="preserve">并对投标人具有约束力。</w:t>
      </w:r>
      <w:r>
        <w:rPr>
          <w:rFonts w:hint="eastAsia" w:ascii="方正仿宋_GB2312" w:hAnsi="方正仿宋_GB2312" w:eastAsia="方正仿宋_GB2312" w:cs="方正仿宋_GB2312"/>
          <w:color w:val="000000"/>
          <w:sz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91" w:name="_Toc16938529"/>
      <w:r/>
      <w:bookmarkStart w:id="92" w:name="_Toc513029213"/>
      <w:r/>
      <w:bookmarkStart w:id="93" w:name="_Toc120614216"/>
      <w:r/>
      <w:bookmarkStart w:id="94" w:name="_Toc462564072"/>
      <w:r/>
      <w:bookmarkStart w:id="95" w:name="_Toc20823285"/>
      <w:r>
        <w:rPr>
          <w:rFonts w:hint="eastAsia" w:ascii="方正仿宋_GB2312" w:hAnsi="方正仿宋_GB2312" w:eastAsia="方正仿宋_GB2312" w:cs="方正仿宋_GB2312"/>
          <w:b/>
          <w:bCs/>
          <w:color w:val="000000"/>
          <w:sz w:val="28"/>
          <w:szCs w:val="28"/>
          <w:highlight w:val="none"/>
        </w:rPr>
        <w:t xml:space="preserve">三、投标文件的编制</w:t>
      </w:r>
      <w:bookmarkEnd w:id="91"/>
      <w:r/>
      <w:bookmarkEnd w:id="92"/>
      <w:r/>
      <w:bookmarkEnd w:id="93"/>
      <w:r/>
      <w:bookmarkEnd w:id="94"/>
      <w:r/>
      <w:bookmarkEnd w:id="95"/>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96" w:name="_Toc462564073"/>
      <w:r/>
      <w:bookmarkStart w:id="97" w:name="_Toc16938530"/>
      <w:r/>
      <w:bookmarkStart w:id="98" w:name="_Toc20823286"/>
      <w:r/>
      <w:bookmarkStart w:id="99" w:name="_Toc513029214"/>
      <w:r>
        <w:rPr>
          <w:rFonts w:hint="eastAsia" w:ascii="方正仿宋_GB2312" w:hAnsi="方正仿宋_GB2312" w:eastAsia="方正仿宋_GB2312" w:cs="方正仿宋_GB2312"/>
          <w:b/>
          <w:bCs/>
          <w:color w:val="000000"/>
          <w:sz w:val="28"/>
          <w:szCs w:val="28"/>
          <w:highlight w:val="none"/>
        </w:rPr>
        <w:t xml:space="preserve">9、投标文件的语言及度量衡单位</w:t>
      </w:r>
      <w:bookmarkEnd w:id="96"/>
      <w:r/>
      <w:bookmarkEnd w:id="97"/>
      <w:r/>
      <w:bookmarkEnd w:id="98"/>
      <w:r/>
      <w:bookmarkEnd w:id="99"/>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9.1</w:t>
      </w:r>
      <w:r>
        <w:rPr>
          <w:rFonts w:hint="eastAsia" w:ascii="方正仿宋_GB2312" w:hAnsi="方正仿宋_GB2312" w:eastAsia="方正仿宋_GB2312" w:cs="方正仿宋_GB2312"/>
          <w:color w:val="000000"/>
          <w:sz w:val="24"/>
          <w:highlight w:val="none"/>
        </w:rPr>
        <w:t xml:space="preserve"> 投标人提交的投标文件以及投标人与代理机构及采购人就有关投标的所有来往通知、函件和文件均应使用</w:t>
      </w:r>
      <w:r>
        <w:rPr>
          <w:rFonts w:hint="eastAsia" w:ascii="方正仿宋_GB2312" w:hAnsi="方正仿宋_GB2312" w:eastAsia="方正仿宋_GB2312" w:cs="方正仿宋_GB2312"/>
          <w:b/>
          <w:bCs/>
          <w:color w:val="000000"/>
          <w:sz w:val="24"/>
          <w:highlight w:val="none"/>
        </w:rPr>
        <w:t xml:space="preserve">简体中文</w:t>
      </w:r>
      <w:r>
        <w:rPr>
          <w:rFonts w:hint="eastAsia" w:ascii="方正仿宋_GB2312" w:hAnsi="方正仿宋_GB2312" w:eastAsia="方正仿宋_GB2312" w:cs="方正仿宋_GB2312"/>
          <w:color w:val="000000"/>
          <w:sz w:val="24"/>
          <w:highlight w:val="none"/>
        </w:rPr>
        <w:t xml:space="preserve">。</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9.2</w:t>
      </w:r>
      <w:r>
        <w:rPr>
          <w:rFonts w:hint="eastAsia" w:ascii="方正仿宋_GB2312" w:hAnsi="方正仿宋_GB2312" w:eastAsia="方正仿宋_GB2312" w:cs="方正仿宋_GB2312"/>
          <w:color w:val="000000"/>
          <w:sz w:val="24"/>
          <w:highlight w:val="none"/>
        </w:rPr>
        <w:t xml:space="preserve"> 除技术性能另有规定外，投标文件所使用的度量衡单位，均须采用国家法定计量单位。</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00" w:name="_Toc513029215"/>
      <w:r/>
      <w:bookmarkStart w:id="101" w:name="_Toc20823287"/>
      <w:r/>
      <w:bookmarkStart w:id="102" w:name="_Toc462564074"/>
      <w:r/>
      <w:bookmarkStart w:id="103" w:name="_Toc16938531"/>
      <w:r>
        <w:rPr>
          <w:rFonts w:hint="eastAsia" w:ascii="方正仿宋_GB2312" w:hAnsi="方正仿宋_GB2312" w:eastAsia="方正仿宋_GB2312" w:cs="方正仿宋_GB2312"/>
          <w:b/>
          <w:bCs/>
          <w:color w:val="000000"/>
          <w:sz w:val="28"/>
          <w:szCs w:val="28"/>
          <w:highlight w:val="none"/>
        </w:rPr>
        <w:t xml:space="preserve">10、投标文件构成</w:t>
      </w:r>
      <w:bookmarkEnd w:id="100"/>
      <w:r/>
      <w:bookmarkEnd w:id="101"/>
      <w:r/>
      <w:bookmarkEnd w:id="102"/>
      <w:r/>
      <w:bookmarkEnd w:id="103"/>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10.1</w:t>
      </w:r>
      <w:r>
        <w:rPr>
          <w:rFonts w:hint="eastAsia" w:ascii="方正仿宋_GB2312" w:hAnsi="方正仿宋_GB2312" w:eastAsia="方正仿宋_GB2312" w:cs="方正仿宋_GB2312"/>
          <w:color w:val="000000"/>
          <w:sz w:val="24"/>
          <w:highlight w:val="none"/>
        </w:rPr>
        <w:t xml:space="preserve"> 投标人编写的投标文件应包括资格证明文件、投标分项报价表、技术要求响应及偏离表、商务要求响应及偏离表、其他证明文件、投标函、开标一览表等部分。请按“第六章  投标文件格式”要求编写投标文件。</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10.2 如标书制作工具中格式和内容与“江苏政府采购网”发布的招标文件不一致，请以“江苏政府采购网”发布的招标文件为准。</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04" w:name="_Toc14577354"/>
      <w:r/>
      <w:bookmarkStart w:id="105" w:name="_Toc49090507"/>
      <w:r/>
      <w:bookmarkStart w:id="106" w:name="_Toc513029216"/>
      <w:r/>
      <w:bookmarkStart w:id="107" w:name="_Hlt26668975"/>
      <w:r/>
      <w:bookmarkEnd w:id="107"/>
      <w:r/>
      <w:bookmarkStart w:id="108" w:name="_Hlt26670360"/>
      <w:r/>
      <w:bookmarkEnd w:id="108"/>
      <w:r/>
      <w:bookmarkStart w:id="109" w:name="_Hlt26954838"/>
      <w:r/>
      <w:bookmarkEnd w:id="109"/>
      <w:r/>
      <w:bookmarkStart w:id="110" w:name="_Toc14577357"/>
      <w:r/>
      <w:bookmarkStart w:id="111" w:name="_Toc513029219"/>
      <w:r/>
      <w:bookmarkStart w:id="112" w:name="_Toc49090509"/>
      <w:r>
        <w:rPr>
          <w:rFonts w:hint="eastAsia" w:ascii="方正仿宋_GB2312" w:hAnsi="方正仿宋_GB2312" w:eastAsia="方正仿宋_GB2312" w:cs="方正仿宋_GB2312"/>
          <w:b/>
          <w:bCs/>
          <w:color w:val="000000"/>
          <w:sz w:val="28"/>
          <w:szCs w:val="28"/>
          <w:highlight w:val="none"/>
        </w:rPr>
        <w:t xml:space="preserve">11、证明投标人及投标标的符合招标文件规定的文件</w:t>
      </w:r>
      <w:bookmarkEnd w:id="110"/>
      <w:r/>
      <w:bookmarkEnd w:id="111"/>
      <w:r/>
      <w:bookmarkEnd w:id="112"/>
      <w:r>
        <w:rPr>
          <w:rFonts w:hint="eastAsia" w:ascii="方正仿宋_GB2312" w:hAnsi="方正仿宋_GB2312" w:eastAsia="方正仿宋_GB2312" w:cs="方正仿宋_GB2312"/>
          <w:b/>
          <w:bCs/>
          <w:color w:val="000000"/>
          <w:sz w:val="28"/>
          <w:szCs w:val="28"/>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bookmarkEnd w:id="104"/>
      <w:r/>
      <w:bookmarkEnd w:id="105"/>
      <w:r/>
      <w:bookmarkEnd w:id="106"/>
      <w:r/>
      <w:bookmarkStart w:id="113" w:name="_Toc14577355"/>
      <w:r/>
      <w:bookmarkStart w:id="114" w:name="_Toc49090508"/>
      <w:r>
        <w:rPr>
          <w:rFonts w:hint="eastAsia" w:ascii="方正仿宋_GB2312" w:hAnsi="方正仿宋_GB2312" w:eastAsia="方正仿宋_GB2312" w:cs="方正仿宋_GB2312"/>
          <w:color w:val="000000"/>
          <w:sz w:val="24"/>
          <w:szCs w:val="24"/>
          <w:highlight w:val="none"/>
        </w:rPr>
        <w:t xml:space="preserve">    11.1 投标人应按照法律、法规、规章和规范性文件以及招标文件要求提交证明文件，证明其及投标标的符合招标文件规定。</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11.2招标文件对证明文件无明确形式要求的，证明文件可以以文字资料、图纸和数据等形式提交。</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12、投标分项报价</w:t>
      </w:r>
      <w:bookmarkEnd w:id="113"/>
      <w:r/>
      <w:bookmarkStart w:id="115" w:name="_Hlt26670373"/>
      <w:r/>
      <w:bookmarkEnd w:id="115"/>
      <w:r>
        <w:rPr>
          <w:rFonts w:hint="eastAsia" w:ascii="方正仿宋_GB2312" w:hAnsi="方正仿宋_GB2312" w:eastAsia="方正仿宋_GB2312" w:cs="方正仿宋_GB2312"/>
          <w:b/>
          <w:bCs/>
          <w:color w:val="000000"/>
          <w:sz w:val="28"/>
          <w:szCs w:val="28"/>
          <w:highlight w:val="none"/>
        </w:rPr>
        <w:t xml:space="preserve">表</w:t>
      </w:r>
      <w:bookmarkEnd w:id="114"/>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12.1</w:t>
      </w:r>
      <w:r>
        <w:rPr>
          <w:rFonts w:hint="eastAsia" w:ascii="方正仿宋_GB2312" w:hAnsi="方正仿宋_GB2312" w:eastAsia="方正仿宋_GB2312" w:cs="方正仿宋_GB2312"/>
          <w:color w:val="000000"/>
          <w:sz w:val="24"/>
          <w:highlight w:val="none"/>
        </w:rPr>
        <w:t xml:space="preserve"> 投</w:t>
      </w:r>
      <w:bookmarkStart w:id="116" w:name="_Hlt26954840"/>
      <w:r/>
      <w:bookmarkEnd w:id="116"/>
      <w:r>
        <w:rPr>
          <w:rFonts w:hint="eastAsia" w:ascii="方正仿宋_GB2312" w:hAnsi="方正仿宋_GB2312" w:eastAsia="方正仿宋_GB2312" w:cs="方正仿宋_GB2312"/>
          <w:color w:val="000000"/>
          <w:sz w:val="24"/>
          <w:highlight w:val="none"/>
        </w:rPr>
        <w:t xml:space="preserve">标人按照招标文件规定格式填报投标分项报价表</w:t>
      </w:r>
      <w:bookmarkStart w:id="117" w:name="_Hlt26670399"/>
      <w:r/>
      <w:bookmarkEnd w:id="117"/>
      <w:r>
        <w:rPr>
          <w:rFonts w:hint="eastAsia" w:ascii="方正仿宋_GB2312" w:hAnsi="方正仿宋_GB2312" w:eastAsia="方正仿宋_GB2312" w:cs="方正仿宋_GB2312"/>
          <w:color w:val="000000"/>
          <w:sz w:val="24"/>
          <w:highlight w:val="none"/>
        </w:rPr>
        <w:t xml:space="preserve">。</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12.2</w:t>
      </w:r>
      <w:r>
        <w:rPr>
          <w:rFonts w:hint="eastAsia" w:ascii="方正仿宋_GB2312" w:hAnsi="方正仿宋_GB2312" w:eastAsia="方正仿宋_GB2312" w:cs="方正仿宋_GB2312"/>
          <w:bCs/>
          <w:color w:val="000000"/>
          <w:sz w:val="24"/>
          <w:highlight w:val="none"/>
        </w:rPr>
        <w:t xml:space="preserve">投标货币。投标文件中的单价和总价无特殊规定的采用人民币报价，以元为单位标注。</w:t>
      </w:r>
      <w:r>
        <w:rPr>
          <w:rFonts w:hint="eastAsia" w:ascii="方正仿宋_GB2312" w:hAnsi="方正仿宋_GB2312" w:eastAsia="方正仿宋_GB2312" w:cs="方正仿宋_GB2312"/>
          <w:color w:val="000000"/>
          <w:sz w:val="24"/>
          <w:highlight w:val="none"/>
        </w:rPr>
        <w:t xml:space="preserve">招标文件中另有规定的按规定执行。</w:t>
      </w:r>
      <w:r>
        <w:rPr>
          <w:rFonts w:hint="eastAsia" w:ascii="方正仿宋_GB2312" w:hAnsi="方正仿宋_GB2312" w:eastAsia="方正仿宋_GB2312" w:cs="方正仿宋_GB2312"/>
          <w:bCs/>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18" w:name="_Hlt26954846"/>
      <w:r/>
      <w:bookmarkEnd w:id="118"/>
      <w:r/>
      <w:bookmarkStart w:id="119" w:name="_Hlt26670403"/>
      <w:r/>
      <w:bookmarkEnd w:id="119"/>
      <w:r/>
      <w:bookmarkStart w:id="120" w:name="_Hlt26670486"/>
      <w:r/>
      <w:bookmarkEnd w:id="120"/>
      <w:r/>
      <w:bookmarkStart w:id="121" w:name="_Hlt26954844"/>
      <w:r/>
      <w:bookmarkEnd w:id="121"/>
      <w:r/>
      <w:bookmarkStart w:id="122" w:name="_Hlt26954731"/>
      <w:r/>
      <w:bookmarkEnd w:id="122"/>
      <w:r/>
      <w:bookmarkStart w:id="123" w:name="_Hlt26954848"/>
      <w:r/>
      <w:bookmarkEnd w:id="123"/>
      <w:r/>
      <w:bookmarkStart w:id="124" w:name="_Hlt26670425"/>
      <w:r/>
      <w:bookmarkEnd w:id="124"/>
      <w:r/>
      <w:bookmarkStart w:id="125" w:name="_Hlt26668983"/>
      <w:r/>
      <w:bookmarkEnd w:id="125"/>
      <w:r/>
      <w:bookmarkStart w:id="126" w:name="_Hlt26954842"/>
      <w:r/>
      <w:bookmarkEnd w:id="126"/>
      <w:r/>
      <w:bookmarkStart w:id="127" w:name="_Hlt26670482"/>
      <w:r/>
      <w:bookmarkEnd w:id="127"/>
      <w:r>
        <w:rPr>
          <w:rFonts w:hint="eastAsia" w:ascii="方正仿宋_GB2312" w:hAnsi="方正仿宋_GB2312" w:eastAsia="方正仿宋_GB2312" w:cs="方正仿宋_GB2312"/>
          <w:b/>
          <w:bCs/>
          <w:color w:val="000000"/>
          <w:sz w:val="28"/>
          <w:szCs w:val="28"/>
          <w:highlight w:val="none"/>
        </w:rPr>
        <w:t xml:space="preserve">13、技术要求响应及偏离表、商务要求响应及偏离表</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lang w:val="zh-CN"/>
        </w:rPr>
      </w:pPr>
      <w:r>
        <w:rPr>
          <w:rFonts w:hint="eastAsia" w:ascii="方正仿宋_GB2312" w:hAnsi="方正仿宋_GB2312" w:eastAsia="方正仿宋_GB2312" w:cs="方正仿宋_GB2312"/>
          <w:bCs/>
          <w:color w:val="000000"/>
          <w:sz w:val="24"/>
          <w:highlight w:val="none"/>
          <w:lang w:val="zh-CN"/>
        </w:rPr>
        <w:t xml:space="preserve">13.1</w:t>
      </w:r>
      <w:r>
        <w:rPr>
          <w:rFonts w:hint="eastAsia" w:ascii="方正仿宋_GB2312" w:hAnsi="方正仿宋_GB2312" w:eastAsia="方正仿宋_GB2312" w:cs="方正仿宋_GB2312"/>
          <w:color w:val="000000"/>
          <w:sz w:val="24"/>
          <w:highlight w:val="none"/>
          <w:lang w:val="zh-CN"/>
        </w:rPr>
        <w:t xml:space="preserve"> 投标人需对招标文件中的技术要求与商务要求逐项作出响应，</w:t>
      </w:r>
      <w:r>
        <w:rPr>
          <w:rFonts w:hint="eastAsia" w:ascii="方正仿宋_GB2312" w:hAnsi="方正仿宋_GB2312" w:eastAsia="方正仿宋_GB2312" w:cs="方正仿宋_GB2312"/>
          <w:color w:val="000000"/>
          <w:sz w:val="24"/>
          <w:highlight w:val="none"/>
        </w:rPr>
        <w:t xml:space="preserve">如有偏离的，应逐条填列在偏离表中，</w:t>
      </w:r>
      <w:r>
        <w:rPr>
          <w:rFonts w:hint="eastAsia" w:ascii="方正仿宋_GB2312" w:hAnsi="方正仿宋_GB2312" w:eastAsia="方正仿宋_GB2312" w:cs="方正仿宋_GB2312"/>
          <w:color w:val="000000"/>
          <w:sz w:val="24"/>
          <w:highlight w:val="none"/>
          <w:lang w:val="zh-CN"/>
        </w:rPr>
        <w:t xml:space="preserve">并说明偏离情况。</w:t>
      </w:r>
      <w:r>
        <w:rPr>
          <w:rFonts w:hint="eastAsia" w:ascii="方正仿宋_GB2312" w:hAnsi="方正仿宋_GB2312" w:eastAsia="方正仿宋_GB2312" w:cs="方正仿宋_GB2312"/>
          <w:color w:val="000000"/>
          <w:sz w:val="24"/>
          <w:highlight w:val="none"/>
          <w:lang w:val="zh-CN"/>
        </w:rPr>
      </w:r>
      <w:r/>
    </w:p>
    <w:p>
      <w:pPr>
        <w:pStyle w:val="957"/>
        <w:ind w:firstLine="480"/>
        <w:spacing w:line="400" w:lineRule="exact"/>
        <w:rPr>
          <w:rFonts w:hint="eastAsia" w:ascii="方正仿宋_GB2312" w:hAnsi="方正仿宋_GB2312" w:eastAsia="方正仿宋_GB2312" w:cs="方正仿宋_GB2312"/>
          <w:color w:val="000000"/>
          <w:sz w:val="24"/>
          <w:highlight w:val="none"/>
          <w:lang w:val="zh-CN"/>
        </w:rPr>
      </w:pPr>
      <w:r/>
      <w:bookmarkStart w:id="128" w:name="_Toc14577359"/>
      <w:r/>
      <w:bookmarkStart w:id="129" w:name="_Toc49090510"/>
      <w:r>
        <w:rPr>
          <w:rFonts w:hint="eastAsia" w:ascii="方正仿宋_GB2312" w:hAnsi="方正仿宋_GB2312" w:eastAsia="方正仿宋_GB2312" w:cs="方正仿宋_GB2312"/>
          <w:color w:val="000000"/>
          <w:sz w:val="24"/>
          <w:highlight w:val="none"/>
          <w:lang w:val="zh-CN"/>
        </w:rPr>
        <w:t xml:space="preserve">13.2 投标人需按照招标文件要求，在投标文件中提供与技术要求和商务要求相关的证明材料。</w:t>
      </w:r>
      <w:r>
        <w:rPr>
          <w:rFonts w:hint="eastAsia" w:ascii="方正仿宋_GB2312" w:hAnsi="方正仿宋_GB2312" w:eastAsia="方正仿宋_GB2312" w:cs="方正仿宋_GB2312"/>
          <w:color w:val="000000"/>
          <w:sz w:val="24"/>
          <w:highlight w:val="none"/>
          <w:lang w:val="zh-CN"/>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14、投标函和开标一览表</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14.1</w:t>
      </w:r>
      <w:r>
        <w:rPr>
          <w:rFonts w:hint="eastAsia" w:ascii="方正仿宋_GB2312" w:hAnsi="方正仿宋_GB2312" w:eastAsia="方正仿宋_GB2312" w:cs="方正仿宋_GB2312"/>
          <w:color w:val="000000"/>
          <w:sz w:val="24"/>
          <w:highlight w:val="none"/>
        </w:rPr>
        <w:t xml:space="preserve"> 投标人应按照招标文件中提供的格式完整、正确填写投标函、开标一览表。</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highlight w:val="none"/>
        </w:rPr>
        <w:t xml:space="preserve">14.2</w:t>
      </w:r>
      <w:r>
        <w:rPr>
          <w:rFonts w:hint="eastAsia" w:ascii="方正仿宋_GB2312" w:hAnsi="方正仿宋_GB2312" w:eastAsia="方正仿宋_GB2312" w:cs="方正仿宋_GB2312"/>
          <w:color w:val="000000"/>
          <w:sz w:val="24"/>
          <w:highlight w:val="none"/>
        </w:rPr>
        <w:t xml:space="preserve"> 对于采用货币报价的项目，</w:t>
      </w:r>
      <w:r>
        <w:rPr>
          <w:rFonts w:hint="eastAsia" w:ascii="方正仿宋_GB2312" w:hAnsi="方正仿宋_GB2312" w:eastAsia="方正仿宋_GB2312" w:cs="方正仿宋_GB2312"/>
          <w:bCs/>
          <w:color w:val="000000"/>
          <w:sz w:val="24"/>
          <w:highlight w:val="none"/>
        </w:rPr>
        <w:t xml:space="preserve">开标一览表中的投标总报价应与投标分项报价表中的投标总报价一致，如不一致，</w:t>
      </w:r>
      <w:r>
        <w:rPr>
          <w:rFonts w:hint="eastAsia" w:ascii="方正仿宋_GB2312" w:hAnsi="方正仿宋_GB2312" w:eastAsia="方正仿宋_GB2312" w:cs="方正仿宋_GB2312"/>
          <w:color w:val="000000"/>
          <w:sz w:val="24"/>
          <w:szCs w:val="24"/>
          <w:highlight w:val="none"/>
        </w:rPr>
        <w:t xml:space="preserve">不作为无效投标处理</w:t>
      </w:r>
      <w:r>
        <w:rPr>
          <w:rFonts w:hint="eastAsia" w:ascii="方正仿宋_GB2312" w:hAnsi="方正仿宋_GB2312" w:eastAsia="方正仿宋_GB2312" w:cs="方正仿宋_GB2312"/>
          <w:bCs/>
          <w:color w:val="000000"/>
          <w:sz w:val="24"/>
          <w:highlight w:val="none"/>
        </w:rPr>
        <w:t xml:space="preserve">，但评标时按开标一览表中价格为准</w:t>
      </w:r>
      <w:r>
        <w:rPr>
          <w:rFonts w:hint="eastAsia" w:ascii="方正仿宋_GB2312" w:hAnsi="方正仿宋_GB2312" w:eastAsia="方正仿宋_GB2312" w:cs="方正仿宋_GB2312"/>
          <w:b/>
          <w:bCs/>
          <w:color w:val="000000"/>
          <w:sz w:val="24"/>
          <w:highlight w:val="none"/>
        </w:rPr>
        <w:t xml:space="preserve">。</w:t>
      </w:r>
      <w:r>
        <w:rPr>
          <w:rFonts w:hint="eastAsia" w:ascii="方正仿宋_GB2312" w:hAnsi="方正仿宋_GB2312" w:eastAsia="方正仿宋_GB2312" w:cs="方正仿宋_GB2312"/>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End w:id="128"/>
      <w:r/>
      <w:bookmarkEnd w:id="129"/>
      <w:r/>
      <w:bookmarkStart w:id="130" w:name="_Hlt26954734"/>
      <w:r/>
      <w:bookmarkEnd w:id="130"/>
      <w:r/>
      <w:bookmarkStart w:id="131" w:name="_Hlt26670489"/>
      <w:r/>
      <w:bookmarkEnd w:id="131"/>
      <w:r/>
      <w:bookmarkStart w:id="132" w:name="_Hlt26954850"/>
      <w:r/>
      <w:bookmarkEnd w:id="132"/>
      <w:r/>
      <w:bookmarkStart w:id="133" w:name="_Toc49090511"/>
      <w:r/>
      <w:bookmarkStart w:id="134" w:name="_Toc14577360"/>
      <w:r>
        <w:rPr>
          <w:rFonts w:hint="eastAsia" w:ascii="方正仿宋_GB2312" w:hAnsi="方正仿宋_GB2312" w:eastAsia="方正仿宋_GB2312" w:cs="方正仿宋_GB2312"/>
          <w:b/>
          <w:bCs/>
          <w:color w:val="000000"/>
          <w:sz w:val="28"/>
          <w:szCs w:val="28"/>
          <w:highlight w:val="none"/>
        </w:rPr>
        <w:t xml:space="preserve">15、投标有效期</w:t>
      </w:r>
      <w:bookmarkEnd w:id="133"/>
      <w:r/>
      <w:bookmarkEnd w:id="134"/>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15.1</w:t>
      </w:r>
      <w:r>
        <w:rPr>
          <w:rFonts w:hint="eastAsia" w:ascii="方正仿宋_GB2312" w:hAnsi="方正仿宋_GB2312" w:eastAsia="方正仿宋_GB2312" w:cs="方正仿宋_GB2312"/>
          <w:bCs/>
          <w:color w:val="000000"/>
          <w:sz w:val="24"/>
          <w:highlight w:val="none"/>
        </w:rPr>
        <w:t xml:space="preserve"> 投标有效期为采购人规定的开标之日后</w:t>
      </w:r>
      <w:r>
        <w:rPr>
          <w:rFonts w:hint="eastAsia" w:ascii="方正仿宋_GB2312" w:hAnsi="方正仿宋_GB2312" w:eastAsia="方正仿宋_GB2312" w:cs="方正仿宋_GB2312"/>
          <w:b/>
          <w:color w:val="000000"/>
          <w:sz w:val="24"/>
          <w:highlight w:val="none"/>
          <w:u w:val="single"/>
        </w:rPr>
        <w:t xml:space="preserve">六十（60）天</w:t>
      </w:r>
      <w:r>
        <w:rPr>
          <w:rFonts w:hint="eastAsia" w:ascii="方正仿宋_GB2312" w:hAnsi="方正仿宋_GB2312" w:eastAsia="方正仿宋_GB2312" w:cs="方正仿宋_GB2312"/>
          <w:bCs/>
          <w:color w:val="000000"/>
          <w:sz w:val="24"/>
          <w:highlight w:val="none"/>
        </w:rPr>
        <w:t xml:space="preserve">。投标有效期比规定短的将被视为未实质性响应招标文件而予以拒绝。</w:t>
      </w:r>
      <w:r>
        <w:rPr>
          <w:rFonts w:hint="eastAsia" w:ascii="方正仿宋_GB2312" w:hAnsi="方正仿宋_GB2312" w:eastAsia="方正仿宋_GB2312" w:cs="方正仿宋_GB2312"/>
          <w:bCs/>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16、投标有效期的延长</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16.1</w:t>
      </w:r>
      <w:r>
        <w:rPr>
          <w:rFonts w:hint="eastAsia" w:ascii="方正仿宋_GB2312" w:hAnsi="方正仿宋_GB2312" w:eastAsia="方正仿宋_GB2312" w:cs="方正仿宋_GB2312"/>
          <w:bCs/>
          <w:color w:val="000000"/>
          <w:sz w:val="24"/>
          <w:highlight w:val="none"/>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bCs/>
          <w:color w:val="000000"/>
          <w:sz w:val="24"/>
          <w:highlight w:val="none"/>
        </w:rPr>
        <w:t xml:space="preserve">同意延长投标有效期的投标人既不能要求也不允许修改其投标文件</w:t>
      </w:r>
      <w:r>
        <w:rPr>
          <w:rFonts w:hint="eastAsia" w:ascii="方正仿宋_GB2312" w:hAnsi="方正仿宋_GB2312" w:eastAsia="方正仿宋_GB2312" w:cs="方正仿宋_GB2312"/>
          <w:color w:val="000000"/>
          <w:sz w:val="24"/>
          <w:szCs w:val="24"/>
          <w:highlight w:val="none"/>
        </w:rPr>
        <w:t xml:space="preserve">，同时受投标有效期约束的所有权利与义务均延长至新的有效期</w:t>
      </w:r>
      <w:r>
        <w:rPr>
          <w:rFonts w:hint="eastAsia" w:ascii="方正仿宋_GB2312" w:hAnsi="方正仿宋_GB2312" w:eastAsia="方正仿宋_GB2312" w:cs="方正仿宋_GB2312"/>
          <w:bCs/>
          <w:color w:val="000000"/>
          <w:sz w:val="24"/>
          <w:highlight w:val="none"/>
        </w:rPr>
        <w:t xml:space="preserve">。</w:t>
      </w:r>
      <w:r>
        <w:rPr>
          <w:rFonts w:hint="eastAsia" w:ascii="方正仿宋_GB2312" w:hAnsi="方正仿宋_GB2312" w:eastAsia="方正仿宋_GB2312" w:cs="方正仿宋_GB2312"/>
          <w:bCs/>
          <w:color w:val="000000"/>
          <w:sz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135" w:name="_Hlt26954852"/>
      <w:r/>
      <w:bookmarkEnd w:id="135"/>
      <w:r/>
      <w:bookmarkStart w:id="136" w:name="_Hlt26954739"/>
      <w:r/>
      <w:bookmarkEnd w:id="136"/>
      <w:r/>
      <w:bookmarkStart w:id="137" w:name="_Toc16938540"/>
      <w:r/>
      <w:bookmarkStart w:id="138" w:name="_Toc120614217"/>
      <w:r/>
      <w:bookmarkStart w:id="139" w:name="_Toc513029224"/>
      <w:r/>
      <w:bookmarkStart w:id="140" w:name="_Toc20823296"/>
      <w:r>
        <w:rPr>
          <w:rFonts w:hint="eastAsia" w:ascii="方正仿宋_GB2312" w:hAnsi="方正仿宋_GB2312" w:eastAsia="方正仿宋_GB2312" w:cs="方正仿宋_GB2312"/>
          <w:b/>
          <w:bCs/>
          <w:color w:val="000000"/>
          <w:sz w:val="28"/>
          <w:szCs w:val="28"/>
          <w:highlight w:val="none"/>
        </w:rPr>
        <w:t xml:space="preserve">四、投标文件的递交</w:t>
      </w:r>
      <w:bookmarkEnd w:id="137"/>
      <w:r/>
      <w:bookmarkEnd w:id="138"/>
      <w:r/>
      <w:bookmarkEnd w:id="139"/>
      <w:r/>
      <w:bookmarkEnd w:id="140"/>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41" w:name="_Toc20823297"/>
      <w:r/>
      <w:bookmarkStart w:id="142" w:name="_Toc513029225"/>
      <w:r/>
      <w:bookmarkStart w:id="143" w:name="_Toc16938541"/>
      <w:r/>
      <w:bookmarkStart w:id="144" w:name="_Toc462564084"/>
      <w:r>
        <w:rPr>
          <w:rFonts w:hint="eastAsia" w:ascii="方正仿宋_GB2312" w:hAnsi="方正仿宋_GB2312" w:eastAsia="方正仿宋_GB2312" w:cs="方正仿宋_GB2312"/>
          <w:b/>
          <w:bCs/>
          <w:color w:val="000000"/>
          <w:sz w:val="28"/>
          <w:szCs w:val="28"/>
          <w:highlight w:val="none"/>
        </w:rPr>
        <w:t xml:space="preserve">17、投标文件</w:t>
      </w:r>
      <w:bookmarkEnd w:id="141"/>
      <w:r/>
      <w:bookmarkEnd w:id="142"/>
      <w:r/>
      <w:bookmarkEnd w:id="143"/>
      <w:r/>
      <w:bookmarkEnd w:id="144"/>
      <w:r>
        <w:rPr>
          <w:rFonts w:hint="eastAsia" w:ascii="方正仿宋_GB2312" w:hAnsi="方正仿宋_GB2312" w:eastAsia="方正仿宋_GB2312" w:cs="方正仿宋_GB2312"/>
          <w:b/>
          <w:bCs/>
          <w:color w:val="000000"/>
          <w:sz w:val="28"/>
          <w:szCs w:val="28"/>
          <w:highlight w:val="none"/>
        </w:rPr>
        <w:t xml:space="preserve">的递交</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17.1</w:t>
      </w:r>
      <w:r>
        <w:rPr>
          <w:rFonts w:hint="eastAsia" w:ascii="方正仿宋_GB2312" w:hAnsi="方正仿宋_GB2312" w:eastAsia="方正仿宋_GB2312" w:cs="方正仿宋_GB2312"/>
          <w:bCs/>
          <w:color w:val="000000"/>
          <w:sz w:val="24"/>
          <w:highlight w:val="none"/>
        </w:rPr>
        <w:t xml:space="preserve"> 电子投标文件的递交</w:t>
      </w:r>
      <w:r>
        <w:rPr>
          <w:rFonts w:hint="eastAsia" w:ascii="方正仿宋_GB2312" w:hAnsi="方正仿宋_GB2312" w:eastAsia="方正仿宋_GB2312" w:cs="方正仿宋_GB2312"/>
          <w:bCs/>
          <w:color w:val="000000"/>
          <w:sz w:val="24"/>
          <w:highlight w:val="none"/>
        </w:rPr>
      </w:r>
      <w:r/>
    </w:p>
    <w:p>
      <w:pPr>
        <w:pStyle w:val="1077"/>
        <w:ind w:left="525"/>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投标人应当按照《操作指南》规定，在投标截止时间前制作并上传电子投标文件。</w:t>
      </w:r>
      <w:bookmarkStart w:id="145" w:name="_Toc16938542"/>
      <w:r/>
      <w:bookmarkStart w:id="146" w:name="_Toc20823298"/>
      <w:r/>
      <w:bookmarkStart w:id="147" w:name="_Toc513029226"/>
      <w:r>
        <w:rPr>
          <w:rFonts w:hint="eastAsia" w:ascii="方正仿宋_GB2312" w:hAnsi="方正仿宋_GB2312" w:eastAsia="方正仿宋_GB2312" w:cs="方正仿宋_GB2312"/>
          <w:bCs/>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18、投标截止</w:t>
      </w:r>
      <w:bookmarkEnd w:id="145"/>
      <w:r/>
      <w:bookmarkEnd w:id="146"/>
      <w:r/>
      <w:bookmarkEnd w:id="147"/>
      <w:r>
        <w:rPr>
          <w:rFonts w:hint="eastAsia" w:ascii="方正仿宋_GB2312" w:hAnsi="方正仿宋_GB2312" w:eastAsia="方正仿宋_GB2312" w:cs="方正仿宋_GB2312"/>
          <w:b/>
          <w:bCs/>
          <w:color w:val="000000"/>
          <w:sz w:val="28"/>
          <w:szCs w:val="28"/>
          <w:highlight w:val="none"/>
        </w:rPr>
        <w:t xml:space="preserve">时间</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18.1</w:t>
      </w:r>
      <w:r>
        <w:rPr>
          <w:rFonts w:hint="eastAsia" w:ascii="方正仿宋_GB2312" w:hAnsi="方正仿宋_GB2312" w:eastAsia="方正仿宋_GB2312" w:cs="方正仿宋_GB2312"/>
          <w:bCs/>
          <w:color w:val="000000"/>
          <w:sz w:val="24"/>
          <w:highlight w:val="none"/>
        </w:rPr>
        <w:t xml:space="preserve"> 投标人上传电子投标文件的时间不得迟于招标公告中规定的投标截止时间。</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投标人应充分考虑到网络环境、网络带宽等风险因素，如因投标人自身原因造成的电子投标文件上传不成功的按照本招标文件第二章第26.1.2条规定做无效投标处理。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18.2</w:t>
      </w:r>
      <w:r>
        <w:rPr>
          <w:rFonts w:hint="eastAsia" w:ascii="方正仿宋_GB2312" w:hAnsi="方正仿宋_GB2312" w:eastAsia="方正仿宋_GB2312" w:cs="方正仿宋_GB2312"/>
          <w:bCs/>
          <w:color w:val="000000"/>
          <w:sz w:val="24"/>
          <w:highlight w:val="none"/>
        </w:rPr>
        <w:t xml:space="preserve"> 采购人可以按照规定，通过修改招标文件酌情延长投标截止时间，在此情况下，投标人的所有权利和义务以及投标人受制的截止时间均应以延长后新的截止时间为准。</w:t>
      </w:r>
      <w:r>
        <w:rPr>
          <w:rFonts w:hint="eastAsia" w:ascii="方正仿宋_GB2312" w:hAnsi="方正仿宋_GB2312" w:eastAsia="方正仿宋_GB2312" w:cs="方正仿宋_GB2312"/>
          <w:bCs/>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48" w:name="_Toc20823299"/>
      <w:r/>
      <w:bookmarkStart w:id="149" w:name="_Toc513029227"/>
      <w:r/>
      <w:bookmarkStart w:id="150" w:name="_Toc16938543"/>
      <w:r>
        <w:rPr>
          <w:rFonts w:hint="eastAsia" w:ascii="方正仿宋_GB2312" w:hAnsi="方正仿宋_GB2312" w:eastAsia="方正仿宋_GB2312" w:cs="方正仿宋_GB2312"/>
          <w:b/>
          <w:bCs/>
          <w:color w:val="000000"/>
          <w:sz w:val="28"/>
          <w:szCs w:val="28"/>
          <w:highlight w:val="none"/>
        </w:rPr>
        <w:t xml:space="preserve">19、投标文件</w:t>
      </w:r>
      <w:bookmarkEnd w:id="148"/>
      <w:r/>
      <w:bookmarkEnd w:id="149"/>
      <w:r/>
      <w:bookmarkEnd w:id="150"/>
      <w:r>
        <w:rPr>
          <w:rFonts w:hint="eastAsia" w:ascii="方正仿宋_GB2312" w:hAnsi="方正仿宋_GB2312" w:eastAsia="方正仿宋_GB2312" w:cs="方正仿宋_GB2312"/>
          <w:b/>
          <w:bCs/>
          <w:color w:val="000000"/>
          <w:sz w:val="28"/>
          <w:szCs w:val="28"/>
          <w:highlight w:val="none"/>
        </w:rPr>
        <w:t xml:space="preserve">的拒收</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19.1</w:t>
      </w:r>
      <w:r>
        <w:rPr>
          <w:rFonts w:hint="eastAsia" w:ascii="方正仿宋_GB2312" w:hAnsi="方正仿宋_GB2312" w:eastAsia="方正仿宋_GB2312" w:cs="方正仿宋_GB2312"/>
          <w:bCs/>
          <w:color w:val="000000"/>
          <w:sz w:val="24"/>
          <w:highlight w:val="none"/>
        </w:rPr>
        <w:t xml:space="preserve">采购人拒绝接收在其规定的投标截止时间后上传的任何投标文件。</w:t>
      </w:r>
      <w:r>
        <w:rPr>
          <w:rFonts w:hint="eastAsia" w:ascii="方正仿宋_GB2312" w:hAnsi="方正仿宋_GB2312" w:eastAsia="方正仿宋_GB2312" w:cs="方正仿宋_GB2312"/>
          <w:bCs/>
          <w:color w:val="000000"/>
          <w:sz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51" w:name="_Toc16938544"/>
      <w:r/>
      <w:bookmarkStart w:id="152" w:name="_Toc20823300"/>
      <w:r/>
      <w:bookmarkStart w:id="153" w:name="_Toc513029228"/>
      <w:r>
        <w:rPr>
          <w:rFonts w:hint="eastAsia" w:ascii="方正仿宋_GB2312" w:hAnsi="方正仿宋_GB2312" w:eastAsia="方正仿宋_GB2312" w:cs="方正仿宋_GB2312"/>
          <w:b/>
          <w:bCs/>
          <w:color w:val="000000"/>
          <w:sz w:val="28"/>
          <w:szCs w:val="28"/>
          <w:highlight w:val="none"/>
        </w:rPr>
        <w:t xml:space="preserve">20、投标文件的撤回和修改</w:t>
      </w:r>
      <w:bookmarkEnd w:id="151"/>
      <w:r/>
      <w:bookmarkEnd w:id="152"/>
      <w:r/>
      <w:bookmarkEnd w:id="153"/>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20.1 投标文件的撤回</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21.1.1 电子投标文件的撤回</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投标人可在投标截止时间前，撤回其电子投标文件，具体操作方法见《操作指南》。</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21.1.2 投标人撤回电子投标文件，则认为其不再参与本项目投标活动。</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20.2 投标文件的修改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20.2.1投标人可在投标截止时间前，对其电子投标文件进行修改，具体操作方法见《操作指南》。</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20.2.2</w:t>
      </w:r>
      <w:r>
        <w:rPr>
          <w:rFonts w:hint="eastAsia" w:ascii="方正仿宋_GB2312" w:hAnsi="方正仿宋_GB2312" w:eastAsia="方正仿宋_GB2312" w:cs="方正仿宋_GB2312"/>
          <w:bCs/>
          <w:color w:val="000000"/>
          <w:sz w:val="24"/>
          <w:highlight w:val="none"/>
        </w:rPr>
        <w:t xml:space="preserve"> 在投标截止时间之后，投标人不得对其电子投标文件作任何修改。</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20.3</w:t>
      </w:r>
      <w:r>
        <w:rPr>
          <w:rFonts w:hint="eastAsia" w:ascii="方正仿宋_GB2312" w:hAnsi="方正仿宋_GB2312" w:eastAsia="方正仿宋_GB2312" w:cs="方正仿宋_GB2312"/>
          <w:bCs/>
          <w:color w:val="000000"/>
          <w:sz w:val="24"/>
          <w:highlight w:val="none"/>
        </w:rPr>
        <w:t xml:space="preserve"> 在投标截止时间至招标文件中规定的投标有效期满之间的这段时间内，投标人不得撤回其投标。</w:t>
      </w:r>
      <w:r>
        <w:rPr>
          <w:rFonts w:hint="eastAsia" w:ascii="方正仿宋_GB2312" w:hAnsi="方正仿宋_GB2312" w:eastAsia="方正仿宋_GB2312" w:cs="方正仿宋_GB2312"/>
          <w:bCs/>
          <w:color w:val="000000"/>
          <w:sz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154" w:name="_Toc20823301"/>
      <w:r/>
      <w:bookmarkStart w:id="155" w:name="_Toc120614218"/>
      <w:r/>
      <w:bookmarkStart w:id="156" w:name="_Toc16938545"/>
      <w:r/>
      <w:bookmarkStart w:id="157" w:name="_Toc513029229"/>
      <w:r>
        <w:rPr>
          <w:rFonts w:hint="eastAsia" w:ascii="方正仿宋_GB2312" w:hAnsi="方正仿宋_GB2312" w:eastAsia="方正仿宋_GB2312" w:cs="方正仿宋_GB2312"/>
          <w:b/>
          <w:bCs/>
          <w:color w:val="000000"/>
          <w:sz w:val="28"/>
          <w:szCs w:val="28"/>
          <w:highlight w:val="none"/>
        </w:rPr>
        <w:t xml:space="preserve">五、开标与评标</w:t>
      </w:r>
      <w:bookmarkEnd w:id="154"/>
      <w:r/>
      <w:bookmarkEnd w:id="155"/>
      <w:r/>
      <w:bookmarkEnd w:id="156"/>
      <w:r/>
      <w:bookmarkEnd w:id="157"/>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58" w:name="_Toc513029230"/>
      <w:r/>
      <w:bookmarkStart w:id="159" w:name="_Toc20823302"/>
      <w:r/>
      <w:bookmarkStart w:id="160" w:name="_Toc16938546"/>
      <w:r>
        <w:rPr>
          <w:rFonts w:hint="eastAsia" w:ascii="方正仿宋_GB2312" w:hAnsi="方正仿宋_GB2312" w:eastAsia="方正仿宋_GB2312" w:cs="方正仿宋_GB2312"/>
          <w:b/>
          <w:bCs/>
          <w:color w:val="000000"/>
          <w:sz w:val="28"/>
          <w:szCs w:val="28"/>
          <w:highlight w:val="none"/>
        </w:rPr>
        <w:t xml:space="preserve">21、开标</w:t>
      </w:r>
      <w:bookmarkEnd w:id="158"/>
      <w:r/>
      <w:bookmarkEnd w:id="159"/>
      <w:r/>
      <w:bookmarkEnd w:id="160"/>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highlight w:val="none"/>
        </w:rPr>
        <w:t xml:space="preserve">21.1</w:t>
      </w:r>
      <w:r>
        <w:rPr>
          <w:rFonts w:hint="eastAsia" w:ascii="方正仿宋_GB2312" w:hAnsi="方正仿宋_GB2312" w:eastAsia="方正仿宋_GB2312" w:cs="方正仿宋_GB2312"/>
          <w:bCs/>
          <w:color w:val="000000"/>
          <w:sz w:val="24"/>
          <w:highlight w:val="none"/>
        </w:rPr>
        <w:t xml:space="preserve"> 代理机构将在招标公告中规定的时间和地点组织公开开标</w:t>
      </w:r>
      <w:r>
        <w:rPr>
          <w:rFonts w:hint="eastAsia" w:ascii="方正仿宋_GB2312" w:hAnsi="方正仿宋_GB2312" w:eastAsia="方正仿宋_GB2312" w:cs="方正仿宋_GB2312"/>
          <w:color w:val="000000"/>
          <w:sz w:val="24"/>
          <w:szCs w:val="24"/>
          <w:highlight w:val="none"/>
        </w:rPr>
        <w:t xml:space="preserve">。投标人应当按照《操作指南》规定，参加开标活动和在苏采云系统规定的时间内对投标文件进行解密。</w:t>
      </w:r>
      <w:r>
        <w:rPr>
          <w:rFonts w:hint="eastAsia" w:ascii="方正仿宋_GB2312" w:hAnsi="方正仿宋_GB2312" w:eastAsia="方正仿宋_GB2312" w:cs="方正仿宋_GB2312"/>
          <w:color w:val="000000"/>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21.2</w:t>
      </w:r>
      <w:r>
        <w:rPr>
          <w:rFonts w:hint="eastAsia" w:ascii="方正仿宋_GB2312" w:hAnsi="方正仿宋_GB2312" w:eastAsia="方正仿宋_GB2312" w:cs="方正仿宋_GB2312"/>
          <w:color w:val="000000"/>
          <w:sz w:val="24"/>
          <w:szCs w:val="24"/>
          <w:highlight w:val="none"/>
        </w:rPr>
        <w:t xml:space="preserve">开标仪式由代理机构组织。苏采云系统将自动对项目进行开标，并宣布各投标人名称和投标价格。</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highlight w:val="none"/>
        </w:rPr>
        <w:t xml:space="preserve">21.3投标人在开标过程中涉及到的投标文件解密、开标结果确认等工作，应按照《操作指南》规定执行。</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21.4投标人如果对开标过程和开标记录有疑义，应当根据《操作指南》规定提出，如苏采云系统中《开标记录表》宣布后5分钟内未提出的，视同认可开标结果。</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1" w:name="_Toc20823303"/>
      <w:r/>
      <w:bookmarkStart w:id="162" w:name="_Toc16938547"/>
      <w:r/>
      <w:bookmarkStart w:id="163" w:name="_Toc513029231"/>
      <w:r>
        <w:rPr>
          <w:rFonts w:hint="eastAsia" w:ascii="方正仿宋_GB2312" w:hAnsi="方正仿宋_GB2312" w:eastAsia="方正仿宋_GB2312" w:cs="方正仿宋_GB2312"/>
          <w:b/>
          <w:bCs/>
          <w:color w:val="000000"/>
          <w:sz w:val="28"/>
          <w:szCs w:val="28"/>
          <w:highlight w:val="none"/>
        </w:rPr>
        <w:t xml:space="preserve">22、评标委员会</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22.1 开标后，采购人将立即组织评标委员会（以下简称评委会）进行评标。</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22.2 评委会由采购人代表和有关技术、经济等方面的专家组成，且人员构成符合政府采购有关规定。</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22.3评委会独立工作，负责评审所有投标文件并确定中标侯选人。</w:t>
      </w:r>
      <w:r>
        <w:rPr>
          <w:rFonts w:hint="eastAsia" w:ascii="方正仿宋_GB2312" w:hAnsi="方正仿宋_GB2312" w:eastAsia="方正仿宋_GB2312" w:cs="方正仿宋_GB2312"/>
          <w:bCs/>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23、评标过程的保密与公正</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bookmarkEnd w:id="161"/>
      <w:r/>
      <w:bookmarkEnd w:id="162"/>
      <w:r/>
      <w:bookmarkEnd w:id="163"/>
      <w:r>
        <w:rPr>
          <w:rFonts w:hint="eastAsia" w:ascii="方正仿宋_GB2312" w:hAnsi="方正仿宋_GB2312" w:eastAsia="方正仿宋_GB2312" w:cs="方正仿宋_GB2312"/>
          <w:bCs/>
          <w:color w:val="000000"/>
          <w:sz w:val="24"/>
          <w:szCs w:val="24"/>
          <w:highlight w:val="none"/>
        </w:rPr>
        <w:t xml:space="preserve">23.11公开开标后，直至向中标的投标人授予合同时止，凡是与审查、澄清、评价和比较投标的有关资料以及授标建议等，采购人、评委、代理机构均不得向投标人或与评标无关的其他人员透露。</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23.2在评标过程中，投标人不得以任何行为影响评标过程，否则其投标文件将被作为无效投标文件。</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23.3在评标期间，代理机构将设专门人员与投标人联系。</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23.4 代理机构和评标委员会不向未中标的投标人解释未中标原因，也不公布评标过程中的相关细节。</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23.5 采用综合评分法的项目，未中标的投标人可于中标结果公告期限届满之日起通过苏采云系统查看自己的评审得分及排序情况。</w:t>
      </w:r>
      <w:r>
        <w:rPr>
          <w:rFonts w:hint="eastAsia" w:ascii="方正仿宋_GB2312" w:hAnsi="方正仿宋_GB2312" w:eastAsia="方正仿宋_GB2312" w:cs="方正仿宋_GB2312"/>
          <w:b/>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4" w:name="_Toc513029232"/>
      <w:r/>
      <w:bookmarkStart w:id="165" w:name="_Toc16938548"/>
      <w:r/>
      <w:bookmarkStart w:id="166" w:name="_Toc20823304"/>
      <w:r>
        <w:rPr>
          <w:rFonts w:hint="eastAsia" w:ascii="方正仿宋_GB2312" w:hAnsi="方正仿宋_GB2312" w:eastAsia="方正仿宋_GB2312" w:cs="方正仿宋_GB2312"/>
          <w:b/>
          <w:bCs/>
          <w:color w:val="000000"/>
          <w:sz w:val="28"/>
          <w:szCs w:val="28"/>
          <w:highlight w:val="none"/>
        </w:rPr>
        <w:t xml:space="preserve">24、投标文件的澄清</w:t>
      </w:r>
      <w:bookmarkEnd w:id="164"/>
      <w:r/>
      <w:bookmarkEnd w:id="165"/>
      <w:r/>
      <w:bookmarkEnd w:id="166"/>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24.1评标期间，评委会对投标文件中含义不明确、同类问题表述不一致或者有明显文字和计算错误的内容 ，有权要求投标人作出必要的澄清、说明或者补正。</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投标人的澄清、说明或者补正不得超出投标文件的范围或者改变投标文件的实质性内容。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评标委员会并非对每个投标人都做澄清要求。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指南》。</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24.3 接到评委会澄清、说明和补正要求的投标人如未按规定做出澄清、说明和补正，其风险由投标人自行承担。</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67" w:name="_Toc20823305"/>
      <w:r/>
      <w:bookmarkStart w:id="168" w:name="_Toc513029233"/>
      <w:r/>
      <w:bookmarkStart w:id="169" w:name="_Toc16938549"/>
      <w:r>
        <w:rPr>
          <w:rFonts w:hint="eastAsia" w:ascii="方正仿宋_GB2312" w:hAnsi="方正仿宋_GB2312" w:eastAsia="方正仿宋_GB2312" w:cs="方正仿宋_GB2312"/>
          <w:b/>
          <w:bCs/>
          <w:color w:val="000000"/>
          <w:sz w:val="28"/>
          <w:szCs w:val="28"/>
          <w:highlight w:val="none"/>
        </w:rPr>
        <w:t xml:space="preserve">25、对投标文件的初审</w:t>
      </w:r>
      <w:bookmarkEnd w:id="167"/>
      <w:r/>
      <w:bookmarkEnd w:id="168"/>
      <w:r/>
      <w:bookmarkEnd w:id="169"/>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25.1</w:t>
      </w:r>
      <w:r>
        <w:rPr>
          <w:rFonts w:hint="eastAsia" w:ascii="方正仿宋_GB2312" w:hAnsi="方正仿宋_GB2312" w:eastAsia="方正仿宋_GB2312" w:cs="方正仿宋_GB2312"/>
          <w:bCs/>
          <w:color w:val="000000"/>
          <w:sz w:val="24"/>
          <w:highlight w:val="none"/>
        </w:rPr>
        <w:t xml:space="preserve">投标文件初审分为资格审查和符合性审查。</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25.1.1 资格审查：依据法律法规和招标文件的规定，由采购人对投标文件中的资格证明文件进行审查。资格审查的结论，采购人以书面形式向评委会进行反馈。</w:t>
      </w:r>
      <w:r>
        <w:rPr>
          <w:rFonts w:hint="eastAsia" w:ascii="方正仿宋_GB2312" w:hAnsi="方正仿宋_GB2312" w:eastAsia="方正仿宋_GB2312" w:cs="方正仿宋_GB2312"/>
          <w:bCs/>
          <w:color w:val="000000"/>
          <w:sz w:val="24"/>
          <w:highlight w:val="none"/>
        </w:rPr>
      </w:r>
      <w:r/>
    </w:p>
    <w:p>
      <w:pPr>
        <w:pStyle w:val="957"/>
        <w:ind w:firstLine="480"/>
        <w:jc w:val="left"/>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采购人在进行资格性审查的同时，将在“信用中国”网站（www.creditchina.gov.cn）查询投标人的信用记录，以确定投标人是否具备投标资格,查询结果留存并归档。</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25.1.3 未通过资格审查或符合性审查的投标人，评标委员会将在</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highlight w:val="none"/>
        </w:rPr>
        <w:t xml:space="preserve">中告知未通过资格审查或符合性审查的原因，评标结束后，评标委员会将不再告知未通过资格审查和符合性审查的原因。</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25.3如果投标文件实质上没有响应招标文件的要求，评委会将予以拒绝，投标人不得通过修改或撤销不合要求的偏离或保留而使其投标成为实质性响应的投标。</w:t>
      </w:r>
      <w:r>
        <w:rPr>
          <w:rFonts w:hint="eastAsia" w:ascii="方正仿宋_GB2312" w:hAnsi="方正仿宋_GB2312" w:eastAsia="方正仿宋_GB2312" w:cs="方正仿宋_GB2312"/>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25.4</w:t>
      </w:r>
      <w:r>
        <w:rPr>
          <w:rFonts w:hint="eastAsia" w:ascii="方正仿宋_GB2312" w:hAnsi="方正仿宋_GB2312" w:eastAsia="方正仿宋_GB2312" w:cs="方正仿宋_GB2312"/>
          <w:bCs/>
          <w:color w:val="000000"/>
          <w:sz w:val="24"/>
          <w:highlight w:val="none"/>
        </w:rPr>
        <w:t xml:space="preserve">评委会将对确定为实质性响应的投标进行进一步审核，确定其是否有计算上或累加上的算术错误，修正错误的原则如下：</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（1）投标文件中开标一览表内容与投标文件中相应内容不一致的，以开标一览表为准。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（2）大写金额和小写金额不一致的，以大写金额为准。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（3）单价金额小数点或者百分比有明显错位的，以开标一览表的总价为准，并修改单价。</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（4）总价金额与按单价汇总金额不一致的，以单价金额计算结果为准。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同时出现两种以上错误的，按照前款规定的顺序修正。</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color w:val="000000"/>
          <w:sz w:val="24"/>
          <w:highlight w:val="none"/>
        </w:rPr>
        <w:t xml:space="preserve">25.5 </w:t>
      </w:r>
      <w:r>
        <w:rPr>
          <w:rFonts w:hint="eastAsia" w:ascii="方正仿宋_GB2312" w:hAnsi="方正仿宋_GB2312" w:eastAsia="方正仿宋_GB2312" w:cs="方正仿宋_GB2312"/>
          <w:bCs/>
          <w:color w:val="000000"/>
          <w:sz w:val="24"/>
          <w:highlight w:val="none"/>
        </w:rPr>
        <w:t xml:space="preserve">评委会将按上述修正错误的方法调整投标文件中的投标报价，并通过</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bCs/>
          <w:color w:val="000000"/>
          <w:sz w:val="24"/>
          <w:highlight w:val="none"/>
        </w:rPr>
        <w:t xml:space="preserve">告知投标人，调整后的价格应对投标人具有约束力。如果投标人不接受修正后的价格，则其投标将被拒绝。</w:t>
      </w:r>
      <w:r>
        <w:rPr>
          <w:rFonts w:hint="eastAsia" w:ascii="方正仿宋_GB2312" w:hAnsi="方正仿宋_GB2312" w:eastAsia="方正仿宋_GB2312" w:cs="方正仿宋_GB2312"/>
          <w:bCs/>
          <w:color w:val="000000"/>
          <w:sz w:val="24"/>
          <w:highlight w:val="none"/>
        </w:rPr>
      </w:r>
      <w:r/>
    </w:p>
    <w:p>
      <w:pPr>
        <w:pStyle w:val="957"/>
        <w:ind w:firstLine="42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highlight w:val="none"/>
        </w:rPr>
        <w:t xml:space="preserve">25.6评委会将允许修正投标文件中不构成重大偏离的、微小的、非正规的、不一致的或不规则的地方，但这些修改不能影响任何投标人相应的名次排列。</w:t>
      </w:r>
      <w:bookmarkStart w:id="170" w:name="_Toc20823306"/>
      <w:r/>
      <w:bookmarkStart w:id="171" w:name="_Toc16938550"/>
      <w:r/>
      <w:bookmarkStart w:id="172" w:name="_Toc513029234"/>
      <w:r>
        <w:rPr>
          <w:rFonts w:hint="eastAsia" w:ascii="方正仿宋_GB2312" w:hAnsi="方正仿宋_GB2312" w:eastAsia="方正仿宋_GB2312" w:cs="方正仿宋_GB2312"/>
          <w:color w:val="000000"/>
          <w:sz w:val="24"/>
          <w:szCs w:val="21"/>
          <w:highlight w:val="none"/>
        </w:rPr>
      </w:r>
      <w:r/>
    </w:p>
    <w:p>
      <w:pPr>
        <w:pStyle w:val="957"/>
        <w:ind w:firstLine="420"/>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25.7投标人在开、评标全过程中应保持通讯畅通，及时登录</w:t>
      </w:r>
      <w:r>
        <w:rPr>
          <w:rFonts w:hint="eastAsia" w:ascii="方正仿宋_GB2312" w:hAnsi="方正仿宋_GB2312" w:eastAsia="方正仿宋_GB2312" w:cs="方正仿宋_GB2312"/>
          <w:color w:val="000000"/>
          <w:sz w:val="24"/>
          <w:szCs w:val="24"/>
          <w:highlight w:val="none"/>
        </w:rPr>
        <w:t xml:space="preserve">苏采云系统</w:t>
      </w:r>
      <w:r>
        <w:rPr>
          <w:rFonts w:hint="eastAsia" w:ascii="方正仿宋_GB2312" w:hAnsi="方正仿宋_GB2312" w:eastAsia="方正仿宋_GB2312" w:cs="方正仿宋_GB2312"/>
          <w:color w:val="000000"/>
          <w:sz w:val="24"/>
          <w:highlight w:val="none"/>
        </w:rPr>
        <w:t xml:space="preserve">查阅、答复相关信息，并安排专人与代理机构及评标委员会联系。</w:t>
      </w:r>
      <w:r>
        <w:rPr>
          <w:rFonts w:hint="eastAsia" w:ascii="方正仿宋_GB2312" w:hAnsi="方正仿宋_GB2312" w:eastAsia="方正仿宋_GB2312" w:cs="方正仿宋_GB2312"/>
          <w:color w:val="000000"/>
          <w:sz w:val="24"/>
          <w:highlight w:val="none"/>
        </w:rPr>
      </w:r>
      <w:r/>
    </w:p>
    <w:p>
      <w:pPr>
        <w:pStyle w:val="961"/>
        <w:ind w:firstLine="482"/>
        <w:spacing w:before="0" w:after="0" w:line="400" w:lineRule="exact"/>
        <w:rPr>
          <w:rFonts w:hint="eastAsia" w:ascii="方正仿宋_GB2312" w:hAnsi="方正仿宋_GB2312" w:eastAsia="方正仿宋_GB2312" w:cs="方正仿宋_GB2312"/>
          <w:color w:val="000000"/>
          <w:sz w:val="24"/>
          <w:szCs w:val="22"/>
          <w:highlight w:val="none"/>
        </w:rPr>
      </w:pPr>
      <w:r>
        <w:rPr>
          <w:rFonts w:hint="eastAsia" w:ascii="方正仿宋_GB2312" w:hAnsi="方正仿宋_GB2312" w:eastAsia="方正仿宋_GB2312" w:cs="方正仿宋_GB2312"/>
          <w:color w:val="000000"/>
          <w:sz w:val="24"/>
          <w:szCs w:val="22"/>
          <w:highlight w:val="none"/>
        </w:rPr>
        <w:t xml:space="preserve">25.8异常低价审查</w:t>
      </w:r>
      <w:r>
        <w:rPr>
          <w:rFonts w:hint="eastAsia" w:ascii="方正仿宋_GB2312" w:hAnsi="方正仿宋_GB2312" w:eastAsia="方正仿宋_GB2312" w:cs="方正仿宋_GB2312"/>
          <w:color w:val="000000"/>
          <w:sz w:val="24"/>
          <w:szCs w:val="22"/>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25.8.1评标过程中出现下列情形之一的，评标小组应当启动异常低价投标审查程序：</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（3）投标（响应）报价低于采购项目最高限价45%的，即投标（响应）报价&lt;采购项目最高限价×45%；</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（4）评标小组基于专业判断，认为供应商报价过低，有可能影响产品质量或者不能诚信履约的其他情形。</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25.8.2 评标小组启动异常低价投标（响应）审查后，属于前述第1项至第4项情形的，应当要求相关供应商通过“苏采云”系统在30分钟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评标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小组应当将其作为无效投标（响应）处理。</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采购人、采购代理机构应当为评标小组在评审现场及时获取同类项目中标（成交）价格、类似产品市场价格水平、行业人工费用标准、国家有关部门指导行业协会发布的行业平均成本等相关信息资料提供便利。评标小组借助互联网等渠道查询相关信息的，应当严格遵守评审工作纪律，不得实施影响评审公正的行为。</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异常低价投标（响应）审查的启动原因、审查意见和审查结果应当在评审报告中记录，并随供应商提供的相关书面说明及证明材料，以及评标小组有关互联网浏览、查询历史一并归档。</w:t>
      </w:r>
      <w:r>
        <w:rPr>
          <w:rFonts w:hint="eastAsia" w:ascii="方正仿宋_GB2312" w:hAnsi="方正仿宋_GB2312" w:eastAsia="方正仿宋_GB2312" w:cs="方正仿宋_GB2312"/>
          <w:b/>
          <w:bCs/>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26、</w:t>
      </w:r>
      <w:bookmarkEnd w:id="170"/>
      <w:r/>
      <w:bookmarkEnd w:id="171"/>
      <w:r/>
      <w:bookmarkEnd w:id="172"/>
      <w:r>
        <w:rPr>
          <w:rFonts w:hint="eastAsia" w:ascii="方正仿宋_GB2312" w:hAnsi="方正仿宋_GB2312" w:eastAsia="方正仿宋_GB2312" w:cs="方正仿宋_GB2312"/>
          <w:b/>
          <w:bCs/>
          <w:color w:val="000000"/>
          <w:sz w:val="28"/>
          <w:szCs w:val="28"/>
          <w:highlight w:val="none"/>
        </w:rPr>
        <w:t xml:space="preserve">无效投标条款和废标条款</w:t>
      </w:r>
      <w:r>
        <w:rPr>
          <w:rFonts w:hint="eastAsia" w:ascii="方正仿宋_GB2312" w:hAnsi="方正仿宋_GB2312" w:eastAsia="方正仿宋_GB2312" w:cs="方正仿宋_GB2312"/>
          <w:b/>
          <w:bCs/>
          <w:color w:val="000000"/>
          <w:sz w:val="28"/>
          <w:szCs w:val="28"/>
          <w:highlight w:val="none"/>
        </w:rPr>
      </w:r>
      <w:r/>
    </w:p>
    <w:p>
      <w:pPr>
        <w:pStyle w:val="957"/>
        <w:ind w:left="479"/>
        <w:spacing w:line="400" w:lineRule="exact"/>
        <w:rPr>
          <w:rFonts w:hint="eastAsia" w:ascii="方正仿宋_GB2312" w:hAnsi="方正仿宋_GB2312" w:eastAsia="方正仿宋_GB2312" w:cs="方正仿宋_GB2312"/>
          <w:b/>
          <w:color w:val="000000"/>
          <w:sz w:val="24"/>
          <w:highlight w:val="none"/>
        </w:rPr>
      </w:pPr>
      <w:r/>
      <w:bookmarkStart w:id="173" w:name="_Toc20823307"/>
      <w:r/>
      <w:bookmarkStart w:id="174" w:name="_Toc513029235"/>
      <w:r/>
      <w:bookmarkStart w:id="175" w:name="_Toc16938551"/>
      <w:r>
        <w:rPr>
          <w:rFonts w:hint="eastAsia" w:ascii="方正仿宋_GB2312" w:hAnsi="方正仿宋_GB2312" w:eastAsia="方正仿宋_GB2312" w:cs="方正仿宋_GB2312"/>
          <w:b/>
          <w:color w:val="000000"/>
          <w:sz w:val="24"/>
          <w:highlight w:val="none"/>
        </w:rPr>
        <w:t xml:space="preserve">26.1无效投标条款</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highlight w:val="none"/>
        </w:rPr>
        <w:t xml:space="preserve">26</w:t>
      </w:r>
      <w:r>
        <w:rPr>
          <w:rFonts w:hint="eastAsia" w:ascii="方正仿宋_GB2312" w:hAnsi="方正仿宋_GB2312" w:eastAsia="方正仿宋_GB2312" w:cs="方正仿宋_GB2312"/>
          <w:b/>
          <w:color w:val="000000"/>
          <w:sz w:val="24"/>
          <w:szCs w:val="24"/>
          <w:highlight w:val="none"/>
        </w:rPr>
        <w:t xml:space="preserve">.1.1 投标人在苏采云系统规定的时间内未成功解密电子投标文件的。</w:t>
      </w:r>
      <w:r>
        <w:rPr>
          <w:rFonts w:hint="eastAsia" w:ascii="方正仿宋_GB2312" w:hAnsi="方正仿宋_GB2312" w:eastAsia="方正仿宋_GB2312" w:cs="方正仿宋_GB2312"/>
          <w:b/>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26.1.2 投标人未按照招标文件要求上传电子投标文件的。</w:t>
      </w:r>
      <w:r>
        <w:rPr>
          <w:rFonts w:hint="eastAsia" w:ascii="方正仿宋_GB2312" w:hAnsi="方正仿宋_GB2312" w:eastAsia="方正仿宋_GB2312" w:cs="方正仿宋_GB2312"/>
          <w:b/>
          <w:color w:val="000000"/>
          <w:sz w:val="24"/>
          <w:highlight w:val="none"/>
        </w:rPr>
      </w:r>
      <w:r/>
    </w:p>
    <w:p>
      <w:pPr>
        <w:pStyle w:val="957"/>
        <w:ind w:left="479"/>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26.1.3 投标人同一分包提交两个（含两个）以上不同的投标报价的。</w:t>
      </w:r>
      <w:r>
        <w:rPr>
          <w:rFonts w:hint="eastAsia" w:ascii="方正仿宋_GB2312" w:hAnsi="方正仿宋_GB2312" w:eastAsia="方正仿宋_GB2312" w:cs="方正仿宋_GB2312"/>
          <w:b/>
          <w:color w:val="000000"/>
          <w:sz w:val="24"/>
          <w:highlight w:val="none"/>
        </w:rPr>
      </w:r>
      <w:r/>
    </w:p>
    <w:p>
      <w:pPr>
        <w:pStyle w:val="957"/>
        <w:ind w:left="479"/>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26.1.4投标人不具备招标文件中规定资格要求的。</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26.1.5投标人的报价超过了采购预算或最高限价的。</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i/>
          <w:color w:val="000000"/>
          <w:sz w:val="24"/>
          <w:highlight w:val="none"/>
          <w:u w:val="single"/>
        </w:rPr>
      </w:pPr>
      <w:r>
        <w:rPr>
          <w:rFonts w:hint="eastAsia" w:ascii="方正仿宋_GB2312" w:hAnsi="方正仿宋_GB2312" w:eastAsia="方正仿宋_GB2312" w:cs="方正仿宋_GB2312"/>
          <w:b/>
          <w:color w:val="000000"/>
          <w:sz w:val="24"/>
          <w:highlight w:val="none"/>
        </w:rPr>
        <w:t xml:space="preserve">26.1.6未通过符合性审查的。</w:t>
      </w:r>
      <w:r>
        <w:rPr>
          <w:rFonts w:hint="eastAsia" w:ascii="方正仿宋_GB2312" w:hAnsi="方正仿宋_GB2312" w:eastAsia="方正仿宋_GB2312" w:cs="方正仿宋_GB2312"/>
          <w:b/>
          <w:i/>
          <w:color w:val="000000"/>
          <w:sz w:val="24"/>
          <w:highlight w:val="none"/>
          <w:u w:val="single"/>
        </w:rPr>
      </w:r>
      <w:r/>
    </w:p>
    <w:p>
      <w:pPr>
        <w:pStyle w:val="957"/>
        <w:ind w:firstLine="361"/>
        <w:spacing w:line="400" w:lineRule="exact"/>
        <w:rPr>
          <w:rFonts w:hint="eastAsia" w:ascii="方正仿宋_GB2312" w:hAnsi="方正仿宋_GB2312" w:eastAsia="方正仿宋_GB2312" w:cs="方正仿宋_GB2312"/>
          <w:b/>
          <w:i/>
          <w:color w:val="000000"/>
          <w:sz w:val="24"/>
          <w:highlight w:val="none"/>
          <w:u w:val="single"/>
        </w:rPr>
      </w:pPr>
      <w:r>
        <w:rPr>
          <w:rFonts w:hint="eastAsia" w:ascii="方正仿宋_GB2312" w:hAnsi="方正仿宋_GB2312" w:eastAsia="方正仿宋_GB2312" w:cs="方正仿宋_GB2312"/>
          <w:b/>
          <w:color w:val="000000"/>
          <w:sz w:val="24"/>
          <w:highlight w:val="none"/>
        </w:rPr>
        <w:t xml:space="preserve"> 26.1.7不符合招标文件中规定的实质性要求的。</w:t>
      </w:r>
      <w:r>
        <w:rPr>
          <w:rFonts w:hint="eastAsia" w:ascii="方正仿宋_GB2312" w:hAnsi="方正仿宋_GB2312" w:eastAsia="方正仿宋_GB2312" w:cs="方正仿宋_GB2312"/>
          <w:b/>
          <w:i/>
          <w:color w:val="000000"/>
          <w:sz w:val="24"/>
          <w:highlight w:val="none"/>
          <w:u w:val="singl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26.1.9 投标文件含有采购人不能接受的附加条件的。</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26.1.10评标委员会认为投标人的报价明显低于其他通过符合性审查投标人的报价，有可能影响产品质量或者不能诚信履约的，将通过</w:t>
      </w:r>
      <w:r>
        <w:rPr>
          <w:rFonts w:hint="eastAsia" w:ascii="方正仿宋_GB2312" w:hAnsi="方正仿宋_GB2312" w:eastAsia="方正仿宋_GB2312" w:cs="方正仿宋_GB2312"/>
          <w:b/>
          <w:color w:val="000000"/>
          <w:sz w:val="24"/>
          <w:szCs w:val="24"/>
          <w:highlight w:val="none"/>
        </w:rPr>
        <w:t xml:space="preserve">苏采云系统</w:t>
      </w:r>
      <w:r>
        <w:rPr>
          <w:rFonts w:hint="eastAsia" w:ascii="方正仿宋_GB2312" w:hAnsi="方正仿宋_GB2312" w:eastAsia="方正仿宋_GB2312" w:cs="方正仿宋_GB2312"/>
          <w:b/>
          <w:color w:val="000000"/>
          <w:sz w:val="24"/>
          <w:highlight w:val="none"/>
        </w:rPr>
        <w:t xml:space="preserve">要求其在合理的时间内提供说明，必要时提交相关证明材料；投标人不能证明其报价合理性的，评标委员会应当将其作为无效投标处理。</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26.1.11 投标文件未按照招标文件要求加盖CA电子公章的。</w:t>
      </w:r>
      <w:r>
        <w:rPr>
          <w:rFonts w:hint="eastAsia" w:ascii="方正仿宋_GB2312" w:hAnsi="方正仿宋_GB2312" w:eastAsia="方正仿宋_GB2312" w:cs="方正仿宋_GB2312"/>
          <w:b/>
          <w:color w:val="000000"/>
          <w:sz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highlight w:val="none"/>
        </w:rPr>
        <w:t xml:space="preserve">26.1.12</w:t>
      </w:r>
      <w:r>
        <w:rPr>
          <w:rFonts w:hint="eastAsia" w:ascii="方正仿宋_GB2312" w:hAnsi="方正仿宋_GB2312" w:eastAsia="方正仿宋_GB2312" w:cs="方正仿宋_GB2312"/>
          <w:b/>
          <w:color w:val="000000"/>
          <w:sz w:val="24"/>
          <w:szCs w:val="21"/>
          <w:highlight w:val="none"/>
        </w:rPr>
        <w:t xml:space="preserve">供应商所投标产品不符合采购文件中所列国家强制性标准的。</w:t>
      </w:r>
      <w:r>
        <w:rPr>
          <w:rFonts w:hint="eastAsia" w:ascii="方正仿宋_GB2312" w:hAnsi="方正仿宋_GB2312" w:eastAsia="方正仿宋_GB2312" w:cs="方正仿宋_GB2312"/>
          <w:b/>
          <w:color w:val="000000"/>
          <w:sz w:val="24"/>
          <w:szCs w:val="21"/>
          <w:highlight w:val="none"/>
        </w:rPr>
      </w:r>
      <w:r/>
    </w:p>
    <w:p>
      <w:pPr>
        <w:pStyle w:val="957"/>
        <w:ind w:firstLine="482"/>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4"/>
          <w:highlight w:val="none"/>
        </w:rPr>
        <w:t xml:space="preserve">26.1.13不同供应商的响应文件经系统查询Mac地址或标书制作工具客户端标识码一致的（并移送政府采购监管部门进行处理）。</w:t>
      </w:r>
      <w:r>
        <w:rPr>
          <w:rFonts w:hint="eastAsia" w:ascii="方正仿宋_GB2312" w:hAnsi="方正仿宋_GB2312" w:eastAsia="方正仿宋_GB2312" w:cs="方正仿宋_GB2312"/>
          <w:b/>
          <w:color w:val="000000"/>
          <w:sz w:val="24"/>
          <w:szCs w:val="21"/>
          <w:highlight w:val="none"/>
        </w:rPr>
      </w:r>
      <w:r/>
    </w:p>
    <w:p>
      <w:pPr>
        <w:pStyle w:val="957"/>
        <w:ind w:firstLine="482"/>
        <w:spacing w:line="400" w:lineRule="exact"/>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t xml:space="preserve">26.1.14其他法律、法规及本招标文件规定的属无效投标的情形。</w:t>
      </w:r>
      <w:r>
        <w:rPr>
          <w:rFonts w:hint="eastAsia" w:ascii="方正仿宋_GB2312" w:hAnsi="方正仿宋_GB2312" w:eastAsia="方正仿宋_GB2312" w:cs="方正仿宋_GB2312"/>
          <w:b/>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26.2废标条款</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26.2.1符合专业条件的投标人或者对招标文件作实质响应的投标人不足三家的。</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26.2.2出现影响采购公正的违法、违规行为的。</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26.2.3因重大变故，采购任务取消的。</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26.2.4评标委员会认定招标文件存在歧义、重大缺陷导致评审工作无法进行。</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26.2.5 因</w:t>
      </w:r>
      <w:r>
        <w:rPr>
          <w:rFonts w:hint="eastAsia" w:ascii="方正仿宋_GB2312" w:hAnsi="方正仿宋_GB2312" w:eastAsia="方正仿宋_GB2312" w:cs="方正仿宋_GB2312"/>
          <w:color w:val="000000"/>
          <w:sz w:val="24"/>
          <w:szCs w:val="24"/>
          <w:highlight w:val="none"/>
        </w:rPr>
        <w:t xml:space="preserve">苏采云</w:t>
      </w:r>
      <w:r>
        <w:rPr>
          <w:rFonts w:hint="eastAsia" w:ascii="方正仿宋_GB2312" w:hAnsi="方正仿宋_GB2312" w:eastAsia="方正仿宋_GB2312" w:cs="方正仿宋_GB2312"/>
          <w:bCs/>
          <w:color w:val="000000"/>
          <w:sz w:val="24"/>
          <w:highlight w:val="none"/>
        </w:rPr>
        <w:t xml:space="preserve">系统故障原因造成开标不成功的。</w:t>
      </w:r>
      <w:r>
        <w:rPr>
          <w:rFonts w:hint="eastAsia" w:ascii="方正仿宋_GB2312" w:hAnsi="方正仿宋_GB2312" w:eastAsia="方正仿宋_GB2312" w:cs="方正仿宋_GB2312"/>
          <w:bCs/>
          <w:color w:val="000000"/>
          <w:sz w:val="24"/>
          <w:highlight w:val="none"/>
        </w:rPr>
      </w:r>
      <w:r/>
    </w:p>
    <w:p>
      <w:pPr>
        <w:pStyle w:val="957"/>
        <w:ind w:left="479"/>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26.3 投标截止时间结束后参加投标的供应商不足三家的处理：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26.3.1如出现投标截止时间结束后参加投标的供应商或者在评标期间对招标文件做出实质响应的供应商不足三家情况，按政府采购相关规定执行。</w:t>
      </w:r>
      <w:r>
        <w:rPr>
          <w:rFonts w:hint="eastAsia" w:ascii="方正仿宋_GB2312" w:hAnsi="方正仿宋_GB2312" w:eastAsia="方正仿宋_GB2312" w:cs="方正仿宋_GB2312"/>
          <w:bCs/>
          <w:color w:val="000000"/>
          <w:sz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176" w:name="_Toc120614219"/>
      <w:r>
        <w:rPr>
          <w:rFonts w:hint="eastAsia" w:ascii="方正仿宋_GB2312" w:hAnsi="方正仿宋_GB2312" w:eastAsia="方正仿宋_GB2312" w:cs="方正仿宋_GB2312"/>
          <w:b/>
          <w:bCs/>
          <w:color w:val="000000"/>
          <w:sz w:val="28"/>
          <w:szCs w:val="28"/>
          <w:highlight w:val="none"/>
        </w:rPr>
        <w:t xml:space="preserve">六、</w:t>
      </w:r>
      <w:bookmarkEnd w:id="173"/>
      <w:r/>
      <w:bookmarkEnd w:id="174"/>
      <w:r/>
      <w:bookmarkEnd w:id="175"/>
      <w:r>
        <w:rPr>
          <w:rFonts w:hint="eastAsia" w:ascii="方正仿宋_GB2312" w:hAnsi="方正仿宋_GB2312" w:eastAsia="方正仿宋_GB2312" w:cs="方正仿宋_GB2312"/>
          <w:b/>
          <w:bCs/>
          <w:color w:val="000000"/>
          <w:sz w:val="28"/>
          <w:szCs w:val="28"/>
          <w:highlight w:val="none"/>
        </w:rPr>
        <w:t xml:space="preserve">定标</w:t>
      </w:r>
      <w:bookmarkEnd w:id="176"/>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Start w:id="177" w:name="_Toc513029238"/>
      <w:r/>
      <w:bookmarkStart w:id="178" w:name="_Toc16938554"/>
      <w:r/>
      <w:bookmarkStart w:id="179" w:name="_Toc20823310"/>
      <w:r>
        <w:rPr>
          <w:rFonts w:hint="eastAsia" w:ascii="方正仿宋_GB2312" w:hAnsi="方正仿宋_GB2312" w:eastAsia="方正仿宋_GB2312" w:cs="方正仿宋_GB2312"/>
          <w:b/>
          <w:bCs/>
          <w:color w:val="000000"/>
          <w:sz w:val="28"/>
          <w:szCs w:val="28"/>
          <w:highlight w:val="none"/>
        </w:rPr>
        <w:t xml:space="preserve">27、</w:t>
      </w:r>
      <w:bookmarkEnd w:id="177"/>
      <w:r>
        <w:rPr>
          <w:rFonts w:hint="eastAsia" w:ascii="方正仿宋_GB2312" w:hAnsi="方正仿宋_GB2312" w:eastAsia="方正仿宋_GB2312" w:cs="方正仿宋_GB2312"/>
          <w:b/>
          <w:bCs/>
          <w:color w:val="000000"/>
          <w:sz w:val="28"/>
          <w:szCs w:val="28"/>
          <w:highlight w:val="none"/>
        </w:rPr>
        <w:t xml:space="preserve">确定</w:t>
      </w:r>
      <w:bookmarkEnd w:id="178"/>
      <w:r/>
      <w:bookmarkEnd w:id="179"/>
      <w:r>
        <w:rPr>
          <w:rFonts w:hint="eastAsia" w:ascii="方正仿宋_GB2312" w:hAnsi="方正仿宋_GB2312" w:eastAsia="方正仿宋_GB2312" w:cs="方正仿宋_GB2312"/>
          <w:b/>
          <w:bCs/>
          <w:color w:val="000000"/>
          <w:sz w:val="28"/>
          <w:szCs w:val="28"/>
          <w:highlight w:val="none"/>
        </w:rPr>
        <w:t xml:space="preserve">中标单位</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27.1中标候选人的选取原则和数量见招标文件第五章规定。</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highlight w:val="none"/>
        </w:rPr>
      </w:pPr>
      <w:r>
        <w:rPr>
          <w:rFonts w:hint="eastAsia" w:ascii="方正仿宋_GB2312" w:hAnsi="方正仿宋_GB2312" w:eastAsia="方正仿宋_GB2312" w:cs="方正仿宋_GB2312"/>
          <w:bCs/>
          <w:color w:val="000000"/>
          <w:sz w:val="24"/>
          <w:highlight w:val="none"/>
        </w:rPr>
        <w:t xml:space="preserve">27.2 采购人在评标报告确定的中标候选人名单中按顺序确定中标人。采购人应根据评委会推荐的中标候选人确定中标供应商。</w:t>
      </w:r>
      <w:r>
        <w:rPr>
          <w:rFonts w:hint="eastAsia" w:ascii="方正仿宋_GB2312" w:hAnsi="方正仿宋_GB2312" w:eastAsia="方正仿宋_GB2312" w:cs="方正仿宋_GB2312"/>
          <w:bCs/>
          <w:color w:val="000000"/>
          <w:sz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27.3 </w:t>
      </w:r>
      <w:r>
        <w:rPr>
          <w:rFonts w:hint="eastAsia" w:ascii="方正仿宋_GB2312" w:hAnsi="方正仿宋_GB2312" w:eastAsia="方正仿宋_GB2312" w:cs="方正仿宋_GB2312"/>
          <w:color w:val="000000"/>
          <w:sz w:val="24"/>
          <w:szCs w:val="24"/>
          <w:highlight w:val="none"/>
        </w:rPr>
        <w:t xml:space="preserve">代理机构将在“江苏政府采购网”发布中标公告，公告期限为1个工作日。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  若有充分证据证明，中标人出现下列情况之一的，一经查实，将被取消中标资格：</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27.4.1提供虚假材料谋取中标的。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27.4.2向采购人、代理机构行贿或者提供其他不正当利益的。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27.4.3 属于本文件规定的无效条件，但在评标过程中又未被评委会发现的。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27.4.4与采购人或者其他供应商恶意串通的。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27.4.5采取不正当手段诋毁、排挤其他供应商的。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bookmarkStart w:id="180" w:name="_Toc200451960"/>
      <w:r>
        <w:rPr>
          <w:rFonts w:hint="eastAsia" w:ascii="方正仿宋_GB2312" w:hAnsi="方正仿宋_GB2312" w:eastAsia="方正仿宋_GB2312" w:cs="方正仿宋_GB2312"/>
          <w:color w:val="000000"/>
          <w:sz w:val="24"/>
          <w:szCs w:val="24"/>
          <w:highlight w:val="none"/>
        </w:rPr>
        <w:t xml:space="preserve">27.5 </w:t>
      </w:r>
      <w:r>
        <w:rPr>
          <w:rFonts w:hint="eastAsia" w:ascii="方正仿宋_GB2312" w:hAnsi="方正仿宋_GB2312" w:eastAsia="方正仿宋_GB2312" w:cs="方正仿宋_GB2312"/>
          <w:color w:val="000000"/>
          <w:sz w:val="24"/>
          <w:szCs w:val="24"/>
          <w:highlight w:val="none"/>
        </w:rPr>
        <w:t xml:space="preserve">有下列情形之一的，视为投标人串通投标，投标无效：</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27.5.1不同投标人的投标文件由同一单位或者个人编制。</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27.5.2不同投标人委托同一单位或者个人办理投标事宜。</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27.5.3 不同投标人的投标文件载明的项目管理成员或者联系人员为同一人。</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27.5.4不同投标人的投标文件异常一致或者投标报价呈规律性差异。</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28、质疑处理</w:t>
      </w:r>
      <w:bookmarkEnd w:id="180"/>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28.1 提出质疑的供应商应当是参与所质疑项目采购活动的供应商。潜在供应商依法获取其可质疑的采购文件的，可以对采购文件提出质疑。</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供应商认为采购文件、采购过程和采购结果使自己的权益受到损害的，可以在知道或应知其权益受到损害之日起七个工作日内，以书面形式根据下述28.4条款的规定向采购人或代理机构提出质疑。上述应知其权益受到损害之日，是指：</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28.2.1</w:t>
      </w:r>
      <w:r>
        <w:rPr>
          <w:rFonts w:hint="eastAsia" w:ascii="方正仿宋_GB2312" w:hAnsi="方正仿宋_GB2312" w:eastAsia="方正仿宋_GB2312" w:cs="方正仿宋_GB2312"/>
          <w:color w:val="000000"/>
          <w:sz w:val="24"/>
          <w:szCs w:val="24"/>
          <w:highlight w:val="none"/>
        </w:rPr>
        <w:t xml:space="preserve">对可以质疑的采购文件提出质疑的，为收到采购文件之日或者采购文件公告期限届满之日；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28.2.2</w:t>
      </w:r>
      <w:r>
        <w:rPr>
          <w:rFonts w:hint="eastAsia" w:ascii="方正仿宋_GB2312" w:hAnsi="方正仿宋_GB2312" w:eastAsia="方正仿宋_GB2312" w:cs="方正仿宋_GB2312"/>
          <w:color w:val="000000"/>
          <w:sz w:val="24"/>
          <w:szCs w:val="24"/>
          <w:highlight w:val="none"/>
        </w:rPr>
        <w:t xml:space="preserve">对采购过程提出质疑的，为各采购程序环节结束之日；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28.2.3</w:t>
      </w:r>
      <w:r>
        <w:rPr>
          <w:rFonts w:hint="eastAsia" w:ascii="方正仿宋_GB2312" w:hAnsi="方正仿宋_GB2312" w:eastAsia="方正仿宋_GB2312" w:cs="方正仿宋_GB2312"/>
          <w:color w:val="000000"/>
          <w:sz w:val="24"/>
          <w:szCs w:val="24"/>
          <w:highlight w:val="none"/>
        </w:rPr>
        <w:t xml:space="preserve">对中标或者成交结果提出质疑的，为中标或者成交结果公告期限届满之日。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供应商应当在法定质疑期内一次性提出针对同一采购程序环节的质疑。供应商如在法定期限内对同一采购程序环节提出多次质疑的，采购人、代理机构将只对供应商第一次质疑作出答复。</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28.3质疑函必须按照本招标文件中《质疑函范本》（附件13）要求的格式和内容进行填写。供应商如组成联合体参加投标，则《质疑函范本》中要求签字、盖章、加盖公章之处，联合体各方均须按要求签字、盖章、加盖公章。</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28.4投标人（含潜在投标人）对采购方式、招标文件中采购需求、供应商资格条件、评标方法和评标标准、合同文本及资格审查结果的询问、质疑请向采购人提出，由采购人负责答复。投标人对除上述事项以外其他事项的询问、质疑请向采购人提出，由采购人负责答复。</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采购人及代理机构只接收以纸质原件形式送达的质疑,建议投标人尽量通过邮寄方式提交质疑（采购人和代理机构不接受无快递运单号的快递）。</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采购人质疑接收人及联系方式，见本招标文件第一章。</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代理机构质疑受理部门及联系方式，见本招标文件第一章。</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 以下情形的质疑不予受理</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28.5.1 内容不符合《政府采购质疑和投诉办法》第十二条规定的质疑。</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28.5.2 超出政府采购法定期限的质疑。</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28.5.3 以传真、电子邮件等方式递交的非原件形式的质疑。</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28.5.4 未参加投标活动的供应商或在投标活动中自身权益未受到损害的供应商所提出的质疑。</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28.5.5供应商组成联合体参加投标，联合体中任何一方或多方未按要求签字、盖章、加盖公章的质疑。</w:t>
      </w:r>
      <w:r>
        <w:rPr>
          <w:rFonts w:hint="eastAsia" w:ascii="方正仿宋_GB2312" w:hAnsi="方正仿宋_GB2312" w:eastAsia="方正仿宋_GB2312" w:cs="方正仿宋_GB2312"/>
          <w:color w:val="000000"/>
          <w:sz w:val="24"/>
          <w:szCs w:val="24"/>
          <w:highlight w:val="none"/>
        </w:rPr>
      </w:r>
      <w:r/>
    </w:p>
    <w:p>
      <w:pPr>
        <w:pStyle w:val="957"/>
        <w:ind w:firstLine="468"/>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4"/>
          <w:szCs w:val="24"/>
          <w:highlight w:val="none"/>
        </w:rPr>
        <w:t xml:space="preserve">28.6  供应商提出书面质疑必须有理、有据，不得捏造事实、提供虚假材料进行恶意质疑。否则，一经查实，采购人及代理机构有权依据政府采购的有关规定，报请政府采购监管部门对该供应商进行相应的行政处罚和记录该供应商的失信信息。</w:t>
      </w:r>
      <w:r>
        <w:rPr>
          <w:rFonts w:hint="eastAsia" w:ascii="方正仿宋_GB2312" w:hAnsi="方正仿宋_GB2312" w:eastAsia="方正仿宋_GB2312" w:cs="方正仿宋_GB2312"/>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29、中标通知书</w:t>
      </w:r>
      <w:r>
        <w:rPr>
          <w:rFonts w:hint="eastAsia" w:ascii="方正仿宋_GB2312" w:hAnsi="方正仿宋_GB2312" w:eastAsia="方正仿宋_GB2312" w:cs="方正仿宋_GB2312"/>
          <w:b/>
          <w:bCs/>
          <w:color w:val="000000"/>
          <w:sz w:val="28"/>
          <w:szCs w:val="28"/>
          <w:highlight w:val="none"/>
        </w:rPr>
      </w:r>
      <w:r/>
    </w:p>
    <w:p>
      <w:pPr>
        <w:pStyle w:val="957"/>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29.l</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中标结果确定后，采购人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方正仿宋_GB2312" w:hAnsi="方正仿宋_GB2312" w:eastAsia="方正仿宋_GB2312" w:cs="方正仿宋_GB2312"/>
          <w:color w:val="000000"/>
          <w:sz w:val="24"/>
          <w:szCs w:val="24"/>
          <w:highlight w:val="none"/>
        </w:rPr>
      </w:r>
      <w:r/>
    </w:p>
    <w:p>
      <w:pPr>
        <w:pStyle w:val="957"/>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方正仿宋_GB2312" w:hAnsi="方正仿宋_GB2312" w:eastAsia="方正仿宋_GB2312" w:cs="方正仿宋_GB2312"/>
          <w:color w:val="000000"/>
          <w:sz w:val="24"/>
          <w:szCs w:val="24"/>
          <w:highlight w:val="none"/>
        </w:rPr>
      </w:r>
      <w:r/>
    </w:p>
    <w:p>
      <w:pPr>
        <w:pStyle w:val="957"/>
        <w:ind w:firstLine="368"/>
        <w:keepLines/>
        <w:keepNext/>
        <w:spacing w:before="145" w:after="145" w:line="400" w:lineRule="exact"/>
        <w:rPr>
          <w:rFonts w:hint="eastAsia" w:ascii="方正仿宋_GB2312" w:hAnsi="方正仿宋_GB2312" w:eastAsia="方正仿宋_GB2312" w:cs="方正仿宋_GB2312"/>
          <w:b/>
          <w:bCs/>
          <w:color w:val="000000"/>
          <w:sz w:val="28"/>
          <w:szCs w:val="28"/>
          <w:highlight w:val="none"/>
        </w:rPr>
      </w:pPr>
      <w:r/>
      <w:bookmarkStart w:id="181" w:name="_Toc120614220"/>
      <w:r/>
      <w:bookmarkStart w:id="182" w:name="_Toc513029236"/>
      <w:r/>
      <w:bookmarkStart w:id="183" w:name="_Toc20823308"/>
      <w:r/>
      <w:bookmarkStart w:id="184" w:name="_Toc16938552"/>
      <w:r>
        <w:rPr>
          <w:rFonts w:hint="eastAsia" w:ascii="方正仿宋_GB2312" w:hAnsi="方正仿宋_GB2312" w:eastAsia="方正仿宋_GB2312" w:cs="方正仿宋_GB2312"/>
          <w:b/>
          <w:bCs/>
          <w:color w:val="000000"/>
          <w:sz w:val="28"/>
          <w:szCs w:val="28"/>
          <w:highlight w:val="none"/>
        </w:rPr>
        <w:t xml:space="preserve">七、授予合同</w:t>
      </w:r>
      <w:bookmarkEnd w:id="181"/>
      <w:r>
        <w:rPr>
          <w:rFonts w:hint="eastAsia" w:ascii="方正仿宋_GB2312" w:hAnsi="方正仿宋_GB2312" w:eastAsia="方正仿宋_GB2312" w:cs="方正仿宋_GB2312"/>
          <w:b/>
          <w:bCs/>
          <w:color w:val="000000"/>
          <w:sz w:val="28"/>
          <w:szCs w:val="28"/>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bookmarkEnd w:id="182"/>
      <w:r/>
      <w:bookmarkEnd w:id="183"/>
      <w:r/>
      <w:bookmarkEnd w:id="184"/>
      <w:r/>
      <w:bookmarkStart w:id="185" w:name="_Toc513029237"/>
      <w:r/>
      <w:bookmarkStart w:id="186" w:name="_Toc16938553"/>
      <w:r/>
      <w:bookmarkStart w:id="187" w:name="_Toc20823309"/>
      <w:r>
        <w:rPr>
          <w:rFonts w:hint="eastAsia" w:ascii="方正仿宋_GB2312" w:hAnsi="方正仿宋_GB2312" w:eastAsia="方正仿宋_GB2312" w:cs="方正仿宋_GB2312"/>
          <w:b/>
          <w:bCs/>
          <w:color w:val="000000"/>
          <w:sz w:val="28"/>
          <w:szCs w:val="28"/>
          <w:highlight w:val="none"/>
        </w:rPr>
        <w:t xml:space="preserve">30、 签订合同</w:t>
      </w:r>
      <w:r>
        <w:rPr>
          <w:rFonts w:hint="eastAsia" w:ascii="方正仿宋_GB2312" w:hAnsi="方正仿宋_GB2312" w:eastAsia="方正仿宋_GB2312" w:cs="方正仿宋_GB2312"/>
          <w:b/>
          <w:bCs/>
          <w:color w:val="000000"/>
          <w:sz w:val="28"/>
          <w:szCs w:val="28"/>
          <w:highlight w:val="none"/>
        </w:rPr>
      </w:r>
      <w:r/>
    </w:p>
    <w:p>
      <w:pPr>
        <w:pStyle w:val="957"/>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30</w:t>
      </w:r>
      <w:r>
        <w:rPr>
          <w:rFonts w:hint="eastAsia" w:ascii="方正仿宋_GB2312" w:hAnsi="方正仿宋_GB2312" w:eastAsia="方正仿宋_GB2312" w:cs="方正仿宋_GB2312"/>
          <w:color w:val="000000"/>
          <w:sz w:val="24"/>
          <w:szCs w:val="24"/>
          <w:highlight w:val="none"/>
        </w:rPr>
        <w:t xml:space="preserve">.l中标人应当在中标通知书发出之日起三十日内，按照招标文件确定的事项与采购人签订政府采购合同。</w:t>
      </w:r>
      <w:r>
        <w:rPr>
          <w:rFonts w:hint="eastAsia" w:ascii="方正仿宋_GB2312" w:hAnsi="方正仿宋_GB2312" w:eastAsia="方正仿宋_GB2312" w:cs="方正仿宋_GB2312"/>
          <w:b/>
          <w:bCs/>
          <w:color w:val="000000"/>
          <w:sz w:val="24"/>
          <w:szCs w:val="24"/>
          <w:highlight w:val="none"/>
        </w:rPr>
        <w:t xml:space="preserve">中标</w:t>
      </w:r>
      <w:r>
        <w:rPr>
          <w:rFonts w:hint="eastAsia" w:ascii="方正仿宋_GB2312" w:hAnsi="方正仿宋_GB2312" w:eastAsia="方正仿宋_GB2312" w:cs="方正仿宋_GB2312"/>
          <w:b/>
          <w:bCs/>
          <w:color w:val="000000"/>
          <w:sz w:val="24"/>
          <w:szCs w:val="24"/>
          <w:highlight w:val="none"/>
          <w:lang w:val="zh-CN"/>
        </w:rPr>
        <w:t xml:space="preserve">人应在中标结果公告之日起五个工作日内向</w:t>
      </w:r>
      <w:r>
        <w:rPr>
          <w:rFonts w:hint="eastAsia" w:ascii="方正仿宋_GB2312" w:hAnsi="方正仿宋_GB2312" w:eastAsia="方正仿宋_GB2312" w:cs="方正仿宋_GB2312"/>
          <w:b/>
          <w:bCs/>
          <w:color w:val="000000"/>
          <w:sz w:val="24"/>
          <w:szCs w:val="24"/>
          <w:highlight w:val="none"/>
        </w:rPr>
        <w:t xml:space="preserve">代理机构和采购人各提供一份纸质版投标文件</w:t>
      </w:r>
      <w:r>
        <w:rPr>
          <w:rFonts w:hint="eastAsia" w:ascii="方正仿宋_GB2312" w:hAnsi="方正仿宋_GB2312" w:eastAsia="方正仿宋_GB2312" w:cs="方正仿宋_GB2312"/>
          <w:b/>
          <w:bCs/>
          <w:color w:val="000000"/>
          <w:sz w:val="24"/>
          <w:szCs w:val="24"/>
          <w:highlight w:val="none"/>
          <w:lang w:val="zh-CN"/>
        </w:rPr>
        <w:t xml:space="preserve">（须与上传电子档内容一致）</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30.2</w:t>
      </w: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招标文件、中标人的投标文件及招标过程中有关澄清、承诺文件均应作为合同附件。</w:t>
      </w:r>
      <w:r>
        <w:rPr>
          <w:rFonts w:hint="eastAsia" w:ascii="方正仿宋_GB2312" w:hAnsi="方正仿宋_GB2312" w:eastAsia="方正仿宋_GB2312" w:cs="方正仿宋_GB2312"/>
          <w:color w:val="000000"/>
          <w:sz w:val="24"/>
          <w:szCs w:val="24"/>
          <w:highlight w:val="none"/>
        </w:rPr>
      </w:r>
      <w:r/>
    </w:p>
    <w:p>
      <w:pPr>
        <w:pStyle w:val="957"/>
        <w:ind w:firstLine="60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方正仿宋_GB2312" w:hAnsi="方正仿宋_GB2312" w:eastAsia="方正仿宋_GB2312" w:cs="方正仿宋_GB2312"/>
          <w:color w:val="000000"/>
          <w:sz w:val="24"/>
          <w:szCs w:val="24"/>
          <w:highlight w:val="none"/>
        </w:rPr>
      </w:r>
      <w:r/>
    </w:p>
    <w:p>
      <w:pPr>
        <w:pStyle w:val="957"/>
        <w:ind w:firstLine="422"/>
        <w:keepLines/>
        <w:keepNext/>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31、服务（包含与服务相关的货物）的追加、减少</w:t>
      </w:r>
      <w:r>
        <w:rPr>
          <w:rFonts w:hint="eastAsia" w:ascii="方正仿宋_GB2312" w:hAnsi="方正仿宋_GB2312" w:eastAsia="方正仿宋_GB2312" w:cs="方正仿宋_GB2312"/>
          <w:b/>
          <w:bCs/>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32.2采购结束后，采购人若由于各种客观原因，必须对采购项目所牵涉的服务进行适当的减少时，在双方协商一致的前提下，可以按照招标采购时的价格水平做相应的调减，并据此签订补充合同。</w:t>
      </w:r>
      <w:r>
        <w:rPr>
          <w:rFonts w:hint="eastAsia" w:ascii="方正仿宋_GB2312" w:hAnsi="方正仿宋_GB2312" w:eastAsia="方正仿宋_GB2312" w:cs="方正仿宋_GB2312"/>
          <w:color w:val="000000"/>
          <w:highlight w:val="none"/>
        </w:rPr>
      </w:r>
      <w:r/>
    </w:p>
    <w:p>
      <w:pPr>
        <w:pStyle w:val="957"/>
        <w:ind w:firstLine="422"/>
        <w:keepLines/>
        <w:keepNext/>
        <w:spacing w:line="400" w:lineRule="exact"/>
        <w:tabs>
          <w:tab w:val="left" w:pos="3990" w:leader="none"/>
        </w:tabs>
        <w:rPr>
          <w:rFonts w:hint="eastAsia" w:ascii="方正仿宋_GB2312" w:hAnsi="方正仿宋_GB2312" w:eastAsia="方正仿宋_GB2312" w:cs="方正仿宋_GB2312"/>
          <w:b/>
          <w:bCs/>
          <w:color w:val="000000"/>
          <w:sz w:val="28"/>
          <w:szCs w:val="28"/>
          <w:highlight w:val="none"/>
        </w:rPr>
      </w:pPr>
      <w:r/>
      <w:bookmarkEnd w:id="185"/>
      <w:r/>
      <w:bookmarkEnd w:id="186"/>
      <w:r/>
      <w:bookmarkEnd w:id="187"/>
      <w:r>
        <w:rPr>
          <w:rFonts w:hint="eastAsia" w:ascii="方正仿宋_GB2312" w:hAnsi="方正仿宋_GB2312" w:eastAsia="方正仿宋_GB2312" w:cs="方正仿宋_GB2312"/>
          <w:b/>
          <w:bCs/>
          <w:color w:val="000000"/>
          <w:sz w:val="28"/>
          <w:szCs w:val="28"/>
          <w:highlight w:val="none"/>
        </w:rPr>
        <w:t xml:space="preserve">32、政府采购履约资金扶持政策</w:t>
      </w:r>
      <w:r>
        <w:rPr>
          <w:rFonts w:hint="eastAsia" w:ascii="方正仿宋_GB2312" w:hAnsi="方正仿宋_GB2312" w:eastAsia="方正仿宋_GB2312" w:cs="方正仿宋_GB2312"/>
          <w:b/>
          <w:bCs/>
          <w:color w:val="000000"/>
          <w:sz w:val="28"/>
          <w:szCs w:val="28"/>
          <w:highlight w:val="none"/>
        </w:rPr>
      </w:r>
      <w:r/>
    </w:p>
    <w:p>
      <w:pPr>
        <w:pStyle w:val="957"/>
        <w:ind w:firstLine="555"/>
        <w:jc w:val="left"/>
        <w:spacing w:line="400" w:lineRule="exact"/>
        <w:tabs>
          <w:tab w:val="left" w:pos="3990" w:leader="none"/>
        </w:tabs>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32.1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政府采购网-政采贷专栏。</w:t>
      </w:r>
      <w:r>
        <w:rPr>
          <w:rFonts w:hint="eastAsia" w:ascii="方正仿宋_GB2312" w:hAnsi="方正仿宋_GB2312" w:eastAsia="方正仿宋_GB2312" w:cs="方正仿宋_GB2312"/>
          <w:bCs/>
          <w:color w:val="000000"/>
          <w:sz w:val="24"/>
          <w:szCs w:val="24"/>
          <w:highlight w:val="none"/>
        </w:rPr>
      </w:r>
      <w:r/>
    </w:p>
    <w:p>
      <w:pPr>
        <w:pStyle w:val="957"/>
        <w:ind w:firstLine="555"/>
        <w:jc w:val="left"/>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32.2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rFonts w:hint="eastAsia" w:ascii="方正仿宋_GB2312" w:hAnsi="方正仿宋_GB2312" w:eastAsia="方正仿宋_GB2312" w:cs="方正仿宋_GB2312"/>
          <w:bCs/>
          <w:color w:val="000000"/>
          <w:sz w:val="24"/>
          <w:szCs w:val="24"/>
          <w:highlight w:val="none"/>
        </w:rPr>
        <w:fldChar w:fldCharType="begin"/>
      </w:r>
      <w:r>
        <w:rPr>
          <w:rFonts w:hint="eastAsia" w:ascii="方正仿宋_GB2312" w:hAnsi="方正仿宋_GB2312" w:eastAsia="方正仿宋_GB2312" w:cs="方正仿宋_GB2312"/>
          <w:bCs/>
          <w:color w:val="000000"/>
          <w:sz w:val="24"/>
          <w:szCs w:val="24"/>
          <w:highlight w:val="none"/>
        </w:rPr>
        <w:instrText xml:space="preserve"> HYPERLINK "http://www.ccgp-jiangsu.gov.cn/jisngsu/zlxz/)。" </w:instrText>
      </w:r>
      <w:r>
        <w:rPr>
          <w:rFonts w:hint="eastAsia" w:ascii="方正仿宋_GB2312" w:hAnsi="方正仿宋_GB2312" w:eastAsia="方正仿宋_GB2312" w:cs="方正仿宋_GB2312"/>
          <w:bCs/>
          <w:color w:val="000000"/>
          <w:sz w:val="24"/>
          <w:szCs w:val="24"/>
          <w:highlight w:val="none"/>
        </w:rPr>
        <w:fldChar w:fldCharType="separate"/>
      </w:r>
      <w:r>
        <w:rPr>
          <w:rStyle w:val="1034"/>
          <w:rFonts w:hint="eastAsia" w:ascii="方正仿宋_GB2312" w:hAnsi="方正仿宋_GB2312" w:eastAsia="方正仿宋_GB2312" w:cs="方正仿宋_GB2312"/>
          <w:bCs/>
          <w:color w:val="000000"/>
          <w:sz w:val="24"/>
          <w:szCs w:val="24"/>
          <w:highlight w:val="none"/>
        </w:rPr>
        <w:t xml:space="preserve">www.ccgp-jiangsu.gov.cn/jisngsu/zlxz/)。</w:t>
      </w:r>
      <w:r>
        <w:rPr>
          <w:rFonts w:hint="eastAsia" w:ascii="方正仿宋_GB2312" w:hAnsi="方正仿宋_GB2312" w:eastAsia="方正仿宋_GB2312" w:cs="方正仿宋_GB2312"/>
          <w:bCs/>
          <w:color w:val="000000"/>
          <w:sz w:val="24"/>
          <w:szCs w:val="24"/>
          <w:highlight w:val="none"/>
        </w:rPr>
        <w:fldChar w:fldCharType="end"/>
      </w:r>
      <w:r>
        <w:rPr>
          <w:rFonts w:hint="eastAsia" w:ascii="方正仿宋_GB2312" w:hAnsi="方正仿宋_GB2312" w:eastAsia="方正仿宋_GB2312" w:cs="方正仿宋_GB2312"/>
          <w:bCs/>
          <w:color w:val="000000"/>
          <w:sz w:val="24"/>
          <w:szCs w:val="24"/>
          <w:highlight w:val="none"/>
        </w:rPr>
      </w:r>
      <w:r/>
    </w:p>
    <w:p>
      <w:pPr>
        <w:pStyle w:val="957"/>
        <w:ind w:firstLine="555"/>
        <w:jc w:val="left"/>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r>
      <w:r/>
    </w:p>
    <w:p>
      <w:pPr>
        <w:pStyle w:val="957"/>
        <w:ind w:firstLine="3253"/>
        <w:jc w:val="left"/>
        <w:keepNext/>
        <w:spacing w:line="400" w:lineRule="exact"/>
        <w:rPr>
          <w:rFonts w:hint="eastAsia" w:ascii="方正仿宋_GB2312" w:hAnsi="方正仿宋_GB2312" w:eastAsia="方正仿宋_GB2312" w:cs="方正仿宋_GB2312"/>
          <w:b/>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r>
      <w:r/>
    </w:p>
    <w:p>
      <w:pPr>
        <w:pStyle w:val="957"/>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70"/>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57"/>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21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57"/>
        <w:ind w:firstLine="3253"/>
        <w:jc w:val="left"/>
        <w:keepNext/>
        <w:spacing w:line="400" w:lineRule="exact"/>
        <w:rPr>
          <w:rFonts w:hint="eastAsia" w:ascii="方正仿宋_GB2312" w:hAnsi="方正仿宋_GB2312" w:eastAsia="方正仿宋_GB2312" w:cs="方正仿宋_GB2312"/>
          <w:b/>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t xml:space="preserve">第三章  合同</w:t>
      </w:r>
      <w:bookmarkEnd w:id="56"/>
      <w:r/>
      <w:bookmarkEnd w:id="57"/>
      <w:r/>
      <w:bookmarkEnd w:id="58"/>
      <w:r/>
      <w:bookmarkEnd w:id="59"/>
      <w:r/>
      <w:bookmarkEnd w:id="60"/>
      <w:r>
        <w:rPr>
          <w:rFonts w:hint="eastAsia" w:ascii="方正仿宋_GB2312" w:hAnsi="方正仿宋_GB2312" w:eastAsia="方正仿宋_GB2312" w:cs="方正仿宋_GB2312"/>
          <w:b/>
          <w:color w:val="000000"/>
          <w:sz w:val="36"/>
          <w:szCs w:val="36"/>
          <w:highlight w:val="none"/>
        </w:rPr>
        <w:t xml:space="preserve">文本</w:t>
      </w:r>
      <w:bookmarkEnd w:id="55"/>
      <w:r>
        <w:rPr>
          <w:rFonts w:hint="eastAsia" w:ascii="方正仿宋_GB2312" w:hAnsi="方正仿宋_GB2312" w:eastAsia="方正仿宋_GB2312" w:cs="方正仿宋_GB2312"/>
          <w:b/>
          <w:color w:val="000000"/>
          <w:sz w:val="36"/>
          <w:szCs w:val="36"/>
          <w:highlight w:val="none"/>
        </w:rPr>
      </w:r>
      <w:r/>
    </w:p>
    <w:p>
      <w:pPr>
        <w:pStyle w:val="957"/>
        <w:jc w:val="center"/>
        <w:spacing w:line="400" w:lineRule="exact"/>
        <w:rPr>
          <w:rFonts w:hint="eastAsia" w:ascii="方正仿宋_GB2312" w:hAnsi="方正仿宋_GB2312" w:eastAsia="方正仿宋_GB2312" w:cs="方正仿宋_GB2312"/>
          <w:b/>
          <w:bCs/>
          <w:color w:val="000000"/>
          <w:sz w:val="30"/>
          <w:szCs w:val="20"/>
          <w:highlight w:val="none"/>
        </w:rPr>
      </w:pPr>
      <w:r/>
      <w:bookmarkStart w:id="188" w:name="_Toc462564139"/>
      <w:r/>
      <w:bookmarkStart w:id="189" w:name="_Hlt16619350"/>
      <w:r/>
      <w:bookmarkStart w:id="190" w:name="_Toc16938590"/>
      <w:r/>
      <w:bookmarkStart w:id="191" w:name="_Toc120614244"/>
      <w:r/>
      <w:bookmarkStart w:id="192" w:name="_Toc26382"/>
      <w:r/>
      <w:bookmarkStart w:id="193" w:name="_Toc20823346"/>
      <w:r/>
      <w:bookmarkStart w:id="194" w:name="_Toc479757211"/>
      <w:r>
        <w:rPr>
          <w:rFonts w:hint="eastAsia" w:ascii="方正仿宋_GB2312" w:hAnsi="方正仿宋_GB2312" w:eastAsia="方正仿宋_GB2312" w:cs="方正仿宋_GB2312"/>
          <w:b/>
          <w:color w:val="000000"/>
          <w:sz w:val="30"/>
          <w:highlight w:val="none"/>
        </w:rPr>
        <w:t xml:space="preserve">江苏省政府采购合同（服务）（合同编号）</w:t>
      </w:r>
      <w:r>
        <w:rPr>
          <w:rFonts w:hint="eastAsia" w:ascii="方正仿宋_GB2312" w:hAnsi="方正仿宋_GB2312" w:eastAsia="方正仿宋_GB2312" w:cs="方正仿宋_GB2312"/>
          <w:b/>
          <w:bCs/>
          <w:color w:val="000000"/>
          <w:sz w:val="30"/>
          <w:szCs w:val="20"/>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甲方：（买方）</w:t>
      </w:r>
      <w:r>
        <w:rPr>
          <w:rFonts w:hint="eastAsia" w:ascii="方正仿宋_GB2312" w:hAnsi="方正仿宋_GB2312" w:eastAsia="方正仿宋_GB2312" w:cs="方正仿宋_GB2312"/>
          <w:color w:val="000000"/>
          <w:sz w:val="24"/>
          <w:szCs w:val="24"/>
          <w:highlight w:val="none"/>
          <w:u w:val="singl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乙方：（卖方）</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依据《中华人民共和国民法典》、《中华人民共和国政府采购法》等有关的法律法规，以及本采购项目的招标文件、乙方的《投标文件》及《中标通知书》，甲乙双方同意签订本合同。具体情况及要求如下:</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一、合同内容</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1.1 标的名称：</w:t>
      </w:r>
      <w:r>
        <w:rPr>
          <w:rFonts w:hint="eastAsia" w:ascii="方正仿宋_GB2312" w:hAnsi="方正仿宋_GB2312" w:eastAsia="方正仿宋_GB2312" w:cs="方正仿宋_GB2312"/>
          <w:color w:val="000000"/>
          <w:sz w:val="24"/>
          <w:szCs w:val="24"/>
          <w:highlight w:val="none"/>
          <w:u w:val="single"/>
        </w:rPr>
        <w:t xml:space="preserve">如东县洋口镇化工园（西区）土壤污染重点监管单位隐患排查、自行监测质量提升和周边监测、自行监测数据分析应用项目</w:t>
      </w:r>
      <w:r>
        <w:rPr>
          <w:rFonts w:hint="eastAsia" w:ascii="方正仿宋_GB2312" w:hAnsi="方正仿宋_GB2312" w:eastAsia="方正仿宋_GB2312" w:cs="方正仿宋_GB2312"/>
          <w:color w:val="000000"/>
          <w:sz w:val="24"/>
          <w:szCs w:val="24"/>
          <w:highlight w:val="none"/>
          <w:u w:val="singl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 </w:t>
      </w:r>
      <w:r>
        <w:rPr>
          <w:rFonts w:hint="eastAsia" w:ascii="方正仿宋_GB2312" w:hAnsi="方正仿宋_GB2312" w:eastAsia="方正仿宋_GB2312" w:cs="方正仿宋_GB2312"/>
          <w:b/>
          <w:color w:val="000000"/>
          <w:sz w:val="24"/>
          <w:szCs w:val="24"/>
          <w:highlight w:val="none"/>
        </w:rPr>
        <w:t xml:space="preserve">乙方进行技术咨询的内容、要求和方式:</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根据《如东县2026年美丽南通建设重点任务清单》和《2026年南通市土壤动态、地下水和农村生态环境工作要点》年度任务，本年度如东洋口化学工业园（西区），开展以下两项重点工作。</w:t>
      </w:r>
      <w:r>
        <w:rPr>
          <w:rFonts w:hint="eastAsia" w:ascii="方正仿宋_GB2312" w:hAnsi="方正仿宋_GB2312" w:eastAsia="方正仿宋_GB2312" w:cs="方正仿宋_GB2312"/>
          <w:color w:val="000000"/>
          <w:sz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开展“十四五”土壤污染重点监管单位周边监测等数据比对分析，形成监测成果分析及应用报告。工作内容包括：委托乙方归集整合园区“十四五”期间各类监测相关资料，涵盖园区周边环境监测项目成果、园区专项整治隐患问题清单等材料，统一编制综合分析台账，围绕监测超标情况分层开展溯源研判，从区域环境背景、企业生产运行、园区公共区域管护等维度剖析超标成因，形成问题清单，经整改后形成问题闭环管理。</w:t>
      </w:r>
      <w:r>
        <w:rPr>
          <w:rFonts w:hint="eastAsia" w:ascii="方正仿宋_GB2312" w:hAnsi="方正仿宋_GB2312" w:eastAsia="方正仿宋_GB2312" w:cs="方正仿宋_GB2312"/>
          <w:color w:val="000000"/>
          <w:sz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完成一轮隐患排查和自行监测质量提升，委托乙方对辖区土壤重点监管单位最新的隐患排查报告、自行监测方案实施全覆盖检查梳理，梳理形成整改意见单并逐一反馈企业落实整改，确保自测行为合法规范，源头保障科学合规。</w:t>
      </w:r>
      <w:r>
        <w:rPr>
          <w:rFonts w:hint="eastAsia" w:ascii="方正仿宋_GB2312" w:hAnsi="方正仿宋_GB2312" w:eastAsia="方正仿宋_GB2312" w:cs="方正仿宋_GB2312"/>
          <w:color w:val="000000"/>
          <w:sz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 履行时间（期限）：合同签订后至2026年11月30日完成，并通过相关专家的评审。</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 履行地点：</w:t>
      </w:r>
      <w:r>
        <w:rPr>
          <w:rFonts w:hint="eastAsia" w:ascii="方正仿宋_GB2312" w:hAnsi="方正仿宋_GB2312" w:eastAsia="方正仿宋_GB2312" w:cs="方正仿宋_GB2312"/>
          <w:color w:val="000000"/>
          <w:sz w:val="24"/>
          <w:szCs w:val="24"/>
          <w:highlight w:val="none"/>
          <w:u w:val="single"/>
        </w:rPr>
        <w:t xml:space="preserve">  如东县洋口镇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1.5履行方式：</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所出具的报告符合国家及江苏省等有关标准和技术规范文件要求，通过相关专家评审。</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二、合同金额</w:t>
      </w:r>
      <w:r>
        <w:rPr>
          <w:rFonts w:hint="eastAsia" w:ascii="方正仿宋_GB2312" w:hAnsi="方正仿宋_GB2312" w:eastAsia="方正仿宋_GB2312" w:cs="方正仿宋_GB2312"/>
          <w:b/>
          <w:color w:val="000000"/>
          <w:sz w:val="24"/>
          <w:szCs w:val="24"/>
          <w:highlight w:val="none"/>
        </w:rPr>
      </w:r>
      <w:r/>
    </w:p>
    <w:p>
      <w:pPr>
        <w:pStyle w:val="997"/>
        <w:ind w:left="410" w:hanging="4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2.1 本合同金额为（大写）：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元）人民币。</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    </w:t>
      </w:r>
      <w:r>
        <w:rPr>
          <w:rFonts w:hint="eastAsia" w:ascii="方正仿宋_GB2312" w:hAnsi="方正仿宋_GB2312" w:eastAsia="方正仿宋_GB2312" w:cs="方正仿宋_GB2312"/>
          <w:bCs/>
          <w:color w:val="000000"/>
          <w:sz w:val="24"/>
          <w:szCs w:val="24"/>
          <w:highlight w:val="none"/>
        </w:rPr>
        <w:t xml:space="preserve">合同价款应包括完成服务所需的一切费用，</w:t>
      </w:r>
      <w:r>
        <w:rPr>
          <w:rFonts w:hint="eastAsia" w:ascii="方正仿宋_GB2312" w:hAnsi="方正仿宋_GB2312" w:eastAsia="方正仿宋_GB2312" w:cs="方正仿宋_GB2312"/>
          <w:bCs/>
          <w:color w:val="000000"/>
          <w:sz w:val="24"/>
          <w:szCs w:val="24"/>
          <w:highlight w:val="none"/>
          <w:lang w:val="en-GB"/>
        </w:rPr>
        <w:t xml:space="preserve">投标报价应包括</w:t>
      </w:r>
      <w:r>
        <w:rPr>
          <w:rFonts w:hint="eastAsia" w:ascii="方正仿宋_GB2312" w:hAnsi="方正仿宋_GB2312" w:eastAsia="方正仿宋_GB2312" w:cs="方正仿宋_GB2312"/>
          <w:bCs/>
          <w:color w:val="000000"/>
          <w:sz w:val="24"/>
          <w:szCs w:val="24"/>
          <w:highlight w:val="none"/>
        </w:rPr>
        <w:t xml:space="preserve">为完成本项目所需的人工、设备、材料、现场踏勘、差旅费、报告文本编制费、评审专家费（专家评审所需的交通、差旅、会议等）、会务费、保险、利润、规费、税金等为完成本服务项目所需一切费用</w:t>
      </w:r>
      <w:r>
        <w:rPr>
          <w:rFonts w:hint="eastAsia" w:ascii="方正仿宋_GB2312" w:hAnsi="方正仿宋_GB2312" w:eastAsia="方正仿宋_GB2312" w:cs="方正仿宋_GB2312"/>
          <w:bCs/>
          <w:color w:val="000000"/>
          <w:sz w:val="24"/>
          <w:szCs w:val="24"/>
          <w:highlight w:val="none"/>
          <w:lang w:val="en-GB"/>
        </w:rPr>
        <w:t xml:space="preserve">。乙方需充分考虑到服务工作内容、本</w:t>
      </w:r>
      <w:r>
        <w:rPr>
          <w:rFonts w:hint="eastAsia" w:ascii="方正仿宋_GB2312" w:hAnsi="方正仿宋_GB2312" w:eastAsia="方正仿宋_GB2312" w:cs="方正仿宋_GB2312"/>
          <w:bCs/>
          <w:color w:val="000000"/>
          <w:sz w:val="24"/>
          <w:szCs w:val="24"/>
          <w:highlight w:val="none"/>
        </w:rPr>
        <w:t xml:space="preserve">项目</w:t>
      </w:r>
      <w:r>
        <w:rPr>
          <w:rFonts w:hint="eastAsia" w:ascii="方正仿宋_GB2312" w:hAnsi="方正仿宋_GB2312" w:eastAsia="方正仿宋_GB2312" w:cs="方正仿宋_GB2312"/>
          <w:bCs/>
          <w:color w:val="000000"/>
          <w:sz w:val="24"/>
          <w:szCs w:val="24"/>
          <w:highlight w:val="none"/>
          <w:lang w:val="en-GB"/>
        </w:rPr>
        <w:t xml:space="preserve">的有关资料、现场条件及充分考虑实施期间的各类风险和不确定因素对服务工作的影响。合同价款</w:t>
      </w:r>
      <w:r>
        <w:rPr>
          <w:rFonts w:hint="eastAsia" w:ascii="方正仿宋_GB2312" w:hAnsi="方正仿宋_GB2312" w:eastAsia="方正仿宋_GB2312" w:cs="方正仿宋_GB2312"/>
          <w:bCs/>
          <w:color w:val="000000"/>
          <w:sz w:val="24"/>
          <w:szCs w:val="24"/>
          <w:highlight w:val="none"/>
        </w:rPr>
        <w:t xml:space="preserve">中</w:t>
      </w:r>
      <w:r>
        <w:rPr>
          <w:rFonts w:hint="eastAsia" w:ascii="方正仿宋_GB2312" w:hAnsi="方正仿宋_GB2312" w:eastAsia="方正仿宋_GB2312" w:cs="方正仿宋_GB2312"/>
          <w:bCs/>
          <w:color w:val="000000"/>
          <w:sz w:val="24"/>
          <w:szCs w:val="24"/>
          <w:highlight w:val="none"/>
          <w:lang w:val="en-GB"/>
        </w:rPr>
        <w:t xml:space="preserve">应包括服务实施过程中设备使用费及其他各种涵盖费用等。合同价款若后期增加任何项目都不作任何调整。</w:t>
      </w:r>
      <w:r>
        <w:rPr>
          <w:rFonts w:hint="eastAsia" w:ascii="方正仿宋_GB2312" w:hAnsi="方正仿宋_GB2312" w:eastAsia="方正仿宋_GB2312" w:cs="方正仿宋_GB2312"/>
          <w:bCs/>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三、技术资料</w:t>
      </w:r>
      <w:r>
        <w:rPr>
          <w:rFonts w:hint="eastAsia" w:ascii="方正仿宋_GB2312" w:hAnsi="方正仿宋_GB2312" w:eastAsia="方正仿宋_GB2312" w:cs="方正仿宋_GB2312"/>
          <w:b/>
          <w:color w:val="000000"/>
          <w:sz w:val="24"/>
          <w:szCs w:val="24"/>
          <w:highlight w:val="none"/>
        </w:rPr>
      </w:r>
      <w:r/>
    </w:p>
    <w:p>
      <w:pPr>
        <w:pStyle w:val="997"/>
        <w:ind w:left="410" w:hanging="41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3.1乙方应按招标文件规定的时间向甲方提供服务的有关资料。</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Cs/>
          <w:color w:val="000000"/>
          <w:sz w:val="24"/>
          <w:szCs w:val="24"/>
          <w:highlight w:val="none"/>
          <w:lang w:val="en-GB"/>
        </w:rPr>
      </w:pPr>
      <w:r>
        <w:rPr>
          <w:rFonts w:hint="eastAsia" w:ascii="方正仿宋_GB2312" w:hAnsi="方正仿宋_GB2312" w:eastAsia="方正仿宋_GB2312" w:cs="方正仿宋_GB2312"/>
          <w:color w:val="000000"/>
          <w:sz w:val="24"/>
          <w:szCs w:val="24"/>
          <w:highlight w:val="none"/>
        </w:rPr>
        <w:t xml:space="preserve">3.2 </w:t>
      </w:r>
      <w:r>
        <w:rPr>
          <w:rFonts w:hint="eastAsia" w:ascii="方正仿宋_GB2312" w:hAnsi="方正仿宋_GB2312" w:eastAsia="方正仿宋_GB2312" w:cs="方正仿宋_GB2312"/>
          <w:bCs/>
          <w:color w:val="000000"/>
          <w:sz w:val="24"/>
          <w:szCs w:val="24"/>
          <w:highlight w:val="none"/>
          <w:lang w:val="en-GB"/>
        </w:rPr>
        <w:t xml:space="preserve">没有甲方事先书面同意，乙方不得将由甲方提供的有关合同或任何合同条文、规格、计划或资料以及乙方完成的服务成果提供给与履行本合同无关的任何其他人。即使向履行本合同有关的人员提供，也应注意保密并限于履行合同的必需范围。如因乙方擅自泄密造成甲方及相关单位损失的（包括但不限于实际损失、诉讼费、律师费等），乙方应承担赔偿责任，并且甲方有权根据乙方泄密的事实和情节决定解除合同。</w:t>
      </w:r>
      <w:r>
        <w:rPr>
          <w:rFonts w:hint="eastAsia" w:ascii="方正仿宋_GB2312" w:hAnsi="方正仿宋_GB2312" w:eastAsia="方正仿宋_GB2312" w:cs="方正仿宋_GB2312"/>
          <w:bCs/>
          <w:color w:val="000000"/>
          <w:sz w:val="24"/>
          <w:szCs w:val="24"/>
          <w:highlight w:val="none"/>
          <w:lang w:val="en-GB"/>
        </w:rPr>
      </w:r>
      <w:r/>
    </w:p>
    <w:p>
      <w:pPr>
        <w:pStyle w:val="997"/>
        <w:spacing w:line="400" w:lineRule="exact"/>
        <w:rPr>
          <w:rFonts w:hint="eastAsia" w:ascii="方正仿宋_GB2312" w:hAnsi="方正仿宋_GB2312" w:eastAsia="方正仿宋_GB2312" w:cs="方正仿宋_GB2312"/>
          <w:b/>
          <w:color w:val="000000"/>
          <w:sz w:val="24"/>
          <w:szCs w:val="24"/>
          <w:highlight w:val="none"/>
          <w:lang w:val="en-GB"/>
        </w:rPr>
      </w:pPr>
      <w:r>
        <w:rPr>
          <w:rFonts w:hint="eastAsia" w:ascii="方正仿宋_GB2312" w:hAnsi="方正仿宋_GB2312" w:eastAsia="方正仿宋_GB2312" w:cs="方正仿宋_GB2312"/>
          <w:b/>
          <w:color w:val="000000"/>
          <w:sz w:val="24"/>
          <w:szCs w:val="24"/>
          <w:highlight w:val="none"/>
          <w:lang w:val="en-GB"/>
        </w:rPr>
        <w:t xml:space="preserve">四、知识产权</w:t>
      </w:r>
      <w:r>
        <w:rPr>
          <w:rFonts w:hint="eastAsia" w:ascii="方正仿宋_GB2312" w:hAnsi="方正仿宋_GB2312" w:eastAsia="方正仿宋_GB2312" w:cs="方正仿宋_GB2312"/>
          <w:b/>
          <w:color w:val="000000"/>
          <w:sz w:val="24"/>
          <w:szCs w:val="24"/>
          <w:highlight w:val="none"/>
          <w:lang w:val="en-GB"/>
        </w:rPr>
      </w:r>
      <w:r/>
    </w:p>
    <w:p>
      <w:pPr>
        <w:pStyle w:val="997"/>
        <w:spacing w:line="400" w:lineRule="exact"/>
        <w:rPr>
          <w:rFonts w:hint="eastAsia" w:ascii="方正仿宋_GB2312" w:hAnsi="方正仿宋_GB2312" w:eastAsia="方正仿宋_GB2312" w:cs="方正仿宋_GB2312"/>
          <w:bCs/>
          <w:color w:val="000000"/>
          <w:sz w:val="24"/>
          <w:szCs w:val="24"/>
          <w:highlight w:val="none"/>
          <w:lang w:val="en-GB"/>
        </w:rPr>
      </w:pPr>
      <w:r>
        <w:rPr>
          <w:rFonts w:hint="eastAsia" w:ascii="方正仿宋_GB2312" w:hAnsi="方正仿宋_GB2312" w:eastAsia="方正仿宋_GB2312" w:cs="方正仿宋_GB2312"/>
          <w:bCs/>
          <w:color w:val="000000"/>
          <w:sz w:val="24"/>
          <w:szCs w:val="24"/>
          <w:highlight w:val="none"/>
        </w:rPr>
        <w:t xml:space="preserve">4.1</w:t>
      </w:r>
      <w:r>
        <w:rPr>
          <w:rFonts w:hint="eastAsia" w:ascii="方正仿宋_GB2312" w:hAnsi="方正仿宋_GB2312" w:eastAsia="方正仿宋_GB2312" w:cs="方正仿宋_GB2312"/>
          <w:bCs/>
          <w:color w:val="000000"/>
          <w:sz w:val="24"/>
          <w:szCs w:val="24"/>
          <w:highlight w:val="none"/>
          <w:lang w:val="en-GB"/>
        </w:rPr>
        <w:t xml:space="preserve">乙方应保证甲方在使用、接受本合同服务或其任何一部分时不受第三方提出侵犯其专利权、版权、商标权和工业设计权等知识产权的起诉。一旦出现侵权，由乙方负全部责任。乙方任何侵犯第三方知识产权的行为与甲方无关，责任由乙方自行承担，若因此造成甲方损失（包括但不限于甲方实际损失、诉讼费、律师费等），乙方应承担全部赔偿责任。</w:t>
      </w:r>
      <w:r>
        <w:rPr>
          <w:rFonts w:hint="eastAsia" w:ascii="方正仿宋_GB2312" w:hAnsi="方正仿宋_GB2312" w:eastAsia="方正仿宋_GB2312" w:cs="方正仿宋_GB2312"/>
          <w:bCs/>
          <w:color w:val="000000"/>
          <w:sz w:val="24"/>
          <w:szCs w:val="24"/>
          <w:highlight w:val="none"/>
          <w:lang w:val="en-GB"/>
        </w:rPr>
      </w:r>
      <w:r/>
    </w:p>
    <w:p>
      <w:pPr>
        <w:pStyle w:val="99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4.2乙方对甲方提供的资料及形成的技术成果应当保密，未经甲方书面许可，不得提供给任何第三方。如有违反，乙方按合同总价款的10%支付违约金，给甲方造成损失的，还需赔偿甲方全部损失。</w:t>
      </w:r>
      <w:r>
        <w:rPr>
          <w:rFonts w:hint="eastAsia" w:ascii="方正仿宋_GB2312" w:hAnsi="方正仿宋_GB2312" w:eastAsia="方正仿宋_GB2312" w:cs="方正仿宋_GB2312"/>
          <w:bCs/>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b/>
          <w:color w:val="000000"/>
          <w:sz w:val="24"/>
          <w:szCs w:val="24"/>
          <w:highlight w:val="none"/>
        </w:rPr>
        <w:t xml:space="preserve">五、产权担保及安全标准</w:t>
      </w:r>
      <w:r>
        <w:rPr>
          <w:rFonts w:hint="eastAsia" w:ascii="方正仿宋_GB2312" w:hAnsi="方正仿宋_GB2312" w:eastAsia="方正仿宋_GB2312" w:cs="方正仿宋_GB2312"/>
          <w:color w:val="000000"/>
          <w:sz w:val="24"/>
          <w:szCs w:val="24"/>
          <w:highlight w:val="none"/>
          <w:u w:val="single"/>
        </w:rPr>
      </w:r>
      <w:r/>
    </w:p>
    <w:p>
      <w:pPr>
        <w:pStyle w:val="99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5.1 乙方保证所交付的服务及形成的技术成果的所有权完全属于乙方且无知识产权侵权等瑕疵。</w:t>
      </w:r>
      <w:r>
        <w:rPr>
          <w:rFonts w:hint="eastAsia" w:ascii="方正仿宋_GB2312" w:hAnsi="方正仿宋_GB2312" w:eastAsia="方正仿宋_GB2312" w:cs="方正仿宋_GB2312"/>
          <w:bCs/>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5.2乙方在履行合同过程中，应严格执行各项安全生产规定，落实安全生产责任制度，确保作业人员的人身财产安全，一切人身财产安全事故其责任由乙方承担，甲方不承担任何责任和费用。</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七、合同转包或分包</w:t>
      </w: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7.1乙方不得将合同标的转包给他人履行。</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7.2乙方不得将合同标的分包给他人履行。</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7.3乙方如有转包或未经甲方同意的分包行为，甲方有权解除合同，甲方有权解除合同、不支付合同价款。转包或分包造成甲方损失的，乙方应承担相应赔偿责任。</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八、合同款项支付</w:t>
      </w:r>
      <w:r>
        <w:rPr>
          <w:rFonts w:hint="eastAsia" w:ascii="方正仿宋_GB2312" w:hAnsi="方正仿宋_GB2312" w:eastAsia="方正仿宋_GB2312" w:cs="方正仿宋_GB2312"/>
          <w:b/>
          <w:color w:val="000000"/>
          <w:sz w:val="24"/>
          <w:szCs w:val="24"/>
          <w:highlight w:val="none"/>
        </w:rPr>
      </w:r>
      <w:r/>
    </w:p>
    <w:p>
      <w:pPr>
        <w:pStyle w:val="997"/>
        <w:ind w:left="480" w:hanging="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8.1合同款项的支付方式及进度安排</w:t>
      </w:r>
      <w:r>
        <w:rPr>
          <w:rFonts w:hint="eastAsia" w:ascii="方正仿宋_GB2312" w:hAnsi="方正仿宋_GB2312" w:eastAsia="方正仿宋_GB2312" w:cs="方正仿宋_GB2312"/>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合同签订后付合同价40%的预付款，乙方完成全部服务内容并向甲方提交通过专家评审的正式“十四五”如东县洋口镇化工园（西区）土壤污染重点监管单位隐患排查、自行监测质量提升报告和周边监测数据分析成果报告后一次性付清。付款前乙方应提供通过方案及相应的增值税专用发票。</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九、履约保证金：</w:t>
      </w: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乙方签订合同时须向甲方交纳 50000元作为履约保证金，在全部服务结束并移交相关档案资料后，乙方凭履约保证金收条原件等相关材料，办理履约保证金退还手续，履约保证金予以全额无息退还。 </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十、税费</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9.1本合同执行中相关的一切税费均由乙方负担。</w:t>
      </w:r>
      <w:r>
        <w:rPr>
          <w:rFonts w:hint="eastAsia" w:ascii="方正仿宋_GB2312" w:hAnsi="方正仿宋_GB2312" w:eastAsia="方正仿宋_GB2312" w:cs="方正仿宋_GB2312"/>
          <w:bCs/>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十一、项目验收</w:t>
      </w:r>
      <w:r>
        <w:rPr>
          <w:rFonts w:hint="eastAsia" w:ascii="方正仿宋_GB2312" w:hAnsi="方正仿宋_GB2312" w:eastAsia="方正仿宋_GB2312" w:cs="方正仿宋_GB2312"/>
          <w:b/>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甲方按照采购合同的约定对乙方提交的技术服务及技术成果进行验收。验收合格的,甲方根据采购合同的约定及时向乙方支付合同款项。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方正仿宋_GB2312" w:hAnsi="方正仿宋_GB2312" w:eastAsia="方正仿宋_GB2312" w:cs="方正仿宋_GB2312"/>
          <w:color w:val="000000"/>
          <w:sz w:val="24"/>
          <w:highlight w:val="none"/>
        </w:rPr>
        <w:t xml:space="preserve">验收及评审费用由乙方负担。</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十二、违约责任</w:t>
      </w:r>
      <w:r>
        <w:rPr>
          <w:rFonts w:hint="eastAsia" w:ascii="方正仿宋_GB2312" w:hAnsi="方正仿宋_GB2312" w:eastAsia="方正仿宋_GB2312" w:cs="方正仿宋_GB2312"/>
          <w:b/>
          <w:color w:val="000000"/>
          <w:sz w:val="24"/>
          <w:szCs w:val="24"/>
          <w:highlight w:val="none"/>
        </w:rPr>
      </w:r>
      <w:r/>
    </w:p>
    <w:p>
      <w:pPr>
        <w:pStyle w:val="970"/>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12.1甲方不能按时提供所需技术资料时，乙方提供报告的时间将向后顺延。</w:t>
      </w:r>
      <w:r>
        <w:rPr>
          <w:rFonts w:hint="eastAsia" w:ascii="方正仿宋_GB2312" w:hAnsi="方正仿宋_GB2312" w:eastAsia="方正仿宋_GB2312" w:cs="方正仿宋_GB2312"/>
          <w:color w:val="000000"/>
          <w:sz w:val="24"/>
          <w:szCs w:val="24"/>
          <w:highlight w:val="none"/>
        </w:rPr>
      </w:r>
      <w:r/>
    </w:p>
    <w:p>
      <w:pPr>
        <w:pStyle w:val="970"/>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12.2乙方逾期提交服务成果的，每逾期一日，乙方按合同总价款的万分之五支付违约金，并继续履行本合同。</w:t>
      </w:r>
      <w:r>
        <w:rPr>
          <w:rFonts w:hint="eastAsia" w:ascii="方正仿宋_GB2312" w:hAnsi="方正仿宋_GB2312" w:eastAsia="方正仿宋_GB2312" w:cs="方正仿宋_GB2312"/>
          <w:color w:val="000000"/>
          <w:sz w:val="24"/>
          <w:szCs w:val="24"/>
          <w:highlight w:val="none"/>
        </w:rPr>
      </w:r>
      <w:r/>
    </w:p>
    <w:p>
      <w:pPr>
        <w:pStyle w:val="9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12.3乙方提供的工作成果应准确、全面、完整，乙方负终身责任，并免费提供后续服务；若有质量缺陷或不符合国家相关标准，乙方应负责免费提供重做或补充等后续服务，若造成逾期提交工作成果的，乙方应按约定承担逾期提交的违约责任；甲方有权根据乙方违约的事实决定解除合同，并要求乙方赔偿损失；乙方因逾期提供服务或因其他违约行为导致甲方解除合同的，乙方应向甲方支付合同价款总额</w:t>
      </w:r>
      <w:r>
        <w:rPr>
          <w:rFonts w:hint="eastAsia" w:ascii="方正仿宋_GB2312" w:hAnsi="方正仿宋_GB2312" w:eastAsia="方正仿宋_GB2312" w:cs="方正仿宋_GB2312"/>
          <w:color w:val="000000"/>
          <w:sz w:val="24"/>
          <w:szCs w:val="24"/>
          <w:highlight w:val="none"/>
          <w:u w:val="single"/>
        </w:rPr>
        <w:t xml:space="preserve"> 15%</w:t>
      </w:r>
      <w:r>
        <w:rPr>
          <w:rFonts w:hint="eastAsia" w:ascii="方正仿宋_GB2312" w:hAnsi="方正仿宋_GB2312" w:eastAsia="方正仿宋_GB2312" w:cs="方正仿宋_GB2312"/>
          <w:color w:val="000000"/>
          <w:sz w:val="24"/>
          <w:szCs w:val="24"/>
          <w:highlight w:val="none"/>
        </w:rPr>
        <w:t xml:space="preserve">的违约金，如造成甲方损失超过违约金的，超出部分由乙方继续承担赔偿责任。</w:t>
      </w:r>
      <w:r>
        <w:rPr>
          <w:rFonts w:hint="eastAsia" w:ascii="方正仿宋_GB2312" w:hAnsi="方正仿宋_GB2312" w:eastAsia="方正仿宋_GB2312" w:cs="方正仿宋_GB2312"/>
          <w:color w:val="000000"/>
          <w:sz w:val="24"/>
          <w:szCs w:val="24"/>
          <w:highlight w:val="none"/>
        </w:rPr>
      </w:r>
      <w:r/>
    </w:p>
    <w:p>
      <w:pPr>
        <w:pStyle w:val="99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12.4乙方未能按合同约定的咨询内容、要求、方式提供服务的，甲方有权要求乙方改正或减少咨询报酬，乙方应向甲方支付合同价款总额</w:t>
      </w:r>
      <w:r>
        <w:rPr>
          <w:rFonts w:hint="eastAsia" w:ascii="方正仿宋_GB2312" w:hAnsi="方正仿宋_GB2312" w:eastAsia="方正仿宋_GB2312" w:cs="方正仿宋_GB2312"/>
          <w:color w:val="000000"/>
          <w:sz w:val="24"/>
          <w:szCs w:val="24"/>
          <w:highlight w:val="none"/>
          <w:u w:val="single"/>
        </w:rPr>
        <w:t xml:space="preserve"> 15%</w:t>
      </w:r>
      <w:r>
        <w:rPr>
          <w:rFonts w:hint="eastAsia" w:ascii="方正仿宋_GB2312" w:hAnsi="方正仿宋_GB2312" w:eastAsia="方正仿宋_GB2312" w:cs="方正仿宋_GB2312"/>
          <w:color w:val="000000"/>
          <w:sz w:val="24"/>
          <w:szCs w:val="24"/>
          <w:highlight w:val="none"/>
        </w:rPr>
        <w:t xml:space="preserve">的违约金，如造成甲方损失超过违约金的，超出部分由乙方继续承担赔偿责任。</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十三、不可抗力事件处理</w:t>
      </w:r>
      <w:r>
        <w:rPr>
          <w:rFonts w:hint="eastAsia" w:ascii="方正仿宋_GB2312" w:hAnsi="方正仿宋_GB2312" w:eastAsia="方正仿宋_GB2312" w:cs="方正仿宋_GB2312"/>
          <w:b/>
          <w:color w:val="000000"/>
          <w:sz w:val="24"/>
          <w:szCs w:val="24"/>
          <w:highlight w:val="none"/>
        </w:rPr>
      </w:r>
      <w:r/>
    </w:p>
    <w:p>
      <w:pPr>
        <w:pStyle w:val="997"/>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13.1 在合同有效期内，任何一方因不可抗力事件导致不能履行合同，则合同履行期可延长，其延长期与不可抗力影响 期相同。</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13.2 不可抗力事件发生后，应立即通知对方，并寄送有关权威机构出具的证明。</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13.3 不可抗力事件延续</w:t>
      </w:r>
      <w:r>
        <w:rPr>
          <w:rFonts w:hint="eastAsia" w:ascii="方正仿宋_GB2312" w:hAnsi="方正仿宋_GB2312" w:eastAsia="方正仿宋_GB2312" w:cs="方正仿宋_GB2312"/>
          <w:color w:val="000000"/>
          <w:sz w:val="24"/>
          <w:szCs w:val="24"/>
          <w:highlight w:val="none"/>
          <w:u w:val="single"/>
        </w:rPr>
        <w:t xml:space="preserve"> 15日 </w:t>
      </w:r>
      <w:r>
        <w:rPr>
          <w:rFonts w:hint="eastAsia" w:ascii="方正仿宋_GB2312" w:hAnsi="方正仿宋_GB2312" w:eastAsia="方正仿宋_GB2312" w:cs="方正仿宋_GB2312"/>
          <w:color w:val="000000"/>
          <w:sz w:val="24"/>
          <w:szCs w:val="24"/>
          <w:highlight w:val="none"/>
        </w:rPr>
        <w:t xml:space="preserve">以上，双方应通过友好协商，确定是否继续履行合同。</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十四、解决争议的方法</w:t>
      </w: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14.1双方在签订、履行合同中所发生的一切争议，应通过友好协商解决。如协商不成，由甲方住所地人民法院管辖。</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9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十五、合同生效及其它</w:t>
      </w:r>
      <w:r>
        <w:rPr>
          <w:rFonts w:hint="eastAsia" w:ascii="方正仿宋_GB2312" w:hAnsi="方正仿宋_GB2312" w:eastAsia="方正仿宋_GB2312" w:cs="方正仿宋_GB2312"/>
          <w:b/>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15.1 乙方在履行合同过程中应确保安全，一切事故其责任由乙方承担，甲方不承担任何责任和费用。 </w:t>
      </w:r>
      <w:r>
        <w:rPr>
          <w:rFonts w:hint="eastAsia" w:ascii="方正仿宋_GB2312" w:hAnsi="方正仿宋_GB2312" w:eastAsia="方正仿宋_GB2312" w:cs="方正仿宋_GB2312"/>
          <w:color w:val="000000"/>
          <w:sz w:val="24"/>
          <w:szCs w:val="24"/>
          <w:highlight w:val="none"/>
        </w:rPr>
      </w:r>
      <w:r/>
    </w:p>
    <w:p>
      <w:pPr>
        <w:pStyle w:val="957"/>
        <w:ind w:firstLine="420"/>
        <w:jc w:val="left"/>
        <w:spacing w:line="400" w:lineRule="exact"/>
        <w:rPr>
          <w:rStyle w:val="1091"/>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15.2 </w:t>
      </w:r>
      <w:r>
        <w:rPr>
          <w:rStyle w:val="1091"/>
          <w:rFonts w:hint="eastAsia" w:ascii="方正仿宋_GB2312" w:hAnsi="方正仿宋_GB2312" w:eastAsia="方正仿宋_GB2312" w:cs="方正仿宋_GB2312"/>
          <w:color w:val="000000"/>
          <w:sz w:val="24"/>
          <w:szCs w:val="24"/>
          <w:highlight w:val="none"/>
        </w:rPr>
        <w:t xml:space="preserve">甲方有权向乙方了解服务进展情况等相关内容，有权对乙方服务进行检查、提出对具体问题的意见和建议，发现乙方的服务存在问题有权通知乙方整改。乙方无正当理由拒绝甲方检查和整改要求，甲方有权解除合同。</w:t>
      </w:r>
      <w:r>
        <w:rPr>
          <w:rStyle w:val="1091"/>
          <w:rFonts w:hint="eastAsia" w:ascii="方正仿宋_GB2312" w:hAnsi="方正仿宋_GB2312" w:eastAsia="方正仿宋_GB2312" w:cs="方正仿宋_GB2312"/>
          <w:color w:val="000000"/>
          <w:sz w:val="24"/>
          <w:szCs w:val="24"/>
          <w:highlight w:val="none"/>
        </w:rPr>
      </w:r>
      <w:r/>
    </w:p>
    <w:p>
      <w:pPr>
        <w:pStyle w:val="997"/>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15.3 本合同正本一式</w:t>
      </w:r>
      <w:r>
        <w:rPr>
          <w:rFonts w:hint="eastAsia" w:ascii="方正仿宋_GB2312" w:hAnsi="方正仿宋_GB2312" w:eastAsia="方正仿宋_GB2312" w:cs="方正仿宋_GB2312"/>
          <w:color w:val="000000"/>
          <w:sz w:val="24"/>
          <w:szCs w:val="24"/>
          <w:highlight w:val="none"/>
          <w:u w:val="single"/>
        </w:rPr>
        <w:t xml:space="preserve"> 陆 </w:t>
      </w:r>
      <w:r>
        <w:rPr>
          <w:rFonts w:hint="eastAsia" w:ascii="方正仿宋_GB2312" w:hAnsi="方正仿宋_GB2312" w:eastAsia="方正仿宋_GB2312" w:cs="方正仿宋_GB2312"/>
          <w:color w:val="000000"/>
          <w:sz w:val="24"/>
          <w:szCs w:val="24"/>
          <w:highlight w:val="none"/>
        </w:rPr>
        <w:t xml:space="preserve">份，具有同等法律效力。</w:t>
      </w:r>
      <w:r>
        <w:rPr>
          <w:rFonts w:hint="eastAsia" w:ascii="方正仿宋_GB2312" w:hAnsi="方正仿宋_GB2312" w:eastAsia="方正仿宋_GB2312" w:cs="方正仿宋_GB2312"/>
          <w:color w:val="000000"/>
          <w:sz w:val="24"/>
          <w:szCs w:val="24"/>
          <w:highlight w:val="none"/>
        </w:rPr>
      </w:r>
      <w:r/>
    </w:p>
    <w:p>
      <w:pPr>
        <w:pStyle w:val="997"/>
        <w:ind w:left="480" w:hanging="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甲方：                        乙方： </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地址：                        地址： </w:t>
      </w:r>
      <w:r>
        <w:rPr>
          <w:rFonts w:hint="eastAsia" w:ascii="方正仿宋_GB2312" w:hAnsi="方正仿宋_GB2312" w:eastAsia="方正仿宋_GB2312" w:cs="方正仿宋_GB2312"/>
          <w:color w:val="000000"/>
          <w:sz w:val="24"/>
          <w:szCs w:val="24"/>
          <w:highlight w:val="none"/>
        </w:rPr>
      </w:r>
      <w:r/>
    </w:p>
    <w:p>
      <w:pPr>
        <w:pStyle w:val="99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法定代表人或授权代表：        法定代表人或授权代表：</w:t>
      </w:r>
      <w:r>
        <w:rPr>
          <w:rFonts w:hint="eastAsia" w:ascii="方正仿宋_GB2312" w:hAnsi="方正仿宋_GB2312" w:eastAsia="方正仿宋_GB2312" w:cs="方正仿宋_GB2312"/>
          <w:color w:val="000000"/>
          <w:sz w:val="24"/>
          <w:szCs w:val="24"/>
          <w:highlight w:val="none"/>
        </w:rPr>
      </w:r>
      <w:r/>
    </w:p>
    <w:p>
      <w:pPr>
        <w:pStyle w:val="997"/>
        <w:ind w:firstLine="24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联系电话：                    联系电话：          </w:t>
      </w:r>
      <w:r>
        <w:rPr>
          <w:rFonts w:hint="eastAsia" w:ascii="方正仿宋_GB2312" w:hAnsi="方正仿宋_GB2312" w:eastAsia="方正仿宋_GB2312" w:cs="方正仿宋_GB2312"/>
          <w:color w:val="000000"/>
          <w:highlight w:val="none"/>
        </w:rPr>
      </w:r>
      <w:r/>
    </w:p>
    <w:p>
      <w:pPr>
        <w:pStyle w:val="99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highlight w:val="none"/>
        </w:rPr>
        <w:t xml:space="preserve">                                     </w:t>
      </w:r>
      <w:r>
        <w:rPr>
          <w:rFonts w:hint="eastAsia" w:ascii="方正仿宋_GB2312" w:hAnsi="方正仿宋_GB2312" w:eastAsia="方正仿宋_GB2312" w:cs="方正仿宋_GB2312"/>
          <w:color w:val="000000"/>
          <w:sz w:val="24"/>
          <w:szCs w:val="24"/>
          <w:highlight w:val="none"/>
        </w:rPr>
        <w:t xml:space="preserve">     签订日期：  </w:t>
      </w:r>
      <w:r>
        <w:rPr>
          <w:rFonts w:hint="eastAsia" w:ascii="方正仿宋_GB2312" w:hAnsi="方正仿宋_GB2312" w:eastAsia="方正仿宋_GB2312" w:cs="方正仿宋_GB2312"/>
          <w:color w:val="000000"/>
          <w:sz w:val="24"/>
          <w:szCs w:val="24"/>
          <w:highlight w:val="none"/>
          <w:u w:val="single"/>
        </w:rPr>
        <w:t xml:space="preserve">2026</w:t>
      </w:r>
      <w:r>
        <w:rPr>
          <w:rFonts w:hint="eastAsia" w:ascii="方正仿宋_GB2312" w:hAnsi="方正仿宋_GB2312" w:eastAsia="方正仿宋_GB2312" w:cs="方正仿宋_GB2312"/>
          <w:color w:val="000000"/>
          <w:sz w:val="24"/>
          <w:szCs w:val="24"/>
          <w:highlight w:val="none"/>
        </w:rPr>
        <w:t xml:space="preserve"> 年</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月</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日</w:t>
      </w:r>
      <w:bookmarkStart w:id="195" w:name="_Hlt16619369"/>
      <w:r/>
      <w:bookmarkEnd w:id="195"/>
      <w:r>
        <w:rPr>
          <w:rFonts w:hint="eastAsia" w:ascii="方正仿宋_GB2312" w:hAnsi="方正仿宋_GB2312" w:eastAsia="方正仿宋_GB2312" w:cs="方正仿宋_GB2312"/>
          <w:color w:val="000000"/>
          <w:sz w:val="24"/>
          <w:szCs w:val="24"/>
          <w:highlight w:val="none"/>
        </w:rPr>
      </w:r>
      <w:r/>
    </w:p>
    <w:p>
      <w:pPr>
        <w:pStyle w:val="957"/>
        <w:ind w:firstLine="3253"/>
        <w:keepNext/>
        <w:spacing w:line="400" w:lineRule="exact"/>
        <w:rPr>
          <w:rFonts w:hint="eastAsia" w:ascii="方正仿宋_GB2312" w:hAnsi="方正仿宋_GB2312" w:eastAsia="方正仿宋_GB2312" w:cs="方正仿宋_GB2312"/>
          <w:b/>
          <w:color w:val="000000"/>
          <w:sz w:val="36"/>
          <w:szCs w:val="36"/>
          <w:highlight w:val="none"/>
        </w:rPr>
        <w:sectPr>
          <w:footerReference w:type="default" r:id="rId14"/>
          <w:footnotePr/>
          <w:endnotePr/>
          <w:type w:val="nextPage"/>
          <w:pgSz w:w="11906" w:h="16838" w:orient="portrait"/>
          <w:pgMar w:top="1418" w:right="1081" w:bottom="1418" w:left="1365" w:header="851" w:footer="907" w:gutter="0"/>
          <w:pgNumType w:start="1"/>
          <w:cols w:num="1" w:sep="0" w:space="1701" w:equalWidth="1"/>
          <w:docGrid w:linePitch="360"/>
        </w:sectPr>
        <w:outlineLvl w:val="0"/>
      </w:pPr>
      <w:r>
        <w:rPr>
          <w:rFonts w:hint="eastAsia" w:ascii="方正仿宋_GB2312" w:hAnsi="方正仿宋_GB2312" w:eastAsia="方正仿宋_GB2312" w:cs="方正仿宋_GB2312"/>
          <w:b/>
          <w:color w:val="000000"/>
          <w:sz w:val="36"/>
          <w:szCs w:val="36"/>
          <w:highlight w:val="none"/>
        </w:rPr>
      </w:r>
      <w:r/>
    </w:p>
    <w:p>
      <w:pPr>
        <w:pStyle w:val="957"/>
        <w:numPr>
          <w:ilvl w:val="0"/>
          <w:numId w:val="7"/>
        </w:numPr>
        <w:ind w:firstLine="3614"/>
        <w:spacing w:line="400" w:lineRule="exact"/>
        <w:rPr>
          <w:rFonts w:hint="eastAsia" w:ascii="方正仿宋_GB2312" w:hAnsi="方正仿宋_GB2312" w:eastAsia="方正仿宋_GB2312" w:cs="方正仿宋_GB2312"/>
          <w:b/>
          <w:bCs/>
          <w:color w:val="000000"/>
          <w:sz w:val="36"/>
          <w:szCs w:val="36"/>
          <w:highlight w:val="none"/>
        </w:rPr>
      </w:pPr>
      <w:r/>
      <w:bookmarkEnd w:id="189"/>
      <w:r>
        <w:rPr>
          <w:rFonts w:hint="eastAsia" w:ascii="方正仿宋_GB2312" w:hAnsi="方正仿宋_GB2312" w:eastAsia="方正仿宋_GB2312" w:cs="方正仿宋_GB2312"/>
          <w:b/>
          <w:bCs/>
          <w:color w:val="000000"/>
          <w:sz w:val="36"/>
          <w:szCs w:val="36"/>
          <w:highlight w:val="none"/>
        </w:rPr>
        <w:t xml:space="preserve">采购需求</w:t>
      </w:r>
      <w:bookmarkEnd w:id="190"/>
      <w:r/>
      <w:bookmarkEnd w:id="191"/>
      <w:r/>
      <w:bookmarkEnd w:id="192"/>
      <w:r/>
      <w:bookmarkEnd w:id="193"/>
      <w:r>
        <w:rPr>
          <w:rFonts w:hint="eastAsia" w:ascii="方正仿宋_GB2312" w:hAnsi="方正仿宋_GB2312" w:eastAsia="方正仿宋_GB2312" w:cs="方正仿宋_GB2312"/>
          <w:b/>
          <w:bCs/>
          <w:color w:val="000000"/>
          <w:sz w:val="36"/>
          <w:szCs w:val="36"/>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在制作投标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一、其内容包含：</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（一）采购标的需实现的功能或者目标，以及为落实政府采购政策需满足的要求：</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根据《如东县2026年美丽南通建设重点任务清单》和《2026年南通市土壤动态、地下水和农村生态环境工作要点》年度任务，本年度如东洋口化学工业园（西区），需开展以下两项重点工作。</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开展“十四五”土壤污染重点监管单位周边监测等数据比对分析，形成监测成果分析及应用报告。工作内容包括：委托第三方技术单位归集整合园区“十四五”期间各类监测相关资料，涵盖园区周边环境监测项目成果、园区专项整治隐患问题清单等材料，统一编制综合分析台账，围绕监测超标情况分层开展溯源研判，从区域环境背景、企业生产运行、园区公共区域管护等维度剖析超标成因，形成问题清单，经整改后形成问题闭环管理。</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完成一轮隐患排查和自行监测质量提升，委托专业第三方技术单位对辖区土壤重点监管单位最新的隐患排查报告、自行监测方案实施全覆盖检查梳理，梳理形成整改意见单并逐一反馈企业落实整改，确保自测行为合法规范，源头保障科学合规。</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（二）采购标的需执行的国家相关标准、行业标准、地方标准或者其他标准、规范：</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本项目服务全过程及成果文件编制必须严格遵循以下现行有效的国家、行业、地方相关标准、规范和技术文件（包括但不限于）：</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一、通用基础类标准</w:t>
      </w:r>
      <w:r>
        <w:rPr>
          <w:rFonts w:hint="eastAsia" w:ascii="方正仿宋_GB2312" w:hAnsi="方正仿宋_GB2312" w:eastAsia="方正仿宋_GB2312" w:cs="方正仿宋_GB2312"/>
          <w:b/>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《土壤环境质量 建设用地土壤污染风险管控标准（试行）》（GB 36600-2018）</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《地下水质量标准》（GB/T 14848-2017）</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《环境空气质量标准》（GB 3095-2012）</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《危险废物贮存污染控制标准》（GB 18597-2023）</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二、调查与监测类技术规范</w:t>
      </w:r>
      <w:r>
        <w:rPr>
          <w:rFonts w:hint="eastAsia" w:ascii="方正仿宋_GB2312" w:hAnsi="方正仿宋_GB2312" w:eastAsia="方正仿宋_GB2312" w:cs="方正仿宋_GB2312"/>
          <w:b/>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《建设用地土壤污染状况调查技术导则》（HJ 25.1-2019）</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《建设用地土壤污染风险评估技术导则》（HJ 25.3-2019）</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《土壤和沉积物 金属元素的测定》系列标准（如 HJ 613、HJ 803 等）</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《地下水环境监测技术规范》（HJ 164-2020）</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《工业企业土壤和地下水自行监测技术指南（试行）》（HJ 1209-2021）</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《重点行业企业用地土壤污染状况调查工作技术细则》（生态环境部印发）</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三、隐患排查与风险管控类指南</w:t>
      </w:r>
      <w:r>
        <w:rPr>
          <w:rFonts w:hint="eastAsia" w:ascii="方正仿宋_GB2312" w:hAnsi="方正仿宋_GB2312" w:eastAsia="方正仿宋_GB2312" w:cs="方正仿宋_GB2312"/>
          <w:b/>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《国家重点监管单位土壤污染隐患排查指南（试行）》（生态环境部公告 2021年第16号）</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《重点监管单位土壤污染隐患排查技术指南》（江苏省生态环境厅发布或试点版本）</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《在产企业土壤污染隐患排查技术指南》（T/CAEPI 26-2020，中国环保产业协会团体标准）</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《污染地块风险管控与修复效果评估技术导则》（HJ 25.5-2018）</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四、数据分析与报告编制要求</w:t>
      </w:r>
      <w:r>
        <w:rPr>
          <w:rFonts w:hint="eastAsia" w:ascii="方正仿宋_GB2312" w:hAnsi="方正仿宋_GB2312" w:eastAsia="方正仿宋_GB2312" w:cs="方正仿宋_GB2312"/>
          <w:b/>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《生态环境大数据建设总体方案》相关政策要求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《江苏省生态环境信息化数据标准与共享规范》</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《南通市土壤污染防治工作方案》《2026年南通市土壤、地下水和农村生态环境工作要点》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《如东县2026年美丽南通建设重点任务清单》</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五、其他适用规定</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《中华人民共和国固体废物污染环境防治法》</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《中华人民共和国土壤污染防治法》</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《江苏省土壤污染防治条例》</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生态环境部及江苏省生态环境厅发布的最新政策文件、技术通知、工作指引等</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说明：</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上述标准如有更新版本且已正式实施，则以最新版本为准；</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若不同标准间存在技术要求差异，优先执行更严格的标准；</w:t>
      </w:r>
      <w:r>
        <w:rPr>
          <w:rFonts w:hint="eastAsia" w:ascii="方正仿宋_GB2312" w:hAnsi="方正仿宋_GB2312" w:eastAsia="方正仿宋_GB2312" w:cs="方正仿宋_GB2312"/>
          <w:b/>
          <w:bCs/>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投标人应在技术方案中明确所依据的主要标准，并在成果报告中予以标注引用</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（三）采购标的需满足的质量、安全、技术规格、物理特性等要求：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1.成果质量要求：</w:t>
      </w:r>
      <w:r>
        <w:rPr>
          <w:rFonts w:hint="eastAsia" w:ascii="方正仿宋_GB2312" w:hAnsi="方正仿宋_GB2312" w:eastAsia="方正仿宋_GB2312" w:cs="方正仿宋_GB2312"/>
          <w:color w:val="000000"/>
          <w:sz w:val="24"/>
          <w:szCs w:val="24"/>
          <w:highlight w:val="none"/>
        </w:rPr>
        <w:br w:type="textWrapping" w:clear="all"/>
      </w:r>
      <w:r>
        <w:rPr>
          <w:rFonts w:hint="eastAsia" w:ascii="方正仿宋_GB2312" w:hAnsi="方正仿宋_GB2312" w:eastAsia="方正仿宋_GB2312" w:cs="方正仿宋_GB2312"/>
          <w:color w:val="000000"/>
          <w:sz w:val="24"/>
          <w:szCs w:val="24"/>
          <w:highlight w:val="none"/>
        </w:rPr>
        <w:t xml:space="preserve">    投标人提交的技术服务成果（包括但不限于隐患排查报告、自行监测质量评估报告、周边监测数据分析报告、溯源研判报告、问题清单及整改闭环台账等）应数据真实、逻辑清晰、结论科学、建议可行，能够支撑生态环境管理部门决策，并具备可追溯性和长期存档价值。</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2.技术标准与规范依据：</w:t>
      </w:r>
      <w:r>
        <w:rPr>
          <w:rFonts w:hint="eastAsia" w:ascii="方正仿宋_GB2312" w:hAnsi="方正仿宋_GB2312" w:eastAsia="方正仿宋_GB2312" w:cs="方正仿宋_GB2312"/>
          <w:color w:val="000000"/>
          <w:sz w:val="24"/>
          <w:szCs w:val="24"/>
          <w:highlight w:val="none"/>
        </w:rPr>
        <w:br w:type="textWrapping" w:clear="all"/>
      </w:r>
      <w:r>
        <w:rPr>
          <w:rFonts w:hint="eastAsia" w:ascii="方正仿宋_GB2312" w:hAnsi="方正仿宋_GB2312" w:eastAsia="方正仿宋_GB2312" w:cs="方正仿宋_GB2312"/>
          <w:color w:val="000000"/>
          <w:sz w:val="24"/>
          <w:szCs w:val="24"/>
          <w:highlight w:val="none"/>
        </w:rPr>
        <w:t xml:space="preserve">    服务全过程及成果编制应严格遵循以下现行有效的国家、行业及地方相关标准和技术规范（包括但不限于）：</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《土壤环境质量 建设用地土壤污染风险管控标准（试行）》（GB 36600-2018）</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《地下水质量标准》（GB/T 14848-2017）</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《建设用地土壤污染状况调查技术导则》（HJ 25.1-2019）</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《建设用地土壤污染风险评估技术导则》（HJ 25.3-2019）</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《工业企业土壤和地下水自行监测技术指南（试行）》（HJ 1209-2021）</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《国家重点监管单位土壤污染隐患排查指南（试行）》（生态环境部公告 2021年第16号）</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《江苏省重点行业企业用地土壤污染状况调查工作技术细则》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《南通市土壤污染防治工作方案》及相关年度工作要点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若上述标准有更新版本发布且已实施，则以最新版本为准。</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安全要求：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乙方在开展现场踏勘、资料收集、企业走访等工作中，应遵守园区安全管理规定，佩戴必要防护装备，确保人员人身安全；</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涉及涉密或敏感企业信息的数据采集、传输、存储和使用，应严格执行国家信息安全等级保护制度，防止数据泄露；</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所有电子数据应加密保存，纸质材料应专柜保管，未经授权不得对外提供。</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（四）采购标的的数量、采购项目交付或者实施的时间和地点：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1.实施时间： 根据《如东县2026年美丽南通建设重点任务清单》和《2026年南通市土壤动态、地下水和农村生态环境工作要点》年度任务，本年度如东洋口化学工业园（西区），需开展以下两项工作①开展“十四五”土壤污染重点监管单位周边监测等数据比对分析，形成监测成果分析及应用报告②完成一轮隐患排查和自行监测质量提升梳理形成整改意见单并逐一反馈企业落实整改，确保自测行为合法规范，源头保障科学合规。本项目于2026年11月30日实施完成。</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2.实施地点：如东县洋口镇</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（五）采购标的需满足的服务标准、期限、效率等要求：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1、服务标准（成果要求）：</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（1）如东洋口化学工业园（西区）开展“十四五”土壤污染重点监管单位周边监测等数据比对分析，形成监测成果分析及应用报告</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（2）如东洋口化学工业园（西区）完成一轮隐患排查和自行监测质量提升梳理形成整改意见单并逐一反馈企业落实整改</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2、服务期限：自合同签订之日起至2026年11月30日止。</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（六）采购标的的验收标准：</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lang w:val="zh-CN"/>
        </w:rPr>
        <w:t xml:space="preserve">成果</w:t>
      </w:r>
      <w:r>
        <w:rPr>
          <w:rFonts w:hint="eastAsia" w:ascii="方正仿宋_GB2312" w:hAnsi="方正仿宋_GB2312" w:eastAsia="方正仿宋_GB2312" w:cs="方正仿宋_GB2312"/>
          <w:color w:val="000000"/>
          <w:sz w:val="24"/>
          <w:szCs w:val="24"/>
          <w:highlight w:val="none"/>
        </w:rPr>
        <w:t xml:space="preserve">验收要求：相关成果通过甲方组织的专家评审。</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（七）采购标的的其他技术、服务等要求：相关成果满足业主单位的要求。</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（八）非单一产品采购项目，采购标的中的核心产品：监测数据比对分析及应用报告、隐患排查和自行监测质量提升整改意见单。</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（九）采购需求中必须满足的实质性要求：开展“十四五”土壤污染重点监管单位周边监测等数据比对分析、完成一轮隐患排查报告和自行监测方案检查梳理分析工作。</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（十）付款方式：</w:t>
      </w:r>
      <w:r>
        <w:rPr>
          <w:rFonts w:hint="eastAsia" w:ascii="方正仿宋_GB2312" w:hAnsi="方正仿宋_GB2312" w:eastAsia="方正仿宋_GB2312" w:cs="方正仿宋_GB2312"/>
          <w:bCs/>
          <w:color w:val="000000"/>
          <w:sz w:val="24"/>
          <w:szCs w:val="24"/>
          <w:highlight w:val="none"/>
        </w:rPr>
        <w:t xml:space="preserve">合同签订后付合同价40%的预付款，</w:t>
      </w:r>
      <w:r>
        <w:rPr>
          <w:rFonts w:hint="eastAsia" w:ascii="方正仿宋_GB2312" w:hAnsi="方正仿宋_GB2312" w:eastAsia="方正仿宋_GB2312" w:cs="方正仿宋_GB2312"/>
          <w:bCs/>
          <w:color w:val="000000"/>
          <w:sz w:val="24"/>
          <w:szCs w:val="24"/>
          <w:highlight w:val="none"/>
        </w:rPr>
        <w:t xml:space="preserve">中</w:t>
      </w:r>
      <w:r>
        <w:rPr>
          <w:rFonts w:hint="eastAsia" w:ascii="方正仿宋_GB2312" w:hAnsi="方正仿宋_GB2312" w:eastAsia="方正仿宋_GB2312" w:cs="方正仿宋_GB2312"/>
          <w:bCs/>
          <w:color w:val="000000"/>
          <w:sz w:val="24"/>
          <w:szCs w:val="24"/>
          <w:highlight w:val="none"/>
        </w:rPr>
        <w:t xml:space="preserve">标</w:t>
      </w:r>
      <w:r>
        <w:rPr>
          <w:rFonts w:hint="eastAsia" w:ascii="方正仿宋_GB2312" w:hAnsi="方正仿宋_GB2312" w:eastAsia="方正仿宋_GB2312" w:cs="方正仿宋_GB2312"/>
          <w:bCs/>
          <w:color w:val="000000"/>
          <w:sz w:val="24"/>
          <w:szCs w:val="24"/>
          <w:highlight w:val="none"/>
        </w:rPr>
        <w:t xml:space="preserve">人</w:t>
      </w:r>
      <w:r>
        <w:rPr>
          <w:rFonts w:hint="eastAsia" w:ascii="方正仿宋_GB2312" w:hAnsi="方正仿宋_GB2312" w:eastAsia="方正仿宋_GB2312" w:cs="方正仿宋_GB2312"/>
          <w:bCs/>
          <w:color w:val="000000"/>
          <w:sz w:val="24"/>
          <w:szCs w:val="24"/>
          <w:highlight w:val="none"/>
        </w:rPr>
        <w:t xml:space="preserve">完成全部服务内容并向</w:t>
      </w:r>
      <w:r>
        <w:rPr>
          <w:rFonts w:hint="eastAsia" w:ascii="方正仿宋_GB2312" w:hAnsi="方正仿宋_GB2312" w:eastAsia="方正仿宋_GB2312" w:cs="方正仿宋_GB2312"/>
          <w:bCs/>
          <w:color w:val="000000"/>
          <w:sz w:val="24"/>
          <w:szCs w:val="24"/>
          <w:highlight w:val="none"/>
        </w:rPr>
        <w:t xml:space="preserve">招</w:t>
      </w:r>
      <w:r>
        <w:rPr>
          <w:rFonts w:hint="eastAsia" w:ascii="方正仿宋_GB2312" w:hAnsi="方正仿宋_GB2312" w:eastAsia="方正仿宋_GB2312" w:cs="方正仿宋_GB2312"/>
          <w:bCs/>
          <w:color w:val="000000"/>
          <w:sz w:val="24"/>
          <w:szCs w:val="24"/>
          <w:highlight w:val="none"/>
        </w:rPr>
        <w:t xml:space="preserve">标</w:t>
      </w:r>
      <w:r>
        <w:rPr>
          <w:rFonts w:hint="eastAsia" w:ascii="方正仿宋_GB2312" w:hAnsi="方正仿宋_GB2312" w:eastAsia="方正仿宋_GB2312" w:cs="方正仿宋_GB2312"/>
          <w:bCs/>
          <w:color w:val="000000"/>
          <w:sz w:val="24"/>
          <w:szCs w:val="24"/>
          <w:highlight w:val="none"/>
        </w:rPr>
        <w:t xml:space="preserve">人</w:t>
      </w:r>
      <w:r>
        <w:rPr>
          <w:rFonts w:hint="eastAsia" w:ascii="方正仿宋_GB2312" w:hAnsi="方正仿宋_GB2312" w:eastAsia="方正仿宋_GB2312" w:cs="方正仿宋_GB2312"/>
          <w:bCs/>
          <w:color w:val="000000"/>
          <w:sz w:val="24"/>
          <w:szCs w:val="24"/>
          <w:highlight w:val="none"/>
        </w:rPr>
        <w:t xml:space="preserve">提交通过专家评审的正式“十四五”如东县洋口镇化工园（西区）土壤污染重点监管单位隐患排查、自行监测质量提升报告和周边监测数据分析成果报告后一次性付清。付款前乙方应提供通过方案及相应的增值税专用发票。</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（十一）履约保证金：</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1、本项目成交后的履约保证金为50000元，成交供应商的履约保证金须在成交通知书发出之日起至合同签订前汇入采购单位账户（应当以支票、汇票或者金融机构、担保机构出具的保函等非现金形式提交），成交供应商凭成交通知书与采购单位签订合同。超期或未有协商，则视为自动放弃成交资格。</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2、成交供应商全部履约合同义务，经采购单位验收合格无质量、进度等问题的，采购人在验收合格后一次性退还履约保证金；</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3、发生以下情况的，履约保证金不予退还或部分退还：</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a.签订合同后，成交供应商不履行合同义务的，采购单位有权全额扣除履约保证金，全额不予退还，同时采购单位亦有权终止合同，中标供应商还须承担相应的法律赔偿责任。</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b.成交供应商在履约过程中发生违约行为，给采购单位造成损失的，采购单位有权在成交供应商缴纳的履约保证金中予以扣款，以弥补采购单位经济损失，不足的部分成交供应商另外补齐。</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     4、根据《南通市财政局关于进一步加大政府采购支持中小企业力度的通知》（通财购〔2022〕23号）精神，对政府采购信用档案中无不良记录的中小企业免收履约保证金。确需收取履约保证金的，按照《关于在政府采购领域开展履约保证保险网上办理试行工作的通知》（通财购〔2022〕8号），直接在网上办理履约保证保险替代实质性的履约保证金缴纳，进一步减轻企业现金流压力。集中采购的中标（成交）供应商可在南通市公共资源交易金融服务平台（</w:t>
      </w:r>
      <w:r>
        <w:rPr>
          <w:rFonts w:hint="eastAsia" w:ascii="方正仿宋_GB2312" w:hAnsi="方正仿宋_GB2312" w:eastAsia="方正仿宋_GB2312" w:cs="方正仿宋_GB2312"/>
          <w:bCs/>
          <w:color w:val="000000"/>
          <w:sz w:val="24"/>
          <w:szCs w:val="24"/>
          <w:highlight w:val="none"/>
        </w:rPr>
        <w:fldChar w:fldCharType="begin"/>
      </w:r>
      <w:r>
        <w:rPr>
          <w:rFonts w:hint="eastAsia" w:ascii="方正仿宋_GB2312" w:hAnsi="方正仿宋_GB2312" w:eastAsia="方正仿宋_GB2312" w:cs="方正仿宋_GB2312"/>
          <w:bCs/>
          <w:color w:val="000000"/>
          <w:sz w:val="24"/>
          <w:szCs w:val="24"/>
          <w:highlight w:val="none"/>
        </w:rPr>
        <w:instrText xml:space="preserve"> HYPERLINK "http://ggzyjy.nantong.gov.cn/NTdzbhweb/supermarket/" </w:instrText>
      </w:r>
      <w:r>
        <w:rPr>
          <w:rFonts w:hint="eastAsia" w:ascii="方正仿宋_GB2312" w:hAnsi="方正仿宋_GB2312" w:eastAsia="方正仿宋_GB2312" w:cs="方正仿宋_GB2312"/>
          <w:bCs/>
          <w:color w:val="000000"/>
          <w:sz w:val="24"/>
          <w:szCs w:val="24"/>
          <w:highlight w:val="none"/>
        </w:rPr>
        <w:fldChar w:fldCharType="separate"/>
      </w:r>
      <w:r>
        <w:rPr>
          <w:rFonts w:hint="eastAsia" w:ascii="方正仿宋_GB2312" w:hAnsi="方正仿宋_GB2312" w:eastAsia="方正仿宋_GB2312" w:cs="方正仿宋_GB2312"/>
          <w:bCs/>
          <w:color w:val="000000"/>
          <w:sz w:val="24"/>
          <w:szCs w:val="24"/>
          <w:highlight w:val="none"/>
        </w:rPr>
        <w:t xml:space="preserve">http://ggzyjy.nantong.gov.cn/NTdzbhweb/supermarket/</w:t>
      </w:r>
      <w:r>
        <w:rPr>
          <w:rFonts w:hint="eastAsia" w:ascii="方正仿宋_GB2312" w:hAnsi="方正仿宋_GB2312" w:eastAsia="方正仿宋_GB2312" w:cs="方正仿宋_GB2312"/>
          <w:bCs/>
          <w:color w:val="000000"/>
          <w:sz w:val="24"/>
          <w:szCs w:val="24"/>
          <w:highlight w:val="none"/>
        </w:rPr>
        <w:fldChar w:fldCharType="end"/>
      </w:r>
      <w:r>
        <w:rPr>
          <w:rFonts w:hint="eastAsia" w:ascii="方正仿宋_GB2312" w:hAnsi="方正仿宋_GB2312" w:eastAsia="方正仿宋_GB2312" w:cs="方正仿宋_GB2312"/>
          <w:bCs/>
          <w:color w:val="000000"/>
          <w:sz w:val="24"/>
          <w:szCs w:val="24"/>
          <w:highlight w:val="none"/>
        </w:rPr>
        <w:t xml:space="preserve">）“履约保证保险”模块在线申请履约保证保险投保。</w:t>
      </w:r>
      <w:r>
        <w:rPr>
          <w:rFonts w:hint="eastAsia" w:ascii="方正仿宋_GB2312" w:hAnsi="方正仿宋_GB2312" w:eastAsia="方正仿宋_GB2312" w:cs="方正仿宋_GB2312"/>
          <w:bCs/>
          <w:color w:val="000000"/>
          <w:sz w:val="24"/>
          <w:szCs w:val="24"/>
          <w:highlight w:val="none"/>
        </w:rPr>
      </w:r>
      <w:r/>
    </w:p>
    <w:p>
      <w:pPr>
        <w:pStyle w:val="957"/>
        <w:keepNext/>
        <w:spacing w:line="400" w:lineRule="exact"/>
        <w:rPr>
          <w:rFonts w:hint="eastAsia" w:ascii="方正仿宋_GB2312" w:hAnsi="方正仿宋_GB2312" w:eastAsia="方正仿宋_GB2312" w:cs="方正仿宋_GB2312"/>
          <w:b/>
          <w:color w:val="000000"/>
          <w:sz w:val="36"/>
          <w:szCs w:val="36"/>
          <w:highlight w:val="none"/>
        </w:rPr>
        <w:outlineLvl w:val="0"/>
      </w:pPr>
      <w:r/>
      <w:bookmarkStart w:id="196" w:name="_Toc49090575"/>
      <w:r/>
      <w:bookmarkStart w:id="197" w:name="_Toc120614281"/>
      <w:r/>
      <w:bookmarkStart w:id="198" w:name="_Toc8870"/>
      <w:r/>
      <w:bookmarkStart w:id="199" w:name="_Toc26554093"/>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361"/>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69"/>
        <w:ind w:firstLine="0"/>
        <w:spacing w:line="400" w:lineRule="exact"/>
        <w:rPr>
          <w:rFonts w:hint="eastAsia" w:ascii="方正仿宋_GB2312" w:hAnsi="方正仿宋_GB2312" w:eastAsia="方正仿宋_GB2312" w:cs="方正仿宋_GB2312"/>
          <w:b/>
          <w:color w:val="000000"/>
          <w:sz w:val="36"/>
          <w:szCs w:val="36"/>
          <w:highlight w:val="none"/>
        </w:rPr>
      </w:pPr>
      <w:r>
        <w:rPr>
          <w:rFonts w:hint="eastAsia" w:ascii="方正仿宋_GB2312" w:hAnsi="方正仿宋_GB2312" w:eastAsia="方正仿宋_GB2312" w:cs="方正仿宋_GB2312"/>
          <w:b/>
          <w:color w:val="000000"/>
          <w:sz w:val="36"/>
          <w:szCs w:val="36"/>
          <w:highlight w:val="none"/>
        </w:rPr>
      </w:r>
      <w:r/>
    </w:p>
    <w:p>
      <w:pPr>
        <w:pStyle w:val="957"/>
        <w:ind w:firstLine="723"/>
        <w:jc w:val="center"/>
        <w:keepNext/>
        <w:spacing w:line="400" w:lineRule="exact"/>
        <w:rPr>
          <w:rFonts w:hint="eastAsia" w:ascii="方正仿宋_GB2312" w:hAnsi="方正仿宋_GB2312" w:eastAsia="方正仿宋_GB2312" w:cs="方正仿宋_GB2312"/>
          <w:b/>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r>
      <w:r/>
    </w:p>
    <w:p>
      <w:pPr>
        <w:pStyle w:val="957"/>
        <w:ind w:firstLine="723"/>
        <w:jc w:val="center"/>
        <w:keepNext/>
        <w:spacing w:line="400" w:lineRule="exact"/>
        <w:rPr>
          <w:rFonts w:hint="eastAsia" w:ascii="方正仿宋_GB2312" w:hAnsi="方正仿宋_GB2312" w:eastAsia="方正仿宋_GB2312" w:cs="方正仿宋_GB2312"/>
          <w:bCs/>
          <w:color w:val="000000"/>
          <w:sz w:val="36"/>
          <w:szCs w:val="36"/>
          <w:highlight w:val="none"/>
        </w:rPr>
        <w:outlineLvl w:val="0"/>
      </w:pPr>
      <w:r>
        <w:rPr>
          <w:rFonts w:hint="eastAsia" w:ascii="方正仿宋_GB2312" w:hAnsi="方正仿宋_GB2312" w:eastAsia="方正仿宋_GB2312" w:cs="方正仿宋_GB2312"/>
          <w:b/>
          <w:color w:val="000000"/>
          <w:sz w:val="36"/>
          <w:szCs w:val="36"/>
          <w:highlight w:val="none"/>
        </w:rPr>
        <w:t xml:space="preserve">第五章  评标方法与评标</w:t>
      </w:r>
      <w:r>
        <w:rPr>
          <w:rFonts w:hint="eastAsia" w:ascii="方正仿宋_GB2312" w:hAnsi="方正仿宋_GB2312" w:eastAsia="方正仿宋_GB2312" w:cs="方正仿宋_GB2312"/>
          <w:b/>
          <w:bCs/>
          <w:color w:val="000000"/>
          <w:sz w:val="36"/>
          <w:szCs w:val="36"/>
          <w:highlight w:val="none"/>
        </w:rPr>
        <w:t xml:space="preserve">标准</w:t>
      </w:r>
      <w:bookmarkEnd w:id="198"/>
      <w:r>
        <w:rPr>
          <w:rFonts w:hint="eastAsia" w:ascii="方正仿宋_GB2312" w:hAnsi="方正仿宋_GB2312" w:eastAsia="方正仿宋_GB2312" w:cs="方正仿宋_GB2312"/>
          <w:bCs/>
          <w:color w:val="000000"/>
          <w:sz w:val="36"/>
          <w:szCs w:val="36"/>
          <w:highlight w:val="none"/>
        </w:rPr>
      </w:r>
      <w:r/>
    </w:p>
    <w:p>
      <w:pPr>
        <w:pStyle w:val="957"/>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一、评审方法：</w:t>
      </w:r>
      <w:r>
        <w:rPr>
          <w:rFonts w:hint="eastAsia" w:ascii="方正仿宋_GB2312" w:hAnsi="方正仿宋_GB2312" w:eastAsia="方正仿宋_GB2312" w:cs="方正仿宋_GB2312"/>
          <w:b/>
          <w:bCs/>
          <w:color w:val="000000"/>
          <w:sz w:val="24"/>
          <w:szCs w:val="24"/>
          <w:highlight w:val="none"/>
        </w:rPr>
      </w:r>
      <w:r/>
    </w:p>
    <w:p>
      <w:pPr>
        <w:pStyle w:val="957"/>
        <w:ind w:firstLine="555"/>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用综合评分法，由评标委员会对投标人资格进行审查，然后对符合资格的投标人的投标文件进行符合性审查，最后评标委员会对符合性审查合格的投标文件商务、技术部分进行评估，综合比较与评价。投标人商务、技术部分和价格部分的合计分值，为该投标人的评标总得分。</w:t>
      </w:r>
      <w:r>
        <w:rPr>
          <w:rFonts w:hint="eastAsia" w:ascii="方正仿宋_GB2312" w:hAnsi="方正仿宋_GB2312" w:eastAsia="方正仿宋_GB2312" w:cs="方正仿宋_GB2312"/>
          <w:color w:val="000000"/>
          <w:sz w:val="24"/>
          <w:szCs w:val="24"/>
          <w:highlight w:val="none"/>
        </w:rPr>
      </w:r>
      <w:r/>
    </w:p>
    <w:p>
      <w:pPr>
        <w:pStyle w:val="957"/>
        <w:ind w:firstLine="555"/>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评标结果按评审后得分由高到低顺序排列，确定中标候选人名单并按顺序确定中标人。得分相同的，按投标报价由低到高顺序排列。得分且投标报价相同的并列,按照技术指标优劣顺序推荐。</w:t>
      </w:r>
      <w:r>
        <w:rPr>
          <w:rFonts w:hint="eastAsia" w:ascii="方正仿宋_GB2312" w:hAnsi="方正仿宋_GB2312" w:eastAsia="方正仿宋_GB2312" w:cs="方正仿宋_GB2312"/>
          <w:b/>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二、政府采购政策功能落实</w:t>
      </w:r>
      <w:r>
        <w:rPr>
          <w:rFonts w:hint="eastAsia" w:ascii="方正仿宋_GB2312" w:hAnsi="方正仿宋_GB2312" w:eastAsia="方正仿宋_GB2312" w:cs="方正仿宋_GB2312"/>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1、小微型企业价格扣除</w:t>
      </w:r>
      <w:r>
        <w:rPr>
          <w:rFonts w:hint="eastAsia" w:ascii="方正仿宋_GB2312" w:hAnsi="方正仿宋_GB2312" w:eastAsia="方正仿宋_GB2312" w:cs="方正仿宋_GB2312"/>
          <w:bCs/>
          <w:color w:val="000000"/>
          <w:sz w:val="24"/>
          <w:szCs w:val="24"/>
          <w:highlight w:val="none"/>
        </w:rPr>
      </w:r>
      <w:r/>
    </w:p>
    <w:p>
      <w:pPr>
        <w:pStyle w:val="1028"/>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（1）本项目对小型和微型企业产品给予</w:t>
      </w:r>
      <w:r>
        <w:rPr>
          <w:rFonts w:hint="eastAsia" w:ascii="方正仿宋_GB2312" w:hAnsi="方正仿宋_GB2312" w:eastAsia="方正仿宋_GB2312" w:cs="方正仿宋_GB2312"/>
          <w:b/>
          <w:color w:val="000000"/>
          <w:sz w:val="24"/>
          <w:szCs w:val="24"/>
          <w:highlight w:val="none"/>
        </w:rPr>
        <w:t xml:space="preserve">10%的扣除价格</w:t>
      </w:r>
      <w:r>
        <w:rPr>
          <w:rFonts w:hint="eastAsia" w:ascii="方正仿宋_GB2312" w:hAnsi="方正仿宋_GB2312" w:eastAsia="方正仿宋_GB2312" w:cs="方正仿宋_GB2312"/>
          <w:bCs/>
          <w:color w:val="000000"/>
          <w:sz w:val="24"/>
          <w:szCs w:val="24"/>
          <w:highlight w:val="none"/>
        </w:rPr>
        <w:t xml:space="preserve">，用扣除后的价格参与评审。</w:t>
      </w:r>
      <w:r>
        <w:rPr>
          <w:rFonts w:hint="eastAsia" w:ascii="方正仿宋_GB2312" w:hAnsi="方正仿宋_GB2312" w:eastAsia="方正仿宋_GB2312" w:cs="方正仿宋_GB2312"/>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（2）供应商需按照《政府采购促进中小企业发展管理办法》（财库〔2020〕46号）的规定提供相应的《中小企业声明函》。</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（3）企业标准请参照《关于印发中小企业划型标准规定的通知》（工信部联企业〔2011〕300号）文件规定自行填写。</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2、残疾人福利单位价格扣除</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（1）本项目对残疾人福利性单位，给予</w:t>
      </w:r>
      <w:r>
        <w:rPr>
          <w:rFonts w:hint="eastAsia" w:ascii="方正仿宋_GB2312" w:hAnsi="方正仿宋_GB2312" w:eastAsia="方正仿宋_GB2312" w:cs="方正仿宋_GB2312"/>
          <w:b/>
          <w:color w:val="000000"/>
          <w:sz w:val="24"/>
          <w:szCs w:val="24"/>
          <w:highlight w:val="none"/>
        </w:rPr>
        <w:t xml:space="preserve">10%</w:t>
      </w:r>
      <w:r>
        <w:rPr>
          <w:rFonts w:hint="eastAsia" w:ascii="方正仿宋_GB2312" w:hAnsi="方正仿宋_GB2312" w:eastAsia="方正仿宋_GB2312" w:cs="方正仿宋_GB2312"/>
          <w:bCs/>
          <w:color w:val="000000"/>
          <w:sz w:val="24"/>
          <w:szCs w:val="24"/>
          <w:highlight w:val="none"/>
        </w:rPr>
        <w:t xml:space="preserve">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（2）残疾人福利单位需按照招标文件的要求提供《残疾人福利性单位声明函》。</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（3）残疾人福利单位标准请参照《关于促进残疾人就业政府采购政策的通知》（财库〔2017〕141号）。</w:t>
      </w:r>
      <w:r>
        <w:rPr>
          <w:rFonts w:hint="eastAsia" w:ascii="方正仿宋_GB2312" w:hAnsi="方正仿宋_GB2312" w:eastAsia="方正仿宋_GB2312" w:cs="方正仿宋_GB2312"/>
          <w:b/>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3、监狱和戒毒企业价格扣除</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（1）本项目对监狱和戒毒企业（简称监狱企业）给予</w:t>
      </w:r>
      <w:r>
        <w:rPr>
          <w:rFonts w:hint="eastAsia" w:ascii="方正仿宋_GB2312" w:hAnsi="方正仿宋_GB2312" w:eastAsia="方正仿宋_GB2312" w:cs="方正仿宋_GB2312"/>
          <w:b/>
          <w:color w:val="000000"/>
          <w:sz w:val="24"/>
          <w:szCs w:val="24"/>
          <w:highlight w:val="none"/>
        </w:rPr>
        <w:t xml:space="preserve">10%</w:t>
      </w:r>
      <w:r>
        <w:rPr>
          <w:rFonts w:hint="eastAsia" w:ascii="方正仿宋_GB2312" w:hAnsi="方正仿宋_GB2312" w:eastAsia="方正仿宋_GB2312" w:cs="方正仿宋_GB2312"/>
          <w:bCs/>
          <w:color w:val="000000"/>
          <w:sz w:val="24"/>
          <w:szCs w:val="24"/>
          <w:highlight w:val="none"/>
        </w:rPr>
        <w:t xml:space="preserve">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（3）监狱企业标准请参照《关于政府采购支持监狱企业发展有关问题的通知》（财库〔2014〕68号）。</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4、残疾人福利单位、监狱企业属于小型、微型企业的，不重复享受政策。</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5、如本项目同意联合体参加投标或同意分包履行合同的，大中型企业与小微企业（残疾人福利单位、监狱企业）组成联合体或者大中型企业向</w:t>
      </w:r>
      <w:r>
        <w:rPr>
          <w:rFonts w:hint="eastAsia" w:ascii="方正仿宋_GB2312" w:hAnsi="方正仿宋_GB2312" w:eastAsia="方正仿宋_GB2312" w:cs="方正仿宋_GB2312"/>
          <w:color w:val="000000"/>
          <w:sz w:val="24"/>
          <w:szCs w:val="28"/>
          <w:highlight w:val="none"/>
        </w:rPr>
        <w:t xml:space="preserve">一家或多家</w:t>
      </w:r>
      <w:r>
        <w:rPr>
          <w:rFonts w:hint="eastAsia" w:ascii="方正仿宋_GB2312" w:hAnsi="方正仿宋_GB2312" w:eastAsia="方正仿宋_GB2312" w:cs="方正仿宋_GB2312"/>
          <w:bCs/>
          <w:color w:val="000000"/>
          <w:sz w:val="24"/>
          <w:szCs w:val="24"/>
          <w:highlight w:val="none"/>
        </w:rPr>
        <w:t xml:space="preserve">小微企业（残疾人福利单位、监狱企业）分包的，对联合协议或者分包意向协议约定小微企业合同份额占到合同总金额30%以上的，对联合体或者大中型企业的报价给予4%的价格扣除，用扣除后的价格参与评审。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6、联合体各方均为小型、微型企业（残疾人福利单位、监狱企业）的，联合体享受10%价格扣除，用扣除后的价格参与评审。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7、专门面向中小企业采购的项目或者采购包，不再执行价格评审优惠的扶持政策。</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8、采购本国产品的支持政策</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方正仿宋_GB2312" w:hAnsi="方正仿宋_GB2312" w:eastAsia="方正仿宋_GB2312" w:cs="方正仿宋_GB2312"/>
          <w:bCs/>
          <w:color w:val="000000"/>
          <w:sz w:val="24"/>
          <w:szCs w:val="24"/>
          <w:highlight w:val="none"/>
        </w:rPr>
      </w:r>
      <w:r/>
    </w:p>
    <w:p>
      <w:pPr>
        <w:pStyle w:val="957"/>
        <w:ind w:firstLine="570"/>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9、根据《江苏省政府采购信用管理暂行办法》的规定，供应商信用评价结果为三星的扣2分，评价结果为二星的扣3分，评价结果为一星的扣4分。</w:t>
      </w:r>
      <w:r>
        <w:rPr>
          <w:rFonts w:hint="eastAsia" w:ascii="方正仿宋_GB2312" w:hAnsi="方正仿宋_GB2312" w:eastAsia="方正仿宋_GB2312" w:cs="方正仿宋_GB2312"/>
          <w:bCs/>
          <w:color w:val="000000"/>
          <w:sz w:val="24"/>
          <w:szCs w:val="24"/>
          <w:highlight w:val="none"/>
        </w:rPr>
      </w:r>
      <w:r/>
    </w:p>
    <w:p>
      <w:pPr>
        <w:pStyle w:val="957"/>
        <w:ind w:firstLine="482"/>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三、评标方法与评标标准</w:t>
      </w:r>
      <w:r>
        <w:rPr>
          <w:rFonts w:hint="eastAsia" w:ascii="方正仿宋_GB2312" w:hAnsi="方正仿宋_GB2312" w:eastAsia="方正仿宋_GB2312" w:cs="方正仿宋_GB2312"/>
          <w:b/>
          <w:color w:val="000000"/>
          <w:sz w:val="24"/>
          <w:szCs w:val="24"/>
          <w:highlight w:val="none"/>
        </w:rPr>
      </w:r>
      <w:r/>
    </w:p>
    <w:p>
      <w:pPr>
        <w:pStyle w:val="1028"/>
        <w:ind w:firstLine="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本项目采用综合评分法。评委会将按下列评审因素与评审标准进行评分，总分值为100分。</w:t>
      </w:r>
      <w:r>
        <w:rPr>
          <w:rFonts w:hint="eastAsia" w:ascii="方正仿宋_GB2312" w:hAnsi="方正仿宋_GB2312" w:eastAsia="方正仿宋_GB2312" w:cs="方正仿宋_GB2312"/>
          <w:color w:val="000000"/>
          <w:sz w:val="24"/>
          <w:szCs w:val="24"/>
          <w:highlight w:val="none"/>
        </w:rPr>
      </w:r>
      <w:r/>
    </w:p>
    <w:p>
      <w:pPr>
        <w:pStyle w:val="957"/>
        <w:numPr>
          <w:ilvl w:val="0"/>
          <w:numId w:val="8"/>
        </w:numP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价格分：30分</w:t>
      </w:r>
      <w:r>
        <w:rPr>
          <w:rFonts w:hint="eastAsia" w:ascii="方正仿宋_GB2312" w:hAnsi="方正仿宋_GB2312" w:eastAsia="方正仿宋_GB2312" w:cs="方正仿宋_GB2312"/>
          <w:b/>
          <w:bCs/>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价格分统一采用低价优先法计算，即满足招标文件要求且投标价格最低的投标报价为评标基准价，其价格分为满分。其他投标人的价格分统一按照下列公式计算：</w:t>
      </w:r>
      <w:r>
        <w:rPr>
          <w:rFonts w:hint="eastAsia" w:ascii="方正仿宋_GB2312" w:hAnsi="方正仿宋_GB2312" w:eastAsia="方正仿宋_GB2312" w:cs="方正仿宋_GB2312"/>
          <w:color w:val="000000"/>
          <w:sz w:val="24"/>
          <w:szCs w:val="24"/>
          <w:highlight w:val="none"/>
        </w:rPr>
      </w:r>
      <w:r/>
    </w:p>
    <w:p>
      <w:pPr>
        <w:pStyle w:val="991"/>
        <w:ind w:left="0" w:firstLine="480"/>
        <w:spacing w:after="0"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投标报价得分=（评标基准价/投标报价）×价格权值×100</w:t>
      </w:r>
      <w:r>
        <w:rPr>
          <w:rFonts w:hint="eastAsia" w:ascii="方正仿宋_GB2312" w:hAnsi="方正仿宋_GB2312" w:eastAsia="方正仿宋_GB2312" w:cs="方正仿宋_GB2312"/>
          <w:b/>
          <w:bCs/>
          <w:color w:val="000000"/>
          <w:sz w:val="24"/>
          <w:szCs w:val="24"/>
          <w:highlight w:val="none"/>
        </w:rPr>
      </w:r>
      <w:r/>
    </w:p>
    <w:p>
      <w:pPr>
        <w:pStyle w:val="957"/>
        <w:numPr>
          <w:ilvl w:val="0"/>
          <w:numId w:val="8"/>
        </w:numP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商务技术分：70分。</w:t>
      </w:r>
      <w:r>
        <w:rPr>
          <w:rFonts w:hint="eastAsia" w:ascii="方正仿宋_GB2312" w:hAnsi="方正仿宋_GB2312" w:eastAsia="方正仿宋_GB2312" w:cs="方正仿宋_GB2312"/>
          <w:b/>
          <w:bCs/>
          <w:color w:val="000000"/>
          <w:sz w:val="24"/>
          <w:szCs w:val="24"/>
          <w:highlight w:val="none"/>
        </w:rPr>
      </w:r>
      <w:r/>
    </w:p>
    <w:p>
      <w:pPr>
        <w:pStyle w:val="957"/>
        <w:ind w:firstLine="241"/>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商务技术分是所有评委评分的算术平均值，分值保留小数点后两位。</w:t>
      </w:r>
      <w:r>
        <w:rPr>
          <w:rFonts w:hint="eastAsia" w:ascii="方正仿宋_GB2312" w:hAnsi="方正仿宋_GB2312" w:eastAsia="方正仿宋_GB2312" w:cs="方正仿宋_GB2312"/>
          <w:b/>
          <w:color w:val="000000"/>
          <w:sz w:val="24"/>
          <w:szCs w:val="24"/>
          <w:highlight w:val="none"/>
        </w:rPr>
      </w:r>
      <w:r/>
    </w:p>
    <w:tbl>
      <w:tblPr>
        <w:tblW w:w="53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0"/>
        <w:gridCol w:w="1443"/>
        <w:gridCol w:w="915"/>
        <w:gridCol w:w="7234"/>
      </w:tblGrid>
      <w:tr>
        <w:trPr>
          <w:trHeight w:val="506"/>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序号</w:t>
            </w:r>
            <w:r>
              <w:rPr>
                <w:rFonts w:hint="eastAsia" w:ascii="方正仿宋_GB2312" w:hAnsi="方正仿宋_GB2312" w:eastAsia="方正仿宋_GB2312" w:cs="方正仿宋_GB2312"/>
                <w:b/>
                <w:bCs/>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评分类别</w:t>
            </w:r>
            <w:r>
              <w:rPr>
                <w:rFonts w:hint="eastAsia" w:ascii="方正仿宋_GB2312" w:hAnsi="方正仿宋_GB2312" w:eastAsia="方正仿宋_GB2312" w:cs="方正仿宋_GB2312"/>
                <w:b/>
                <w:bCs/>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分值</w:t>
            </w:r>
            <w:r>
              <w:rPr>
                <w:rFonts w:hint="eastAsia" w:ascii="方正仿宋_GB2312" w:hAnsi="方正仿宋_GB2312" w:eastAsia="方正仿宋_GB2312" w:cs="方正仿宋_GB2312"/>
                <w:b/>
                <w:bCs/>
                <w:color w:val="000000"/>
                <w:sz w:val="24"/>
                <w:szCs w:val="24"/>
                <w:highlight w:val="none"/>
              </w:rPr>
            </w:r>
            <w:r/>
          </w:p>
        </w:tc>
        <w:tc>
          <w:tcPr>
            <w:tcW w:w="3464" w:type="dxa"/>
            <w:vAlign w:val="center"/>
            <w:textDirection w:val="lrTb"/>
            <w:noWrap w:val="false"/>
          </w:tcPr>
          <w:p>
            <w:pPr>
              <w:pStyle w:val="957"/>
              <w:ind w:firstLine="482"/>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评分标准</w:t>
            </w:r>
            <w:r>
              <w:rPr>
                <w:rFonts w:hint="eastAsia" w:ascii="方正仿宋_GB2312" w:hAnsi="方正仿宋_GB2312" w:eastAsia="方正仿宋_GB2312" w:cs="方正仿宋_GB2312"/>
                <w:b/>
                <w:bCs/>
                <w:color w:val="000000"/>
                <w:sz w:val="24"/>
                <w:szCs w:val="24"/>
                <w:highlight w:val="none"/>
              </w:rPr>
            </w:r>
            <w:r/>
          </w:p>
        </w:tc>
      </w:tr>
      <w:tr>
        <w:trPr>
          <w:trHeight w:val="500"/>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人员配置</w:t>
            </w:r>
            <w:r>
              <w:rPr>
                <w:rFonts w:hint="eastAsia" w:ascii="方正仿宋_GB2312" w:hAnsi="方正仿宋_GB2312" w:eastAsia="方正仿宋_GB2312" w:cs="方正仿宋_GB2312"/>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en-US" w:eastAsia="zh-CN"/>
              </w:rPr>
              <w:t xml:space="preserve">1</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（1）项目负责人具有注</w:t>
            </w:r>
            <w:r>
              <w:rPr>
                <w:rFonts w:hint="eastAsia" w:ascii="方正仿宋_GB2312" w:hAnsi="方正仿宋_GB2312" w:eastAsia="方正仿宋_GB2312" w:cs="方正仿宋_GB2312"/>
                <w:color w:val="000000"/>
                <w:sz w:val="24"/>
                <w:szCs w:val="24"/>
                <w:highlight w:val="none"/>
              </w:rPr>
              <w:t xml:space="preserve">册环境影响评价工程师证</w:t>
            </w:r>
            <w:r>
              <w:rPr>
                <w:rFonts w:hint="eastAsia" w:ascii="方正仿宋_GB2312" w:hAnsi="方正仿宋_GB2312" w:eastAsia="方正仿宋_GB2312" w:cs="方正仿宋_GB2312"/>
                <w:color w:val="000000"/>
                <w:sz w:val="24"/>
                <w:szCs w:val="24"/>
                <w:highlight w:val="none"/>
              </w:rPr>
              <w:t xml:space="preserve">书、</w:t>
            </w:r>
            <w:r>
              <w:rPr>
                <w:rFonts w:hint="eastAsia" w:ascii="方正仿宋_GB2312" w:hAnsi="方正仿宋_GB2312" w:eastAsia="方正仿宋_GB2312" w:cs="方正仿宋_GB2312"/>
                <w:color w:val="000000"/>
                <w:sz w:val="24"/>
                <w:szCs w:val="24"/>
                <w:highlight w:val="none"/>
              </w:rPr>
              <w:t xml:space="preserve">注册环保工程师</w:t>
            </w:r>
            <w:r>
              <w:rPr>
                <w:rFonts w:hint="eastAsia" w:ascii="方正仿宋_GB2312" w:hAnsi="方正仿宋_GB2312" w:eastAsia="方正仿宋_GB2312" w:cs="方正仿宋_GB2312"/>
                <w:color w:val="000000"/>
                <w:sz w:val="24"/>
                <w:szCs w:val="24"/>
                <w:highlight w:val="none"/>
              </w:rPr>
              <w:t xml:space="preserve">证书且同时具备环境保护类</w:t>
            </w:r>
            <w:r>
              <w:rPr>
                <w:rFonts w:hint="eastAsia" w:ascii="方正仿宋_GB2312" w:hAnsi="方正仿宋_GB2312" w:eastAsia="方正仿宋_GB2312" w:cs="方正仿宋_GB2312"/>
                <w:color w:val="000000"/>
                <w:sz w:val="24"/>
                <w:szCs w:val="24"/>
                <w:highlight w:val="none"/>
                <w:lang w:val="en-US" w:eastAsia="zh-CN"/>
              </w:rPr>
              <w:t xml:space="preserve">专业</w:t>
            </w:r>
            <w:r>
              <w:rPr>
                <w:rFonts w:hint="eastAsia" w:ascii="方正仿宋_GB2312" w:hAnsi="方正仿宋_GB2312" w:eastAsia="方正仿宋_GB2312" w:cs="方正仿宋_GB2312"/>
                <w:color w:val="000000"/>
                <w:sz w:val="24"/>
                <w:szCs w:val="24"/>
                <w:highlight w:val="none"/>
              </w:rPr>
              <w:t xml:space="preserve">高级工程师及以上职称的得</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分，没有不得分。</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（2）拟派项目组成员中（项目负责人除外）具有注册</w:t>
            </w:r>
            <w:r>
              <w:rPr>
                <w:rFonts w:hint="eastAsia" w:ascii="方正仿宋_GB2312" w:hAnsi="方正仿宋_GB2312" w:eastAsia="方正仿宋_GB2312" w:cs="方正仿宋_GB2312"/>
                <w:color w:val="000000"/>
                <w:sz w:val="24"/>
                <w:szCs w:val="24"/>
                <w:highlight w:val="none"/>
              </w:rPr>
              <w:t xml:space="preserve">环境影响评价工程师</w:t>
            </w:r>
            <w:r>
              <w:rPr>
                <w:rFonts w:hint="eastAsia" w:ascii="方正仿宋_GB2312" w:hAnsi="方正仿宋_GB2312" w:eastAsia="方正仿宋_GB2312" w:cs="方正仿宋_GB2312"/>
                <w:color w:val="000000"/>
                <w:sz w:val="24"/>
                <w:szCs w:val="24"/>
                <w:highlight w:val="none"/>
                <w:lang w:val="en-US" w:eastAsia="zh-CN"/>
              </w:rPr>
              <w:t xml:space="preserve">证书</w:t>
            </w:r>
            <w:r>
              <w:rPr>
                <w:rFonts w:hint="eastAsia" w:ascii="方正仿宋_GB2312" w:hAnsi="方正仿宋_GB2312" w:eastAsia="方正仿宋_GB2312" w:cs="方正仿宋_GB2312"/>
                <w:color w:val="000000"/>
                <w:sz w:val="24"/>
                <w:szCs w:val="24"/>
                <w:highlight w:val="none"/>
              </w:rPr>
              <w:t xml:space="preserve">且同时具备环境保护类专业高级及以上工程师职称的，每有1人得1分，本项最</w:t>
            </w:r>
            <w:r>
              <w:rPr>
                <w:rFonts w:hint="eastAsia" w:ascii="方正仿宋_GB2312" w:hAnsi="方正仿宋_GB2312" w:eastAsia="方正仿宋_GB2312" w:cs="方正仿宋_GB2312"/>
                <w:color w:val="000000"/>
                <w:sz w:val="24"/>
                <w:szCs w:val="24"/>
                <w:highlight w:val="none"/>
                <w:lang w:val="en-US" w:eastAsia="zh-CN"/>
              </w:rPr>
              <w:t xml:space="preserve">高</w:t>
            </w:r>
            <w:r>
              <w:rPr>
                <w:rFonts w:hint="eastAsia" w:ascii="方正仿宋_GB2312" w:hAnsi="方正仿宋_GB2312" w:eastAsia="方正仿宋_GB2312" w:cs="方正仿宋_GB2312"/>
                <w:color w:val="000000"/>
                <w:sz w:val="24"/>
                <w:szCs w:val="24"/>
                <w:highlight w:val="none"/>
              </w:rPr>
              <w:t xml:space="preserve">得6分。</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lang w:val="en-US" w:eastAsia="zh-CN"/>
              </w:rPr>
            </w:pPr>
            <w:r>
              <w:rPr>
                <w:rFonts w:hint="eastAsia" w:ascii="方正仿宋_GB2312" w:hAnsi="方正仿宋_GB2312" w:eastAsia="方正仿宋_GB2312" w:cs="方正仿宋_GB2312"/>
                <w:color w:val="000000"/>
                <w:sz w:val="24"/>
                <w:szCs w:val="24"/>
                <w:highlight w:val="none"/>
              </w:rPr>
              <w:t xml:space="preserve">（3）投标单位拟派项目组成员参与过生态环境保护类标准制订工作的</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以</w:t>
            </w:r>
            <w:r>
              <w:rPr>
                <w:rFonts w:hint="eastAsia" w:ascii="方正仿宋_GB2312" w:hAnsi="方正仿宋_GB2312" w:eastAsia="方正仿宋_GB2312" w:cs="方正仿宋_GB2312"/>
                <w:color w:val="000000"/>
                <w:sz w:val="24"/>
                <w:szCs w:val="24"/>
                <w:highlight w:val="none"/>
              </w:rPr>
              <w:t xml:space="preserve">生态环境主管部门发</w:t>
            </w:r>
            <w:r>
              <w:rPr>
                <w:rFonts w:hint="eastAsia" w:ascii="方正仿宋_GB2312" w:hAnsi="方正仿宋_GB2312" w:eastAsia="方正仿宋_GB2312" w:cs="方正仿宋_GB2312"/>
                <w:color w:val="000000"/>
                <w:sz w:val="24"/>
                <w:szCs w:val="24"/>
                <w:highlight w:val="none"/>
                <w:lang w:val="en-US" w:eastAsia="zh-CN"/>
              </w:rPr>
              <w:t xml:space="preserve">放</w:t>
            </w:r>
            <w:r>
              <w:rPr>
                <w:rFonts w:hint="eastAsia" w:ascii="方正仿宋_GB2312" w:hAnsi="方正仿宋_GB2312" w:eastAsia="方正仿宋_GB2312" w:cs="方正仿宋_GB2312"/>
                <w:color w:val="000000"/>
                <w:sz w:val="24"/>
                <w:szCs w:val="24"/>
                <w:highlight w:val="none"/>
              </w:rPr>
              <w:t xml:space="preserve">的标准编制工作证书</w:t>
            </w:r>
            <w:r>
              <w:rPr>
                <w:rFonts w:hint="eastAsia" w:ascii="方正仿宋_GB2312" w:hAnsi="方正仿宋_GB2312" w:eastAsia="方正仿宋_GB2312" w:cs="方正仿宋_GB2312"/>
                <w:color w:val="000000"/>
                <w:sz w:val="24"/>
                <w:szCs w:val="24"/>
                <w:highlight w:val="none"/>
                <w:lang w:val="en-US" w:eastAsia="zh-CN"/>
              </w:rPr>
              <w:t xml:space="preserve">为准</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，每参与1项标准得2分，本项满分12分。同一标准多人参与的，不重复计分。</w:t>
            </w:r>
            <w:r>
              <w:rPr>
                <w:rFonts w:hint="eastAsia" w:ascii="方正仿宋_GB2312" w:hAnsi="方正仿宋_GB2312" w:eastAsia="方正仿宋_GB2312" w:cs="方正仿宋_GB2312"/>
                <w:color w:val="000000"/>
                <w:sz w:val="24"/>
                <w:szCs w:val="24"/>
                <w:highlight w:val="none"/>
                <w:lang w:val="en-US" w:eastAsia="zh-CN"/>
              </w:rPr>
            </w:r>
            <w:r/>
          </w:p>
          <w:p>
            <w:pPr>
              <w:pStyle w:val="957"/>
              <w:spacing w:line="400" w:lineRule="exact"/>
              <w:rPr>
                <w:rFonts w:hint="eastAsia" w:ascii="方正仿宋_GB2312" w:hAnsi="方正仿宋_GB2312" w:eastAsia="方正仿宋_GB2312" w:cs="方正仿宋_GB2312"/>
                <w:b/>
                <w:bCs/>
                <w:color w:val="000000"/>
                <w:sz w:val="24"/>
                <w:szCs w:val="24"/>
                <w:highlight w:val="none"/>
                <w:lang w:val="zh-CN"/>
              </w:rPr>
            </w:pPr>
            <w:r>
              <w:rPr>
                <w:rFonts w:hint="eastAsia" w:ascii="方正仿宋_GB2312" w:hAnsi="方正仿宋_GB2312" w:eastAsia="方正仿宋_GB2312" w:cs="方正仿宋_GB2312"/>
                <w:b/>
                <w:bCs/>
                <w:color w:val="000000"/>
                <w:sz w:val="24"/>
                <w:szCs w:val="24"/>
                <w:highlight w:val="none"/>
              </w:rPr>
              <w:t xml:space="preserve">注：1.</w:t>
            </w:r>
            <w:r>
              <w:rPr>
                <w:rFonts w:hint="eastAsia" w:ascii="方正仿宋_GB2312" w:hAnsi="方正仿宋_GB2312" w:eastAsia="方正仿宋_GB2312" w:cs="方正仿宋_GB2312"/>
                <w:b/>
                <w:bCs/>
                <w:color w:val="000000"/>
                <w:sz w:val="24"/>
                <w:szCs w:val="24"/>
                <w:highlight w:val="none"/>
                <w:lang w:val="zh-CN"/>
              </w:rPr>
              <w:t xml:space="preserve">同一人员在</w:t>
            </w:r>
            <w:r>
              <w:rPr>
                <w:rFonts w:hint="eastAsia" w:ascii="方正仿宋_GB2312" w:hAnsi="方正仿宋_GB2312" w:eastAsia="方正仿宋_GB2312" w:cs="方正仿宋_GB2312"/>
                <w:b/>
                <w:bCs/>
                <w:color w:val="000000"/>
                <w:sz w:val="24"/>
                <w:szCs w:val="24"/>
                <w:highlight w:val="none"/>
                <w:lang w:val="en-US" w:eastAsia="zh-CN"/>
              </w:rPr>
              <w:t xml:space="preserve">以上（1）、（2）、（3）不同</w:t>
            </w:r>
            <w:r>
              <w:rPr>
                <w:rFonts w:hint="eastAsia" w:ascii="方正仿宋_GB2312" w:hAnsi="方正仿宋_GB2312" w:eastAsia="方正仿宋_GB2312" w:cs="方正仿宋_GB2312"/>
                <w:b/>
                <w:bCs/>
                <w:color w:val="000000"/>
                <w:sz w:val="24"/>
                <w:szCs w:val="24"/>
                <w:highlight w:val="none"/>
                <w:lang w:val="zh-CN"/>
              </w:rPr>
              <w:t xml:space="preserve">评分项中不重复计分，按得分最高的一项计算。</w:t>
            </w:r>
            <w:r>
              <w:rPr>
                <w:rFonts w:hint="eastAsia" w:ascii="方正仿宋_GB2312" w:hAnsi="方正仿宋_GB2312" w:eastAsia="方正仿宋_GB2312" w:cs="方正仿宋_GB2312"/>
                <w:b/>
                <w:bCs/>
                <w:color w:val="000000"/>
                <w:sz w:val="24"/>
                <w:szCs w:val="24"/>
                <w:highlight w:val="none"/>
                <w:lang w:val="zh-CN"/>
              </w:rPr>
            </w:r>
            <w:r/>
          </w:p>
          <w:p>
            <w:pPr>
              <w:pStyle w:val="957"/>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
                <w:bCs/>
                <w:color w:val="000000"/>
                <w:sz w:val="24"/>
                <w:szCs w:val="24"/>
                <w:highlight w:val="none"/>
              </w:rPr>
              <w:t xml:space="preserve">    2.提供以上人员身份证、相</w:t>
            </w:r>
            <w:r>
              <w:rPr>
                <w:rFonts w:hint="eastAsia" w:ascii="方正仿宋_GB2312" w:hAnsi="方正仿宋_GB2312" w:eastAsia="方正仿宋_GB2312" w:cs="方正仿宋_GB2312"/>
                <w:b/>
                <w:bCs/>
                <w:color w:val="000000"/>
                <w:sz w:val="24"/>
                <w:szCs w:val="24"/>
                <w:highlight w:val="none"/>
                <w:lang w:val="en-US" w:eastAsia="zh-CN"/>
              </w:rPr>
              <w:t xml:space="preserve">对</w:t>
            </w:r>
            <w:r>
              <w:rPr>
                <w:rFonts w:hint="eastAsia" w:ascii="方正仿宋_GB2312" w:hAnsi="方正仿宋_GB2312" w:eastAsia="方正仿宋_GB2312" w:cs="方正仿宋_GB2312"/>
                <w:b/>
                <w:bCs/>
                <w:color w:val="000000"/>
                <w:sz w:val="24"/>
                <w:szCs w:val="24"/>
                <w:highlight w:val="none"/>
                <w:lang w:val="en-US" w:eastAsia="zh-CN"/>
              </w:rPr>
              <w:t xml:space="preserve">应的</w:t>
            </w:r>
            <w:r>
              <w:rPr>
                <w:rFonts w:hint="eastAsia" w:ascii="方正仿宋_GB2312" w:hAnsi="方正仿宋_GB2312" w:eastAsia="方正仿宋_GB2312" w:cs="方正仿宋_GB2312"/>
                <w:b/>
                <w:bCs/>
                <w:color w:val="000000"/>
                <w:sz w:val="24"/>
                <w:szCs w:val="24"/>
                <w:highlight w:val="none"/>
              </w:rPr>
              <w:t xml:space="preserve">证书及由社保部门出具的投标单位为其办理的2026年6月份</w:t>
            </w:r>
            <w:r>
              <w:rPr>
                <w:rFonts w:hint="eastAsia" w:ascii="方正仿宋_GB2312" w:hAnsi="方正仿宋_GB2312" w:eastAsia="方正仿宋_GB2312" w:cs="方正仿宋_GB2312"/>
                <w:b/>
                <w:bCs/>
                <w:color w:val="000000"/>
                <w:sz w:val="24"/>
                <w:szCs w:val="24"/>
                <w:highlight w:val="none"/>
                <w:lang w:val="en-US" w:eastAsia="zh-CN"/>
              </w:rPr>
              <w:t xml:space="preserve">至</w:t>
            </w:r>
            <w:r>
              <w:rPr>
                <w:rFonts w:hint="eastAsia" w:ascii="方正仿宋_GB2312" w:hAnsi="方正仿宋_GB2312" w:eastAsia="方正仿宋_GB2312" w:cs="方正仿宋_GB2312"/>
                <w:b/>
                <w:bCs/>
                <w:color w:val="000000"/>
                <w:sz w:val="24"/>
                <w:szCs w:val="24"/>
                <w:highlight w:val="none"/>
              </w:rPr>
              <w:t xml:space="preserve">2026年8月份</w:t>
            </w:r>
            <w:r>
              <w:rPr>
                <w:rFonts w:hint="eastAsia" w:ascii="方正仿宋_GB2312" w:hAnsi="方正仿宋_GB2312" w:eastAsia="方正仿宋_GB2312" w:cs="方正仿宋_GB2312"/>
                <w:b/>
                <w:bCs/>
                <w:color w:val="000000"/>
                <w:sz w:val="24"/>
                <w:szCs w:val="24"/>
                <w:highlight w:val="none"/>
                <w:lang w:val="en-US" w:eastAsia="zh-CN"/>
              </w:rPr>
              <w:t xml:space="preserve">任</w:t>
            </w:r>
            <w:r>
              <w:rPr>
                <w:rFonts w:hint="eastAsia" w:ascii="方正仿宋_GB2312" w:hAnsi="方正仿宋_GB2312" w:eastAsia="方正仿宋_GB2312" w:cs="方正仿宋_GB2312"/>
                <w:b/>
                <w:bCs/>
                <w:color w:val="000000"/>
                <w:sz w:val="24"/>
                <w:szCs w:val="24"/>
                <w:highlight w:val="none"/>
                <w:lang w:val="en-US" w:eastAsia="zh-CN"/>
              </w:rPr>
              <w:t xml:space="preserve">意</w:t>
            </w:r>
            <w:r>
              <w:rPr>
                <w:rFonts w:hint="eastAsia" w:ascii="方正仿宋_GB2312" w:hAnsi="方正仿宋_GB2312" w:eastAsia="方正仿宋_GB2312" w:cs="方正仿宋_GB2312"/>
                <w:b/>
                <w:bCs/>
                <w:color w:val="000000"/>
                <w:sz w:val="24"/>
                <w:szCs w:val="24"/>
                <w:highlight w:val="none"/>
              </w:rPr>
              <w:t xml:space="preserve">一个月养老保险缴费记录扫描件</w:t>
            </w:r>
            <w:r>
              <w:rPr>
                <w:rFonts w:hint="eastAsia" w:ascii="方正仿宋_GB2312" w:hAnsi="方正仿宋_GB2312" w:eastAsia="方正仿宋_GB2312" w:cs="方正仿宋_GB2312"/>
                <w:b/>
                <w:bCs/>
                <w:color w:val="000000"/>
                <w:sz w:val="24"/>
                <w:szCs w:val="24"/>
                <w:highlight w:val="none"/>
              </w:rPr>
              <w:t xml:space="preserve">并加盖投标人公章</w:t>
            </w:r>
            <w:r>
              <w:rPr>
                <w:rFonts w:hint="eastAsia" w:ascii="方正仿宋_GB2312" w:hAnsi="方正仿宋_GB2312" w:eastAsia="方正仿宋_GB2312" w:cs="方正仿宋_GB2312"/>
                <w:b/>
                <w:bCs/>
                <w:color w:val="000000"/>
                <w:sz w:val="24"/>
                <w:szCs w:val="24"/>
                <w:highlight w:val="none"/>
              </w:rPr>
              <w:t xml:space="preserve">）。</w:t>
            </w:r>
            <w:r>
              <w:rPr>
                <w:rFonts w:hint="eastAsia" w:ascii="方正仿宋_GB2312" w:hAnsi="方正仿宋_GB2312" w:eastAsia="方正仿宋_GB2312" w:cs="方正仿宋_GB2312"/>
                <w:color w:val="000000"/>
                <w:highlight w:val="none"/>
              </w:rPr>
            </w:r>
            <w:r/>
          </w:p>
        </w:tc>
      </w:tr>
      <w:tr>
        <w:trPr>
          <w:trHeight w:val="3175"/>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lang w:val="zh-CN"/>
              </w:rPr>
              <w:t xml:space="preserve">综合实力</w:t>
            </w:r>
            <w:r>
              <w:rPr>
                <w:rFonts w:hint="eastAsia" w:ascii="方正仿宋_GB2312" w:hAnsi="方正仿宋_GB2312" w:eastAsia="方正仿宋_GB2312" w:cs="方正仿宋_GB2312"/>
                <w:color w:val="000000"/>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lang w:val="en-US" w:eastAsia="zh-CN"/>
              </w:rPr>
              <w:t xml:space="preserve">9</w:t>
            </w:r>
            <w:r>
              <w:rPr>
                <w:rFonts w:hint="eastAsia" w:ascii="方正仿宋_GB2312" w:hAnsi="方正仿宋_GB2312" w:eastAsia="方正仿宋_GB2312" w:cs="方正仿宋_GB2312"/>
                <w:color w:val="000000"/>
                <w:sz w:val="24"/>
                <w:szCs w:val="24"/>
                <w:highlight w:val="none"/>
              </w:rPr>
              <w:t xml:space="preserve">分 </w:t>
            </w:r>
            <w:r>
              <w:rPr>
                <w:rFonts w:hint="eastAsia" w:ascii="方正仿宋_GB2312" w:hAnsi="方正仿宋_GB2312" w:eastAsia="方正仿宋_GB2312" w:cs="方正仿宋_GB2312"/>
                <w:color w:val="000000"/>
                <w:highlight w:val="none"/>
              </w:rPr>
            </w:r>
            <w:r/>
          </w:p>
        </w:tc>
        <w:tc>
          <w:tcPr>
            <w:tcW w:w="3464" w:type="dxa"/>
            <w:vAlign w:val="center"/>
            <w:textDirection w:val="lrTb"/>
            <w:noWrap w:val="false"/>
          </w:tcPr>
          <w:p>
            <w:pPr>
              <w:pStyle w:val="957"/>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（1）投标人具有有效期内的质量、环境和职业健康安全管理三体系认证，每提供1项得1分，本项最</w:t>
            </w:r>
            <w:r>
              <w:rPr>
                <w:rFonts w:hint="eastAsia" w:ascii="方正仿宋_GB2312" w:hAnsi="方正仿宋_GB2312" w:eastAsia="方正仿宋_GB2312" w:cs="方正仿宋_GB2312"/>
                <w:color w:val="000000"/>
                <w:sz w:val="24"/>
                <w:szCs w:val="24"/>
                <w:highlight w:val="none"/>
                <w:u w:val="none"/>
                <w:lang w:val="en-US" w:eastAsia="zh-CN"/>
              </w:rPr>
              <w:t xml:space="preserve">高</w:t>
            </w:r>
            <w:r>
              <w:rPr>
                <w:rFonts w:hint="eastAsia" w:ascii="方正仿宋_GB2312" w:hAnsi="方正仿宋_GB2312" w:eastAsia="方正仿宋_GB2312" w:cs="方正仿宋_GB2312"/>
                <w:color w:val="000000"/>
                <w:sz w:val="24"/>
                <w:szCs w:val="24"/>
                <w:highlight w:val="none"/>
              </w:rPr>
              <w:t xml:space="preserve">得3分。</w:t>
            </w:r>
            <w:r>
              <w:rPr>
                <w:rFonts w:hint="eastAsia" w:ascii="方正仿宋_GB2312" w:hAnsi="方正仿宋_GB2312" w:eastAsia="方正仿宋_GB2312" w:cs="方正仿宋_GB2312"/>
                <w:b/>
                <w:bCs/>
                <w:color w:val="000000"/>
                <w:sz w:val="24"/>
                <w:szCs w:val="24"/>
                <w:highlight w:val="none"/>
              </w:rPr>
              <w:t xml:space="preserve">须提供有效期内的体系认证证书扫描件。</w:t>
            </w:r>
            <w:r>
              <w:rPr>
                <w:rFonts w:hint="eastAsia" w:ascii="方正仿宋_GB2312" w:hAnsi="方正仿宋_GB2312" w:eastAsia="方正仿宋_GB2312" w:cs="方正仿宋_GB2312"/>
                <w:b/>
                <w:bCs/>
                <w:color w:val="000000"/>
                <w:sz w:val="24"/>
                <w:szCs w:val="24"/>
                <w:highlight w:val="none"/>
              </w:rPr>
            </w:r>
            <w:r/>
          </w:p>
          <w:p>
            <w:pPr>
              <w:pStyle w:val="957"/>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w:t>
            </w:r>
            <w:r>
              <w:rPr>
                <w:rFonts w:hint="eastAsia" w:ascii="方正仿宋_GB2312" w:hAnsi="方正仿宋_GB2312" w:eastAsia="方正仿宋_GB2312" w:cs="方正仿宋_GB2312"/>
                <w:color w:val="000000"/>
                <w:sz w:val="24"/>
                <w:szCs w:val="24"/>
                <w:highlight w:val="none"/>
                <w:lang w:val="en-US" w:eastAsia="zh-CN"/>
              </w:rPr>
              <w:t xml:space="preserve">人</w:t>
            </w:r>
            <w:r>
              <w:rPr>
                <w:rFonts w:hint="eastAsia" w:ascii="方正仿宋_GB2312" w:hAnsi="方正仿宋_GB2312" w:eastAsia="方正仿宋_GB2312" w:cs="方正仿宋_GB2312"/>
                <w:color w:val="000000"/>
                <w:sz w:val="24"/>
                <w:szCs w:val="24"/>
                <w:highlight w:val="none"/>
              </w:rPr>
              <w:t xml:space="preserve">具备环境污染治理工程设计能力评价甲级或同等级别最高等级证书得</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分，乙级或次等级证书得</w:t>
            </w:r>
            <w:r>
              <w:rPr>
                <w:rFonts w:hint="eastAsia" w:ascii="方正仿宋_GB2312" w:hAnsi="方正仿宋_GB2312" w:eastAsia="方正仿宋_GB2312" w:cs="方正仿宋_GB2312"/>
                <w:color w:val="000000"/>
                <w:sz w:val="24"/>
                <w:szCs w:val="24"/>
                <w:highlight w:val="none"/>
                <w:lang w:val="en-US" w:eastAsia="zh-CN"/>
              </w:rPr>
              <w:t xml:space="preserve">2</w:t>
            </w:r>
            <w:r>
              <w:rPr>
                <w:rFonts w:hint="eastAsia" w:ascii="方正仿宋_GB2312" w:hAnsi="方正仿宋_GB2312" w:eastAsia="方正仿宋_GB2312" w:cs="方正仿宋_GB2312"/>
                <w:color w:val="000000"/>
                <w:sz w:val="24"/>
                <w:szCs w:val="24"/>
                <w:highlight w:val="none"/>
              </w:rPr>
              <w:t xml:space="preserve">分，本项最高得</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分。</w:t>
            </w:r>
            <w:r>
              <w:rPr>
                <w:rFonts w:hint="eastAsia" w:ascii="方正仿宋_GB2312" w:hAnsi="方正仿宋_GB2312" w:eastAsia="方正仿宋_GB2312" w:cs="方正仿宋_GB2312"/>
                <w:b/>
                <w:bCs/>
                <w:color w:val="000000"/>
                <w:sz w:val="24"/>
                <w:szCs w:val="24"/>
                <w:highlight w:val="none"/>
              </w:rPr>
              <w:t xml:space="preserve">须提供证书扫描件。</w:t>
            </w:r>
            <w:r>
              <w:rPr>
                <w:rFonts w:hint="eastAsia" w:ascii="方正仿宋_GB2312" w:hAnsi="方正仿宋_GB2312" w:eastAsia="方正仿宋_GB2312" w:cs="方正仿宋_GB2312"/>
                <w:b/>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lang w:val="en-US" w:eastAsia="zh-CN"/>
              </w:rPr>
              <w:t xml:space="preserve">3</w:t>
            </w:r>
            <w:r>
              <w:rPr>
                <w:rFonts w:hint="eastAsia" w:ascii="方正仿宋_GB2312" w:hAnsi="方正仿宋_GB2312" w:eastAsia="方正仿宋_GB2312" w:cs="方正仿宋_GB2312"/>
                <w:color w:val="000000"/>
                <w:sz w:val="24"/>
                <w:szCs w:val="24"/>
                <w:highlight w:val="none"/>
              </w:rPr>
              <w:t xml:space="preserve">）投标人拥有土壤</w:t>
            </w:r>
            <w:r>
              <w:rPr>
                <w:rFonts w:hint="eastAsia" w:ascii="方正仿宋_GB2312" w:hAnsi="方正仿宋_GB2312" w:eastAsia="方正仿宋_GB2312" w:cs="方正仿宋_GB2312"/>
                <w:color w:val="000000"/>
                <w:sz w:val="24"/>
                <w:szCs w:val="24"/>
                <w:highlight w:val="none"/>
                <w:lang w:val="en-US" w:eastAsia="zh-CN"/>
              </w:rPr>
              <w:t xml:space="preserve">或</w:t>
            </w:r>
            <w:r>
              <w:rPr>
                <w:rFonts w:hint="eastAsia" w:ascii="方正仿宋_GB2312" w:hAnsi="方正仿宋_GB2312" w:eastAsia="方正仿宋_GB2312" w:cs="方正仿宋_GB2312"/>
                <w:color w:val="000000"/>
                <w:sz w:val="24"/>
                <w:szCs w:val="24"/>
                <w:highlight w:val="none"/>
              </w:rPr>
              <w:t xml:space="preserve">地下水</w:t>
            </w:r>
            <w:r>
              <w:rPr>
                <w:rFonts w:hint="eastAsia" w:ascii="方正仿宋_GB2312" w:hAnsi="方正仿宋_GB2312" w:eastAsia="方正仿宋_GB2312" w:cs="方正仿宋_GB2312"/>
                <w:color w:val="000000"/>
                <w:sz w:val="24"/>
                <w:szCs w:val="24"/>
                <w:highlight w:val="none"/>
                <w:lang w:val="en-US" w:eastAsia="zh-CN"/>
              </w:rPr>
              <w:t xml:space="preserve">或</w:t>
            </w:r>
            <w:r>
              <w:rPr>
                <w:rFonts w:hint="eastAsia" w:ascii="方正仿宋_GB2312" w:hAnsi="方正仿宋_GB2312" w:eastAsia="方正仿宋_GB2312" w:cs="方正仿宋_GB2312"/>
                <w:color w:val="000000"/>
                <w:sz w:val="24"/>
                <w:szCs w:val="24"/>
                <w:highlight w:val="none"/>
              </w:rPr>
              <w:t xml:space="preserve">环境监测等生态环境相关领域自有发明专利的，每具备 1 项得 1 分，本项最高得 3 分。</w:t>
            </w:r>
            <w:r>
              <w:rPr>
                <w:rFonts w:hint="eastAsia" w:ascii="方正仿宋_GB2312" w:hAnsi="方正仿宋_GB2312" w:eastAsia="方正仿宋_GB2312" w:cs="方正仿宋_GB2312"/>
                <w:b/>
                <w:bCs/>
                <w:color w:val="000000"/>
                <w:sz w:val="24"/>
                <w:szCs w:val="24"/>
                <w:highlight w:val="none"/>
              </w:rPr>
              <w:t xml:space="preserve">须提供专利证书、国家知识产权局官网有效查询截图的扫描件。</w:t>
            </w:r>
            <w:r>
              <w:rPr>
                <w:rFonts w:hint="eastAsia" w:ascii="方正仿宋_GB2312" w:hAnsi="方正仿宋_GB2312" w:eastAsia="方正仿宋_GB2312" w:cs="方正仿宋_GB2312"/>
                <w:color w:val="000000"/>
                <w:sz w:val="24"/>
                <w:szCs w:val="24"/>
                <w:highlight w:val="none"/>
              </w:rPr>
            </w:r>
            <w:r/>
          </w:p>
        </w:tc>
      </w:tr>
      <w:tr>
        <w:trPr>
          <w:trHeight w:val="435"/>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业绩</w:t>
            </w:r>
            <w:r>
              <w:rPr>
                <w:rFonts w:hint="eastAsia" w:ascii="方正仿宋_GB2312" w:hAnsi="方正仿宋_GB2312" w:eastAsia="方正仿宋_GB2312" w:cs="方正仿宋_GB2312"/>
                <w:color w:val="000000"/>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16分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（1）投标人自2022年1月1日（时间以合同签订时间为准）以来承担过企业委托土壤和地下水自行监测项目的，每提供一个业绩得2分，本项最高得6分。</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人自2022年1月1日（时间以合同签订时间为准）以来承担过政府委托重点监管单位周边监测项目、重点地块土壤和地下水监测项目、土壤污染重点监管地块监测项目的，每提供一个业绩得2分，最高得10分。</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
                <w:bCs/>
                <w:color w:val="000000"/>
                <w:sz w:val="24"/>
                <w:szCs w:val="24"/>
                <w:highlight w:val="none"/>
              </w:rPr>
              <w:t xml:space="preserve">注：同一类业绩中，一个合同只能计一次分。须</w:t>
            </w:r>
            <w:r>
              <w:rPr>
                <w:rFonts w:hint="eastAsia" w:ascii="方正仿宋_GB2312" w:hAnsi="方正仿宋_GB2312" w:eastAsia="方正仿宋_GB2312" w:cs="方正仿宋_GB2312"/>
                <w:b/>
                <w:bCs/>
                <w:color w:val="000000"/>
                <w:sz w:val="24"/>
                <w:szCs w:val="24"/>
                <w:highlight w:val="none"/>
              </w:rPr>
              <w:t xml:space="preserve">提供有效合同的扫描件。</w:t>
            </w:r>
            <w:r>
              <w:rPr>
                <w:rFonts w:hint="eastAsia" w:ascii="方正仿宋_GB2312" w:hAnsi="方正仿宋_GB2312" w:eastAsia="方正仿宋_GB2312" w:cs="方正仿宋_GB2312"/>
                <w:b/>
                <w:bCs/>
                <w:color w:val="000000"/>
                <w:sz w:val="24"/>
                <w:highlight w:val="none"/>
              </w:rPr>
            </w:r>
            <w:r/>
          </w:p>
        </w:tc>
      </w:tr>
      <w:tr>
        <w:trPr>
          <w:trHeight w:val="1147"/>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整体服务方案认知与实施规划</w:t>
            </w:r>
            <w:r>
              <w:rPr>
                <w:rFonts w:hint="eastAsia" w:ascii="方正仿宋_GB2312" w:hAnsi="方正仿宋_GB2312" w:eastAsia="方正仿宋_GB2312" w:cs="方正仿宋_GB2312"/>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针对本项目的整体认知深度、服务方案完整性、实施规划等进行打分，具体包括：</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①项目政策背景分析；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②项目所在园区基础概况分析；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③土壤污染重点监管单位隐患排查规范要求分析；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④土壤污染重点监管单位自行监测要求分析；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⑤周边监测、自行监测数据应用要求分析；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⑥项目整体实施规划分析；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⑦工作成果应用场景及目标分析。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上述7个方面每</w:t>
            </w:r>
            <w:r>
              <w:rPr>
                <w:rFonts w:hint="eastAsia" w:ascii="方正仿宋_GB2312" w:hAnsi="方正仿宋_GB2312" w:eastAsia="方正仿宋_GB2312" w:cs="方正仿宋_GB2312"/>
                <w:color w:val="000000"/>
                <w:sz w:val="24"/>
                <w:szCs w:val="24"/>
                <w:highlight w:val="none"/>
                <w:lang w:val="en-US" w:eastAsia="zh-CN"/>
              </w:rPr>
              <w:t xml:space="preserve">有</w:t>
            </w:r>
            <w:r>
              <w:rPr>
                <w:rFonts w:hint="eastAsia" w:ascii="方正仿宋_GB2312" w:hAnsi="方正仿宋_GB2312" w:eastAsia="方正仿宋_GB2312" w:cs="方正仿宋_GB2312"/>
                <w:color w:val="000000"/>
                <w:sz w:val="24"/>
                <w:szCs w:val="24"/>
                <w:highlight w:val="none"/>
              </w:rPr>
              <w:t xml:space="preserve">一项内容得1分，每有一项内容存在缺陷或不足的该项内容不得分，本项最高得分7分。</w:t>
            </w:r>
            <w:r>
              <w:rPr>
                <w:rFonts w:hint="eastAsia" w:ascii="方正仿宋_GB2312" w:hAnsi="方正仿宋_GB2312" w:eastAsia="方正仿宋_GB2312" w:cs="方正仿宋_GB2312"/>
                <w:color w:val="000000"/>
                <w:highlight w:val="none"/>
              </w:rPr>
            </w:r>
            <w:r/>
          </w:p>
        </w:tc>
      </w:tr>
      <w:tr>
        <w:trPr>
          <w:trHeight w:val="428"/>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项目专项实施方案</w:t>
            </w:r>
            <w:r>
              <w:rPr>
                <w:rFonts w:hint="eastAsia" w:ascii="方正仿宋_GB2312" w:hAnsi="方正仿宋_GB2312" w:eastAsia="方正仿宋_GB2312" w:cs="方正仿宋_GB2312"/>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针对本项目的专项实施方案进行打分，具体包括：</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①总体实施思路；</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②实施技术路线；</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③土壤污染重点监管单位隐患排查质量提升具体工作内容；</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④土壤污染重点监管单位自行监测质量提升具体工作内容；</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⑤土壤污染重点监管单位周边监测数据比对分析具体工作内容；</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⑥针对超标情况开展溯源研判、原因剖析、问题清单的具体工作内容；</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⑦相关工作成果的展示、应用及反馈。</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上述7个方面每一项内容得1分，每有一项内容存在缺陷或不足的该项内容不得分，本项最高得分7分。</w:t>
            </w:r>
            <w:r>
              <w:rPr>
                <w:rFonts w:hint="eastAsia" w:ascii="方正仿宋_GB2312" w:hAnsi="方正仿宋_GB2312" w:eastAsia="方正仿宋_GB2312" w:cs="方正仿宋_GB2312"/>
                <w:color w:val="000000"/>
                <w:sz w:val="24"/>
                <w:szCs w:val="24"/>
                <w:highlight w:val="none"/>
              </w:rPr>
            </w:r>
            <w:r/>
          </w:p>
        </w:tc>
      </w:tr>
      <w:tr>
        <w:trPr>
          <w:trHeight w:val="428"/>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进度控制与管理</w:t>
            </w:r>
            <w:r>
              <w:rPr>
                <w:rFonts w:hint="eastAsia" w:ascii="方正仿宋_GB2312" w:hAnsi="方正仿宋_GB2312" w:eastAsia="方正仿宋_GB2312" w:cs="方正仿宋_GB2312"/>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针对本项目的进度控制与管理进行打分，具体包括：</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①整体工作进度安排；</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②分类型、分阶段的进度划分合理性分析；</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③契合项目工期要求的进度管理保障措施；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④突发情况下的工期延误补救及进度管控保障措施；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⑤相关进度控制措施及管理保障措施的可落地性。</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上述5个方面每一项内容得1分，每有一项内容存在缺陷或不足的该项内容不得分，本项最高得分5分。</w:t>
            </w:r>
            <w:r>
              <w:rPr>
                <w:rFonts w:hint="eastAsia" w:ascii="方正仿宋_GB2312" w:hAnsi="方正仿宋_GB2312" w:eastAsia="方正仿宋_GB2312" w:cs="方正仿宋_GB2312"/>
                <w:color w:val="000000"/>
                <w:sz w:val="24"/>
                <w:szCs w:val="24"/>
                <w:highlight w:val="none"/>
              </w:rPr>
            </w:r>
            <w:r/>
          </w:p>
        </w:tc>
      </w:tr>
      <w:tr>
        <w:trPr>
          <w:trHeight w:val="1016"/>
        </w:trPr>
        <w:tc>
          <w:tcPr>
            <w:tcW w:w="40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7</w:t>
            </w:r>
            <w:r>
              <w:rPr>
                <w:rFonts w:hint="eastAsia" w:ascii="方正仿宋_GB2312" w:hAnsi="方正仿宋_GB2312" w:eastAsia="方正仿宋_GB2312" w:cs="方正仿宋_GB2312"/>
                <w:color w:val="000000"/>
                <w:sz w:val="24"/>
                <w:szCs w:val="24"/>
                <w:highlight w:val="none"/>
              </w:rPr>
            </w:r>
            <w:r/>
          </w:p>
        </w:tc>
        <w:tc>
          <w:tcPr>
            <w:tcW w:w="691"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2"/>
                <w:highlight w:val="none"/>
              </w:rPr>
              <w:t xml:space="preserve">质量控制与项目服务保障</w:t>
            </w:r>
            <w:r>
              <w:rPr>
                <w:rFonts w:hint="eastAsia" w:ascii="方正仿宋_GB2312" w:hAnsi="方正仿宋_GB2312" w:eastAsia="方正仿宋_GB2312" w:cs="方正仿宋_GB2312"/>
                <w:color w:val="000000"/>
                <w:sz w:val="24"/>
                <w:szCs w:val="24"/>
                <w:highlight w:val="none"/>
              </w:rPr>
            </w:r>
            <w:r/>
          </w:p>
        </w:tc>
        <w:tc>
          <w:tcPr>
            <w:tcW w:w="438"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5分</w:t>
            </w:r>
            <w:r>
              <w:rPr>
                <w:rFonts w:hint="eastAsia" w:ascii="方正仿宋_GB2312" w:hAnsi="方正仿宋_GB2312" w:eastAsia="方正仿宋_GB2312" w:cs="方正仿宋_GB2312"/>
                <w:color w:val="000000"/>
                <w:sz w:val="24"/>
                <w:szCs w:val="24"/>
                <w:highlight w:val="none"/>
              </w:rPr>
            </w:r>
            <w:r/>
          </w:p>
        </w:tc>
        <w:tc>
          <w:tcPr>
            <w:tcW w:w="3464" w:type="dxa"/>
            <w:vAlign w:val="center"/>
            <w:textDirection w:val="lrTb"/>
            <w:noWrap w:val="false"/>
          </w:tcPr>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针对本项目的质量控制与项目服务保障进行打分，具体包括：</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①针对本项目的全过程质量控制措施；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②针对本项目构建的项目组人员、设备、技术等的配备情况；</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③工作成果契合甲方需求的质量审核及控制措施；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④突发情况下的质量控制保障措施；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⑤售后服务体系措施。</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上述5个方面每一项内容得1分，每有一项内容存在缺陷或不足的该项内容不得分，本项最高得分5分。</w:t>
            </w:r>
            <w:r>
              <w:rPr>
                <w:rFonts w:hint="eastAsia" w:ascii="方正仿宋_GB2312" w:hAnsi="方正仿宋_GB2312" w:eastAsia="方正仿宋_GB2312" w:cs="方正仿宋_GB2312"/>
                <w:color w:val="000000"/>
                <w:sz w:val="24"/>
                <w:szCs w:val="24"/>
                <w:highlight w:val="none"/>
              </w:rPr>
            </w:r>
            <w:r/>
          </w:p>
        </w:tc>
      </w:tr>
      <w:tr>
        <w:trPr>
          <w:trHeight w:val="1016"/>
        </w:trPr>
        <w:tc>
          <w:tcPr>
            <w:gridSpan w:val="4"/>
            <w:tcW w:w="10442" w:type="dxa"/>
            <w:vAlign w:val="center"/>
            <w:textDirection w:val="lrTb"/>
            <w:noWrap w:val="false"/>
          </w:tcPr>
          <w:p>
            <w:pPr>
              <w:pStyle w:val="1028"/>
              <w:ind w:firstLine="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b/>
                <w:bCs/>
                <w:color w:val="000000"/>
                <w:sz w:val="24"/>
                <w:szCs w:val="24"/>
                <w:highlight w:val="none"/>
              </w:rPr>
              <w:t xml:space="preserve">注:1.</w:t>
            </w:r>
            <w:r>
              <w:rPr>
                <w:rFonts w:hint="eastAsia" w:ascii="方正仿宋_GB2312" w:hAnsi="方正仿宋_GB2312" w:eastAsia="方正仿宋_GB2312" w:cs="方正仿宋_GB2312"/>
                <w:b/>
                <w:color w:val="000000"/>
                <w:sz w:val="24"/>
                <w:szCs w:val="24"/>
                <w:highlight w:val="none"/>
              </w:rPr>
              <w:t xml:space="preserve">以上的评分标准中要求提供的材料须加盖投标人CA电子公章。</w:t>
            </w:r>
            <w:r>
              <w:rPr>
                <w:rFonts w:hint="eastAsia" w:ascii="方正仿宋_GB2312" w:hAnsi="方正仿宋_GB2312" w:eastAsia="方正仿宋_GB2312" w:cs="方正仿宋_GB2312"/>
                <w:color w:val="000000"/>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   2.请投标人根据评分标准制作评分索引并放在评审内容的前面，评分索引中应标明每个评分点的页码范围，如投标文件内容顺序混乱，导致评委无法查看，后果自负。</w:t>
            </w:r>
            <w:r>
              <w:rPr>
                <w:rFonts w:hint="eastAsia" w:ascii="方正仿宋_GB2312" w:hAnsi="方正仿宋_GB2312" w:eastAsia="方正仿宋_GB2312" w:cs="方正仿宋_GB2312"/>
                <w:color w:val="000000"/>
                <w:sz w:val="24"/>
                <w:szCs w:val="24"/>
                <w:highlight w:val="none"/>
              </w:rPr>
            </w:r>
            <w:r/>
          </w:p>
        </w:tc>
      </w:tr>
    </w:tbl>
    <w:p>
      <w:pPr>
        <w:pStyle w:val="957"/>
        <w:jc w:val="center"/>
        <w:keepNext/>
        <w:spacing w:line="400" w:lineRule="exact"/>
        <w:rPr>
          <w:rFonts w:hint="eastAsia" w:ascii="方正仿宋_GB2312" w:hAnsi="方正仿宋_GB2312" w:eastAsia="方正仿宋_GB2312" w:cs="方正仿宋_GB2312"/>
          <w:b/>
          <w:bCs/>
          <w:color w:val="000000"/>
          <w:sz w:val="96"/>
          <w:szCs w:val="52"/>
          <w:highlight w:val="none"/>
        </w:rPr>
        <w:outlineLvl w:val="0"/>
      </w:pPr>
      <w:r>
        <w:rPr>
          <w:rFonts w:hint="eastAsia" w:ascii="方正仿宋_GB2312" w:hAnsi="方正仿宋_GB2312" w:eastAsia="方正仿宋_GB2312" w:cs="方正仿宋_GB2312"/>
          <w:bCs/>
          <w:color w:val="000000"/>
          <w:sz w:val="44"/>
          <w:szCs w:val="28"/>
          <w:highlight w:val="none"/>
        </w:rPr>
        <w:br w:type="page" w:clear="all"/>
      </w:r>
      <w:bookmarkStart w:id="200" w:name="_Toc5763"/>
      <w:r>
        <w:rPr>
          <w:rFonts w:hint="eastAsia" w:ascii="方正仿宋_GB2312" w:hAnsi="方正仿宋_GB2312" w:eastAsia="方正仿宋_GB2312" w:cs="方正仿宋_GB2312"/>
          <w:b/>
          <w:bCs/>
          <w:color w:val="000000"/>
          <w:sz w:val="36"/>
          <w:szCs w:val="36"/>
          <w:highlight w:val="none"/>
        </w:rPr>
        <w:t xml:space="preserve">第六章  投标</w:t>
      </w:r>
      <w:bookmarkEnd w:id="196"/>
      <w:r/>
      <w:bookmarkEnd w:id="197"/>
      <w:r/>
      <w:bookmarkEnd w:id="199"/>
      <w:r>
        <w:rPr>
          <w:rFonts w:hint="eastAsia" w:ascii="方正仿宋_GB2312" w:hAnsi="方正仿宋_GB2312" w:eastAsia="方正仿宋_GB2312" w:cs="方正仿宋_GB2312"/>
          <w:b/>
          <w:bCs/>
          <w:color w:val="000000"/>
          <w:sz w:val="36"/>
          <w:szCs w:val="36"/>
          <w:highlight w:val="none"/>
        </w:rPr>
        <w:t xml:space="preserve">文件格式</w:t>
      </w:r>
      <w:bookmarkEnd w:id="200"/>
      <w:r>
        <w:rPr>
          <w:rFonts w:hint="eastAsia" w:ascii="方正仿宋_GB2312" w:hAnsi="方正仿宋_GB2312" w:eastAsia="方正仿宋_GB2312" w:cs="方正仿宋_GB2312"/>
          <w:b/>
          <w:bCs/>
          <w:color w:val="000000"/>
          <w:sz w:val="96"/>
          <w:szCs w:val="52"/>
          <w:highlight w:val="none"/>
        </w:rPr>
      </w:r>
      <w:r/>
    </w:p>
    <w:p>
      <w:pPr>
        <w:pStyle w:val="957"/>
        <w:jc w:val="center"/>
        <w:spacing w:line="400" w:lineRule="exact"/>
        <w:rPr>
          <w:rFonts w:hint="eastAsia" w:ascii="方正仿宋_GB2312" w:hAnsi="方正仿宋_GB2312" w:eastAsia="方正仿宋_GB2312" w:cs="方正仿宋_GB2312"/>
          <w:b/>
          <w:color w:val="000000"/>
          <w:sz w:val="72"/>
          <w:szCs w:val="21"/>
          <w:highlight w:val="none"/>
        </w:rPr>
      </w:pPr>
      <w:r/>
      <w:bookmarkStart w:id="201" w:name="_Hlt26671244"/>
      <w:r/>
      <w:bookmarkEnd w:id="201"/>
      <w:r/>
      <w:bookmarkStart w:id="202" w:name="_Hlt26955039"/>
      <w:r/>
      <w:bookmarkEnd w:id="202"/>
      <w:r/>
      <w:bookmarkStart w:id="203" w:name="_Toc49090576"/>
      <w:r/>
      <w:bookmarkStart w:id="204" w:name="_Toc120614282"/>
      <w:r/>
      <w:bookmarkStart w:id="205" w:name="_Toc26554094"/>
      <w:r>
        <w:rPr>
          <w:rFonts w:hint="eastAsia" w:ascii="方正仿宋_GB2312" w:hAnsi="方正仿宋_GB2312" w:eastAsia="方正仿宋_GB2312" w:cs="方正仿宋_GB2312"/>
          <w:b/>
          <w:color w:val="000000"/>
          <w:sz w:val="72"/>
          <w:szCs w:val="21"/>
          <w:highlight w:val="none"/>
        </w:rPr>
      </w:r>
      <w:r/>
    </w:p>
    <w:p>
      <w:pPr>
        <w:pStyle w:val="957"/>
        <w:jc w:val="center"/>
        <w:rPr>
          <w:rFonts w:hint="eastAsia" w:ascii="方正仿宋_GB2312" w:hAnsi="方正仿宋_GB2312" w:eastAsia="方正仿宋_GB2312" w:cs="方正仿宋_GB2312"/>
          <w:b/>
          <w:bCs/>
          <w:color w:val="000000"/>
          <w:sz w:val="56"/>
          <w:szCs w:val="60"/>
          <w:highlight w:val="none"/>
        </w:rPr>
      </w:pPr>
      <w:r>
        <w:rPr>
          <w:rFonts w:hint="eastAsia" w:ascii="方正仿宋_GB2312" w:hAnsi="方正仿宋_GB2312" w:eastAsia="方正仿宋_GB2312" w:cs="方正仿宋_GB2312"/>
          <w:b/>
          <w:bCs/>
          <w:color w:val="000000"/>
          <w:sz w:val="56"/>
          <w:szCs w:val="60"/>
          <w:highlight w:val="none"/>
        </w:rPr>
        <w:t xml:space="preserve">投  标  文  件</w:t>
      </w:r>
      <w:r>
        <w:rPr>
          <w:rFonts w:hint="eastAsia" w:ascii="方正仿宋_GB2312" w:hAnsi="方正仿宋_GB2312" w:eastAsia="方正仿宋_GB2312" w:cs="方正仿宋_GB2312"/>
          <w:b/>
          <w:bCs/>
          <w:color w:val="000000"/>
          <w:sz w:val="56"/>
          <w:szCs w:val="60"/>
          <w:highlight w:val="none"/>
        </w:rPr>
      </w:r>
      <w:r/>
    </w:p>
    <w:p>
      <w:pPr>
        <w:pStyle w:val="957"/>
        <w:jc w:val="center"/>
        <w:rPr>
          <w:rFonts w:hint="eastAsia" w:ascii="方正仿宋_GB2312" w:hAnsi="方正仿宋_GB2312" w:eastAsia="方正仿宋_GB2312" w:cs="方正仿宋_GB2312"/>
          <w:b/>
          <w:bCs/>
          <w:color w:val="000000"/>
          <w:sz w:val="56"/>
          <w:szCs w:val="60"/>
          <w:highlight w:val="none"/>
        </w:rPr>
      </w:pPr>
      <w:r>
        <w:rPr>
          <w:rFonts w:hint="eastAsia" w:ascii="方正仿宋_GB2312" w:hAnsi="方正仿宋_GB2312" w:eastAsia="方正仿宋_GB2312" w:cs="方正仿宋_GB2312"/>
          <w:b/>
          <w:bCs/>
          <w:color w:val="000000"/>
          <w:sz w:val="56"/>
          <w:szCs w:val="60"/>
          <w:highlight w:val="none"/>
        </w:rPr>
      </w:r>
      <w:r/>
    </w:p>
    <w:p>
      <w:pPr>
        <w:pStyle w:val="957"/>
        <w:jc w:val="center"/>
        <w:spacing w:line="400" w:lineRule="exact"/>
        <w:rPr>
          <w:rFonts w:hint="eastAsia" w:ascii="方正仿宋_GB2312" w:hAnsi="方正仿宋_GB2312" w:eastAsia="方正仿宋_GB2312" w:cs="方正仿宋_GB2312"/>
          <w:b/>
          <w:color w:val="000000"/>
          <w:sz w:val="72"/>
          <w:szCs w:val="21"/>
          <w:highlight w:val="none"/>
        </w:rPr>
      </w:pPr>
      <w:r>
        <w:rPr>
          <w:rFonts w:hint="eastAsia" w:ascii="方正仿宋_GB2312" w:hAnsi="方正仿宋_GB2312" w:eastAsia="方正仿宋_GB2312" w:cs="方正仿宋_GB2312"/>
          <w:b/>
          <w:color w:val="000000"/>
          <w:sz w:val="72"/>
          <w:szCs w:val="21"/>
          <w:highlight w:val="none"/>
        </w:rPr>
      </w:r>
      <w:r/>
    </w:p>
    <w:p>
      <w:pPr>
        <w:pStyle w:val="957"/>
        <w:jc w:val="center"/>
        <w:spacing w:line="400" w:lineRule="exact"/>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57"/>
        <w:jc w:val="center"/>
        <w:spacing w:line="400" w:lineRule="exact"/>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57"/>
        <w:jc w:val="center"/>
        <w:spacing w:line="400" w:lineRule="exact"/>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r>
      <w:r/>
    </w:p>
    <w:p>
      <w:pPr>
        <w:pStyle w:val="957"/>
        <w:ind w:firstLine="1084"/>
        <w:spacing w:line="400" w:lineRule="exact"/>
        <w:rPr>
          <w:rFonts w:hint="eastAsia" w:ascii="方正仿宋_GB2312" w:hAnsi="方正仿宋_GB2312" w:eastAsia="方正仿宋_GB2312" w:cs="方正仿宋_GB2312"/>
          <w:b/>
          <w:color w:val="000000"/>
          <w:sz w:val="36"/>
          <w:szCs w:val="21"/>
          <w:highlight w:val="none"/>
        </w:rPr>
      </w:pPr>
      <w:r>
        <w:rPr>
          <w:rFonts w:hint="eastAsia" w:ascii="方正仿宋_GB2312" w:hAnsi="方正仿宋_GB2312" w:eastAsia="方正仿宋_GB2312" w:cs="方正仿宋_GB2312"/>
          <w:b/>
          <w:color w:val="000000"/>
          <w:sz w:val="36"/>
          <w:szCs w:val="21"/>
          <w:highlight w:val="none"/>
        </w:rPr>
        <w:t xml:space="preserve">项 目 名 称：</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rPr>
      </w:r>
      <w:r/>
    </w:p>
    <w:p>
      <w:pPr>
        <w:pStyle w:val="957"/>
        <w:ind w:firstLine="1084"/>
        <w:spacing w:line="400" w:lineRule="exact"/>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项 目 编 号：</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957"/>
        <w:spacing w:line="400" w:lineRule="exact"/>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投标人名称 ：</w:t>
      </w:r>
      <w:r>
        <w:rPr>
          <w:rFonts w:hint="eastAsia" w:ascii="方正仿宋_GB2312" w:hAnsi="方正仿宋_GB2312" w:eastAsia="方正仿宋_GB2312" w:cs="方正仿宋_GB2312"/>
          <w:b/>
          <w:color w:val="000000"/>
          <w:sz w:val="36"/>
          <w:szCs w:val="21"/>
          <w:highlight w:val="none"/>
          <w:u w:val="single"/>
        </w:rPr>
        <w:t xml:space="preserve">（加盖CA电子公章）</w:t>
      </w:r>
      <w:r>
        <w:rPr>
          <w:rFonts w:hint="eastAsia" w:ascii="方正仿宋_GB2312" w:hAnsi="方正仿宋_GB2312" w:eastAsia="方正仿宋_GB2312" w:cs="方正仿宋_GB2312"/>
          <w:b/>
          <w:color w:val="000000"/>
          <w:sz w:val="36"/>
          <w:szCs w:val="21"/>
          <w:highlight w:val="none"/>
          <w:u w:val="single"/>
        </w:rPr>
      </w:r>
      <w:r/>
    </w:p>
    <w:p>
      <w:pPr>
        <w:pStyle w:val="957"/>
        <w:spacing w:line="400" w:lineRule="exact"/>
        <w:rPr>
          <w:rFonts w:hint="eastAsia" w:ascii="方正仿宋_GB2312" w:hAnsi="方正仿宋_GB2312" w:eastAsia="方正仿宋_GB2312" w:cs="方正仿宋_GB2312"/>
          <w:b/>
          <w:color w:val="000000"/>
          <w:sz w:val="36"/>
          <w:szCs w:val="21"/>
          <w:highlight w:val="none"/>
          <w:u w:val="single"/>
        </w:rPr>
      </w:pPr>
      <w:r>
        <w:rPr>
          <w:rFonts w:hint="eastAsia" w:ascii="方正仿宋_GB2312" w:hAnsi="方正仿宋_GB2312" w:eastAsia="方正仿宋_GB2312" w:cs="方正仿宋_GB2312"/>
          <w:b/>
          <w:color w:val="000000"/>
          <w:sz w:val="36"/>
          <w:szCs w:val="21"/>
          <w:highlight w:val="none"/>
        </w:rPr>
        <w:t xml:space="preserve">      日      期 ：</w:t>
      </w:r>
      <w:r>
        <w:rPr>
          <w:rFonts w:hint="eastAsia" w:ascii="方正仿宋_GB2312" w:hAnsi="方正仿宋_GB2312" w:eastAsia="方正仿宋_GB2312" w:cs="方正仿宋_GB2312"/>
          <w:b/>
          <w:color w:val="000000"/>
          <w:sz w:val="36"/>
          <w:szCs w:val="21"/>
          <w:highlight w:val="none"/>
          <w:u w:val="single"/>
        </w:rPr>
        <w:t xml:space="preserve">               </w:t>
      </w:r>
      <w:r>
        <w:rPr>
          <w:rFonts w:hint="eastAsia" w:ascii="方正仿宋_GB2312" w:hAnsi="方正仿宋_GB2312" w:eastAsia="方正仿宋_GB2312" w:cs="方正仿宋_GB2312"/>
          <w:b/>
          <w:color w:val="000000"/>
          <w:sz w:val="36"/>
          <w:szCs w:val="21"/>
          <w:highlight w:val="none"/>
          <w:u w:val="singl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ind w:firstLine="1084"/>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color w:val="000000"/>
          <w:sz w:val="36"/>
          <w:szCs w:val="21"/>
          <w:highlight w:val="none"/>
          <w:u w:val="single"/>
        </w:rPr>
        <w:br w:type="page" w:clear="all"/>
      </w:r>
      <w:r>
        <w:rPr>
          <w:rFonts w:hint="eastAsia" w:ascii="方正仿宋_GB2312" w:hAnsi="方正仿宋_GB2312" w:eastAsia="方正仿宋_GB2312" w:cs="方正仿宋_GB2312"/>
          <w:b/>
          <w:bCs/>
          <w:color w:val="000000"/>
          <w:sz w:val="32"/>
          <w:szCs w:val="32"/>
          <w:highlight w:val="none"/>
        </w:rPr>
        <w:t xml:space="preserve">投标文件的组成</w:t>
      </w:r>
      <w:r>
        <w:rPr>
          <w:rFonts w:hint="eastAsia" w:ascii="方正仿宋_GB2312" w:hAnsi="方正仿宋_GB2312" w:eastAsia="方正仿宋_GB2312" w:cs="方正仿宋_GB2312"/>
          <w:b/>
          <w:bCs/>
          <w:color w:val="000000"/>
          <w:sz w:val="32"/>
          <w:szCs w:val="32"/>
          <w:highlight w:val="none"/>
        </w:rPr>
      </w:r>
      <w:r/>
    </w:p>
    <w:p>
      <w:pPr>
        <w:pStyle w:val="95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一、基本目录</w:t>
      </w:r>
      <w:r>
        <w:rPr>
          <w:rFonts w:hint="eastAsia" w:ascii="方正仿宋_GB2312" w:hAnsi="方正仿宋_GB2312" w:eastAsia="方正仿宋_GB2312" w:cs="方正仿宋_GB2312"/>
          <w:b/>
          <w:color w:val="000000"/>
          <w:sz w:val="24"/>
          <w:szCs w:val="21"/>
          <w:highlight w:val="none"/>
        </w:rPr>
      </w:r>
      <w:r/>
    </w:p>
    <w:p>
      <w:pPr>
        <w:pStyle w:val="957"/>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1.开标一览表（格式见附件1）</w:t>
      </w:r>
      <w:r>
        <w:rPr>
          <w:rFonts w:hint="eastAsia" w:ascii="方正仿宋_GB2312" w:hAnsi="方正仿宋_GB2312" w:eastAsia="方正仿宋_GB2312" w:cs="方正仿宋_GB2312"/>
          <w:color w:val="000000"/>
          <w:sz w:val="24"/>
          <w:szCs w:val="21"/>
          <w:highlight w:val="none"/>
        </w:rPr>
      </w:r>
      <w:r/>
    </w:p>
    <w:p>
      <w:pPr>
        <w:pStyle w:val="957"/>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2.投标分项报价表（格式见附件2）</w:t>
      </w:r>
      <w:r>
        <w:rPr>
          <w:rFonts w:hint="eastAsia" w:ascii="方正仿宋_GB2312" w:hAnsi="方正仿宋_GB2312" w:eastAsia="方正仿宋_GB2312" w:cs="方正仿宋_GB2312"/>
          <w:color w:val="000000"/>
          <w:sz w:val="24"/>
          <w:szCs w:val="21"/>
          <w:highlight w:val="none"/>
        </w:rPr>
      </w:r>
      <w:r/>
    </w:p>
    <w:p>
      <w:pPr>
        <w:pStyle w:val="95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二、资格审查内容</w:t>
      </w:r>
      <w:r>
        <w:rPr>
          <w:rFonts w:hint="eastAsia" w:ascii="方正仿宋_GB2312" w:hAnsi="方正仿宋_GB2312" w:eastAsia="方正仿宋_GB2312" w:cs="方正仿宋_GB2312"/>
          <w:b/>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1.投标人符合《中华人民共和国政府采购法》第二十二条规定条件的声明函（</w:t>
      </w:r>
      <w:r>
        <w:rPr>
          <w:rFonts w:hint="eastAsia" w:ascii="方正仿宋_GB2312" w:hAnsi="方正仿宋_GB2312" w:eastAsia="方正仿宋_GB2312" w:cs="方正仿宋_GB2312"/>
          <w:color w:val="000000"/>
          <w:sz w:val="24"/>
          <w:szCs w:val="21"/>
          <w:highlight w:val="none"/>
          <w:lang w:val="zh-CN"/>
        </w:rPr>
        <w:t xml:space="preserve">格式见附件</w:t>
      </w:r>
      <w:r>
        <w:rPr>
          <w:rFonts w:hint="eastAsia" w:ascii="方正仿宋_GB2312" w:hAnsi="方正仿宋_GB2312" w:eastAsia="方正仿宋_GB2312" w:cs="方正仿宋_GB2312"/>
          <w:color w:val="000000"/>
          <w:sz w:val="24"/>
          <w:szCs w:val="21"/>
          <w:highlight w:val="none"/>
        </w:rPr>
        <w:t xml:space="preserve">3）</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2.法定代表人身份证明（格式见附件4）、</w:t>
      </w:r>
      <w:r>
        <w:rPr>
          <w:rFonts w:hint="eastAsia" w:ascii="方正仿宋_GB2312" w:hAnsi="方正仿宋_GB2312" w:eastAsia="方正仿宋_GB2312" w:cs="方正仿宋_GB2312"/>
          <w:color w:val="000000"/>
          <w:sz w:val="24"/>
          <w:szCs w:val="21"/>
          <w:highlight w:val="none"/>
          <w:lang w:val="zh-CN" w:eastAsia="zh-CN"/>
        </w:rPr>
        <w:t xml:space="preserve">法定代表人的身份证</w:t>
      </w:r>
      <w:r>
        <w:rPr>
          <w:rFonts w:hint="eastAsia" w:ascii="方正仿宋_GB2312" w:hAnsi="方正仿宋_GB2312" w:eastAsia="方正仿宋_GB2312" w:cs="方正仿宋_GB2312"/>
          <w:color w:val="000000"/>
          <w:sz w:val="24"/>
          <w:szCs w:val="21"/>
          <w:highlight w:val="none"/>
          <w:lang w:val="en-US" w:eastAsia="zh-CN"/>
        </w:rPr>
        <w:t xml:space="preserve">扫描件；</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3.法人授权书（格式见附件5）、被授权</w:t>
      </w:r>
      <w:r>
        <w:rPr>
          <w:rFonts w:hint="eastAsia" w:ascii="方正仿宋_GB2312" w:hAnsi="方正仿宋_GB2312" w:eastAsia="方正仿宋_GB2312" w:cs="方正仿宋_GB2312"/>
          <w:color w:val="000000"/>
          <w:sz w:val="24"/>
          <w:szCs w:val="21"/>
          <w:highlight w:val="none"/>
          <w:lang w:val="zh-CN" w:eastAsia="zh-CN"/>
        </w:rPr>
        <w:t xml:space="preserve">人身份证</w:t>
      </w:r>
      <w:r>
        <w:rPr>
          <w:rFonts w:hint="eastAsia" w:ascii="方正仿宋_GB2312" w:hAnsi="方正仿宋_GB2312" w:eastAsia="方正仿宋_GB2312" w:cs="方正仿宋_GB2312"/>
          <w:color w:val="000000"/>
          <w:sz w:val="24"/>
          <w:szCs w:val="21"/>
          <w:highlight w:val="none"/>
          <w:lang w:val="en-US" w:eastAsia="zh-CN"/>
        </w:rPr>
        <w:t xml:space="preserve">扫描件；</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4.投标函（格式见附件6）；</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5.有效的营业执照扫描件；</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6.招标公告中“本项目的特定资格要求”提供相应的佐证材料；</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7.中小企业声明函（如果本项目专门面向中小微型企业采购，则必须提供。格式见附件7）；</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8.残疾人福利性单位声明函（如果本项目专门面向中小微型企业采购，供应商为残疾人福利性单位并提供本单位制造的货物，或者提供其他残疾人福利性单位制造的货物，则必须提供。格式见附件8）；</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9.监狱和戒毒企业证明材料（如果本项目专门面向中小微型企业采购，供应商为监狱和戒毒企业的，则必须提供。格式见附件9）；</w:t>
      </w:r>
      <w:r>
        <w:rPr>
          <w:rFonts w:hint="eastAsia" w:ascii="方正仿宋_GB2312" w:hAnsi="方正仿宋_GB2312" w:eastAsia="方正仿宋_GB2312" w:cs="方正仿宋_GB2312"/>
          <w:color w:val="000000"/>
          <w:sz w:val="24"/>
          <w:szCs w:val="21"/>
          <w:highlight w:val="none"/>
          <w:lang w:val="en-US" w:eastAsia="zh-CN"/>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lang w:val="en-US" w:eastAsia="zh-CN"/>
        </w:rPr>
      </w:pPr>
      <w:r>
        <w:rPr>
          <w:rFonts w:hint="eastAsia" w:ascii="方正仿宋_GB2312" w:hAnsi="方正仿宋_GB2312" w:eastAsia="方正仿宋_GB2312" w:cs="方正仿宋_GB2312"/>
          <w:color w:val="000000"/>
          <w:sz w:val="24"/>
          <w:szCs w:val="21"/>
          <w:highlight w:val="none"/>
          <w:lang w:val="en-US" w:eastAsia="zh-CN"/>
        </w:rPr>
        <w:t xml:space="preserve">10.</w:t>
      </w:r>
      <w:r>
        <w:rPr>
          <w:rFonts w:hint="eastAsia" w:ascii="方正仿宋_GB2312" w:hAnsi="方正仿宋_GB2312" w:eastAsia="方正仿宋_GB2312" w:cs="方正仿宋_GB2312"/>
          <w:color w:val="000000"/>
          <w:sz w:val="24"/>
          <w:szCs w:val="21"/>
          <w:highlight w:val="none"/>
          <w:lang w:val="zh-CN" w:eastAsia="zh-CN"/>
        </w:rPr>
        <w:t xml:space="preserve">其它需要提交的资格审查证明材料。</w:t>
      </w:r>
      <w:r>
        <w:rPr>
          <w:rFonts w:hint="eastAsia" w:ascii="方正仿宋_GB2312" w:hAnsi="方正仿宋_GB2312" w:eastAsia="方正仿宋_GB2312" w:cs="方正仿宋_GB2312"/>
          <w:color w:val="000000"/>
          <w:sz w:val="24"/>
          <w:szCs w:val="21"/>
          <w:highlight w:val="none"/>
          <w:lang w:val="en-US" w:eastAsia="zh-CN"/>
        </w:rPr>
      </w:r>
      <w:r/>
    </w:p>
    <w:p>
      <w:pPr>
        <w:pStyle w:val="957"/>
        <w:ind w:left="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1"/>
          <w:highlight w:val="none"/>
        </w:rPr>
        <w:t xml:space="preserve">三、符合性审查内容</w:t>
      </w:r>
      <w:r>
        <w:rPr>
          <w:rFonts w:hint="eastAsia" w:ascii="方正仿宋_GB2312" w:hAnsi="方正仿宋_GB2312" w:eastAsia="方正仿宋_GB2312" w:cs="方正仿宋_GB2312"/>
          <w:b/>
          <w:color w:val="000000"/>
          <w:sz w:val="24"/>
          <w:szCs w:val="21"/>
          <w:highlight w:val="none"/>
        </w:rPr>
      </w:r>
      <w:r/>
    </w:p>
    <w:p>
      <w:pPr>
        <w:pStyle w:val="957"/>
        <w:ind w:left="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1.技术要求响应及偏离表（格式见附件10）</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2.商务要求响应及偏离表（格式见附件11）</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四、</w:t>
      </w:r>
      <w:r>
        <w:rPr>
          <w:rFonts w:hint="eastAsia" w:ascii="方正仿宋_GB2312" w:hAnsi="方正仿宋_GB2312" w:eastAsia="方正仿宋_GB2312" w:cs="方正仿宋_GB2312"/>
          <w:b/>
          <w:color w:val="000000"/>
          <w:sz w:val="24"/>
          <w:szCs w:val="24"/>
          <w:highlight w:val="none"/>
          <w:lang w:val="zh-CN"/>
        </w:rPr>
        <w:t xml:space="preserve">商务技术</w:t>
      </w:r>
      <w:r>
        <w:rPr>
          <w:rFonts w:hint="eastAsia" w:ascii="方正仿宋_GB2312" w:hAnsi="方正仿宋_GB2312" w:eastAsia="方正仿宋_GB2312" w:cs="方正仿宋_GB2312"/>
          <w:b/>
          <w:color w:val="000000"/>
          <w:sz w:val="24"/>
          <w:szCs w:val="24"/>
          <w:highlight w:val="none"/>
        </w:rPr>
        <w:t xml:space="preserve">内容</w:t>
      </w:r>
      <w:r>
        <w:rPr>
          <w:rFonts w:hint="eastAsia" w:ascii="方正仿宋_GB2312" w:hAnsi="方正仿宋_GB2312" w:eastAsia="方正仿宋_GB2312" w:cs="方正仿宋_GB2312"/>
          <w:b/>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lang w:val="zh-CN"/>
        </w:rPr>
        <w:t xml:space="preserve">商务技术评分标准中须提供的相关得分佐证材料</w:t>
      </w: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lang w:val="zh-CN"/>
        </w:rPr>
        <w:t xml:space="preserve">投标人认为需要提交的其他商务技术材料。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五、价格扣除证明文件</w:t>
      </w:r>
      <w:r>
        <w:rPr>
          <w:rFonts w:hint="eastAsia" w:ascii="方正仿宋_GB2312" w:hAnsi="方正仿宋_GB2312" w:eastAsia="方正仿宋_GB2312" w:cs="方正仿宋_GB2312"/>
          <w:b/>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1.中小企业声明函（格式见附件7）</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2.残疾人福利性单位声明函（格式见附件8）</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3.监狱和戒毒企业证明材料</w:t>
      </w:r>
      <w:r>
        <w:rPr>
          <w:rFonts w:hint="eastAsia" w:ascii="方正仿宋_GB2312" w:hAnsi="方正仿宋_GB2312" w:eastAsia="方正仿宋_GB2312" w:cs="方正仿宋_GB2312"/>
          <w:color w:val="000000"/>
          <w:sz w:val="24"/>
          <w:szCs w:val="24"/>
          <w:highlight w:val="none"/>
          <w:lang w:val="zh-CN"/>
        </w:rPr>
        <w:t xml:space="preserve">（格式见附件</w:t>
      </w:r>
      <w:r>
        <w:rPr>
          <w:rFonts w:hint="eastAsia" w:ascii="方正仿宋_GB2312" w:hAnsi="方正仿宋_GB2312" w:eastAsia="方正仿宋_GB2312" w:cs="方正仿宋_GB2312"/>
          <w:color w:val="000000"/>
          <w:sz w:val="24"/>
          <w:szCs w:val="24"/>
          <w:highlight w:val="none"/>
        </w:rPr>
        <w:t xml:space="preserve">9</w:t>
      </w:r>
      <w:r>
        <w:rPr>
          <w:rFonts w:hint="eastAsia" w:ascii="方正仿宋_GB2312" w:hAnsi="方正仿宋_GB2312" w:eastAsia="方正仿宋_GB2312" w:cs="方正仿宋_GB2312"/>
          <w:color w:val="000000"/>
          <w:sz w:val="24"/>
          <w:szCs w:val="24"/>
          <w:highlight w:val="none"/>
          <w:lang w:val="zh-CN"/>
        </w:rPr>
        <w:t xml:space="preserve">）</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附件1 </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开标一览表</w:t>
      </w:r>
      <w:r>
        <w:rPr>
          <w:rFonts w:hint="eastAsia" w:ascii="方正仿宋_GB2312" w:hAnsi="方正仿宋_GB2312" w:eastAsia="方正仿宋_GB2312" w:cs="方正仿宋_GB2312"/>
          <w:b/>
          <w:bCs/>
          <w:color w:val="000000"/>
          <w:sz w:val="32"/>
          <w:szCs w:val="32"/>
          <w:highlight w:val="none"/>
        </w:rPr>
      </w:r>
      <w:r/>
    </w:p>
    <w:p>
      <w:pPr>
        <w:pStyle w:val="957"/>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投标人全称（加盖CA电子签章）：</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项目编号：                                   </w:t>
      </w:r>
      <w:r>
        <w:rPr>
          <w:rFonts w:hint="eastAsia" w:ascii="方正仿宋_GB2312" w:hAnsi="方正仿宋_GB2312" w:eastAsia="方正仿宋_GB2312" w:cs="方正仿宋_GB2312"/>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投标总报价</w:t>
            </w:r>
            <w:r>
              <w:rPr>
                <w:rFonts w:hint="eastAsia" w:ascii="方正仿宋_GB2312" w:hAnsi="方正仿宋_GB2312" w:eastAsia="方正仿宋_GB2312" w:cs="方正仿宋_GB2312"/>
                <w:color w:val="000000"/>
                <w:sz w:val="24"/>
                <w:szCs w:val="24"/>
                <w:highlight w:val="none"/>
              </w:rPr>
              <w:t xml:space="preserve"> （人民币：元）</w:t>
            </w:r>
            <w:r>
              <w:rPr>
                <w:rFonts w:hint="eastAsia" w:ascii="方正仿宋_GB2312" w:hAnsi="方正仿宋_GB2312" w:eastAsia="方正仿宋_GB2312" w:cs="方正仿宋_GB2312"/>
                <w:color w:val="000000"/>
                <w:sz w:val="24"/>
                <w:szCs w:val="24"/>
                <w:highlight w:val="none"/>
              </w:rPr>
            </w:r>
            <w:r/>
          </w:p>
        </w:tc>
      </w:tr>
      <w:tr>
        <w:trPr>
          <w:cantSplit/>
          <w:trHeight w:val="612"/>
        </w:trPr>
        <w:tc>
          <w:tcPr>
            <w:tcW w:w="8886"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大写：</w:t>
            </w: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4"/>
                <w:highlight w:val="none"/>
              </w:rPr>
              <w:t xml:space="preserve">小写：                           </w:t>
            </w:r>
            <w:r>
              <w:rPr>
                <w:rFonts w:hint="eastAsia" w:ascii="方正仿宋_GB2312" w:hAnsi="方正仿宋_GB2312" w:eastAsia="方正仿宋_GB2312" w:cs="方正仿宋_GB2312"/>
                <w:color w:val="000000"/>
                <w:sz w:val="24"/>
                <w:szCs w:val="21"/>
                <w:highlight w:val="none"/>
              </w:rPr>
            </w:r>
            <w:r/>
          </w:p>
        </w:tc>
      </w:tr>
    </w:tbl>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附件2 </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32"/>
          <w:szCs w:val="32"/>
          <w:highlight w:val="none"/>
        </w:rPr>
        <w:t xml:space="preserve">投标分项报价表</w:t>
      </w:r>
      <w:r>
        <w:rPr>
          <w:rFonts w:hint="eastAsia" w:ascii="方正仿宋_GB2312" w:hAnsi="方正仿宋_GB2312" w:eastAsia="方正仿宋_GB2312" w:cs="方正仿宋_GB2312"/>
          <w:b/>
          <w:bCs/>
          <w:color w:val="000000"/>
          <w:sz w:val="24"/>
          <w:szCs w:val="24"/>
          <w:highlight w:val="none"/>
        </w:rPr>
      </w:r>
      <w:r/>
    </w:p>
    <w:p>
      <w:pPr>
        <w:pStyle w:val="969"/>
      </w:pPr>
      <w:r>
        <w:t xml:space="preserve">项</w:t>
      </w:r>
      <w:r>
        <w:t xml:space="preserve">目</w:t>
      </w:r>
      <w:r>
        <w:t xml:space="preserve">编</w:t>
      </w:r>
      <w:r>
        <w:t xml:space="preserve">号</w:t>
      </w:r>
      <w:r>
        <w:t xml:space="preserve">：</w:t>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152"/>
        <w:gridCol w:w="5244"/>
      </w:tblGrid>
      <w:tr>
        <w:trPr>
          <w:trHeight w:val="838"/>
        </w:trPr>
        <w:tc>
          <w:tcPr>
            <w:tcW w:w="4152" w:type="dxa"/>
            <w:vAlign w:val="top"/>
            <w:textDirection w:val="lrTb"/>
            <w:noWrap w:val="false"/>
          </w:tcPr>
          <w:p>
            <w:pPr>
              <w:pStyle w:val="957"/>
              <w:jc w:val="center"/>
              <w:spacing w:before="290" w:after="290"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项目名称</w:t>
            </w:r>
            <w:r>
              <w:rPr>
                <w:rFonts w:hint="eastAsia" w:ascii="方正仿宋_GB2312" w:hAnsi="方正仿宋_GB2312" w:eastAsia="方正仿宋_GB2312" w:cs="方正仿宋_GB2312"/>
                <w:color w:val="000000"/>
                <w:sz w:val="24"/>
                <w:szCs w:val="24"/>
                <w:highlight w:val="none"/>
              </w:rPr>
            </w:r>
            <w:r/>
          </w:p>
        </w:tc>
        <w:tc>
          <w:tcPr>
            <w:tcW w:w="5244" w:type="dxa"/>
            <w:vAlign w:val="top"/>
            <w:textDirection w:val="lrTb"/>
            <w:noWrap w:val="false"/>
          </w:tcPr>
          <w:p>
            <w:pPr>
              <w:pStyle w:val="957"/>
              <w:jc w:val="center"/>
              <w:spacing w:before="290" w:after="290"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投标总报价（元）</w:t>
            </w:r>
            <w:r>
              <w:rPr>
                <w:rFonts w:hint="eastAsia" w:ascii="方正仿宋_GB2312" w:hAnsi="方正仿宋_GB2312" w:eastAsia="方正仿宋_GB2312" w:cs="方正仿宋_GB2312"/>
                <w:color w:val="000000"/>
                <w:sz w:val="24"/>
                <w:szCs w:val="24"/>
                <w:highlight w:val="none"/>
              </w:rPr>
            </w:r>
            <w:r/>
          </w:p>
        </w:tc>
      </w:tr>
      <w:tr>
        <w:trPr>
          <w:trHeight w:val="1246"/>
        </w:trPr>
        <w:tc>
          <w:tcPr>
            <w:tcW w:w="4152" w:type="dxa"/>
            <w:vAlign w:val="top"/>
            <w:textDirection w:val="lrTb"/>
            <w:noWrap w:val="false"/>
          </w:tcPr>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如东县洋口镇化工园（西区）土壤污染重点监管单位隐患排查、自行监测质量提升和周边监测、自行监测数据分析应用项目</w:t>
            </w:r>
            <w:r>
              <w:rPr>
                <w:rFonts w:hint="eastAsia" w:ascii="方正仿宋_GB2312" w:hAnsi="方正仿宋_GB2312" w:eastAsia="方正仿宋_GB2312" w:cs="方正仿宋_GB2312"/>
                <w:color w:val="000000"/>
                <w:sz w:val="24"/>
                <w:szCs w:val="24"/>
                <w:highlight w:val="none"/>
              </w:rPr>
            </w:r>
            <w:r/>
          </w:p>
        </w:tc>
        <w:tc>
          <w:tcPr>
            <w:tcW w:w="5244" w:type="dxa"/>
            <w:vAlign w:val="top"/>
            <w:textDirection w:val="lrTb"/>
            <w:noWrap w:val="false"/>
          </w:tcPr>
          <w:p>
            <w:pPr>
              <w:pStyle w:val="957"/>
              <w:spacing w:before="290" w:after="290"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大写：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1028"/>
              <w:ind w:firstLine="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sz w:val="24"/>
                <w:szCs w:val="24"/>
                <w:highlight w:val="none"/>
              </w:rPr>
              <w:t xml:space="preserve">小写：</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highlight w:val="none"/>
              </w:rPr>
            </w:r>
            <w:r/>
          </w:p>
        </w:tc>
      </w:tr>
    </w:tbl>
    <w:p>
      <w:pPr>
        <w:pStyle w:val="970"/>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57"/>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备注：</w:t>
      </w:r>
      <w:r>
        <w:rPr>
          <w:rFonts w:hint="eastAsia" w:ascii="方正仿宋_GB2312" w:hAnsi="方正仿宋_GB2312" w:eastAsia="方正仿宋_GB2312" w:cs="方正仿宋_GB2312"/>
          <w:b/>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报价采用总承包方式，“投标总报价”应包括采购人需求的服务费用等，项目在指定地点、环境交付、验收所需费用和所有相关税金费用及为完成整个项目所产生的其它所有费用，招标文件另有规定的除外。</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2.“投标分项报价表”中“投标总报价”数额应当与“开标一览表”中“投标总报价”数额一致。</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0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投标人（加盖CA电子公章）：</w:t>
      </w:r>
      <w:r>
        <w:rPr>
          <w:rFonts w:hint="eastAsia" w:ascii="方正仿宋_GB2312" w:hAnsi="方正仿宋_GB2312" w:eastAsia="方正仿宋_GB2312" w:cs="方正仿宋_GB2312"/>
          <w:color w:val="000000"/>
          <w:sz w:val="24"/>
          <w:szCs w:val="21"/>
          <w:highlight w:val="none"/>
        </w:rPr>
      </w:r>
      <w:r/>
    </w:p>
    <w:p>
      <w:pPr>
        <w:pStyle w:val="957"/>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法定代表人或委托代理人（签章）：</w:t>
      </w:r>
      <w:r>
        <w:rPr>
          <w:rFonts w:hint="eastAsia" w:ascii="方正仿宋_GB2312" w:hAnsi="方正仿宋_GB2312" w:eastAsia="方正仿宋_GB2312" w:cs="方正仿宋_GB2312"/>
          <w:color w:val="000000"/>
          <w:sz w:val="24"/>
          <w:szCs w:val="21"/>
          <w:highlight w:val="none"/>
        </w:rPr>
      </w:r>
      <w:r/>
    </w:p>
    <w:p>
      <w:pPr>
        <w:pStyle w:val="957"/>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                                  日期：    年   月   日</w:t>
      </w:r>
      <w:r>
        <w:rPr>
          <w:rFonts w:hint="eastAsia" w:ascii="方正仿宋_GB2312" w:hAnsi="方正仿宋_GB2312" w:eastAsia="方正仿宋_GB2312" w:cs="方正仿宋_GB2312"/>
          <w:color w:val="000000"/>
          <w:sz w:val="24"/>
          <w:szCs w:val="21"/>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69"/>
        <w:ind w:firstLine="241"/>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969"/>
        <w:ind w:firstLine="241"/>
        <w:rPr>
          <w:rFonts w:hint="eastAsia" w:ascii="方正仿宋_GB2312" w:hAnsi="方正仿宋_GB2312" w:eastAsia="方正仿宋_GB2312" w:cs="方正仿宋_GB2312"/>
          <w:b/>
          <w:color w:val="000000"/>
          <w:sz w:val="24"/>
          <w:highlight w:val="none"/>
        </w:rPr>
      </w:pPr>
      <w:r>
        <w:rPr>
          <w:rFonts w:hint="eastAsia" w:ascii="方正仿宋_GB2312" w:hAnsi="方正仿宋_GB2312" w:eastAsia="方正仿宋_GB2312" w:cs="方正仿宋_GB2312"/>
          <w:b/>
          <w:color w:val="000000"/>
          <w:sz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附件3</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r>
      <w:r/>
    </w:p>
    <w:p>
      <w:pPr>
        <w:pStyle w:val="957"/>
        <w:jc w:val="center"/>
        <w:spacing w:line="40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投标人符合《中华人民共和国政府采购法》第二十二条规定条件的声明函</w:t>
      </w:r>
      <w:r>
        <w:rPr>
          <w:rFonts w:hint="eastAsia" w:ascii="方正仿宋_GB2312" w:hAnsi="方正仿宋_GB2312" w:eastAsia="方正仿宋_GB2312" w:cs="方正仿宋_GB2312"/>
          <w:b/>
          <w:color w:val="000000"/>
          <w:sz w:val="28"/>
          <w:szCs w:val="28"/>
          <w:highlight w:val="none"/>
        </w:rPr>
      </w:r>
      <w:r/>
    </w:p>
    <w:p>
      <w:pPr>
        <w:pStyle w:val="957"/>
        <w:spacing w:line="400" w:lineRule="exact"/>
        <w:rPr>
          <w:rFonts w:hint="eastAsia" w:ascii="方正仿宋_GB2312" w:hAnsi="方正仿宋_GB2312" w:eastAsia="方正仿宋_GB2312" w:cs="方正仿宋_GB2312"/>
          <w:b/>
          <w:bCs/>
          <w:color w:val="000000"/>
          <w:sz w:val="44"/>
          <w:szCs w:val="44"/>
          <w:highlight w:val="none"/>
        </w:rPr>
      </w:pPr>
      <w:r>
        <w:rPr>
          <w:rFonts w:hint="eastAsia" w:ascii="方正仿宋_GB2312" w:hAnsi="方正仿宋_GB2312" w:eastAsia="方正仿宋_GB2312" w:cs="方正仿宋_GB2312"/>
          <w:b/>
          <w:bCs/>
          <w:color w:val="000000"/>
          <w:sz w:val="24"/>
          <w:szCs w:val="21"/>
          <w:highlight w:val="none"/>
        </w:rPr>
        <w:t xml:space="preserve">                       </w:t>
      </w:r>
      <w:r>
        <w:rPr>
          <w:rFonts w:hint="eastAsia" w:ascii="方正仿宋_GB2312" w:hAnsi="方正仿宋_GB2312" w:eastAsia="方正仿宋_GB2312" w:cs="方正仿宋_GB2312"/>
          <w:b/>
          <w:bCs/>
          <w:color w:val="000000"/>
          <w:sz w:val="44"/>
          <w:szCs w:val="44"/>
          <w:highlight w:val="none"/>
        </w:rPr>
        <w:t xml:space="preserve">   </w:t>
      </w:r>
      <w:r>
        <w:rPr>
          <w:rFonts w:hint="eastAsia" w:ascii="方正仿宋_GB2312" w:hAnsi="方正仿宋_GB2312" w:eastAsia="方正仿宋_GB2312" w:cs="方正仿宋_GB2312"/>
          <w:b/>
          <w:bCs/>
          <w:color w:val="000000"/>
          <w:sz w:val="44"/>
          <w:szCs w:val="44"/>
          <w:highlight w:val="none"/>
        </w:rPr>
      </w:r>
      <w:r/>
    </w:p>
    <w:p>
      <w:pPr>
        <w:pStyle w:val="957"/>
        <w:ind w:firstLine="480"/>
        <w:spacing w:line="400" w:lineRule="exact"/>
        <w:rPr>
          <w:rFonts w:hint="eastAsia" w:ascii="方正仿宋_GB2312" w:hAnsi="方正仿宋_GB2312" w:eastAsia="方正仿宋_GB2312" w:cs="方正仿宋_GB2312"/>
          <w:b/>
          <w:bCs/>
          <w:color w:val="000000"/>
          <w:sz w:val="24"/>
          <w:highlight w:val="none"/>
        </w:rPr>
      </w:pPr>
      <w:r>
        <w:rPr>
          <w:rFonts w:hint="eastAsia" w:ascii="方正仿宋_GB2312" w:hAnsi="方正仿宋_GB2312" w:eastAsia="方正仿宋_GB2312" w:cs="方正仿宋_GB2312"/>
          <w:bCs/>
          <w:color w:val="000000"/>
          <w:sz w:val="24"/>
          <w:highlight w:val="none"/>
        </w:rPr>
        <w:t xml:space="preserve">我单位参加</w:t>
      </w:r>
      <w:r>
        <w:rPr>
          <w:rFonts w:hint="eastAsia" w:ascii="方正仿宋_GB2312" w:hAnsi="方正仿宋_GB2312" w:eastAsia="方正仿宋_GB2312" w:cs="方正仿宋_GB2312"/>
          <w:bCs/>
          <w:color w:val="000000"/>
          <w:sz w:val="24"/>
          <w:szCs w:val="21"/>
          <w:highlight w:val="none"/>
        </w:rPr>
        <w:t xml:space="preserve">________________（项目名称），_________（项目编号）投标活动。针对《中华人民共和国政府采购法》第二十二条规定做出如下声明：</w:t>
      </w:r>
      <w:r>
        <w:rPr>
          <w:rFonts w:hint="eastAsia" w:ascii="方正仿宋_GB2312" w:hAnsi="方正仿宋_GB2312" w:eastAsia="方正仿宋_GB2312" w:cs="方正仿宋_GB2312"/>
          <w:b/>
          <w:bCs/>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bCs/>
          <w:color w:val="000000"/>
          <w:sz w:val="24"/>
          <w:szCs w:val="21"/>
          <w:highlight w:val="none"/>
        </w:rPr>
        <w:t xml:space="preserve">1.我单位具有独立承担民事责任的能力；</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2.我单位具有良好的商业信誉和健全的财务会计制度；</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3.我单位具有履行合同所必需的设备和专业技术能力；</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4.我单位有依法缴纳税收和社会保障资金的良好记录；</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6.我单位满足法律、行政法规规定的其他条件。</w:t>
      </w:r>
      <w:r>
        <w:rPr>
          <w:rFonts w:hint="eastAsia" w:ascii="方正仿宋_GB2312" w:hAnsi="方正仿宋_GB2312" w:eastAsia="方正仿宋_GB2312" w:cs="方正仿宋_GB2312"/>
          <w:color w:val="000000"/>
          <w:sz w:val="24"/>
          <w:highlight w:val="none"/>
        </w:rPr>
      </w:r>
      <w:r/>
    </w:p>
    <w:p>
      <w:pPr>
        <w:pStyle w:val="957"/>
        <w:ind w:firstLine="482"/>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pStyle w:val="957"/>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r>
      <w:r/>
    </w:p>
    <w:p>
      <w:pPr>
        <w:pStyle w:val="957"/>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承诺人名称（加盖CA电子公章）：</w:t>
      </w:r>
      <w:r>
        <w:rPr>
          <w:rFonts w:hint="eastAsia" w:ascii="方正仿宋_GB2312" w:hAnsi="方正仿宋_GB2312" w:eastAsia="方正仿宋_GB2312" w:cs="方正仿宋_GB2312"/>
          <w:bCs/>
          <w:color w:val="000000"/>
          <w:sz w:val="24"/>
          <w:szCs w:val="21"/>
          <w:highlight w:val="none"/>
        </w:rPr>
      </w:r>
      <w:r/>
    </w:p>
    <w:p>
      <w:pPr>
        <w:pStyle w:val="957"/>
        <w:jc w:val="right"/>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w:t>
      </w:r>
      <w:r>
        <w:rPr>
          <w:rFonts w:hint="eastAsia" w:ascii="方正仿宋_GB2312" w:hAnsi="方正仿宋_GB2312" w:eastAsia="方正仿宋_GB2312" w:cs="方正仿宋_GB2312"/>
          <w:bCs/>
          <w:color w:val="000000"/>
          <w:sz w:val="24"/>
          <w:szCs w:val="21"/>
          <w:highlight w:val="none"/>
        </w:rPr>
      </w:r>
      <w:r/>
    </w:p>
    <w:p>
      <w:pPr>
        <w:pStyle w:val="957"/>
        <w:jc w:val="right"/>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t xml:space="preserve">                                 日期：</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年</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月</w:t>
      </w:r>
      <w:r>
        <w:rPr>
          <w:rFonts w:hint="eastAsia" w:ascii="方正仿宋_GB2312" w:hAnsi="方正仿宋_GB2312" w:eastAsia="方正仿宋_GB2312" w:cs="方正仿宋_GB2312"/>
          <w:bCs/>
          <w:color w:val="000000"/>
          <w:sz w:val="24"/>
          <w:szCs w:val="21"/>
          <w:highlight w:val="none"/>
          <w:u w:val="single"/>
        </w:rPr>
        <w:t xml:space="preserve">    </w:t>
      </w:r>
      <w:r>
        <w:rPr>
          <w:rFonts w:hint="eastAsia" w:ascii="方正仿宋_GB2312" w:hAnsi="方正仿宋_GB2312" w:eastAsia="方正仿宋_GB2312" w:cs="方正仿宋_GB2312"/>
          <w:bCs/>
          <w:color w:val="000000"/>
          <w:sz w:val="24"/>
          <w:szCs w:val="21"/>
          <w:highlight w:val="none"/>
        </w:rPr>
        <w:t xml:space="preserve">日</w:t>
      </w:r>
      <w:r>
        <w:rPr>
          <w:rFonts w:hint="eastAsia" w:ascii="方正仿宋_GB2312" w:hAnsi="方正仿宋_GB2312" w:eastAsia="方正仿宋_GB2312" w:cs="方正仿宋_GB2312"/>
          <w:bCs/>
          <w:color w:val="000000"/>
          <w:sz w:val="24"/>
          <w:szCs w:val="21"/>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bookmarkEnd w:id="203"/>
      <w:r/>
      <w:bookmarkEnd w:id="204"/>
      <w:r/>
      <w:bookmarkEnd w:id="205"/>
      <w:r/>
      <w:bookmarkStart w:id="206" w:name="_Toc120614284"/>
      <w:r>
        <w:rPr>
          <w:rFonts w:hint="eastAsia" w:ascii="方正仿宋_GB2312" w:hAnsi="方正仿宋_GB2312" w:eastAsia="方正仿宋_GB2312" w:cs="方正仿宋_GB2312"/>
          <w:b/>
          <w:color w:val="000000"/>
          <w:sz w:val="24"/>
          <w:szCs w:val="24"/>
          <w:highlight w:val="none"/>
        </w:rPr>
        <w:t xml:space="preserve">附件4            </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法定代表人身份证明</w:t>
      </w:r>
      <w:r>
        <w:rPr>
          <w:rFonts w:hint="eastAsia" w:ascii="方正仿宋_GB2312" w:hAnsi="方正仿宋_GB2312" w:eastAsia="方正仿宋_GB2312" w:cs="方正仿宋_GB2312"/>
          <w:b/>
          <w:bCs/>
          <w:color w:val="000000"/>
          <w:sz w:val="32"/>
          <w:szCs w:val="32"/>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先生/女士： 现任我单位</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职务，为法定代表人，特此证明。</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b/>
          <w:color w:val="000000"/>
          <w:sz w:val="24"/>
          <w:szCs w:val="21"/>
          <w:highlight w:val="none"/>
        </w:rPr>
      </w:pPr>
      <w:r>
        <w:rPr>
          <w:rFonts w:hint="eastAsia" w:ascii="方正仿宋_GB2312" w:hAnsi="方正仿宋_GB2312" w:eastAsia="方正仿宋_GB2312" w:cs="方正仿宋_GB2312"/>
          <w:b/>
          <w:color w:val="000000"/>
          <w:sz w:val="24"/>
          <w:szCs w:val="24"/>
          <w:highlight w:val="none"/>
        </w:rPr>
        <w:t xml:space="preserve">注：提供法定代表人的身份证扫描件</w:t>
      </w:r>
      <w:r>
        <w:rPr>
          <w:rFonts w:hint="eastAsia" w:ascii="方正仿宋_GB2312" w:hAnsi="方正仿宋_GB2312" w:eastAsia="方正仿宋_GB2312" w:cs="方正仿宋_GB2312"/>
          <w:bCs/>
          <w:color w:val="000000"/>
          <w:sz w:val="24"/>
          <w:szCs w:val="21"/>
          <w:highlight w:val="none"/>
        </w:rPr>
        <w:t xml:space="preserve">（加盖CA电子公章）</w:t>
      </w: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附件5            </w:t>
      </w:r>
      <w:r>
        <w:rPr>
          <w:rFonts w:hint="eastAsia" w:ascii="方正仿宋_GB2312" w:hAnsi="方正仿宋_GB2312" w:eastAsia="方正仿宋_GB2312" w:cs="方正仿宋_GB2312"/>
          <w:b/>
          <w:color w:val="000000"/>
          <w:sz w:val="24"/>
          <w:szCs w:val="21"/>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法人授权书</w:t>
      </w:r>
      <w:r>
        <w:rPr>
          <w:rFonts w:hint="eastAsia" w:ascii="方正仿宋_GB2312" w:hAnsi="方正仿宋_GB2312" w:eastAsia="方正仿宋_GB2312" w:cs="方正仿宋_GB2312"/>
          <w:b/>
          <w:bCs/>
          <w:color w:val="000000"/>
          <w:sz w:val="32"/>
          <w:szCs w:val="32"/>
          <w:highlight w:val="none"/>
        </w:rPr>
      </w:r>
      <w:r/>
    </w:p>
    <w:p>
      <w:pPr>
        <w:pStyle w:val="95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本授权书声明：</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（投标人名称）授权</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（被授权人的姓名）为我方就</w:t>
      </w:r>
      <w:r>
        <w:rPr>
          <w:rFonts w:hint="eastAsia" w:ascii="方正仿宋_GB2312" w:hAnsi="方正仿宋_GB2312" w:eastAsia="方正仿宋_GB2312" w:cs="方正仿宋_GB2312"/>
          <w:color w:val="000000"/>
          <w:sz w:val="24"/>
          <w:szCs w:val="24"/>
          <w:highlight w:val="none"/>
          <w:u w:val="single"/>
        </w:rPr>
        <w:t xml:space="preserve">JSZC-***********</w:t>
      </w:r>
      <w:r>
        <w:rPr>
          <w:rFonts w:hint="eastAsia" w:ascii="方正仿宋_GB2312" w:hAnsi="方正仿宋_GB2312" w:eastAsia="方正仿宋_GB2312" w:cs="方正仿宋_GB2312"/>
          <w:color w:val="000000"/>
          <w:sz w:val="24"/>
          <w:szCs w:val="24"/>
          <w:highlight w:val="none"/>
        </w:rPr>
        <w:t xml:space="preserve">号项目采购活动的合法代理人，以本单位名义全权处理一切与该项目采购有关的事务。</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本授权书于______年____月____日起生效，特此声明。</w:t>
      </w:r>
      <w:r>
        <w:rPr>
          <w:rFonts w:hint="eastAsia" w:ascii="方正仿宋_GB2312" w:hAnsi="方正仿宋_GB2312" w:eastAsia="方正仿宋_GB2312" w:cs="方正仿宋_GB2312"/>
          <w:color w:val="000000"/>
          <w:sz w:val="24"/>
          <w:szCs w:val="24"/>
          <w:highlight w:val="none"/>
        </w:rPr>
      </w:r>
      <w:r/>
    </w:p>
    <w:p>
      <w:pPr>
        <w:pStyle w:val="957"/>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被授权人身份证号码：</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    被授权人联系电话：（手机）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授权单位名称：</w:t>
      </w:r>
      <w:r>
        <w:rPr>
          <w:rFonts w:hint="eastAsia" w:ascii="方正仿宋_GB2312" w:hAnsi="方正仿宋_GB2312" w:eastAsia="方正仿宋_GB2312" w:cs="方正仿宋_GB2312"/>
          <w:color w:val="000000"/>
          <w:sz w:val="24"/>
          <w:szCs w:val="24"/>
          <w:highlight w:val="none"/>
          <w:u w:val="single"/>
        </w:rPr>
        <w:t xml:space="preserve">（加盖CA电子公章）</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单位地址：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ind w:firstLine="480"/>
        <w:spacing w:line="400" w:lineRule="exact"/>
        <w:tabs>
          <w:tab w:val="left" w:pos="3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w:t>
      </w:r>
      <w:bookmarkStart w:id="207" w:name="_格式3__银行出具的资信证明"/>
      <w:r/>
      <w:bookmarkEnd w:id="207"/>
      <w:r/>
      <w:bookmarkStart w:id="208" w:name="_Hlt26955070"/>
      <w:r/>
      <w:bookmarkEnd w:id="208"/>
      <w:r/>
      <w:bookmarkStart w:id="209" w:name="_Hlt26671380"/>
      <w:r/>
      <w:bookmarkEnd w:id="209"/>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keepLines/>
        <w:keepNext/>
        <w:spacing w:before="260" w:after="260" w:line="400" w:lineRule="exact"/>
        <w:rPr>
          <w:rFonts w:hint="eastAsia" w:ascii="方正仿宋_GB2312" w:hAnsi="方正仿宋_GB2312" w:eastAsia="方正仿宋_GB2312" w:cs="方正仿宋_GB2312"/>
          <w:b/>
          <w:color w:val="000000"/>
          <w:sz w:val="24"/>
          <w:szCs w:val="44"/>
          <w:highlight w:val="none"/>
        </w:rPr>
      </w:pPr>
      <w:r>
        <w:rPr>
          <w:rFonts w:hint="eastAsia" w:ascii="方正仿宋_GB2312" w:hAnsi="方正仿宋_GB2312" w:eastAsia="方正仿宋_GB2312" w:cs="方正仿宋_GB2312"/>
          <w:b/>
          <w:color w:val="000000"/>
          <w:sz w:val="24"/>
          <w:szCs w:val="44"/>
          <w:highlight w:val="none"/>
        </w:rPr>
      </w:r>
      <w:r/>
    </w:p>
    <w:p>
      <w:pPr>
        <w:pStyle w:val="957"/>
        <w:keepLines/>
        <w:keepNext/>
        <w:spacing w:before="260" w:after="260"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Cs/>
          <w:color w:val="000000"/>
          <w:sz w:val="24"/>
          <w:szCs w:val="44"/>
          <w:highlight w:val="none"/>
        </w:rPr>
        <w:t xml:space="preserve">注：提供被授权人身份证扫描件（加盖CA电子公章）</w:t>
      </w:r>
      <w:r>
        <w:rPr>
          <w:rFonts w:hint="eastAsia" w:ascii="方正仿宋_GB2312" w:hAnsi="方正仿宋_GB2312" w:eastAsia="方正仿宋_GB2312" w:cs="方正仿宋_GB2312"/>
          <w:bCs/>
          <w:color w:val="000000"/>
          <w:sz w:val="24"/>
          <w:szCs w:val="44"/>
          <w:highlight w:val="none"/>
        </w:rPr>
        <w:br w:type="page" w:clear="all"/>
      </w:r>
      <w:r>
        <w:rPr>
          <w:rFonts w:hint="eastAsia" w:ascii="方正仿宋_GB2312" w:hAnsi="方正仿宋_GB2312" w:eastAsia="方正仿宋_GB2312" w:cs="方正仿宋_GB2312"/>
          <w:b/>
          <w:color w:val="000000"/>
          <w:sz w:val="24"/>
          <w:szCs w:val="21"/>
          <w:highlight w:val="none"/>
        </w:rPr>
        <w:t xml:space="preserve">附件6                           </w:t>
      </w:r>
      <w:r>
        <w:rPr>
          <w:rFonts w:hint="eastAsia" w:ascii="方正仿宋_GB2312" w:hAnsi="方正仿宋_GB2312" w:eastAsia="方正仿宋_GB2312" w:cs="方正仿宋_GB2312"/>
          <w:b/>
          <w:bCs/>
          <w:color w:val="000000"/>
          <w:sz w:val="32"/>
          <w:szCs w:val="32"/>
          <w:highlight w:val="none"/>
        </w:rPr>
        <w:t xml:space="preserve">  </w:t>
      </w:r>
      <w:r>
        <w:rPr>
          <w:rFonts w:hint="eastAsia" w:ascii="方正仿宋_GB2312" w:hAnsi="方正仿宋_GB2312" w:eastAsia="方正仿宋_GB2312" w:cs="方正仿宋_GB2312"/>
          <w:b/>
          <w:bCs/>
          <w:color w:val="000000"/>
          <w:sz w:val="32"/>
          <w:szCs w:val="32"/>
          <w:highlight w:val="none"/>
        </w:rPr>
      </w:r>
      <w:r/>
    </w:p>
    <w:p>
      <w:pPr>
        <w:pStyle w:val="957"/>
        <w:ind w:firstLine="4498"/>
        <w:keepLines/>
        <w:keepNext/>
        <w:spacing w:before="260" w:after="260" w:line="400" w:lineRule="exact"/>
        <w:rPr>
          <w:rFonts w:hint="eastAsia" w:ascii="方正仿宋_GB2312" w:hAnsi="方正仿宋_GB2312" w:eastAsia="方正仿宋_GB2312" w:cs="方正仿宋_GB2312"/>
          <w:b/>
          <w:i/>
          <w:color w:val="000000"/>
          <w:sz w:val="32"/>
          <w:szCs w:val="32"/>
          <w:highlight w:val="none"/>
          <w:u w:val="single"/>
        </w:rPr>
      </w:pPr>
      <w:r>
        <w:rPr>
          <w:rFonts w:hint="eastAsia" w:ascii="方正仿宋_GB2312" w:hAnsi="方正仿宋_GB2312" w:eastAsia="方正仿宋_GB2312" w:cs="方正仿宋_GB2312"/>
          <w:b/>
          <w:bCs/>
          <w:color w:val="000000"/>
          <w:sz w:val="32"/>
          <w:szCs w:val="32"/>
          <w:highlight w:val="none"/>
        </w:rPr>
        <w:t xml:space="preserve">投标函</w:t>
      </w:r>
      <w:r>
        <w:rPr>
          <w:rFonts w:hint="eastAsia" w:ascii="方正仿宋_GB2312" w:hAnsi="方正仿宋_GB2312" w:eastAsia="方正仿宋_GB2312" w:cs="方正仿宋_GB2312"/>
          <w:b/>
          <w:i/>
          <w:color w:val="000000"/>
          <w:sz w:val="32"/>
          <w:szCs w:val="32"/>
          <w:highlight w:val="none"/>
          <w:u w:val="single"/>
        </w:rPr>
      </w:r>
      <w:r/>
    </w:p>
    <w:p>
      <w:pPr>
        <w:pStyle w:val="957"/>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致：如东县洋口镇人民政府</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根据贵方的</w:t>
      </w:r>
      <w:r>
        <w:rPr>
          <w:rFonts w:hint="eastAsia" w:ascii="方正仿宋_GB2312" w:hAnsi="方正仿宋_GB2312" w:eastAsia="方正仿宋_GB2312" w:cs="方正仿宋_GB2312"/>
          <w:color w:val="000000"/>
          <w:sz w:val="24"/>
          <w:szCs w:val="21"/>
          <w:highlight w:val="none"/>
          <w:u w:val="single"/>
        </w:rPr>
        <w:t xml:space="preserve">JSZC-**********-****</w:t>
      </w:r>
      <w:r>
        <w:rPr>
          <w:rFonts w:hint="eastAsia" w:ascii="方正仿宋_GB2312" w:hAnsi="方正仿宋_GB2312" w:eastAsia="方正仿宋_GB2312" w:cs="方正仿宋_GB2312"/>
          <w:color w:val="000000"/>
          <w:sz w:val="24"/>
          <w:szCs w:val="21"/>
          <w:highlight w:val="none"/>
        </w:rPr>
        <w:t xml:space="preserve">号招标文件，正式授权下述被授权人_____(姓名)代表我方_______（投标人的名称），全权处理本次项目投标的有关事宜。</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据此函，被授权人_____(姓名)兹宣布同意如下：</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1.按招标文件规定的各项要求，向买方提供所需货物（包含与货物相关的服务）。</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2.我们完全理解贵方不一定将合同授予最低报价的投标人。</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3.我们已详细审核全部招标文件及其有效补充文件，我们知道必须放弃提出含糊不清或误解问题的权利。</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4.我们同意从规定的开标日期起遵循本投标文件，并在规定的投标有效期期满之前均具有约束力。</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方正仿宋_GB2312" w:hAnsi="方正仿宋_GB2312" w:eastAsia="方正仿宋_GB2312" w:cs="方正仿宋_GB2312"/>
          <w:color w:val="000000"/>
          <w:sz w:val="24"/>
          <w:szCs w:val="21"/>
          <w:highlight w:val="none"/>
        </w:rPr>
      </w:r>
      <w:r/>
    </w:p>
    <w:p>
      <w:pPr>
        <w:pStyle w:val="957"/>
        <w:ind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方正仿宋_GB2312" w:hAnsi="方正仿宋_GB2312" w:eastAsia="方正仿宋_GB2312" w:cs="方正仿宋_GB2312"/>
          <w:color w:val="000000"/>
          <w:sz w:val="24"/>
          <w:szCs w:val="21"/>
          <w:highlight w:val="none"/>
        </w:rPr>
      </w:r>
      <w:r/>
    </w:p>
    <w:p>
      <w:pPr>
        <w:pStyle w:val="957"/>
        <w:ind w:left="425"/>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7.与本投标有关的正式通讯地址为：</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地          址：</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邮          编：</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电          话：</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传          真：</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投标人开户行：</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账          号：</w:t>
      </w:r>
      <w:r>
        <w:rPr>
          <w:rFonts w:hint="eastAsia" w:ascii="方正仿宋_GB2312" w:hAnsi="方正仿宋_GB2312" w:eastAsia="方正仿宋_GB2312" w:cs="方正仿宋_GB2312"/>
          <w:color w:val="000000"/>
          <w:sz w:val="24"/>
          <w:szCs w:val="21"/>
          <w:highlight w:val="none"/>
          <w:u w:val="single"/>
        </w:rPr>
        <w:t xml:space="preserve">                         </w:t>
      </w:r>
      <w:r>
        <w:rPr>
          <w:rFonts w:hint="eastAsia" w:ascii="方正仿宋_GB2312" w:hAnsi="方正仿宋_GB2312" w:eastAsia="方正仿宋_GB2312" w:cs="方正仿宋_GB2312"/>
          <w:color w:val="000000"/>
          <w:sz w:val="24"/>
          <w:szCs w:val="21"/>
          <w:highlight w:val="none"/>
        </w:rPr>
        <w:t xml:space="preserve"> </w:t>
      </w:r>
      <w:r>
        <w:rPr>
          <w:rFonts w:hint="eastAsia" w:ascii="方正仿宋_GB2312" w:hAnsi="方正仿宋_GB2312" w:eastAsia="方正仿宋_GB2312" w:cs="方正仿宋_GB2312"/>
          <w:color w:val="000000"/>
          <w:sz w:val="24"/>
          <w:szCs w:val="21"/>
          <w:highlight w:val="none"/>
        </w:rPr>
      </w:r>
      <w:r/>
    </w:p>
    <w:p>
      <w:pPr>
        <w:pStyle w:val="957"/>
        <w:ind w:left="420" w:firstLine="480"/>
        <w:jc w:val="left"/>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日           期：_____年____月____日</w:t>
      </w:r>
      <w:r>
        <w:rPr>
          <w:rFonts w:hint="eastAsia" w:ascii="方正仿宋_GB2312" w:hAnsi="方正仿宋_GB2312" w:eastAsia="方正仿宋_GB2312" w:cs="方正仿宋_GB2312"/>
          <w:color w:val="000000"/>
          <w:sz w:val="24"/>
          <w:szCs w:val="21"/>
          <w:highlight w:val="none"/>
        </w:rPr>
      </w:r>
      <w:r/>
    </w:p>
    <w:p>
      <w:pPr>
        <w:pStyle w:val="957"/>
        <w:ind w:firstLine="240"/>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ind w:firstLine="240"/>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ind w:firstLine="240"/>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9"/>
        <w:ind w:firstLine="24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9"/>
        <w:ind w:firstLine="24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69"/>
        <w:ind w:firstLine="240"/>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ind w:firstLine="240"/>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pStyle w:val="957"/>
        <w:ind w:firstLine="240"/>
        <w:jc w:val="center"/>
        <w:spacing w:line="400" w:lineRule="exact"/>
        <w:rPr>
          <w:rFonts w:hint="eastAsia" w:ascii="方正仿宋_GB2312" w:hAnsi="方正仿宋_GB2312" w:eastAsia="方正仿宋_GB2312" w:cs="方正仿宋_GB2312"/>
          <w:bCs/>
          <w:color w:val="000000"/>
          <w:sz w:val="24"/>
          <w:szCs w:val="21"/>
          <w:highlight w:val="none"/>
        </w:rPr>
      </w:pPr>
      <w:r>
        <w:rPr>
          <w:rFonts w:hint="eastAsia" w:ascii="方正仿宋_GB2312" w:hAnsi="方正仿宋_GB2312" w:eastAsia="方正仿宋_GB2312" w:cs="方正仿宋_GB2312"/>
          <w:bCs/>
          <w:color w:val="000000"/>
          <w:sz w:val="24"/>
          <w:szCs w:val="21"/>
          <w:highlight w:val="none"/>
        </w:rPr>
      </w:r>
      <w:r/>
    </w:p>
    <w:p>
      <w:pP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1"/>
          <w:highlight w:val="none"/>
        </w:rPr>
      </w:r>
      <w:r>
        <w:rPr>
          <w:rFonts w:hint="eastAsia" w:ascii="方正仿宋_GB2312" w:hAnsi="方正仿宋_GB2312" w:eastAsia="方正仿宋_GB2312" w:cs="方正仿宋_GB2312"/>
          <w:b/>
          <w:color w:val="000000"/>
          <w:sz w:val="24"/>
          <w:szCs w:val="21"/>
          <w:highlight w:val="none"/>
        </w:rPr>
      </w:r>
      <w:r/>
    </w:p>
    <w:p>
      <w:pPr>
        <w:pStyle w:val="957"/>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color w:val="000000"/>
          <w:sz w:val="24"/>
          <w:szCs w:val="21"/>
          <w:highlight w:val="none"/>
        </w:rPr>
        <w:t xml:space="preserve">附件7  </w:t>
      </w:r>
      <w:r>
        <w:rPr>
          <w:rFonts w:hint="eastAsia" w:ascii="方正仿宋_GB2312" w:hAnsi="方正仿宋_GB2312" w:eastAsia="方正仿宋_GB2312" w:cs="方正仿宋_GB2312"/>
          <w:b/>
          <w:color w:val="000000"/>
          <w:sz w:val="24"/>
          <w:szCs w:val="21"/>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中小企业声明函（服务）</w:t>
      </w:r>
      <w:r>
        <w:rPr>
          <w:rFonts w:hint="eastAsia" w:ascii="方正仿宋_GB2312" w:hAnsi="方正仿宋_GB2312" w:eastAsia="方正仿宋_GB2312" w:cs="方正仿宋_GB2312"/>
          <w:b/>
          <w:bCs/>
          <w:color w:val="000000"/>
          <w:sz w:val="32"/>
          <w:szCs w:val="32"/>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本公司（联合体）郑重声明，根据《政府采购促进中小企业发展管理办法》（财库〔2020〕46 号）的规定，本公司（联合体）参加</w:t>
      </w:r>
      <w:r>
        <w:rPr>
          <w:rFonts w:hint="eastAsia" w:ascii="方正仿宋_GB2312" w:hAnsi="方正仿宋_GB2312" w:eastAsia="方正仿宋_GB2312" w:cs="方正仿宋_GB2312"/>
          <w:color w:val="000000"/>
          <w:sz w:val="24"/>
          <w:szCs w:val="24"/>
          <w:highlight w:val="none"/>
          <w:u w:val="single"/>
        </w:rPr>
        <w:t xml:space="preserve">（单位名称）</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（项目名称）    </w:t>
      </w:r>
      <w:r>
        <w:rPr>
          <w:rFonts w:hint="eastAsia" w:ascii="方正仿宋_GB2312" w:hAnsi="方正仿宋_GB2312" w:eastAsia="方正仿宋_GB2312" w:cs="方正仿宋_GB2312"/>
          <w:color w:val="000000"/>
          <w:sz w:val="24"/>
          <w:szCs w:val="24"/>
          <w:highlight w:val="none"/>
        </w:rPr>
        <w:t xml:space="preserve">采购活动，服务全部由符合政策要求的中小企业承接。相关企业（含联合体中的中小企业、签订分包意向协议的中小企业）的具体情况如下：</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 其他未列明 </w:t>
      </w:r>
      <w:r>
        <w:rPr>
          <w:rFonts w:hint="eastAsia" w:ascii="方正仿宋_GB2312" w:hAnsi="方正仿宋_GB2312" w:eastAsia="方正仿宋_GB2312" w:cs="方正仿宋_GB2312"/>
          <w:color w:val="000000"/>
          <w:sz w:val="24"/>
          <w:szCs w:val="24"/>
          <w:highlight w:val="none"/>
        </w:rPr>
        <w:t xml:space="preserve">行业；承建（承接）企业为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957"/>
        <w:ind w:firstLine="360"/>
        <w:spacing w:line="400" w:lineRule="exact"/>
        <w:rPr>
          <w:rFonts w:hint="eastAsia" w:ascii="方正仿宋_GB2312" w:hAnsi="方正仿宋_GB2312" w:eastAsia="方正仿宋_GB2312" w:cs="方正仿宋_GB2312"/>
          <w:i/>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u w:val="single"/>
        </w:rPr>
        <w:t xml:space="preserve">（标的名称）</w:t>
      </w:r>
      <w:r>
        <w:rPr>
          <w:rFonts w:hint="eastAsia" w:ascii="方正仿宋_GB2312" w:hAnsi="方正仿宋_GB2312" w:eastAsia="方正仿宋_GB2312" w:cs="方正仿宋_GB2312"/>
          <w:i/>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t xml:space="preserve">属于</w:t>
      </w:r>
      <w:r>
        <w:rPr>
          <w:rFonts w:hint="eastAsia" w:ascii="方正仿宋_GB2312" w:hAnsi="方正仿宋_GB2312" w:eastAsia="方正仿宋_GB2312" w:cs="方正仿宋_GB2312"/>
          <w:color w:val="000000"/>
          <w:sz w:val="24"/>
          <w:szCs w:val="24"/>
          <w:highlight w:val="none"/>
          <w:u w:val="single"/>
        </w:rPr>
        <w:t xml:space="preserve"> 其他未列明 </w:t>
      </w:r>
      <w:r>
        <w:rPr>
          <w:rFonts w:hint="eastAsia" w:ascii="方正仿宋_GB2312" w:hAnsi="方正仿宋_GB2312" w:eastAsia="方正仿宋_GB2312" w:cs="方正仿宋_GB2312"/>
          <w:color w:val="000000"/>
          <w:sz w:val="24"/>
          <w:szCs w:val="24"/>
          <w:highlight w:val="none"/>
        </w:rPr>
        <w:t xml:space="preserve">行业；承建（承接）企业为</w:t>
      </w:r>
      <w:r>
        <w:rPr>
          <w:rFonts w:hint="eastAsia" w:ascii="方正仿宋_GB2312" w:hAnsi="方正仿宋_GB2312" w:eastAsia="方正仿宋_GB2312" w:cs="方正仿宋_GB2312"/>
          <w:color w:val="000000"/>
          <w:sz w:val="24"/>
          <w:szCs w:val="24"/>
          <w:highlight w:val="none"/>
          <w:u w:val="single"/>
        </w:rPr>
        <w:t xml:space="preserve">（企业名称）</w:t>
      </w:r>
      <w:r>
        <w:rPr>
          <w:rFonts w:hint="eastAsia" w:ascii="方正仿宋_GB2312" w:hAnsi="方正仿宋_GB2312" w:eastAsia="方正仿宋_GB2312" w:cs="方正仿宋_GB2312"/>
          <w:color w:val="000000"/>
          <w:sz w:val="24"/>
          <w:szCs w:val="24"/>
          <w:highlight w:val="none"/>
        </w:rPr>
        <w:t xml:space="preserve">，从业人员</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人，营业收入为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万元，资产总额为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万元，属于</w:t>
      </w:r>
      <w:r>
        <w:rPr>
          <w:rFonts w:hint="eastAsia" w:ascii="方正仿宋_GB2312" w:hAnsi="方正仿宋_GB2312" w:eastAsia="方正仿宋_GB2312" w:cs="方正仿宋_GB2312"/>
          <w:color w:val="000000"/>
          <w:sz w:val="24"/>
          <w:szCs w:val="24"/>
          <w:highlight w:val="none"/>
          <w:u w:val="single"/>
        </w:rPr>
        <w:t xml:space="preserve">（□中型企业 □小型企业 □微型企业）；</w:t>
      </w:r>
      <w:r>
        <w:rPr>
          <w:rFonts w:hint="eastAsia" w:ascii="方正仿宋_GB2312" w:hAnsi="方正仿宋_GB2312" w:eastAsia="方正仿宋_GB2312" w:cs="方正仿宋_GB2312"/>
          <w:i/>
          <w:color w:val="000000"/>
          <w:sz w:val="24"/>
          <w:szCs w:val="24"/>
          <w:highlight w:val="none"/>
          <w:u w:val="singl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以上企业，不属于大企业的分支机构，不存在控股股东为大企业的情形，也不存在与大企业的负责人为同一人的情形。</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本企业对上述声明内容的真实性负责。如有虚假，将依法承担相应责任。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957"/>
        <w:ind w:right="7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right="180" w:firstLine="360"/>
        <w:jc w:val="righ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供应商全称（加盖CA电子公章）：</w:t>
      </w:r>
      <w:r>
        <w:rPr>
          <w:rFonts w:hint="eastAsia" w:ascii="方正仿宋_GB2312" w:hAnsi="方正仿宋_GB2312" w:eastAsia="方正仿宋_GB2312" w:cs="方正仿宋_GB2312"/>
          <w:color w:val="000000"/>
          <w:sz w:val="24"/>
          <w:szCs w:val="24"/>
          <w:highlight w:val="none"/>
        </w:rPr>
      </w:r>
      <w:r/>
    </w:p>
    <w:p>
      <w:pPr>
        <w:pStyle w:val="957"/>
        <w:ind w:right="480" w:firstLine="55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  期：</w:t>
      </w:r>
      <w:r>
        <w:rPr>
          <w:rFonts w:hint="eastAsia" w:ascii="方正仿宋_GB2312" w:hAnsi="方正仿宋_GB2312" w:eastAsia="方正仿宋_GB2312" w:cs="方正仿宋_GB2312"/>
          <w:color w:val="000000"/>
          <w:sz w:val="24"/>
          <w:szCs w:val="24"/>
          <w:highlight w:val="none"/>
        </w:rPr>
      </w:r>
      <w:r/>
    </w:p>
    <w:p>
      <w:pPr>
        <w:pStyle w:val="957"/>
        <w:ind w:firstLine="24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1、如项目类型为“服务”，请按照此格式填写。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2、从业人员、营业收入、资产总额填报上一年度数据，无上一年度数据的新成立企业可不填报。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3、专门面向中小微型企业采购的项目，投标人如不提供此声明函，则不能通过资格审查；非专门面向中小微型企业采购的项目，投标人如不提供此声明函，价格将不做相应扣除。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4、投标人自行勾选承接企业的企业规模类型。</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5、中标人的《中小企业声明函》将随中标结果同时公告。投标人按照本办法规定提供声明函内容不实的，属于提供虚假材料谋取中标、成交，依照《中华人民共和国政府采购法》等国家有关规定追究相应责任。</w:t>
      </w:r>
      <w:r>
        <w:rPr>
          <w:rFonts w:hint="eastAsia" w:ascii="方正仿宋_GB2312" w:hAnsi="方正仿宋_GB2312" w:eastAsia="方正仿宋_GB2312" w:cs="方正仿宋_GB2312"/>
          <w:color w:val="000000"/>
          <w:sz w:val="24"/>
          <w:szCs w:val="24"/>
          <w:highlight w:val="none"/>
        </w:rPr>
      </w:r>
      <w:r/>
    </w:p>
    <w:p>
      <w:pPr>
        <w:pStyle w:val="957"/>
        <w:ind w:firstLine="482"/>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附件8  </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残疾人福利性单位声明函（服务）</w:t>
      </w:r>
      <w:r>
        <w:rPr>
          <w:rFonts w:hint="eastAsia" w:ascii="方正仿宋_GB2312" w:hAnsi="方正仿宋_GB2312" w:eastAsia="方正仿宋_GB2312" w:cs="方正仿宋_GB2312"/>
          <w:b/>
          <w:bCs/>
          <w:color w:val="000000"/>
          <w:sz w:val="32"/>
          <w:szCs w:val="32"/>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方正仿宋_GB2312" w:hAnsi="方正仿宋_GB2312" w:eastAsia="方正仿宋_GB2312" w:cs="方正仿宋_GB2312"/>
          <w:color w:val="000000"/>
          <w:sz w:val="24"/>
          <w:szCs w:val="24"/>
          <w:highlight w:val="none"/>
          <w:u w:val="single"/>
        </w:rPr>
        <w:t xml:space="preserve">***********</w:t>
      </w:r>
      <w:r>
        <w:rPr>
          <w:rFonts w:hint="eastAsia" w:ascii="方正仿宋_GB2312" w:hAnsi="方正仿宋_GB2312" w:eastAsia="方正仿宋_GB2312" w:cs="方正仿宋_GB2312"/>
          <w:color w:val="000000"/>
          <w:sz w:val="24"/>
          <w:szCs w:val="24"/>
          <w:highlight w:val="none"/>
        </w:rPr>
        <w:t xml:space="preserve">的</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项目采购活动由本单位提供服务。</w:t>
      </w:r>
      <w:r>
        <w:rPr>
          <w:rFonts w:hint="eastAsia" w:ascii="方正仿宋_GB2312" w:hAnsi="方正仿宋_GB2312" w:eastAsia="方正仿宋_GB2312" w:cs="方正仿宋_GB2312"/>
          <w:color w:val="000000"/>
          <w:sz w:val="24"/>
          <w:szCs w:val="24"/>
          <w:highlight w:val="none"/>
        </w:rPr>
      </w:r>
      <w:r/>
    </w:p>
    <w:p>
      <w:pPr>
        <w:pStyle w:val="957"/>
        <w:ind w:firstLine="36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本单位对上述声明的真实性负责。如有虚假，将依法承担相应责任。</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1、如项目类型为“服务”，请按照此格式填写。</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2、专门面向中小微型企业采购的项目，投标人为残疾人福利性单位并提供服务的必须提供此声明函，否则将不能通过资格审查。</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 非专门面向中小微型企业采购的项目，投标人如不提供此声明函，价格将不做相应扣除。</w:t>
      </w:r>
      <w:r>
        <w:rPr>
          <w:rFonts w:hint="eastAsia" w:ascii="方正仿宋_GB2312" w:hAnsi="方正仿宋_GB2312" w:eastAsia="方正仿宋_GB2312" w:cs="方正仿宋_GB2312"/>
          <w:color w:val="000000"/>
          <w:sz w:val="24"/>
          <w:szCs w:val="24"/>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4、中标人为残疾人福利性单位的，此声明函将随中标结果同时公告，接受社会监督。</w:t>
      </w:r>
      <w:r>
        <w:rPr>
          <w:rFonts w:hint="eastAsia" w:ascii="方正仿宋_GB2312" w:hAnsi="方正仿宋_GB2312" w:eastAsia="方正仿宋_GB2312" w:cs="方正仿宋_GB2312"/>
          <w:color w:val="000000"/>
          <w:sz w:val="24"/>
          <w:szCs w:val="24"/>
          <w:highlight w:val="none"/>
        </w:rPr>
      </w:r>
      <w:r/>
    </w:p>
    <w:p>
      <w:pPr>
        <w:pStyle w:val="957"/>
        <w:ind w:firstLine="504"/>
        <w:spacing w:line="400" w:lineRule="exact"/>
        <w:rPr>
          <w:rFonts w:hint="eastAsia" w:ascii="方正仿宋_GB2312" w:hAnsi="方正仿宋_GB2312" w:eastAsia="方正仿宋_GB2312" w:cs="方正仿宋_GB2312"/>
          <w:color w:val="000000"/>
          <w:spacing w:val="6"/>
          <w:sz w:val="24"/>
          <w:szCs w:val="24"/>
          <w:highlight w:val="none"/>
        </w:rPr>
      </w:pPr>
      <w:r>
        <w:rPr>
          <w:rFonts w:hint="eastAsia" w:ascii="方正仿宋_GB2312" w:hAnsi="方正仿宋_GB2312" w:eastAsia="方正仿宋_GB2312" w:cs="方正仿宋_GB2312"/>
          <w:color w:val="000000"/>
          <w:spacing w:val="6"/>
          <w:sz w:val="24"/>
          <w:szCs w:val="24"/>
          <w:highlight w:val="none"/>
        </w:rPr>
      </w:r>
      <w:r/>
    </w:p>
    <w:p>
      <w:pPr>
        <w:pStyle w:val="957"/>
        <w:ind w:right="1559" w:firstLine="504"/>
        <w:jc w:val="center"/>
        <w:spacing w:line="400" w:lineRule="exact"/>
        <w:tabs>
          <w:tab w:val="left" w:pos="48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pacing w:val="6"/>
          <w:sz w:val="24"/>
          <w:szCs w:val="24"/>
          <w:highlight w:val="none"/>
        </w:rPr>
        <w:t xml:space="preserve">             </w:t>
      </w:r>
      <w:r>
        <w:rPr>
          <w:rFonts w:hint="eastAsia" w:ascii="方正仿宋_GB2312" w:hAnsi="方正仿宋_GB2312" w:eastAsia="方正仿宋_GB2312" w:cs="方正仿宋_GB2312"/>
          <w:color w:val="000000"/>
          <w:sz w:val="24"/>
          <w:szCs w:val="24"/>
          <w:highlight w:val="none"/>
        </w:rPr>
        <w:t xml:space="preserve">          供应商全称（加盖CA电子公章）：</w:t>
      </w:r>
      <w:r>
        <w:rPr>
          <w:rFonts w:hint="eastAsia" w:ascii="方正仿宋_GB2312" w:hAnsi="方正仿宋_GB2312" w:eastAsia="方正仿宋_GB2312" w:cs="方正仿宋_GB2312"/>
          <w:color w:val="000000"/>
          <w:sz w:val="24"/>
          <w:szCs w:val="24"/>
          <w:highlight w:val="none"/>
        </w:rPr>
      </w:r>
      <w:r/>
    </w:p>
    <w:p>
      <w:pPr>
        <w:pStyle w:val="957"/>
        <w:ind w:right="1559" w:firstLine="480"/>
        <w:jc w:val="center"/>
        <w:spacing w:line="400" w:lineRule="exact"/>
        <w:tabs>
          <w:tab w:val="left" w:pos="4860" w:leader="none"/>
        </w:tabs>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        日  期：</w:t>
      </w:r>
      <w:r>
        <w:rPr>
          <w:rFonts w:hint="eastAsia" w:ascii="方正仿宋_GB2312" w:hAnsi="方正仿宋_GB2312" w:eastAsia="方正仿宋_GB2312" w:cs="方正仿宋_GB2312"/>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附件9</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32"/>
          <w:szCs w:val="32"/>
          <w:highlight w:val="none"/>
        </w:rPr>
      </w:pPr>
      <w:r>
        <w:rPr>
          <w:rFonts w:hint="eastAsia" w:ascii="方正仿宋_GB2312" w:hAnsi="方正仿宋_GB2312" w:eastAsia="方正仿宋_GB2312" w:cs="方正仿宋_GB2312"/>
          <w:b/>
          <w:bCs/>
          <w:color w:val="000000"/>
          <w:sz w:val="32"/>
          <w:szCs w:val="32"/>
          <w:highlight w:val="none"/>
        </w:rPr>
        <w:t xml:space="preserve">监狱和戒毒企业证明材料</w:t>
      </w:r>
      <w:r>
        <w:rPr>
          <w:rFonts w:hint="eastAsia" w:ascii="方正仿宋_GB2312" w:hAnsi="方正仿宋_GB2312" w:eastAsia="方正仿宋_GB2312" w:cs="方正仿宋_GB2312"/>
          <w:b/>
          <w:bCs/>
          <w:color w:val="000000"/>
          <w:sz w:val="32"/>
          <w:szCs w:val="32"/>
          <w:highlight w:val="none"/>
        </w:rPr>
      </w:r>
      <w:r/>
    </w:p>
    <w:p>
      <w:pPr>
        <w:pStyle w:val="957"/>
        <w:ind w:firstLine="495"/>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57"/>
        <w:jc w:val="center"/>
        <w:spacing w:line="400" w:lineRule="exact"/>
        <w:rPr>
          <w:rFonts w:hint="eastAsia" w:ascii="方正仿宋_GB2312" w:hAnsi="方正仿宋_GB2312" w:eastAsia="方正仿宋_GB2312" w:cs="方正仿宋_GB2312"/>
          <w:b/>
          <w:bCs/>
          <w:color w:val="000000"/>
          <w:sz w:val="24"/>
          <w:szCs w:val="24"/>
          <w:highlight w:val="none"/>
        </w:rPr>
      </w:pPr>
      <w:r>
        <w:rPr>
          <w:rFonts w:hint="eastAsia" w:ascii="方正仿宋_GB2312" w:hAnsi="方正仿宋_GB2312" w:eastAsia="方正仿宋_GB2312" w:cs="方正仿宋_GB2312"/>
          <w:b/>
          <w:bCs/>
          <w:color w:val="000000"/>
          <w:sz w:val="24"/>
          <w:szCs w:val="24"/>
          <w:highlight w:val="none"/>
        </w:rPr>
        <w:t xml:space="preserve">（格式自拟）</w:t>
      </w:r>
      <w:r>
        <w:rPr>
          <w:rFonts w:hint="eastAsia" w:ascii="方正仿宋_GB2312" w:hAnsi="方正仿宋_GB2312" w:eastAsia="方正仿宋_GB2312" w:cs="方正仿宋_GB2312"/>
          <w:b/>
          <w:bCs/>
          <w:color w:val="000000"/>
          <w:sz w:val="24"/>
          <w:szCs w:val="24"/>
          <w:highlight w:val="none"/>
        </w:rPr>
      </w:r>
      <w:r/>
    </w:p>
    <w:p>
      <w:pPr>
        <w:pStyle w:val="957"/>
        <w:ind w:firstLine="495"/>
        <w:spacing w:line="400" w:lineRule="exact"/>
        <w:rPr>
          <w:rFonts w:hint="eastAsia" w:ascii="方正仿宋_GB2312" w:hAnsi="方正仿宋_GB2312" w:eastAsia="方正仿宋_GB2312" w:cs="方正仿宋_GB2312"/>
          <w:color w:val="000000"/>
          <w:sz w:val="28"/>
          <w:szCs w:val="28"/>
          <w:highlight w:val="none"/>
        </w:rPr>
      </w:pPr>
      <w:r>
        <w:rPr>
          <w:rFonts w:hint="eastAsia" w:ascii="方正仿宋_GB2312" w:hAnsi="方正仿宋_GB2312" w:eastAsia="方正仿宋_GB2312" w:cs="方正仿宋_GB2312"/>
          <w:color w:val="000000"/>
          <w:sz w:val="28"/>
          <w:szCs w:val="28"/>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备注：</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1、专门面向中小微型企业采购的项目，投标人为监狱和戒毒企业的，如不提供此证明材料，则不能通过资格审查；非专门面向中小微型企业采购的项目，投标人如不提供此证明材料，价格将不做相应扣除。</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t xml:space="preserve">2、中标人为监狱和戒毒企业的，此证明材料将随中标结果同时公告，接受社会监督。投标人提供证明材料内容不实的，属于提供虚假材料谋取中标、成交，依照《中华人民共和国政府采购法》等国家有关规定追究相应责任。</w:t>
      </w:r>
      <w:r>
        <w:rPr>
          <w:rFonts w:hint="eastAsia" w:ascii="方正仿宋_GB2312" w:hAnsi="方正仿宋_GB2312" w:eastAsia="方正仿宋_GB2312" w:cs="方正仿宋_GB2312"/>
          <w:color w:val="000000"/>
          <w:sz w:val="24"/>
          <w:szCs w:val="21"/>
          <w:highlight w:val="none"/>
        </w:rPr>
      </w:r>
      <w:r/>
    </w:p>
    <w:p>
      <w:pPr>
        <w:pStyle w:val="957"/>
        <w:ind w:firstLine="480"/>
        <w:spacing w:line="400" w:lineRule="exact"/>
        <w:rPr>
          <w:rFonts w:hint="eastAsia" w:ascii="方正仿宋_GB2312" w:hAnsi="方正仿宋_GB2312" w:eastAsia="方正仿宋_GB2312" w:cs="方正仿宋_GB2312"/>
          <w:color w:val="000000"/>
          <w:sz w:val="24"/>
          <w:szCs w:val="21"/>
          <w:highlight w:val="none"/>
        </w:rPr>
      </w:pPr>
      <w:r>
        <w:rPr>
          <w:rFonts w:hint="eastAsia" w:ascii="方正仿宋_GB2312" w:hAnsi="方正仿宋_GB2312" w:eastAsia="方正仿宋_GB2312" w:cs="方正仿宋_GB2312"/>
          <w:color w:val="000000"/>
          <w:sz w:val="24"/>
          <w:szCs w:val="21"/>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jc w:val="center"/>
        <w:spacing w:line="400" w:lineRule="exact"/>
        <w:rPr>
          <w:rFonts w:hint="eastAsia" w:ascii="方正仿宋_GB2312" w:hAnsi="方正仿宋_GB2312" w:eastAsia="方正仿宋_GB2312" w:cs="方正仿宋_GB2312"/>
          <w:b/>
          <w:color w:val="000000"/>
          <w:sz w:val="32"/>
          <w:szCs w:val="32"/>
          <w:highlight w:val="none"/>
        </w:rPr>
      </w:pPr>
      <w:r>
        <w:rPr>
          <w:rFonts w:hint="eastAsia" w:ascii="方正仿宋_GB2312" w:hAnsi="方正仿宋_GB2312" w:eastAsia="方正仿宋_GB2312" w:cs="方正仿宋_GB2312"/>
          <w:b/>
          <w:color w:val="000000"/>
          <w:sz w:val="32"/>
          <w:szCs w:val="32"/>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附件10 </w:t>
      </w:r>
      <w:r>
        <w:rPr>
          <w:rFonts w:hint="eastAsia" w:ascii="方正仿宋_GB2312" w:hAnsi="方正仿宋_GB2312" w:eastAsia="方正仿宋_GB2312" w:cs="方正仿宋_GB2312"/>
          <w:b/>
          <w:color w:val="000000"/>
          <w:sz w:val="24"/>
          <w:szCs w:val="24"/>
          <w:highlight w:val="none"/>
        </w:rPr>
      </w:r>
      <w:r/>
    </w:p>
    <w:p>
      <w:pPr>
        <w:pStyle w:val="957"/>
        <w:ind w:firstLine="562"/>
        <w:jc w:val="center"/>
        <w:spacing w:line="40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技术要求响应及偏离表</w:t>
      </w:r>
      <w:r>
        <w:rPr>
          <w:rFonts w:hint="eastAsia" w:ascii="方正仿宋_GB2312" w:hAnsi="方正仿宋_GB2312" w:eastAsia="方正仿宋_GB2312" w:cs="方正仿宋_GB2312"/>
          <w:b/>
          <w:color w:val="000000"/>
          <w:sz w:val="28"/>
          <w:szCs w:val="28"/>
          <w:highlight w:val="none"/>
        </w:rPr>
      </w:r>
      <w:r/>
    </w:p>
    <w:p>
      <w:pPr>
        <w:pStyle w:val="957"/>
        <w:ind w:firstLine="480"/>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（由投标人据实填写，表格不够自行添加）</w:t>
      </w:r>
      <w:r>
        <w:rPr>
          <w:rFonts w:hint="eastAsia" w:ascii="方正仿宋_GB2312" w:hAnsi="方正仿宋_GB2312" w:eastAsia="方正仿宋_GB2312" w:cs="方正仿宋_GB2312"/>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货物名称</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招标文件要求的技术要求</w:t>
            </w: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投标文件响应情况</w:t>
            </w: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偏离说明</w:t>
            </w:r>
            <w:r>
              <w:rPr>
                <w:rFonts w:hint="eastAsia" w:ascii="方正仿宋_GB2312" w:hAnsi="方正仿宋_GB2312" w:eastAsia="方正仿宋_GB2312" w:cs="方正仿宋_GB2312"/>
                <w:color w:val="000000"/>
                <w:sz w:val="24"/>
                <w:szCs w:val="24"/>
                <w:highlight w:val="none"/>
              </w:rPr>
            </w:r>
            <w:r/>
          </w:p>
        </w:tc>
      </w:tr>
      <w:tr>
        <w:trPr>
          <w:trHeight w:val="414"/>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548"/>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00"/>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890"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242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1.投标人提交的投标文件中与招标文件第四章“采购需求”中的技术要求</w:t>
      </w:r>
      <w:r>
        <w:rPr>
          <w:rFonts w:hint="eastAsia" w:ascii="方正仿宋_GB2312" w:hAnsi="方正仿宋_GB2312" w:eastAsia="方正仿宋_GB2312" w:cs="方正仿宋_GB2312"/>
          <w:color w:val="000000"/>
          <w:sz w:val="24"/>
          <w:highlight w:val="none"/>
          <w:lang w:eastAsia="zh-CN"/>
        </w:rPr>
        <w:t xml:space="preserve">，</w:t>
      </w:r>
      <w:r>
        <w:rPr>
          <w:rFonts w:hint="eastAsia" w:ascii="方正仿宋_GB2312" w:hAnsi="方正仿宋_GB2312" w:eastAsia="方正仿宋_GB2312" w:cs="方正仿宋_GB2312"/>
          <w:color w:val="000000"/>
          <w:sz w:val="24"/>
          <w:highlight w:val="none"/>
        </w:rPr>
        <w:t xml:space="preserve">如有偏离的，应逐条填列在偏离表中。</w:t>
      </w:r>
      <w:r>
        <w:rPr>
          <w:rFonts w:hint="eastAsia" w:ascii="方正仿宋_GB2312" w:hAnsi="方正仿宋_GB2312" w:eastAsia="方正仿宋_GB2312" w:cs="方正仿宋_GB2312"/>
          <w:color w:val="000000"/>
          <w:sz w:val="24"/>
          <w:highlight w:val="none"/>
        </w:rPr>
      </w:r>
      <w:r/>
    </w:p>
    <w:p>
      <w:pPr>
        <w:pStyle w:val="957"/>
        <w:contextualSpacing/>
        <w:spacing w:line="400" w:lineRule="exact"/>
        <w:rPr>
          <w:rFonts w:hint="eastAsia" w:ascii="方正仿宋_GB2312" w:hAnsi="方正仿宋_GB2312" w:eastAsia="方正仿宋_GB2312" w:cs="方正仿宋_GB2312"/>
          <w:color w:val="000000"/>
          <w:sz w:val="24"/>
          <w:highlight w:val="none"/>
        </w:rPr>
      </w:pPr>
      <w:r>
        <w:rPr>
          <w:rFonts w:hint="eastAsia" w:ascii="方正仿宋_GB2312" w:hAnsi="方正仿宋_GB2312" w:eastAsia="方正仿宋_GB2312" w:cs="方正仿宋_GB2312"/>
          <w:color w:val="000000"/>
          <w:sz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方正仿宋_GB2312" w:hAnsi="方正仿宋_GB2312" w:eastAsia="方正仿宋_GB2312" w:cs="方正仿宋_GB2312"/>
          <w:color w:val="000000"/>
          <w:sz w:val="24"/>
          <w:highlight w:val="none"/>
        </w:rPr>
      </w:r>
      <w:r/>
    </w:p>
    <w:p>
      <w:pPr>
        <w:pStyle w:val="1028"/>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r>
        <w:rPr>
          <w:rFonts w:hint="eastAsia" w:ascii="方正仿宋_GB2312" w:hAnsi="方正仿宋_GB2312" w:eastAsia="方正仿宋_GB2312" w:cs="方正仿宋_GB2312"/>
          <w:b/>
          <w:color w:val="000000"/>
          <w:sz w:val="24"/>
          <w:szCs w:val="24"/>
          <w:highlight w:val="none"/>
        </w:rPr>
        <w:t xml:space="preserve">附件11 </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t xml:space="preserve">商务要求响应及偏离表</w:t>
      </w:r>
      <w:r>
        <w:rPr>
          <w:rFonts w:hint="eastAsia" w:ascii="方正仿宋_GB2312" w:hAnsi="方正仿宋_GB2312" w:eastAsia="方正仿宋_GB2312" w:cs="方正仿宋_GB2312"/>
          <w:b/>
          <w:color w:val="000000"/>
          <w:sz w:val="28"/>
          <w:szCs w:val="28"/>
          <w:highlight w:val="none"/>
        </w:rPr>
      </w:r>
      <w:r/>
    </w:p>
    <w:p>
      <w:pPr>
        <w:pStyle w:val="957"/>
        <w:ind w:firstLine="480"/>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（由投标人据实填写，表格不够自行添加）</w:t>
      </w:r>
      <w:r>
        <w:rPr>
          <w:rFonts w:hint="eastAsia" w:ascii="方正仿宋_GB2312" w:hAnsi="方正仿宋_GB2312" w:eastAsia="方正仿宋_GB2312" w:cs="方正仿宋_GB2312"/>
          <w:color w:val="000000"/>
          <w:sz w:val="24"/>
          <w:szCs w:val="24"/>
          <w:highlight w:val="none"/>
        </w:rPr>
      </w:r>
      <w:r/>
    </w:p>
    <w:tbl>
      <w:tblPr>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890"/>
        <w:gridCol w:w="2427"/>
        <w:gridCol w:w="2119"/>
        <w:gridCol w:w="2734"/>
        <w:gridCol w:w="1506"/>
      </w:tblGrid>
      <w:tr>
        <w:trPr>
          <w:trHeight w:val="994"/>
        </w:trPr>
        <w:tc>
          <w:tcPr>
            <w:tcW w:w="460"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序号</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货物名称</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招标文件要求的商务要求</w:t>
            </w: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投标文件响应情况</w:t>
            </w: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偏离说明</w:t>
            </w:r>
            <w:r>
              <w:rPr>
                <w:rFonts w:hint="eastAsia" w:ascii="方正仿宋_GB2312" w:hAnsi="方正仿宋_GB2312" w:eastAsia="方正仿宋_GB2312" w:cs="方正仿宋_GB2312"/>
                <w:color w:val="000000"/>
                <w:sz w:val="24"/>
                <w:szCs w:val="24"/>
                <w:highlight w:val="none"/>
              </w:rPr>
            </w:r>
            <w:r/>
          </w:p>
        </w:tc>
      </w:tr>
      <w:tr>
        <w:trPr>
          <w:trHeight w:val="414"/>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548"/>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00"/>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460" w:type="dxa"/>
            <w:vAlign w:val="top"/>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w:t>
            </w:r>
            <w:r>
              <w:rPr>
                <w:rFonts w:hint="eastAsia" w:ascii="方正仿宋_GB2312" w:hAnsi="方正仿宋_GB2312" w:eastAsia="方正仿宋_GB2312" w:cs="方正仿宋_GB2312"/>
                <w:color w:val="000000"/>
                <w:sz w:val="24"/>
                <w:szCs w:val="24"/>
                <w:highlight w:val="none"/>
              </w:rPr>
            </w:r>
            <w:r/>
          </w:p>
        </w:tc>
        <w:tc>
          <w:tcPr>
            <w:tcW w:w="1254"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r>
        <w:trPr>
          <w:trHeight w:val="419"/>
        </w:trPr>
        <w:tc>
          <w:tcPr>
            <w:tcW w:w="890"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2427" w:type="dxa"/>
            <w:vAlign w:val="center"/>
            <w:textDirection w:val="lrTb"/>
            <w:noWrap w:val="false"/>
          </w:tcPr>
          <w:p>
            <w:pPr>
              <w:pStyle w:val="957"/>
              <w:jc w:val="center"/>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tc>
        <w:tc>
          <w:tcPr>
            <w:tcW w:w="1095"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1413" w:type="dxa"/>
            <w:vAlign w:val="center"/>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c>
          <w:tcPr>
            <w:tcW w:w="778" w:type="dxa"/>
            <w:vAlign w:val="top"/>
            <w:textDirection w:val="lrTb"/>
            <w:noWrap w:val="false"/>
          </w:tcPr>
          <w:p>
            <w:pPr>
              <w:pStyle w:val="957"/>
              <w:jc w:val="left"/>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tc>
      </w:tr>
    </w:tbl>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备注：</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1.投标人提交的投标文件中与招标文件第四章“采购需求”中的商务要求</w:t>
      </w:r>
      <w:r>
        <w:rPr>
          <w:rFonts w:hint="eastAsia" w:ascii="方正仿宋_GB2312" w:hAnsi="方正仿宋_GB2312" w:eastAsia="方正仿宋_GB2312" w:cs="方正仿宋_GB2312"/>
          <w:color w:val="000000"/>
          <w:sz w:val="24"/>
          <w:szCs w:val="24"/>
          <w:highlight w:val="none"/>
          <w:lang w:eastAsia="zh-CN"/>
        </w:rPr>
        <w:t xml:space="preserve">，</w:t>
      </w:r>
      <w:r>
        <w:rPr>
          <w:rFonts w:hint="eastAsia" w:ascii="方正仿宋_GB2312" w:hAnsi="方正仿宋_GB2312" w:eastAsia="方正仿宋_GB2312" w:cs="方正仿宋_GB2312"/>
          <w:color w:val="000000"/>
          <w:sz w:val="24"/>
          <w:szCs w:val="24"/>
          <w:highlight w:val="none"/>
        </w:rPr>
        <w:t xml:space="preserve">如有偏离的，应逐条填列在偏离表中。</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2.“偏离说明”一栏选择“正偏离”、“无偏离”、“负偏离”进行填写。未填写的内容视为完全响应本招标文件要求。正偏离、无偏离的确认和负偏离是否响应招标文件，由评委会认定。</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spacing w:line="400" w:lineRule="exact"/>
        <w:rPr>
          <w:rFonts w:hint="eastAsia" w:ascii="方正仿宋_GB2312" w:hAnsi="方正仿宋_GB2312" w:eastAsia="方正仿宋_GB2312" w:cs="方正仿宋_GB2312"/>
          <w:color w:val="000000"/>
          <w:szCs w:val="21"/>
          <w:highlight w:val="none"/>
        </w:rPr>
      </w:pPr>
      <w:r>
        <w:rPr>
          <w:rFonts w:hint="eastAsia" w:ascii="方正仿宋_GB2312" w:hAnsi="方正仿宋_GB2312" w:eastAsia="方正仿宋_GB2312" w:cs="方正仿宋_GB2312"/>
          <w:color w:val="000000"/>
          <w:szCs w:val="21"/>
          <w:highlight w:val="none"/>
        </w:rPr>
      </w:r>
      <w:r/>
    </w:p>
    <w:p>
      <w:pPr>
        <w:pStyle w:val="957"/>
        <w:jc w:val="center"/>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r>
      <w:r/>
    </w:p>
    <w:p>
      <w:pPr>
        <w:pStyle w:val="957"/>
        <w:jc w:val="left"/>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br w:type="page" w:clear="all"/>
      </w:r>
      <w:bookmarkEnd w:id="188"/>
      <w:r/>
      <w:bookmarkEnd w:id="194"/>
      <w:r/>
      <w:bookmarkEnd w:id="206"/>
      <w:r>
        <w:rPr>
          <w:rFonts w:hint="eastAsia" w:ascii="方正仿宋_GB2312" w:hAnsi="方正仿宋_GB2312" w:eastAsia="方正仿宋_GB2312" w:cs="方正仿宋_GB2312"/>
          <w:b/>
          <w:color w:val="000000"/>
          <w:sz w:val="24"/>
          <w:szCs w:val="24"/>
          <w:highlight w:val="none"/>
        </w:rPr>
        <w:t xml:space="preserve">附件12</w:t>
      </w:r>
      <w:r>
        <w:rPr>
          <w:rFonts w:hint="eastAsia" w:ascii="方正仿宋_GB2312" w:hAnsi="方正仿宋_GB2312" w:eastAsia="方正仿宋_GB2312" w:cs="方正仿宋_GB2312"/>
          <w:b/>
          <w:color w:val="000000"/>
          <w:sz w:val="24"/>
          <w:szCs w:val="24"/>
          <w:highlight w:val="none"/>
        </w:rPr>
      </w:r>
      <w:r/>
    </w:p>
    <w:p>
      <w:pPr>
        <w:pStyle w:val="957"/>
        <w:jc w:val="center"/>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质疑函范本</w:t>
      </w:r>
      <w:r>
        <w:rPr>
          <w:rFonts w:hint="eastAsia" w:ascii="方正仿宋_GB2312" w:hAnsi="方正仿宋_GB2312" w:eastAsia="方正仿宋_GB2312" w:cs="方正仿宋_GB2312"/>
          <w:b/>
          <w:bCs/>
          <w:color w:val="000000"/>
          <w:sz w:val="28"/>
          <w:szCs w:val="28"/>
          <w:highlight w:val="none"/>
        </w:rPr>
      </w:r>
      <w:r/>
    </w:p>
    <w:p>
      <w:pPr>
        <w:pStyle w:val="957"/>
        <w:spacing w:before="290"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一、质疑供应商基本信息</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质疑供应商：</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联系人：</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授权代表：</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联系电话：</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地址： </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邮编：</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二、质疑项目基本情况</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质疑项目的编号：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t xml:space="preserve">包号：</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采购人名称：</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采购文件获取日期：</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三、质疑事项具体内容</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质疑事项1：</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事实依据：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法律依据：</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质疑事项2</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Cs/>
          <w:color w:val="000000"/>
          <w:sz w:val="24"/>
          <w:szCs w:val="24"/>
          <w:highlight w:val="none"/>
        </w:rPr>
      </w:pPr>
      <w:r>
        <w:rPr>
          <w:rFonts w:hint="eastAsia" w:ascii="方正仿宋_GB2312" w:hAnsi="方正仿宋_GB2312" w:eastAsia="方正仿宋_GB2312" w:cs="方正仿宋_GB2312"/>
          <w:bCs/>
          <w:color w:val="000000"/>
          <w:sz w:val="24"/>
          <w:szCs w:val="24"/>
          <w:highlight w:val="none"/>
        </w:rPr>
        <w:t xml:space="preserve">四、与质疑事项相关的质疑请求</w:t>
      </w:r>
      <w:r>
        <w:rPr>
          <w:rFonts w:hint="eastAsia" w:ascii="方正仿宋_GB2312" w:hAnsi="方正仿宋_GB2312" w:eastAsia="方正仿宋_GB2312" w:cs="方正仿宋_GB2312"/>
          <w:bCs/>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u w:val="single"/>
        </w:rPr>
      </w:pPr>
      <w:r>
        <w:rPr>
          <w:rFonts w:hint="eastAsia" w:ascii="方正仿宋_GB2312" w:hAnsi="方正仿宋_GB2312" w:eastAsia="方正仿宋_GB2312" w:cs="方正仿宋_GB2312"/>
          <w:color w:val="000000"/>
          <w:sz w:val="24"/>
          <w:szCs w:val="24"/>
          <w:highlight w:val="none"/>
        </w:rPr>
        <w:t xml:space="preserve">请求：</w:t>
      </w:r>
      <w:r>
        <w:rPr>
          <w:rFonts w:hint="eastAsia" w:ascii="方正仿宋_GB2312" w:hAnsi="方正仿宋_GB2312" w:eastAsia="方正仿宋_GB2312" w:cs="方正仿宋_GB2312"/>
          <w:color w:val="000000"/>
          <w:sz w:val="24"/>
          <w:szCs w:val="24"/>
          <w:highlight w:val="none"/>
          <w:u w:val="single"/>
        </w:rPr>
        <w:t xml:space="preserve">                                                                     </w:t>
      </w:r>
      <w:r>
        <w:rPr>
          <w:rFonts w:hint="eastAsia" w:ascii="方正仿宋_GB2312" w:hAnsi="方正仿宋_GB2312" w:eastAsia="方正仿宋_GB2312" w:cs="方正仿宋_GB2312"/>
          <w:color w:val="000000"/>
          <w:sz w:val="24"/>
          <w:szCs w:val="24"/>
          <w:highlight w:val="none"/>
          <w:u w:val="singl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签字(签章)：                   公章：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日期：    </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b/>
          <w:color w:val="000000"/>
          <w:sz w:val="24"/>
          <w:szCs w:val="24"/>
          <w:highlight w:val="none"/>
        </w:rPr>
      </w:pPr>
      <w:r>
        <w:rPr>
          <w:rFonts w:hint="eastAsia" w:ascii="方正仿宋_GB2312" w:hAnsi="方正仿宋_GB2312" w:eastAsia="方正仿宋_GB2312" w:cs="方正仿宋_GB2312"/>
          <w:b/>
          <w:color w:val="000000"/>
          <w:sz w:val="24"/>
          <w:szCs w:val="24"/>
          <w:highlight w:val="none"/>
        </w:rPr>
        <w:t xml:space="preserve">质疑函制作说明：</w:t>
      </w:r>
      <w:r>
        <w:rPr>
          <w:rFonts w:hint="eastAsia" w:ascii="方正仿宋_GB2312" w:hAnsi="方正仿宋_GB2312" w:eastAsia="方正仿宋_GB2312" w:cs="方正仿宋_GB2312"/>
          <w:b/>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1.供应商提出质疑时，应提交质疑函和必要的证明材料。</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2.质疑供应商若委托代理人进行质疑的，质疑函应按要求列明“授权代表”的有关内容，并在附件中提交由质疑</w:t>
      </w:r>
      <w:r>
        <w:rPr>
          <w:rFonts w:hint="eastAsia" w:ascii="方正仿宋_GB2312" w:hAnsi="方正仿宋_GB2312" w:eastAsia="方正仿宋_GB2312" w:cs="方正仿宋_GB2312"/>
          <w:color w:val="000000"/>
          <w:sz w:val="24"/>
          <w:szCs w:val="24"/>
          <w:highlight w:val="none"/>
        </w:rPr>
        <w:t xml:space="preserve">供应商签署的授权委托书。授权委托书应载明代理人的姓名或者名称、代理事项、具体权限、期限和相关事项。</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3.质疑供应商若对项目的某一分包进行质疑，质疑函中应列明具体分包号。</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4.质疑函的质疑事项应具体、明确，并有必要的事实依据和法律依据。</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5.质疑函的质疑请求应与质疑事项相关。</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rPr>
          <w:rFonts w:hint="eastAsia" w:ascii="方正仿宋_GB2312" w:hAnsi="方正仿宋_GB2312" w:eastAsia="方正仿宋_GB2312" w:cs="方正仿宋_GB2312"/>
          <w:color w:val="000000"/>
          <w:sz w:val="24"/>
          <w:szCs w:val="24"/>
          <w:highlight w:val="none"/>
        </w:rPr>
      </w:r>
      <w:r/>
    </w:p>
    <w:p>
      <w:pPr>
        <w:pStyle w:val="957"/>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ind w:firstLine="420"/>
        <w:spacing w:line="400" w:lineRule="exact"/>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r>
      <w:r/>
    </w:p>
    <w:p>
      <w:pPr>
        <w:pStyle w:val="957"/>
        <w:jc w:val="left"/>
        <w:spacing w:line="400" w:lineRule="exact"/>
        <w:widowControl/>
        <w:rPr>
          <w:rFonts w:hint="eastAsia" w:ascii="方正仿宋_GB2312" w:hAnsi="方正仿宋_GB2312" w:eastAsia="方正仿宋_GB2312" w:cs="方正仿宋_GB2312"/>
          <w:color w:val="000000"/>
          <w:sz w:val="28"/>
          <w:szCs w:val="28"/>
          <w:highlight w:val="none"/>
          <w:lang w:bidi="ar"/>
        </w:rPr>
      </w:pPr>
      <w:r>
        <w:rPr>
          <w:rFonts w:hint="eastAsia" w:ascii="方正仿宋_GB2312" w:hAnsi="方正仿宋_GB2312" w:eastAsia="方正仿宋_GB2312" w:cs="方正仿宋_GB2312"/>
          <w:color w:val="000000"/>
          <w:highlight w:val="none"/>
        </w:rPr>
        <w:br w:type="page" w:clear="all"/>
      </w:r>
      <w:r>
        <w:rPr>
          <w:rFonts w:hint="eastAsia" w:ascii="方正仿宋_GB2312" w:hAnsi="方正仿宋_GB2312" w:eastAsia="方正仿宋_GB2312" w:cs="方正仿宋_GB2312"/>
          <w:color w:val="000000"/>
          <w:sz w:val="28"/>
          <w:szCs w:val="28"/>
          <w:highlight w:val="none"/>
          <w:lang w:bidi="ar"/>
        </w:rPr>
        <w:t xml:space="preserve">附件13</w:t>
      </w:r>
      <w:r>
        <w:rPr>
          <w:rFonts w:hint="eastAsia" w:ascii="方正仿宋_GB2312" w:hAnsi="方正仿宋_GB2312" w:eastAsia="方正仿宋_GB2312" w:cs="方正仿宋_GB2312"/>
          <w:color w:val="000000"/>
          <w:sz w:val="28"/>
          <w:szCs w:val="28"/>
          <w:highlight w:val="none"/>
          <w:lang w:bidi="ar"/>
        </w:rPr>
      </w:r>
      <w:r/>
    </w:p>
    <w:p>
      <w:pPr>
        <w:pStyle w:val="957"/>
        <w:jc w:val="center"/>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t xml:space="preserve">办理政采贷和履约保函（保险）告知函</w:t>
      </w:r>
      <w:r>
        <w:rPr>
          <w:rFonts w:hint="eastAsia" w:ascii="方正仿宋_GB2312" w:hAnsi="方正仿宋_GB2312" w:eastAsia="方正仿宋_GB2312" w:cs="方正仿宋_GB2312"/>
          <w:b/>
          <w:bCs/>
          <w:color w:val="000000"/>
          <w:sz w:val="28"/>
          <w:szCs w:val="28"/>
          <w:highlight w:val="none"/>
        </w:rPr>
      </w:r>
      <w:r/>
    </w:p>
    <w:p>
      <w:pPr>
        <w:pStyle w:val="957"/>
        <w:spacing w:line="400" w:lineRule="exact"/>
        <w:rPr>
          <w:rFonts w:hint="eastAsia" w:ascii="方正仿宋_GB2312" w:hAnsi="方正仿宋_GB2312" w:eastAsia="方正仿宋_GB2312" w:cs="方正仿宋_GB2312"/>
          <w:color w:val="000000"/>
          <w:sz w:val="32"/>
          <w:highlight w:val="none"/>
        </w:rPr>
      </w:pPr>
      <w:r>
        <w:rPr>
          <w:rFonts w:hint="eastAsia" w:ascii="方正仿宋_GB2312" w:hAnsi="方正仿宋_GB2312" w:eastAsia="方正仿宋_GB2312" w:cs="方正仿宋_GB2312"/>
          <w:color w:val="000000"/>
          <w:sz w:val="32"/>
          <w:highlight w:val="none"/>
        </w:rPr>
      </w:r>
      <w:r/>
    </w:p>
    <w:p>
      <w:pPr>
        <w:pStyle w:val="957"/>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各政府采购供应商：</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欢迎贵公司参与南通市政府采购活动！</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政府采购线上合同信用融资和履约保函（保险）是支持企业发展，针对参与政府采购活动的企业融资难、现金流不足等问题推出的一项服务举措。</w:t>
      </w:r>
      <w:r>
        <w:rPr>
          <w:rFonts w:hint="eastAsia" w:ascii="方正仿宋_GB2312" w:hAnsi="方正仿宋_GB2312" w:eastAsia="方正仿宋_GB2312" w:cs="方正仿宋_GB2312"/>
          <w:color w:val="000000"/>
          <w:sz w:val="24"/>
          <w:szCs w:val="24"/>
          <w:highlight w:val="none"/>
        </w:rPr>
      </w:r>
      <w:r/>
    </w:p>
    <w:p>
      <w:pPr>
        <w:pStyle w:val="957"/>
        <w:ind w:firstLine="480"/>
        <w:jc w:val="left"/>
        <w:spacing w:line="400" w:lineRule="exact"/>
        <w:widowControl/>
        <w:rPr>
          <w:rFonts w:hint="eastAsia" w:ascii="方正仿宋_GB2312" w:hAnsi="方正仿宋_GB2312" w:eastAsia="方正仿宋_GB2312" w:cs="方正仿宋_GB2312"/>
          <w:color w:val="000000"/>
          <w:sz w:val="24"/>
          <w:szCs w:val="24"/>
          <w:highlight w:val="none"/>
        </w:rPr>
      </w:pPr>
      <w:r>
        <w:rPr>
          <w:rFonts w:hint="eastAsia" w:ascii="方正仿宋_GB2312" w:hAnsi="方正仿宋_GB2312" w:eastAsia="方正仿宋_GB2312" w:cs="方正仿宋_GB2312"/>
          <w:color w:val="000000"/>
          <w:sz w:val="24"/>
          <w:szCs w:val="24"/>
          <w:highlight w:val="none"/>
        </w:rPr>
        <w:t xml:space="preserve">贵公司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rFonts w:hint="eastAsia" w:ascii="方正仿宋_GB2312" w:hAnsi="方正仿宋_GB2312" w:eastAsia="方正仿宋_GB2312" w:cs="方正仿宋_GB2312"/>
          <w:color w:val="000000"/>
          <w:sz w:val="24"/>
          <w:szCs w:val="24"/>
          <w:highlight w:val="none"/>
        </w:rPr>
      </w:r>
      <w:r/>
    </w:p>
    <w:p>
      <w:pPr>
        <w:pStyle w:val="957"/>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57"/>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p>
      <w:pPr>
        <w:pStyle w:val="957"/>
        <w:contextualSpacing/>
        <w:spacing w:line="400" w:lineRule="exact"/>
        <w:rPr>
          <w:rFonts w:hint="eastAsia" w:ascii="方正仿宋_GB2312" w:hAnsi="方正仿宋_GB2312" w:eastAsia="方正仿宋_GB2312" w:cs="方正仿宋_GB2312"/>
          <w:b/>
          <w:bCs/>
          <w:color w:val="000000"/>
          <w:sz w:val="28"/>
          <w:szCs w:val="28"/>
          <w:highlight w:val="none"/>
        </w:rPr>
      </w:pPr>
      <w:r>
        <w:rPr>
          <w:rFonts w:hint="eastAsia" w:ascii="方正仿宋_GB2312" w:hAnsi="方正仿宋_GB2312" w:eastAsia="方正仿宋_GB2312" w:cs="方正仿宋_GB2312"/>
          <w:b/>
          <w:bCs/>
          <w:color w:val="000000"/>
          <w:sz w:val="28"/>
          <w:szCs w:val="28"/>
          <w:highlight w:val="none"/>
        </w:rPr>
      </w:r>
      <w:r/>
    </w:p>
    <w:p>
      <w:pPr>
        <w:pStyle w:val="957"/>
        <w:contextualSpacing/>
        <w:ind w:firstLine="562"/>
        <w:spacing w:line="400" w:lineRule="exact"/>
        <w:rPr>
          <w:rFonts w:hint="eastAsia" w:ascii="方正仿宋_GB2312" w:hAnsi="方正仿宋_GB2312" w:eastAsia="方正仿宋_GB2312" w:cs="方正仿宋_GB2312"/>
          <w:b/>
          <w:color w:val="000000"/>
          <w:sz w:val="28"/>
          <w:szCs w:val="28"/>
          <w:highlight w:val="none"/>
        </w:rPr>
      </w:pPr>
      <w:r>
        <w:rPr>
          <w:rFonts w:hint="eastAsia" w:ascii="方正仿宋_GB2312" w:hAnsi="方正仿宋_GB2312" w:eastAsia="方正仿宋_GB2312" w:cs="方正仿宋_GB2312"/>
          <w:b/>
          <w:color w:val="000000"/>
          <w:sz w:val="28"/>
          <w:szCs w:val="28"/>
          <w:highlight w:val="none"/>
        </w:rPr>
      </w:r>
      <w:r/>
    </w:p>
    <w:p>
      <w:pPr>
        <w:pStyle w:val="957"/>
        <w:spacing w:line="400" w:lineRule="exact"/>
        <w:rPr>
          <w:rFonts w:hint="eastAsia" w:ascii="方正仿宋_GB2312" w:hAnsi="方正仿宋_GB2312" w:eastAsia="方正仿宋_GB2312" w:cs="方正仿宋_GB2312"/>
          <w:color w:val="000000"/>
          <w:highlight w:val="none"/>
        </w:rPr>
      </w:pPr>
      <w:r>
        <w:rPr>
          <w:rFonts w:hint="eastAsia" w:ascii="方正仿宋_GB2312" w:hAnsi="方正仿宋_GB2312" w:eastAsia="方正仿宋_GB2312" w:cs="方正仿宋_GB2312"/>
          <w:color w:val="000000"/>
          <w:highlight w:val="none"/>
        </w:rPr>
      </w:r>
      <w:r/>
    </w:p>
    <w:sectPr>
      <w:footnotePr/>
      <w:endnotePr/>
      <w:type w:val="nextPage"/>
      <w:pgSz w:w="11906" w:h="16838" w:orient="portrait"/>
      <w:pgMar w:top="1418" w:right="1081" w:bottom="1418" w:left="1365" w:header="851"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w:t>
    </w:r>
    <w:r>
      <w:fldChar w:fldCharType="end"/>
    </w:r>
    <w:r>
      <w:rPr>
        <w:rStyle w:val="1032"/>
      </w:rPr>
    </w:r>
    <w:r/>
  </w:p>
  <w:p>
    <w:pPr>
      <w:pStyle w:val="1006"/>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ln>
                    </wps:spPr>
                    <wps:txbx>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5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06"/>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957"/>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14935" cy="147955"/>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1006"/>
                            <w:tabs>
                              <w:tab w:val="clear" w:pos="4153" w:leader="none"/>
                              <w:tab w:val="clear" w:pos="8306" w:leader="none"/>
                            </w:tabs>
                            <w:rPr>
                              <w:rStyle w:val="1032"/>
                              <w:rFonts w:ascii="宋体" w:hAnsi="宋体"/>
                            </w:rPr>
                          </w:pPr>
                          <w:r>
                            <w:rPr>
                              <w:rFonts w:ascii="宋体" w:hAnsi="宋体"/>
                            </w:rPr>
                            <w:fldChar w:fldCharType="begin"/>
                          </w:r>
                          <w:r>
                            <w:rPr>
                              <w:rStyle w:val="1032"/>
                              <w:rFonts w:ascii="宋体" w:hAnsi="宋体"/>
                            </w:rPr>
                            <w:instrText xml:space="preserve">PAGE  </w:instrText>
                          </w:r>
                          <w:r>
                            <w:rPr>
                              <w:rFonts w:ascii="宋体" w:hAnsi="宋体"/>
                            </w:rPr>
                            <w:fldChar w:fldCharType="separate"/>
                          </w:r>
                          <w:r>
                            <w:rPr>
                              <w:rStyle w:val="1032"/>
                              <w:rFonts w:ascii="宋体" w:hAnsi="宋体"/>
                            </w:rPr>
                            <w:t xml:space="preserve">２５</w:t>
                          </w:r>
                          <w:r>
                            <w:rPr>
                              <w:rFonts w:ascii="宋体" w:hAnsi="宋体"/>
                            </w:rPr>
                            <w:fldChar w:fldCharType="end"/>
                          </w:r>
                          <w:r>
                            <w:rPr>
                              <w:rStyle w:val="1032"/>
                              <w:rFonts w:ascii="宋体" w:hAnsi="宋体"/>
                            </w:rPr>
                          </w:r>
                          <w:r/>
                        </w:p>
                        <w:p>
                          <w:pPr>
                            <w:pStyle w:val="957"/>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1006"/>
                      <w:tabs>
                        <w:tab w:val="clear" w:pos="4153" w:leader="none"/>
                        <w:tab w:val="clear" w:pos="8306" w:leader="none"/>
                      </w:tabs>
                      <w:rPr>
                        <w:rStyle w:val="1032"/>
                        <w:rFonts w:ascii="宋体" w:hAnsi="宋体"/>
                      </w:rPr>
                    </w:pPr>
                    <w:r>
                      <w:rPr>
                        <w:rFonts w:ascii="宋体" w:hAnsi="宋体"/>
                      </w:rPr>
                      <w:fldChar w:fldCharType="begin"/>
                    </w:r>
                    <w:r>
                      <w:rPr>
                        <w:rStyle w:val="1032"/>
                        <w:rFonts w:ascii="宋体" w:hAnsi="宋体"/>
                      </w:rPr>
                      <w:instrText xml:space="preserve">PAGE  </w:instrText>
                    </w:r>
                    <w:r>
                      <w:rPr>
                        <w:rFonts w:ascii="宋体" w:hAnsi="宋体"/>
                      </w:rPr>
                      <w:fldChar w:fldCharType="separate"/>
                    </w:r>
                    <w:r>
                      <w:rPr>
                        <w:rStyle w:val="1032"/>
                        <w:rFonts w:ascii="宋体" w:hAnsi="宋体"/>
                      </w:rPr>
                      <w:t xml:space="preserve">２５</w:t>
                    </w:r>
                    <w:r>
                      <w:rPr>
                        <w:rFonts w:ascii="宋体" w:hAnsi="宋体"/>
                      </w:rPr>
                      <w:fldChar w:fldCharType="end"/>
                    </w:r>
                    <w:r>
                      <w:rPr>
                        <w:rStyle w:val="1032"/>
                        <w:rFonts w:ascii="宋体" w:hAnsi="宋体"/>
                      </w:rPr>
                    </w:r>
                    <w:r/>
                  </w:p>
                  <w:p>
                    <w:pPr>
                      <w:pStyle w:val="957"/>
                    </w:pPr>
                    <w:r/>
                    <w:r/>
                  </w:p>
                </w:txbxContent>
              </v:textbox>
            </v:shape>
          </w:pict>
        </mc:Fallback>
      </mc:AlternateContent>
    </w:r>
    <w:r>
      <w:rPr>
        <w:b/>
        <w:i/>
        <w:sz w:val="20"/>
      </w:rPr>
      <w:t xml:space="preserve"> </w:t>
    </w:r>
    <w:r>
      <w:rPr>
        <w:rFonts w:hint="eastAsia"/>
        <w:b/>
        <w:i/>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tab"/>
      <w:lvlText w:val="%1."/>
      <w:lvlJc w:val="left"/>
      <w:pPr>
        <w:pStyle w:val="957"/>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44"/>
      <w:isLgl w:val="false"/>
      <w:suff w:val="tab"/>
      <w:lvlText w:val="附录%1."/>
      <w:lvlJc w:val="left"/>
      <w:pPr>
        <w:pStyle w:val="95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chineseCounting"/>
      <w:isLgl w:val="false"/>
      <w:suff w:val="space"/>
      <w:lvlText w:val="第%1章"/>
      <w:lvlJc w:val="left"/>
      <w:pPr>
        <w:pStyle w:val="95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61"/>
      <w:isLgl w:val="false"/>
      <w:suff w:val="tab"/>
      <w:lvlText w:val="%1."/>
      <w:lvlJc w:val="left"/>
      <w:pPr>
        <w:pStyle w:val="957"/>
        <w:ind w:left="709" w:hanging="709"/>
        <w:tabs>
          <w:tab w:val="num" w:pos="709" w:leader="none"/>
        </w:tabs>
      </w:pPr>
      <w:rPr>
        <w:rFonts w:hint="eastAsia"/>
      </w:rPr>
    </w:lvl>
    <w:lvl w:ilvl="1">
      <w:start w:val="1"/>
      <w:numFmt w:val="decimal"/>
      <w:isLgl w:val="false"/>
      <w:suff w:val="tab"/>
      <w:lvlText w:val="%1.%2"/>
      <w:lvlJc w:val="left"/>
      <w:pPr>
        <w:pStyle w:val="957"/>
        <w:ind w:left="709" w:hanging="709"/>
        <w:tabs>
          <w:tab w:val="num" w:pos="709" w:leader="none"/>
        </w:tabs>
      </w:pPr>
      <w:rPr>
        <w:rFonts w:hint="eastAsia"/>
      </w:rPr>
    </w:lvl>
    <w:lvl w:ilvl="2">
      <w:start w:val="1"/>
      <w:numFmt w:val="decimal"/>
      <w:isLgl w:val="false"/>
      <w:suff w:val="tab"/>
      <w:lvlText w:val="%1.%2.%3."/>
      <w:lvlJc w:val="left"/>
      <w:pPr>
        <w:pStyle w:val="957"/>
        <w:ind w:left="425" w:hanging="425"/>
        <w:tabs>
          <w:tab w:val="num" w:pos="425" w:leader="none"/>
        </w:tabs>
      </w:pPr>
      <w:rPr>
        <w:rFonts w:hint="eastAsia"/>
      </w:rPr>
    </w:lvl>
    <w:lvl w:ilvl="3">
      <w:start w:val="1"/>
      <w:numFmt w:val="decimal"/>
      <w:isLgl w:val="false"/>
      <w:suff w:val="tab"/>
      <w:lvlText w:val="%1.%2.%3.%4."/>
      <w:lvlJc w:val="left"/>
      <w:pPr>
        <w:pStyle w:val="957"/>
        <w:ind w:left="851" w:hanging="851"/>
        <w:tabs>
          <w:tab w:val="num" w:pos="851" w:leader="none"/>
        </w:tabs>
      </w:pPr>
      <w:rPr>
        <w:rFonts w:hint="eastAsia"/>
      </w:rPr>
    </w:lvl>
    <w:lvl w:ilvl="4">
      <w:start w:val="1"/>
      <w:numFmt w:val="decimal"/>
      <w:isLgl w:val="false"/>
      <w:suff w:val="tab"/>
      <w:lvlText w:val="%1.%2.%3.%4.%5."/>
      <w:lvlJc w:val="left"/>
      <w:pPr>
        <w:pStyle w:val="957"/>
        <w:ind w:left="992" w:hanging="992"/>
        <w:tabs>
          <w:tab w:val="num" w:pos="992" w:leader="none"/>
        </w:tabs>
      </w:pPr>
      <w:rPr>
        <w:rFonts w:hint="eastAsia"/>
      </w:rPr>
    </w:lvl>
    <w:lvl w:ilvl="5">
      <w:start w:val="1"/>
      <w:numFmt w:val="decimal"/>
      <w:isLgl w:val="false"/>
      <w:suff w:val="tab"/>
      <w:lvlText w:val="%1.%2.%3.%4.%5.%6."/>
      <w:lvlJc w:val="left"/>
      <w:pPr>
        <w:pStyle w:val="957"/>
        <w:ind w:left="1134" w:hanging="1134"/>
        <w:tabs>
          <w:tab w:val="num" w:pos="1134" w:leader="none"/>
        </w:tabs>
      </w:pPr>
      <w:rPr>
        <w:rFonts w:hint="eastAsia"/>
      </w:rPr>
    </w:lvl>
    <w:lvl w:ilvl="6">
      <w:start w:val="1"/>
      <w:numFmt w:val="decimal"/>
      <w:isLgl w:val="false"/>
      <w:suff w:val="tab"/>
      <w:lvlText w:val="%1.%2.%3.%4.%5.%6.%7."/>
      <w:lvlJc w:val="left"/>
      <w:pPr>
        <w:pStyle w:val="957"/>
        <w:ind w:left="1276" w:hanging="1276"/>
        <w:tabs>
          <w:tab w:val="num" w:pos="1276" w:leader="none"/>
        </w:tabs>
      </w:pPr>
      <w:rPr>
        <w:rFonts w:hint="eastAsia"/>
      </w:rPr>
    </w:lvl>
    <w:lvl w:ilvl="7">
      <w:start w:val="1"/>
      <w:numFmt w:val="decimal"/>
      <w:isLgl w:val="false"/>
      <w:suff w:val="tab"/>
      <w:lvlText w:val="%1.%2.%3.%4.%5.%6.%7.%8."/>
      <w:lvlJc w:val="left"/>
      <w:pPr>
        <w:pStyle w:val="957"/>
        <w:ind w:left="1418" w:hanging="1418"/>
        <w:tabs>
          <w:tab w:val="num" w:pos="1418" w:leader="none"/>
        </w:tabs>
      </w:pPr>
      <w:rPr>
        <w:rFonts w:hint="eastAsia"/>
      </w:rPr>
    </w:lvl>
    <w:lvl w:ilvl="8">
      <w:start w:val="1"/>
      <w:numFmt w:val="decimal"/>
      <w:isLgl w:val="false"/>
      <w:suff w:val="tab"/>
      <w:lvlText w:val="%1.%2.%3.%4.%5.%6.%7.%8.%9."/>
      <w:lvlJc w:val="left"/>
      <w:pPr>
        <w:pStyle w:val="957"/>
        <w:ind w:left="1559" w:hanging="1559"/>
        <w:tabs>
          <w:tab w:val="num" w:pos="1559" w:leader="none"/>
        </w:tabs>
      </w:pPr>
      <w:rPr>
        <w:rFonts w:hint="eastAsia"/>
      </w:rPr>
    </w:lvl>
  </w:abstractNum>
  <w:abstractNum w:abstractNumId="7">
    <w:multiLevelType w:val="hybridMultilevel"/>
    <w:lvl w:ilvl="0">
      <w:start w:val="1"/>
      <w:numFmt w:val="chineseCountingThousand"/>
      <w:isLgl w:val="false"/>
      <w:suff w:val="nothing"/>
      <w:lvlText w:val="第%1章 "/>
      <w:lvlJc w:val="left"/>
      <w:pPr>
        <w:pStyle w:val="957"/>
        <w:ind w:left="0" w:firstLine="0"/>
      </w:pPr>
      <w:rPr>
        <w:rFonts w:hint="eastAsia"/>
      </w:rPr>
    </w:lvl>
    <w:lvl w:ilvl="1">
      <w:start w:val="1"/>
      <w:numFmt w:val="decimal"/>
      <w:isLgl w:val="false"/>
      <w:suff w:val="nothing"/>
      <w:lvlText w:val="%2、"/>
      <w:lvlJc w:val="left"/>
      <w:pPr>
        <w:pStyle w:val="957"/>
        <w:ind w:left="0" w:firstLine="0"/>
      </w:pPr>
      <w:rPr>
        <w:rFonts w:hint="eastAsia"/>
      </w:rPr>
    </w:lvl>
    <w:lvl w:ilvl="2">
      <w:start w:val="1"/>
      <w:numFmt w:val="decimal"/>
      <w:isLgl w:val="false"/>
      <w:suff w:val="nothing"/>
      <w:lvlText w:val="%2.%3 "/>
      <w:lvlJc w:val="left"/>
      <w:pPr>
        <w:pStyle w:val="957"/>
        <w:ind w:left="0" w:firstLine="0"/>
      </w:pPr>
      <w:rPr>
        <w:rFonts w:hint="eastAsia"/>
      </w:rPr>
    </w:lvl>
    <w:lvl w:ilvl="3">
      <w:start w:val="1"/>
      <w:numFmt w:val="decimal"/>
      <w:isLgl w:val="false"/>
      <w:suff w:val="nothing"/>
      <w:lvlText w:val="%2.%3.%4 "/>
      <w:lvlJc w:val="left"/>
      <w:pPr>
        <w:pStyle w:val="957"/>
        <w:ind w:left="0" w:firstLine="0"/>
      </w:pPr>
      <w:rPr>
        <w:rFonts w:hint="eastAsia"/>
      </w:rPr>
    </w:lvl>
    <w:lvl w:ilvl="4">
      <w:start w:val="1"/>
      <w:numFmt w:val="decimal"/>
      <w:isLgl w:val="false"/>
      <w:suff w:val="nothing"/>
      <w:lvlText w:val="%2.%3.%4.%5 "/>
      <w:lvlJc w:val="left"/>
      <w:pPr>
        <w:pStyle w:val="957"/>
        <w:ind w:left="0" w:firstLine="0"/>
      </w:pPr>
      <w:rPr>
        <w:rFonts w:hint="eastAsia"/>
      </w:rPr>
    </w:lvl>
    <w:lvl w:ilvl="5">
      <w:start w:val="1"/>
      <w:numFmt w:val="decimal"/>
      <w:pStyle w:val="963"/>
      <w:isLgl w:val="false"/>
      <w:suff w:val="nothing"/>
      <w:lvlText w:val=""/>
      <w:lvlJc w:val="left"/>
      <w:pPr>
        <w:pStyle w:val="957"/>
        <w:ind w:left="0" w:firstLine="0"/>
      </w:pPr>
      <w:rPr>
        <w:rFonts w:hint="eastAsia"/>
      </w:rPr>
    </w:lvl>
    <w:lvl w:ilvl="6">
      <w:start w:val="1"/>
      <w:numFmt w:val="decimal"/>
      <w:pStyle w:val="964"/>
      <w:isLgl w:val="false"/>
      <w:suff w:val="nothing"/>
      <w:lvlText w:val=""/>
      <w:lvlJc w:val="left"/>
      <w:pPr>
        <w:pStyle w:val="957"/>
        <w:ind w:left="0" w:firstLine="0"/>
      </w:pPr>
      <w:rPr>
        <w:rFonts w:hint="eastAsia"/>
      </w:rPr>
    </w:lvl>
    <w:lvl w:ilvl="7">
      <w:start w:val="1"/>
      <w:numFmt w:val="decimal"/>
      <w:pStyle w:val="965"/>
      <w:isLgl w:val="false"/>
      <w:suff w:val="nothing"/>
      <w:lvlText w:val=""/>
      <w:lvlJc w:val="left"/>
      <w:pPr>
        <w:pStyle w:val="957"/>
        <w:ind w:left="0" w:firstLine="0"/>
      </w:pPr>
      <w:rPr>
        <w:rFonts w:hint="eastAsia"/>
      </w:rPr>
    </w:lvl>
    <w:lvl w:ilvl="8">
      <w:start w:val="1"/>
      <w:numFmt w:val="decimal"/>
      <w:pStyle w:val="966"/>
      <w:isLgl w:val="false"/>
      <w:suff w:val="nothing"/>
      <w:lvlText w:val=""/>
      <w:lvlJc w:val="left"/>
      <w:pPr>
        <w:pStyle w:val="957"/>
        <w:ind w:left="0" w:firstLine="0"/>
      </w:pPr>
      <w:rPr>
        <w:rFonts w:hint="eastAsia"/>
      </w:rPr>
    </w:lvl>
  </w:abstractNum>
  <w:num w:numId="1">
    <w:abstractNumId w:val="7"/>
  </w:num>
  <w:num w:numId="2">
    <w:abstractNumId w:val="3"/>
  </w:num>
  <w:num w:numId="3">
    <w:abstractNumId w:val="6"/>
  </w:num>
  <w:num w:numId="4">
    <w:abstractNumId w:val="1"/>
  </w:num>
  <w:num w:numId="5">
    <w:abstractNumId w:val="0"/>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9">
    <w:name w:val="Heading 1"/>
    <w:basedOn w:val="957"/>
    <w:next w:val="957"/>
    <w:link w:val="780"/>
    <w:uiPriority w:val="9"/>
    <w:qFormat/>
    <w:pPr>
      <w:keepLines/>
      <w:keepNext/>
      <w:spacing w:before="480" w:after="200"/>
      <w:outlineLvl w:val="0"/>
    </w:pPr>
    <w:rPr>
      <w:rFonts w:ascii="Arial" w:hAnsi="Arial" w:eastAsia="Arial" w:cs="Arial"/>
      <w:sz w:val="40"/>
      <w:szCs w:val="40"/>
    </w:rPr>
  </w:style>
  <w:style w:type="character" w:styleId="780">
    <w:name w:val="Heading 1 Char"/>
    <w:link w:val="779"/>
    <w:uiPriority w:val="9"/>
    <w:rPr>
      <w:rFonts w:ascii="Arial" w:hAnsi="Arial" w:eastAsia="Arial" w:cs="Arial"/>
      <w:sz w:val="40"/>
      <w:szCs w:val="40"/>
    </w:rPr>
  </w:style>
  <w:style w:type="paragraph" w:styleId="781">
    <w:name w:val="Heading 2"/>
    <w:basedOn w:val="957"/>
    <w:next w:val="957"/>
    <w:link w:val="782"/>
    <w:uiPriority w:val="9"/>
    <w:unhideWhenUsed/>
    <w:qFormat/>
    <w:pPr>
      <w:keepLines/>
      <w:keepNext/>
      <w:spacing w:before="360" w:after="200"/>
      <w:outlineLvl w:val="1"/>
    </w:pPr>
    <w:rPr>
      <w:rFonts w:ascii="Arial" w:hAnsi="Arial" w:eastAsia="Arial" w:cs="Arial"/>
      <w:sz w:val="34"/>
    </w:rPr>
  </w:style>
  <w:style w:type="character" w:styleId="782">
    <w:name w:val="Heading 2 Char"/>
    <w:link w:val="781"/>
    <w:uiPriority w:val="9"/>
    <w:rPr>
      <w:rFonts w:ascii="Arial" w:hAnsi="Arial" w:eastAsia="Arial" w:cs="Arial"/>
      <w:sz w:val="34"/>
    </w:rPr>
  </w:style>
  <w:style w:type="paragraph" w:styleId="783">
    <w:name w:val="Heading 3"/>
    <w:basedOn w:val="957"/>
    <w:next w:val="957"/>
    <w:link w:val="784"/>
    <w:uiPriority w:val="9"/>
    <w:unhideWhenUsed/>
    <w:qFormat/>
    <w:pPr>
      <w:keepLines/>
      <w:keepNext/>
      <w:spacing w:before="320" w:after="200"/>
      <w:outlineLvl w:val="2"/>
    </w:pPr>
    <w:rPr>
      <w:rFonts w:ascii="Arial" w:hAnsi="Arial" w:eastAsia="Arial" w:cs="Arial"/>
      <w:sz w:val="30"/>
      <w:szCs w:val="30"/>
    </w:rPr>
  </w:style>
  <w:style w:type="character" w:styleId="784">
    <w:name w:val="Heading 3 Char"/>
    <w:link w:val="783"/>
    <w:uiPriority w:val="9"/>
    <w:rPr>
      <w:rFonts w:ascii="Arial" w:hAnsi="Arial" w:eastAsia="Arial" w:cs="Arial"/>
      <w:sz w:val="30"/>
      <w:szCs w:val="30"/>
    </w:rPr>
  </w:style>
  <w:style w:type="paragraph" w:styleId="785">
    <w:name w:val="Heading 4"/>
    <w:basedOn w:val="957"/>
    <w:next w:val="957"/>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link w:val="785"/>
    <w:uiPriority w:val="9"/>
    <w:rPr>
      <w:rFonts w:ascii="Arial" w:hAnsi="Arial" w:eastAsia="Arial" w:cs="Arial"/>
      <w:b/>
      <w:bCs/>
      <w:sz w:val="26"/>
      <w:szCs w:val="26"/>
    </w:rPr>
  </w:style>
  <w:style w:type="paragraph" w:styleId="787">
    <w:name w:val="Heading 5"/>
    <w:basedOn w:val="957"/>
    <w:next w:val="957"/>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link w:val="787"/>
    <w:uiPriority w:val="9"/>
    <w:rPr>
      <w:rFonts w:ascii="Arial" w:hAnsi="Arial" w:eastAsia="Arial" w:cs="Arial"/>
      <w:b/>
      <w:bCs/>
      <w:sz w:val="24"/>
      <w:szCs w:val="24"/>
    </w:rPr>
  </w:style>
  <w:style w:type="paragraph" w:styleId="789">
    <w:name w:val="Heading 6"/>
    <w:basedOn w:val="957"/>
    <w:next w:val="957"/>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link w:val="789"/>
    <w:uiPriority w:val="9"/>
    <w:rPr>
      <w:rFonts w:ascii="Arial" w:hAnsi="Arial" w:eastAsia="Arial" w:cs="Arial"/>
      <w:b/>
      <w:bCs/>
      <w:sz w:val="22"/>
      <w:szCs w:val="22"/>
    </w:rPr>
  </w:style>
  <w:style w:type="paragraph" w:styleId="791">
    <w:name w:val="Heading 7"/>
    <w:basedOn w:val="957"/>
    <w:next w:val="957"/>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link w:val="791"/>
    <w:uiPriority w:val="9"/>
    <w:rPr>
      <w:rFonts w:ascii="Arial" w:hAnsi="Arial" w:eastAsia="Arial" w:cs="Arial"/>
      <w:b/>
      <w:bCs/>
      <w:i/>
      <w:iCs/>
      <w:sz w:val="22"/>
      <w:szCs w:val="22"/>
    </w:rPr>
  </w:style>
  <w:style w:type="paragraph" w:styleId="793">
    <w:name w:val="Heading 8"/>
    <w:basedOn w:val="957"/>
    <w:next w:val="957"/>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link w:val="793"/>
    <w:uiPriority w:val="9"/>
    <w:rPr>
      <w:rFonts w:ascii="Arial" w:hAnsi="Arial" w:eastAsia="Arial" w:cs="Arial"/>
      <w:i/>
      <w:iCs/>
      <w:sz w:val="22"/>
      <w:szCs w:val="22"/>
    </w:rPr>
  </w:style>
  <w:style w:type="paragraph" w:styleId="795">
    <w:name w:val="Heading 9"/>
    <w:basedOn w:val="957"/>
    <w:next w:val="957"/>
    <w:link w:val="796"/>
    <w:uiPriority w:val="9"/>
    <w:unhideWhenUsed/>
    <w:qFormat/>
    <w:pPr>
      <w:keepLines/>
      <w:keepNext/>
      <w:spacing w:before="320" w:after="200"/>
      <w:outlineLvl w:val="8"/>
    </w:pPr>
    <w:rPr>
      <w:rFonts w:ascii="Arial" w:hAnsi="Arial" w:eastAsia="Arial" w:cs="Arial"/>
      <w:i/>
      <w:iCs/>
      <w:sz w:val="21"/>
      <w:szCs w:val="21"/>
    </w:rPr>
  </w:style>
  <w:style w:type="character" w:styleId="796">
    <w:name w:val="Heading 9 Char"/>
    <w:link w:val="795"/>
    <w:uiPriority w:val="9"/>
    <w:rPr>
      <w:rFonts w:ascii="Arial" w:hAnsi="Arial" w:eastAsia="Arial" w:cs="Arial"/>
      <w:i/>
      <w:iCs/>
      <w:sz w:val="21"/>
      <w:szCs w:val="21"/>
    </w:rPr>
  </w:style>
  <w:style w:type="paragraph" w:styleId="797">
    <w:name w:val="List Paragraph"/>
    <w:basedOn w:val="957"/>
    <w:uiPriority w:val="34"/>
    <w:qFormat/>
    <w:pPr>
      <w:contextualSpacing/>
      <w:ind w:left="720"/>
    </w:pPr>
  </w:style>
  <w:style w:type="paragraph" w:styleId="798">
    <w:name w:val="No Spacing"/>
    <w:uiPriority w:val="1"/>
    <w:qFormat/>
    <w:pPr>
      <w:spacing w:before="0" w:after="0" w:line="240" w:lineRule="auto"/>
    </w:pPr>
  </w:style>
  <w:style w:type="paragraph" w:styleId="799">
    <w:name w:val="Title"/>
    <w:basedOn w:val="957"/>
    <w:next w:val="957"/>
    <w:link w:val="800"/>
    <w:uiPriority w:val="10"/>
    <w:qFormat/>
    <w:pPr>
      <w:contextualSpacing/>
      <w:spacing w:before="300" w:after="200"/>
    </w:pPr>
    <w:rPr>
      <w:sz w:val="48"/>
      <w:szCs w:val="48"/>
    </w:rPr>
  </w:style>
  <w:style w:type="character" w:styleId="800">
    <w:name w:val="Title Char"/>
    <w:link w:val="799"/>
    <w:uiPriority w:val="10"/>
    <w:rPr>
      <w:sz w:val="48"/>
      <w:szCs w:val="48"/>
    </w:rPr>
  </w:style>
  <w:style w:type="paragraph" w:styleId="801">
    <w:name w:val="Subtitle"/>
    <w:basedOn w:val="957"/>
    <w:next w:val="957"/>
    <w:link w:val="802"/>
    <w:uiPriority w:val="11"/>
    <w:qFormat/>
    <w:pPr>
      <w:spacing w:before="200" w:after="200"/>
    </w:pPr>
    <w:rPr>
      <w:sz w:val="24"/>
      <w:szCs w:val="24"/>
    </w:rPr>
  </w:style>
  <w:style w:type="character" w:styleId="802">
    <w:name w:val="Subtitle Char"/>
    <w:link w:val="801"/>
    <w:uiPriority w:val="11"/>
    <w:rPr>
      <w:sz w:val="24"/>
      <w:szCs w:val="24"/>
    </w:rPr>
  </w:style>
  <w:style w:type="paragraph" w:styleId="803">
    <w:name w:val="Quote"/>
    <w:basedOn w:val="957"/>
    <w:next w:val="957"/>
    <w:link w:val="804"/>
    <w:uiPriority w:val="29"/>
    <w:qFormat/>
    <w:pPr>
      <w:ind w:left="720" w:right="720"/>
    </w:pPr>
    <w:rPr>
      <w:i/>
    </w:rPr>
  </w:style>
  <w:style w:type="character" w:styleId="804">
    <w:name w:val="Quote Char"/>
    <w:link w:val="803"/>
    <w:uiPriority w:val="29"/>
    <w:rPr>
      <w:i/>
    </w:rPr>
  </w:style>
  <w:style w:type="paragraph" w:styleId="805">
    <w:name w:val="Intense Quote"/>
    <w:basedOn w:val="957"/>
    <w:next w:val="957"/>
    <w:link w:val="80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6">
    <w:name w:val="Intense Quote Char"/>
    <w:link w:val="805"/>
    <w:uiPriority w:val="30"/>
    <w:rPr>
      <w:i/>
    </w:rPr>
  </w:style>
  <w:style w:type="paragraph" w:styleId="807">
    <w:name w:val="Header"/>
    <w:basedOn w:val="957"/>
    <w:link w:val="808"/>
    <w:uiPriority w:val="99"/>
    <w:unhideWhenUsed/>
    <w:pPr>
      <w:spacing w:after="0" w:line="240" w:lineRule="auto"/>
      <w:tabs>
        <w:tab w:val="center" w:pos="7143" w:leader="none"/>
        <w:tab w:val="right" w:pos="14287" w:leader="none"/>
      </w:tabs>
    </w:pPr>
  </w:style>
  <w:style w:type="character" w:styleId="808">
    <w:name w:val="Header Char"/>
    <w:link w:val="807"/>
    <w:uiPriority w:val="99"/>
  </w:style>
  <w:style w:type="paragraph" w:styleId="809">
    <w:name w:val="Footer"/>
    <w:basedOn w:val="957"/>
    <w:link w:val="812"/>
    <w:uiPriority w:val="99"/>
    <w:unhideWhenUsed/>
    <w:pPr>
      <w:spacing w:after="0" w:line="240" w:lineRule="auto"/>
      <w:tabs>
        <w:tab w:val="center" w:pos="7143" w:leader="none"/>
        <w:tab w:val="right" w:pos="14287" w:leader="none"/>
      </w:tabs>
    </w:pPr>
  </w:style>
  <w:style w:type="character" w:styleId="810">
    <w:name w:val="Footer Char"/>
    <w:link w:val="809"/>
    <w:uiPriority w:val="99"/>
  </w:style>
  <w:style w:type="paragraph" w:styleId="811">
    <w:name w:val="Caption"/>
    <w:basedOn w:val="957"/>
    <w:next w:val="957"/>
    <w:uiPriority w:val="35"/>
    <w:semiHidden/>
    <w:unhideWhenUsed/>
    <w:qFormat/>
    <w:pPr>
      <w:spacing w:line="276" w:lineRule="auto"/>
    </w:pPr>
    <w:rPr>
      <w:b/>
      <w:bCs/>
      <w:color w:val="4f81bd" w:themeColor="accent1"/>
      <w:sz w:val="18"/>
      <w:szCs w:val="18"/>
    </w:rPr>
  </w:style>
  <w:style w:type="character" w:styleId="812">
    <w:name w:val="Caption Char"/>
    <w:basedOn w:val="811"/>
    <w:link w:val="809"/>
    <w:uiPriority w:val="99"/>
  </w:style>
  <w:style w:type="table" w:styleId="81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1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2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2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2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2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3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3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3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3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3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4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4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5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5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5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5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5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5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5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6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6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6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6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7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7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7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7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8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8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8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8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8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8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8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8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8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9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9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9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9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9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9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0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0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0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0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0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1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1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1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1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1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1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1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1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1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2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2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2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2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2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2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3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3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39">
    <w:name w:val="Hyperlink"/>
    <w:uiPriority w:val="99"/>
    <w:unhideWhenUsed/>
    <w:rPr>
      <w:color w:val="0000ff" w:themeColor="hyperlink"/>
      <w:u w:val="single"/>
    </w:rPr>
  </w:style>
  <w:style w:type="paragraph" w:styleId="940">
    <w:name w:val="footnote text"/>
    <w:basedOn w:val="957"/>
    <w:link w:val="941"/>
    <w:uiPriority w:val="99"/>
    <w:semiHidden/>
    <w:unhideWhenUsed/>
    <w:pPr>
      <w:spacing w:after="40" w:line="240" w:lineRule="auto"/>
    </w:pPr>
    <w:rPr>
      <w:sz w:val="18"/>
    </w:rPr>
  </w:style>
  <w:style w:type="character" w:styleId="941">
    <w:name w:val="Footnote Text Char"/>
    <w:link w:val="940"/>
    <w:uiPriority w:val="99"/>
    <w:rPr>
      <w:sz w:val="18"/>
    </w:rPr>
  </w:style>
  <w:style w:type="character" w:styleId="942">
    <w:name w:val="footnote reference"/>
    <w:uiPriority w:val="99"/>
    <w:unhideWhenUsed/>
    <w:rPr>
      <w:vertAlign w:val="superscript"/>
    </w:rPr>
  </w:style>
  <w:style w:type="paragraph" w:styleId="943">
    <w:name w:val="endnote text"/>
    <w:basedOn w:val="957"/>
    <w:link w:val="944"/>
    <w:uiPriority w:val="99"/>
    <w:semiHidden/>
    <w:unhideWhenUsed/>
    <w:pPr>
      <w:spacing w:after="0" w:line="240" w:lineRule="auto"/>
    </w:pPr>
    <w:rPr>
      <w:sz w:val="20"/>
    </w:rPr>
  </w:style>
  <w:style w:type="character" w:styleId="944">
    <w:name w:val="Endnote Text Char"/>
    <w:link w:val="943"/>
    <w:uiPriority w:val="99"/>
    <w:rPr>
      <w:sz w:val="20"/>
    </w:rPr>
  </w:style>
  <w:style w:type="character" w:styleId="945">
    <w:name w:val="endnote reference"/>
    <w:uiPriority w:val="99"/>
    <w:semiHidden/>
    <w:unhideWhenUsed/>
    <w:rPr>
      <w:vertAlign w:val="superscript"/>
    </w:rPr>
  </w:style>
  <w:style w:type="paragraph" w:styleId="946">
    <w:name w:val="toc 1"/>
    <w:basedOn w:val="957"/>
    <w:next w:val="957"/>
    <w:uiPriority w:val="39"/>
    <w:unhideWhenUsed/>
    <w:pPr>
      <w:ind w:left="0" w:right="0" w:firstLine="0"/>
      <w:spacing w:after="57"/>
    </w:pPr>
  </w:style>
  <w:style w:type="paragraph" w:styleId="947">
    <w:name w:val="toc 2"/>
    <w:basedOn w:val="957"/>
    <w:next w:val="957"/>
    <w:uiPriority w:val="39"/>
    <w:unhideWhenUsed/>
    <w:pPr>
      <w:ind w:left="283" w:right="0" w:firstLine="0"/>
      <w:spacing w:after="57"/>
    </w:pPr>
  </w:style>
  <w:style w:type="paragraph" w:styleId="948">
    <w:name w:val="toc 3"/>
    <w:basedOn w:val="957"/>
    <w:next w:val="957"/>
    <w:uiPriority w:val="39"/>
    <w:unhideWhenUsed/>
    <w:pPr>
      <w:ind w:left="567" w:right="0" w:firstLine="0"/>
      <w:spacing w:after="57"/>
    </w:pPr>
  </w:style>
  <w:style w:type="paragraph" w:styleId="949">
    <w:name w:val="toc 4"/>
    <w:basedOn w:val="957"/>
    <w:next w:val="957"/>
    <w:uiPriority w:val="39"/>
    <w:unhideWhenUsed/>
    <w:pPr>
      <w:ind w:left="850" w:right="0" w:firstLine="0"/>
      <w:spacing w:after="57"/>
    </w:pPr>
  </w:style>
  <w:style w:type="paragraph" w:styleId="950">
    <w:name w:val="toc 5"/>
    <w:basedOn w:val="957"/>
    <w:next w:val="957"/>
    <w:uiPriority w:val="39"/>
    <w:unhideWhenUsed/>
    <w:pPr>
      <w:ind w:left="1134" w:right="0" w:firstLine="0"/>
      <w:spacing w:after="57"/>
    </w:pPr>
  </w:style>
  <w:style w:type="paragraph" w:styleId="951">
    <w:name w:val="toc 6"/>
    <w:basedOn w:val="957"/>
    <w:next w:val="957"/>
    <w:uiPriority w:val="39"/>
    <w:unhideWhenUsed/>
    <w:pPr>
      <w:ind w:left="1417" w:right="0" w:firstLine="0"/>
      <w:spacing w:after="57"/>
    </w:pPr>
  </w:style>
  <w:style w:type="paragraph" w:styleId="952">
    <w:name w:val="toc 7"/>
    <w:basedOn w:val="957"/>
    <w:next w:val="957"/>
    <w:uiPriority w:val="39"/>
    <w:unhideWhenUsed/>
    <w:pPr>
      <w:ind w:left="1701" w:right="0" w:firstLine="0"/>
      <w:spacing w:after="57"/>
    </w:pPr>
  </w:style>
  <w:style w:type="paragraph" w:styleId="953">
    <w:name w:val="toc 8"/>
    <w:basedOn w:val="957"/>
    <w:next w:val="957"/>
    <w:uiPriority w:val="39"/>
    <w:unhideWhenUsed/>
    <w:pPr>
      <w:ind w:left="1984" w:right="0" w:firstLine="0"/>
      <w:spacing w:after="57"/>
    </w:pPr>
  </w:style>
  <w:style w:type="paragraph" w:styleId="954">
    <w:name w:val="toc 9"/>
    <w:basedOn w:val="957"/>
    <w:next w:val="957"/>
    <w:uiPriority w:val="39"/>
    <w:unhideWhenUsed/>
    <w:pPr>
      <w:ind w:left="2268" w:right="0" w:firstLine="0"/>
      <w:spacing w:after="57"/>
    </w:pPr>
  </w:style>
  <w:style w:type="paragraph" w:styleId="955">
    <w:name w:val="TOC Heading"/>
    <w:uiPriority w:val="39"/>
    <w:unhideWhenUsed/>
  </w:style>
  <w:style w:type="paragraph" w:styleId="956">
    <w:name w:val="table of figures"/>
    <w:basedOn w:val="957"/>
    <w:next w:val="957"/>
    <w:uiPriority w:val="99"/>
    <w:unhideWhenUsed/>
    <w:pPr>
      <w:spacing w:after="0" w:afterAutospacing="0"/>
    </w:pPr>
  </w:style>
  <w:style w:type="paragraph" w:styleId="957" w:default="1">
    <w:name w:val="Normal"/>
    <w:next w:val="969"/>
    <w:link w:val="957"/>
    <w:qFormat/>
    <w:pPr>
      <w:jc w:val="both"/>
      <w:widowControl w:val="off"/>
    </w:pPr>
    <w:rPr>
      <w:sz w:val="21"/>
      <w:szCs w:val="22"/>
      <w:lang w:val="en-US" w:eastAsia="zh-CN" w:bidi="ar-SA"/>
    </w:rPr>
  </w:style>
  <w:style w:type="paragraph" w:styleId="958">
    <w:name w:val="标题 1"/>
    <w:basedOn w:val="957"/>
    <w:next w:val="957"/>
    <w:link w:val="972"/>
    <w:qFormat/>
    <w:pPr>
      <w:jc w:val="center"/>
      <w:keepNext/>
      <w:outlineLvl w:val="0"/>
    </w:pPr>
    <w:rPr>
      <w:rFonts w:ascii="楷体_GB2312" w:hAnsi="Times New Roman" w:eastAsia="楷体_GB2312" w:cs="Times New Roman"/>
      <w:sz w:val="28"/>
      <w:szCs w:val="28"/>
    </w:rPr>
  </w:style>
  <w:style w:type="paragraph" w:styleId="959">
    <w:name w:val="标题 2"/>
    <w:basedOn w:val="957"/>
    <w:next w:val="974"/>
    <w:link w:val="973"/>
    <w:qFormat/>
    <w:pPr>
      <w:jc w:val="center"/>
      <w:keepLines/>
      <w:keepNext/>
      <w:spacing w:before="260" w:after="260" w:line="416" w:lineRule="auto"/>
      <w:outlineLvl w:val="1"/>
    </w:pPr>
    <w:rPr>
      <w:rFonts w:ascii="Arial" w:hAnsi="Arial" w:eastAsia="幼圆" w:cs="Arial"/>
      <w:b/>
      <w:bCs/>
      <w:sz w:val="44"/>
      <w:szCs w:val="44"/>
    </w:rPr>
  </w:style>
  <w:style w:type="paragraph" w:styleId="960">
    <w:name w:val="标题 3"/>
    <w:basedOn w:val="957"/>
    <w:next w:val="974"/>
    <w:link w:val="9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961">
    <w:name w:val="标题 4"/>
    <w:basedOn w:val="957"/>
    <w:next w:val="974"/>
    <w:link w:val="977"/>
    <w:qFormat/>
    <w:pPr>
      <w:keepLines/>
      <w:keepNext/>
      <w:spacing w:before="280" w:after="290" w:line="376" w:lineRule="auto"/>
      <w:outlineLvl w:val="3"/>
    </w:pPr>
    <w:rPr>
      <w:rFonts w:ascii="Arial" w:hAnsi="Arial" w:eastAsia="黑体" w:cs="Arial"/>
      <w:b/>
      <w:bCs/>
      <w:sz w:val="28"/>
      <w:szCs w:val="28"/>
    </w:rPr>
  </w:style>
  <w:style w:type="paragraph" w:styleId="962">
    <w:name w:val="标题 5"/>
    <w:basedOn w:val="957"/>
    <w:next w:val="974"/>
    <w:link w:val="978"/>
    <w:qFormat/>
    <w:pPr>
      <w:keepNext/>
      <w:outlineLvl w:val="4"/>
    </w:pPr>
    <w:rPr>
      <w:rFonts w:ascii="宋体" w:hAnsi="Times New Roman" w:eastAsia="宋体" w:cs="Times New Roman"/>
      <w:color w:val="000000"/>
      <w:sz w:val="28"/>
      <w:szCs w:val="28"/>
    </w:rPr>
  </w:style>
  <w:style w:type="paragraph" w:styleId="963">
    <w:name w:val="标题 6"/>
    <w:basedOn w:val="957"/>
    <w:next w:val="957"/>
    <w:link w:val="9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64">
    <w:name w:val="标题 7"/>
    <w:basedOn w:val="957"/>
    <w:next w:val="957"/>
    <w:link w:val="9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65">
    <w:name w:val="标题 8"/>
    <w:basedOn w:val="957"/>
    <w:next w:val="957"/>
    <w:link w:val="9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66">
    <w:name w:val="标题 9"/>
    <w:basedOn w:val="957"/>
    <w:next w:val="957"/>
    <w:link w:val="982"/>
    <w:qFormat/>
    <w:pPr>
      <w:numPr>
        <w:ilvl w:val="8"/>
        <w:numId w:val="1"/>
      </w:numPr>
      <w:keepLines/>
      <w:keepNext/>
      <w:spacing w:before="240" w:after="64" w:line="320" w:lineRule="auto"/>
      <w:outlineLvl w:val="8"/>
    </w:pPr>
    <w:rPr>
      <w:rFonts w:ascii="Arial" w:hAnsi="Arial" w:eastAsia="黑体" w:cs="Times New Roman"/>
      <w:szCs w:val="21"/>
    </w:rPr>
  </w:style>
  <w:style w:type="character" w:styleId="967">
    <w:name w:val="默认段落字体"/>
    <w:next w:val="967"/>
    <w:link w:val="957"/>
    <w:uiPriority w:val="1"/>
    <w:unhideWhenUsed/>
  </w:style>
  <w:style w:type="table" w:styleId="968">
    <w:name w:val="普通表格"/>
    <w:next w:val="968"/>
    <w:link w:val="957"/>
    <w:uiPriority w:val="99"/>
    <w:unhideWhenUsed/>
    <w:tblPr/>
  </w:style>
  <w:style w:type="paragraph" w:styleId="969">
    <w:name w:val="正文首行缩进1"/>
    <w:basedOn w:val="970"/>
    <w:next w:val="969"/>
    <w:link w:val="957"/>
    <w:pPr>
      <w:ind w:firstLine="420"/>
      <w:spacing w:after="120"/>
    </w:pPr>
    <w:rPr>
      <w:rFonts w:ascii="Calibri" w:hAnsi="Calibri" w:cs="Times New Roman"/>
      <w:sz w:val="21"/>
      <w:szCs w:val="24"/>
    </w:rPr>
  </w:style>
  <w:style w:type="paragraph" w:styleId="970">
    <w:name w:val="正文文本"/>
    <w:basedOn w:val="957"/>
    <w:next w:val="957"/>
    <w:link w:val="971"/>
    <w:rPr>
      <w:rFonts w:ascii="楷体_GB2312" w:hAnsi="Arial" w:eastAsia="楷体_GB2312" w:cs="Times New Roman"/>
      <w:sz w:val="28"/>
      <w:szCs w:val="28"/>
    </w:rPr>
  </w:style>
  <w:style w:type="character" w:styleId="971">
    <w:name w:val="正文文本 字符"/>
    <w:next w:val="971"/>
    <w:link w:val="970"/>
    <w:rPr>
      <w:rFonts w:ascii="楷体_GB2312" w:hAnsi="Arial" w:eastAsia="楷体_GB2312" w:cs="Times New Roman"/>
      <w:sz w:val="28"/>
      <w:szCs w:val="28"/>
    </w:rPr>
  </w:style>
  <w:style w:type="character" w:styleId="972">
    <w:name w:val="标题 1 字符"/>
    <w:next w:val="972"/>
    <w:link w:val="958"/>
    <w:rPr>
      <w:rFonts w:ascii="楷体_GB2312" w:hAnsi="Times New Roman" w:eastAsia="楷体_GB2312" w:cs="Times New Roman"/>
      <w:sz w:val="28"/>
      <w:szCs w:val="28"/>
    </w:rPr>
  </w:style>
  <w:style w:type="character" w:styleId="973">
    <w:name w:val="标题 2 字符"/>
    <w:next w:val="973"/>
    <w:link w:val="959"/>
    <w:rPr>
      <w:rFonts w:ascii="Arial" w:hAnsi="Arial" w:eastAsia="幼圆" w:cs="Arial"/>
      <w:b/>
      <w:bCs/>
      <w:sz w:val="44"/>
      <w:szCs w:val="44"/>
    </w:rPr>
  </w:style>
  <w:style w:type="paragraph" w:styleId="974">
    <w:name w:val="正文缩进"/>
    <w:basedOn w:val="957"/>
    <w:next w:val="974"/>
    <w:link w:val="975"/>
    <w:pPr>
      <w:ind w:firstLine="420"/>
    </w:pPr>
    <w:rPr>
      <w:szCs w:val="21"/>
    </w:rPr>
  </w:style>
  <w:style w:type="character" w:styleId="975">
    <w:name w:val="正文缩进 字符"/>
    <w:next w:val="975"/>
    <w:link w:val="974"/>
    <w:rPr>
      <w:szCs w:val="21"/>
    </w:rPr>
  </w:style>
  <w:style w:type="character" w:styleId="976">
    <w:name w:val="标题 3 字符"/>
    <w:next w:val="976"/>
    <w:link w:val="960"/>
    <w:rPr>
      <w:rFonts w:ascii="Times New Roman" w:hAnsi="Times New Roman" w:eastAsia="宋体" w:cs="Times New Roman"/>
      <w:b/>
      <w:bCs/>
      <w:sz w:val="32"/>
      <w:szCs w:val="32"/>
    </w:rPr>
  </w:style>
  <w:style w:type="character" w:styleId="977">
    <w:name w:val="标题 4 字符"/>
    <w:next w:val="977"/>
    <w:link w:val="961"/>
    <w:rPr>
      <w:rFonts w:ascii="Arial" w:hAnsi="Arial" w:eastAsia="黑体" w:cs="Arial"/>
      <w:b/>
      <w:bCs/>
      <w:sz w:val="28"/>
      <w:szCs w:val="28"/>
    </w:rPr>
  </w:style>
  <w:style w:type="character" w:styleId="978">
    <w:name w:val="标题 5 字符"/>
    <w:next w:val="978"/>
    <w:link w:val="962"/>
    <w:rPr>
      <w:rFonts w:ascii="宋体" w:hAnsi="Times New Roman" w:eastAsia="宋体" w:cs="Times New Roman"/>
      <w:color w:val="000000"/>
      <w:sz w:val="28"/>
      <w:szCs w:val="28"/>
    </w:rPr>
  </w:style>
  <w:style w:type="character" w:styleId="979">
    <w:name w:val="标题 6 字符"/>
    <w:next w:val="979"/>
    <w:link w:val="963"/>
    <w:rPr>
      <w:rFonts w:ascii="Arial" w:hAnsi="Arial" w:eastAsia="黑体" w:cs="Times New Roman"/>
      <w:b/>
      <w:bCs/>
      <w:sz w:val="24"/>
      <w:szCs w:val="24"/>
    </w:rPr>
  </w:style>
  <w:style w:type="character" w:styleId="980">
    <w:name w:val="标题 7 字符"/>
    <w:next w:val="980"/>
    <w:link w:val="964"/>
    <w:rPr>
      <w:rFonts w:ascii="Times New Roman" w:hAnsi="Times New Roman" w:eastAsia="宋体" w:cs="Times New Roman"/>
      <w:b/>
      <w:bCs/>
      <w:sz w:val="24"/>
      <w:szCs w:val="24"/>
    </w:rPr>
  </w:style>
  <w:style w:type="character" w:styleId="981">
    <w:name w:val="标题 8 字符"/>
    <w:next w:val="981"/>
    <w:link w:val="965"/>
    <w:rPr>
      <w:rFonts w:ascii="Arial" w:hAnsi="Arial" w:eastAsia="黑体" w:cs="Times New Roman"/>
      <w:sz w:val="24"/>
      <w:szCs w:val="24"/>
    </w:rPr>
  </w:style>
  <w:style w:type="character" w:styleId="982">
    <w:name w:val="标题 9 字符"/>
    <w:next w:val="982"/>
    <w:link w:val="966"/>
    <w:rPr>
      <w:rFonts w:ascii="Arial" w:hAnsi="Arial" w:eastAsia="黑体" w:cs="Times New Roman"/>
      <w:szCs w:val="21"/>
    </w:rPr>
  </w:style>
  <w:style w:type="paragraph" w:styleId="983">
    <w:name w:val="列表 3"/>
    <w:basedOn w:val="957"/>
    <w:next w:val="983"/>
    <w:link w:val="957"/>
    <w:pPr>
      <w:ind w:left="100" w:hanging="200"/>
    </w:pPr>
    <w:rPr>
      <w:rFonts w:ascii="Times New Roman" w:hAnsi="Times New Roman" w:eastAsia="宋体" w:cs="Times New Roman"/>
      <w:szCs w:val="21"/>
    </w:rPr>
  </w:style>
  <w:style w:type="paragraph" w:styleId="984">
    <w:name w:val="目录 7"/>
    <w:basedOn w:val="957"/>
    <w:next w:val="957"/>
    <w:link w:val="957"/>
    <w:semiHidden/>
    <w:pPr>
      <w:ind w:left="1260"/>
      <w:jc w:val="left"/>
    </w:pPr>
    <w:rPr>
      <w:rFonts w:ascii="Times New Roman" w:hAnsi="Times New Roman" w:eastAsia="宋体" w:cs="Times New Roman"/>
      <w:szCs w:val="21"/>
    </w:rPr>
  </w:style>
  <w:style w:type="paragraph" w:styleId="985">
    <w:name w:val="文档结构图"/>
    <w:basedOn w:val="957"/>
    <w:next w:val="985"/>
    <w:link w:val="986"/>
    <w:semiHidden/>
    <w:pPr>
      <w:shd w:val="clear" w:color="auto" w:fill="000080"/>
    </w:pPr>
    <w:rPr>
      <w:rFonts w:ascii="Times New Roman" w:hAnsi="Times New Roman" w:eastAsia="宋体" w:cs="Times New Roman"/>
      <w:szCs w:val="21"/>
    </w:rPr>
  </w:style>
  <w:style w:type="character" w:styleId="986">
    <w:name w:val="文档结构图 字符"/>
    <w:next w:val="986"/>
    <w:link w:val="985"/>
    <w:semiHidden/>
    <w:rPr>
      <w:rFonts w:ascii="Times New Roman" w:hAnsi="Times New Roman" w:eastAsia="宋体" w:cs="Times New Roman"/>
      <w:szCs w:val="21"/>
      <w:shd w:val="clear" w:color="auto" w:fill="000080"/>
    </w:rPr>
  </w:style>
  <w:style w:type="paragraph" w:styleId="987">
    <w:name w:val="批注文字"/>
    <w:basedOn w:val="957"/>
    <w:next w:val="987"/>
    <w:link w:val="988"/>
    <w:unhideWhenUsed/>
    <w:pPr>
      <w:jc w:val="left"/>
    </w:pPr>
  </w:style>
  <w:style w:type="character" w:styleId="988">
    <w:name w:val="批注文字 字符"/>
    <w:next w:val="988"/>
    <w:link w:val="987"/>
    <w:uiPriority w:val="99"/>
    <w:semiHidden/>
  </w:style>
  <w:style w:type="paragraph" w:styleId="989">
    <w:name w:val="正文文本 3"/>
    <w:basedOn w:val="957"/>
    <w:next w:val="989"/>
    <w:link w:val="990"/>
    <w:rPr>
      <w:rFonts w:ascii="仿宋_GB2312" w:hAnsi="Arial" w:eastAsia="仿宋_GB2312" w:cs="Times New Roman"/>
      <w:sz w:val="32"/>
      <w:szCs w:val="32"/>
    </w:rPr>
  </w:style>
  <w:style w:type="character" w:styleId="990">
    <w:name w:val="正文文本 3 字符"/>
    <w:next w:val="990"/>
    <w:link w:val="989"/>
    <w:rPr>
      <w:rFonts w:ascii="仿宋_GB2312" w:hAnsi="Arial" w:eastAsia="仿宋_GB2312" w:cs="Times New Roman"/>
      <w:sz w:val="32"/>
      <w:szCs w:val="32"/>
    </w:rPr>
  </w:style>
  <w:style w:type="paragraph" w:styleId="991">
    <w:name w:val="正文文本缩进"/>
    <w:basedOn w:val="957"/>
    <w:next w:val="993"/>
    <w:link w:val="992"/>
    <w:unhideWhenUsed/>
    <w:pPr>
      <w:ind w:left="420"/>
      <w:spacing w:after="120"/>
    </w:pPr>
  </w:style>
  <w:style w:type="character" w:styleId="992">
    <w:name w:val="正文文本缩进 字符"/>
    <w:next w:val="992"/>
    <w:link w:val="991"/>
    <w:uiPriority w:val="99"/>
    <w:semiHidden/>
  </w:style>
  <w:style w:type="paragraph" w:styleId="993">
    <w:name w:val="寄信人地址"/>
    <w:basedOn w:val="957"/>
    <w:next w:val="993"/>
    <w:link w:val="957"/>
    <w:uiPriority w:val="99"/>
    <w:unhideWhenUsed/>
    <w:qFormat/>
    <w:rPr>
      <w:rFonts w:ascii="Arial" w:hAnsi="Arial"/>
    </w:rPr>
  </w:style>
  <w:style w:type="paragraph" w:styleId="994">
    <w:name w:val="列表 2"/>
    <w:basedOn w:val="957"/>
    <w:next w:val="994"/>
    <w:link w:val="957"/>
    <w:pPr>
      <w:ind w:left="100" w:hanging="200"/>
    </w:pPr>
    <w:rPr>
      <w:rFonts w:ascii="Times New Roman" w:hAnsi="Times New Roman" w:eastAsia="宋体" w:cs="Times New Roman"/>
      <w:szCs w:val="21"/>
    </w:rPr>
  </w:style>
  <w:style w:type="paragraph" w:styleId="995">
    <w:name w:val="目录 5"/>
    <w:basedOn w:val="957"/>
    <w:next w:val="957"/>
    <w:link w:val="957"/>
    <w:semiHidden/>
    <w:pPr>
      <w:ind w:left="840"/>
      <w:jc w:val="left"/>
    </w:pPr>
    <w:rPr>
      <w:rFonts w:ascii="Times New Roman" w:hAnsi="Times New Roman" w:eastAsia="宋体" w:cs="Times New Roman"/>
      <w:szCs w:val="21"/>
    </w:rPr>
  </w:style>
  <w:style w:type="paragraph" w:styleId="996">
    <w:name w:val="目录 3"/>
    <w:basedOn w:val="957"/>
    <w:next w:val="957"/>
    <w:link w:val="957"/>
    <w:semiHidden/>
    <w:pPr>
      <w:ind w:left="420"/>
      <w:jc w:val="left"/>
    </w:pPr>
    <w:rPr>
      <w:rFonts w:ascii="Times New Roman" w:hAnsi="Times New Roman" w:eastAsia="宋体" w:cs="Times New Roman"/>
      <w:i/>
      <w:iCs/>
      <w:szCs w:val="24"/>
    </w:rPr>
  </w:style>
  <w:style w:type="paragraph" w:styleId="997">
    <w:name w:val="纯文本"/>
    <w:basedOn w:val="957"/>
    <w:next w:val="997"/>
    <w:link w:val="998"/>
    <w:rPr>
      <w:rFonts w:ascii="宋体" w:hAnsi="Courier New" w:eastAsia="宋体" w:cs="Courier New"/>
      <w:szCs w:val="21"/>
    </w:rPr>
  </w:style>
  <w:style w:type="character" w:styleId="998">
    <w:name w:val="纯文本 字符"/>
    <w:next w:val="998"/>
    <w:link w:val="997"/>
    <w:rPr>
      <w:rFonts w:ascii="宋体" w:hAnsi="Courier New" w:eastAsia="宋体" w:cs="Courier New"/>
      <w:szCs w:val="21"/>
    </w:rPr>
  </w:style>
  <w:style w:type="paragraph" w:styleId="999">
    <w:name w:val="目录 8"/>
    <w:basedOn w:val="957"/>
    <w:next w:val="957"/>
    <w:link w:val="957"/>
    <w:semiHidden/>
    <w:pPr>
      <w:ind w:left="1470"/>
      <w:jc w:val="left"/>
    </w:pPr>
    <w:rPr>
      <w:rFonts w:ascii="Times New Roman" w:hAnsi="Times New Roman" w:eastAsia="宋体" w:cs="Times New Roman"/>
      <w:szCs w:val="21"/>
    </w:rPr>
  </w:style>
  <w:style w:type="paragraph" w:styleId="1000">
    <w:name w:val="日期"/>
    <w:basedOn w:val="957"/>
    <w:next w:val="957"/>
    <w:link w:val="1001"/>
    <w:rPr>
      <w:rFonts w:ascii="Times New Roman" w:hAnsi="Times New Roman" w:eastAsia="宋体" w:cs="Times New Roman"/>
      <w:sz w:val="24"/>
      <w:szCs w:val="24"/>
    </w:rPr>
  </w:style>
  <w:style w:type="character" w:styleId="1001">
    <w:name w:val="日期 字符"/>
    <w:next w:val="1001"/>
    <w:link w:val="1000"/>
    <w:rPr>
      <w:rFonts w:ascii="Times New Roman" w:hAnsi="Times New Roman" w:eastAsia="宋体" w:cs="Times New Roman"/>
      <w:sz w:val="24"/>
      <w:szCs w:val="24"/>
    </w:rPr>
  </w:style>
  <w:style w:type="paragraph" w:styleId="1002">
    <w:name w:val="正文文本缩进 2"/>
    <w:basedOn w:val="957"/>
    <w:next w:val="1002"/>
    <w:link w:val="1003"/>
    <w:pPr>
      <w:ind w:left="630" w:firstLine="645"/>
    </w:pPr>
    <w:rPr>
      <w:rFonts w:ascii="Arial" w:hAnsi="Arial" w:eastAsia="仿宋_GB2312" w:cs="Arial"/>
      <w:sz w:val="32"/>
      <w:szCs w:val="32"/>
    </w:rPr>
  </w:style>
  <w:style w:type="character" w:styleId="1003">
    <w:name w:val="正文文本缩进 2 字符"/>
    <w:next w:val="1003"/>
    <w:link w:val="1002"/>
    <w:rPr>
      <w:rFonts w:ascii="Arial" w:hAnsi="Arial" w:eastAsia="仿宋_GB2312" w:cs="Arial"/>
      <w:sz w:val="32"/>
      <w:szCs w:val="32"/>
    </w:rPr>
  </w:style>
  <w:style w:type="paragraph" w:styleId="1004">
    <w:name w:val="批注框文本"/>
    <w:basedOn w:val="957"/>
    <w:next w:val="1004"/>
    <w:link w:val="1005"/>
    <w:semiHidden/>
    <w:rPr>
      <w:rFonts w:ascii="Times New Roman" w:hAnsi="Times New Roman" w:eastAsia="宋体" w:cs="Times New Roman"/>
      <w:sz w:val="18"/>
      <w:szCs w:val="18"/>
    </w:rPr>
  </w:style>
  <w:style w:type="character" w:styleId="1005">
    <w:name w:val="批注框文本 字符"/>
    <w:next w:val="1005"/>
    <w:link w:val="1004"/>
    <w:semiHidden/>
    <w:rPr>
      <w:rFonts w:ascii="Times New Roman" w:hAnsi="Times New Roman" w:eastAsia="宋体" w:cs="Times New Roman"/>
      <w:sz w:val="18"/>
      <w:szCs w:val="18"/>
    </w:rPr>
  </w:style>
  <w:style w:type="paragraph" w:styleId="1006">
    <w:name w:val="页脚"/>
    <w:basedOn w:val="957"/>
    <w:next w:val="957"/>
    <w:link w:val="1007"/>
    <w:pPr>
      <w:jc w:val="left"/>
      <w:tabs>
        <w:tab w:val="center" w:pos="4153" w:leader="none"/>
        <w:tab w:val="right" w:pos="8306" w:leader="none"/>
      </w:tabs>
    </w:pPr>
    <w:rPr>
      <w:rFonts w:ascii="Times New Roman" w:hAnsi="Times New Roman" w:eastAsia="宋体" w:cs="Times New Roman"/>
      <w:sz w:val="18"/>
      <w:szCs w:val="18"/>
    </w:rPr>
  </w:style>
  <w:style w:type="character" w:styleId="1007">
    <w:name w:val="页脚 字符"/>
    <w:next w:val="1007"/>
    <w:link w:val="1006"/>
    <w:rPr>
      <w:rFonts w:ascii="Times New Roman" w:hAnsi="Times New Roman" w:eastAsia="宋体" w:cs="Times New Roman"/>
      <w:sz w:val="18"/>
      <w:szCs w:val="18"/>
    </w:rPr>
  </w:style>
  <w:style w:type="paragraph" w:styleId="1008">
    <w:name w:val="页眉"/>
    <w:basedOn w:val="957"/>
    <w:next w:val="1008"/>
    <w:link w:val="100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1009">
    <w:name w:val="页眉 字符"/>
    <w:next w:val="1009"/>
    <w:link w:val="1008"/>
    <w:rPr>
      <w:rFonts w:ascii="Times New Roman" w:hAnsi="Times New Roman" w:eastAsia="宋体" w:cs="Times New Roman"/>
      <w:sz w:val="18"/>
      <w:szCs w:val="18"/>
    </w:rPr>
  </w:style>
  <w:style w:type="paragraph" w:styleId="1010">
    <w:name w:val="目录 1"/>
    <w:basedOn w:val="957"/>
    <w:next w:val="957"/>
    <w:link w:val="95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1011">
    <w:name w:val="目录 4"/>
    <w:basedOn w:val="957"/>
    <w:next w:val="957"/>
    <w:link w:val="957"/>
    <w:semiHidden/>
    <w:pPr>
      <w:ind w:left="630"/>
      <w:jc w:val="left"/>
    </w:pPr>
    <w:rPr>
      <w:rFonts w:ascii="Times New Roman" w:hAnsi="Times New Roman" w:eastAsia="宋体" w:cs="Times New Roman"/>
      <w:szCs w:val="21"/>
    </w:rPr>
  </w:style>
  <w:style w:type="paragraph" w:styleId="1012">
    <w:name w:val="列表"/>
    <w:basedOn w:val="957"/>
    <w:next w:val="1012"/>
    <w:link w:val="957"/>
    <w:pPr>
      <w:ind w:left="200" w:hanging="200"/>
    </w:pPr>
    <w:rPr>
      <w:rFonts w:ascii="Times New Roman" w:hAnsi="Times New Roman" w:eastAsia="宋体" w:cs="Times New Roman"/>
      <w:szCs w:val="21"/>
    </w:rPr>
  </w:style>
  <w:style w:type="paragraph" w:styleId="1013">
    <w:name w:val="脚注文本"/>
    <w:basedOn w:val="957"/>
    <w:next w:val="1013"/>
    <w:link w:val="957"/>
    <w:uiPriority w:val="99"/>
    <w:unhideWhenUsed/>
    <w:qFormat/>
    <w:pPr>
      <w:jc w:val="left"/>
    </w:pPr>
    <w:rPr>
      <w:sz w:val="18"/>
      <w:szCs w:val="18"/>
    </w:rPr>
  </w:style>
  <w:style w:type="paragraph" w:styleId="1014">
    <w:name w:val="目录 6"/>
    <w:basedOn w:val="957"/>
    <w:next w:val="957"/>
    <w:link w:val="957"/>
    <w:semiHidden/>
    <w:pPr>
      <w:ind w:left="1050"/>
      <w:jc w:val="left"/>
    </w:pPr>
    <w:rPr>
      <w:rFonts w:ascii="Times New Roman" w:hAnsi="Times New Roman" w:eastAsia="宋体" w:cs="Times New Roman"/>
      <w:szCs w:val="21"/>
    </w:rPr>
  </w:style>
  <w:style w:type="paragraph" w:styleId="1015">
    <w:name w:val="正文文本缩进 3"/>
    <w:basedOn w:val="957"/>
    <w:next w:val="1015"/>
    <w:link w:val="1016"/>
    <w:pPr>
      <w:ind w:left="645" w:firstLine="645"/>
    </w:pPr>
    <w:rPr>
      <w:rFonts w:ascii="Arial" w:hAnsi="Arial" w:eastAsia="仿宋_GB2312" w:cs="Arial"/>
      <w:color w:val="ffff00"/>
      <w:sz w:val="32"/>
      <w:szCs w:val="32"/>
    </w:rPr>
  </w:style>
  <w:style w:type="character" w:styleId="1016">
    <w:name w:val="正文文本缩进 3 字符"/>
    <w:next w:val="1016"/>
    <w:link w:val="1015"/>
    <w:rPr>
      <w:rFonts w:ascii="Arial" w:hAnsi="Arial" w:eastAsia="仿宋_GB2312" w:cs="Arial"/>
      <w:color w:val="ffff00"/>
      <w:sz w:val="32"/>
      <w:szCs w:val="32"/>
    </w:rPr>
  </w:style>
  <w:style w:type="paragraph" w:styleId="1017">
    <w:name w:val="图表目录"/>
    <w:basedOn w:val="957"/>
    <w:next w:val="957"/>
    <w:link w:val="957"/>
    <w:semiHidden/>
    <w:pPr>
      <w:ind w:left="840" w:hanging="420"/>
    </w:pPr>
    <w:rPr>
      <w:rFonts w:ascii="Times New Roman" w:hAnsi="Times New Roman" w:eastAsia="宋体" w:cs="Times New Roman"/>
      <w:szCs w:val="21"/>
    </w:rPr>
  </w:style>
  <w:style w:type="paragraph" w:styleId="1018">
    <w:name w:val="目录 2"/>
    <w:basedOn w:val="957"/>
    <w:next w:val="957"/>
    <w:link w:val="957"/>
    <w:semiHidden/>
    <w:pPr>
      <w:ind w:left="210"/>
      <w:jc w:val="left"/>
    </w:pPr>
    <w:rPr>
      <w:rFonts w:ascii="Times New Roman" w:hAnsi="Times New Roman" w:eastAsia="宋体" w:cs="Times New Roman"/>
      <w:smallCaps/>
      <w:szCs w:val="24"/>
    </w:rPr>
  </w:style>
  <w:style w:type="paragraph" w:styleId="1019">
    <w:name w:val="目录 9"/>
    <w:basedOn w:val="957"/>
    <w:next w:val="957"/>
    <w:link w:val="957"/>
    <w:semiHidden/>
    <w:pPr>
      <w:ind w:left="1680"/>
      <w:jc w:val="left"/>
    </w:pPr>
    <w:rPr>
      <w:rFonts w:ascii="Times New Roman" w:hAnsi="Times New Roman" w:eastAsia="宋体" w:cs="Times New Roman"/>
      <w:szCs w:val="21"/>
    </w:rPr>
  </w:style>
  <w:style w:type="paragraph" w:styleId="1020">
    <w:name w:val="正文文本 2"/>
    <w:basedOn w:val="957"/>
    <w:next w:val="1020"/>
    <w:link w:val="1021"/>
    <w:pPr>
      <w:jc w:val="center"/>
      <w:widowControl/>
    </w:pPr>
    <w:rPr>
      <w:rFonts w:ascii="楷体_GB2312" w:hAnsi="Times New Roman" w:eastAsia="楷体_GB2312" w:cs="Times New Roman"/>
      <w:sz w:val="28"/>
      <w:szCs w:val="28"/>
    </w:rPr>
  </w:style>
  <w:style w:type="character" w:styleId="1021">
    <w:name w:val="正文文本 2 字符"/>
    <w:next w:val="1021"/>
    <w:link w:val="1020"/>
    <w:rPr>
      <w:rFonts w:ascii="楷体_GB2312" w:hAnsi="Times New Roman" w:eastAsia="楷体_GB2312" w:cs="Times New Roman"/>
      <w:sz w:val="28"/>
      <w:szCs w:val="28"/>
    </w:rPr>
  </w:style>
  <w:style w:type="paragraph" w:styleId="1022">
    <w:name w:val="普通(网站)"/>
    <w:basedOn w:val="957"/>
    <w:next w:val="1022"/>
    <w:link w:val="957"/>
    <w:uiPriority w:val="99"/>
    <w:pPr>
      <w:jc w:val="left"/>
      <w:spacing w:before="100" w:beforeAutospacing="1" w:after="100" w:afterAutospacing="1"/>
      <w:widowControl/>
    </w:pPr>
    <w:rPr>
      <w:rFonts w:ascii="宋体" w:hAnsi="宋体" w:eastAsia="宋体" w:cs="宋体"/>
      <w:sz w:val="24"/>
      <w:szCs w:val="24"/>
    </w:rPr>
  </w:style>
  <w:style w:type="paragraph" w:styleId="1023">
    <w:name w:val="索引 1"/>
    <w:basedOn w:val="957"/>
    <w:next w:val="957"/>
    <w:link w:val="957"/>
    <w:semiHidden/>
    <w:pPr>
      <w:spacing w:line="240" w:lineRule="atLeast"/>
    </w:pPr>
    <w:rPr>
      <w:rFonts w:ascii="Times New Roman" w:hAnsi="Times New Roman" w:eastAsia="宋体" w:cs="Times New Roman"/>
      <w:b/>
      <w:bCs/>
      <w:szCs w:val="21"/>
    </w:rPr>
  </w:style>
  <w:style w:type="paragraph" w:styleId="1024">
    <w:name w:val="批注主题"/>
    <w:basedOn w:val="987"/>
    <w:next w:val="987"/>
    <w:link w:val="1025"/>
    <w:semiHidden/>
    <w:rPr>
      <w:rFonts w:ascii="Times New Roman" w:hAnsi="Times New Roman" w:eastAsia="宋体" w:cs="Times New Roman"/>
      <w:b/>
      <w:bCs/>
      <w:szCs w:val="21"/>
    </w:rPr>
  </w:style>
  <w:style w:type="character" w:styleId="1025">
    <w:name w:val="批注主题 字符"/>
    <w:next w:val="1025"/>
    <w:link w:val="1024"/>
    <w:semiHidden/>
    <w:rPr>
      <w:rFonts w:ascii="Times New Roman" w:hAnsi="Times New Roman" w:eastAsia="宋体" w:cs="Times New Roman"/>
      <w:b/>
      <w:bCs/>
      <w:szCs w:val="21"/>
    </w:rPr>
  </w:style>
  <w:style w:type="paragraph" w:styleId="1026">
    <w:name w:val="正文首行缩进"/>
    <w:basedOn w:val="970"/>
    <w:next w:val="1026"/>
    <w:link w:val="1027"/>
    <w:pPr>
      <w:ind w:firstLine="200"/>
      <w:spacing w:line="360" w:lineRule="auto"/>
    </w:pPr>
    <w:rPr>
      <w:rFonts w:ascii="仿宋_GB2312" w:hAnsi="Times New Roman" w:eastAsia="仿宋_GB2312" w:cs="Times New Roman"/>
      <w:sz w:val="30"/>
      <w:szCs w:val="30"/>
    </w:rPr>
  </w:style>
  <w:style w:type="character" w:styleId="1027">
    <w:name w:val="正文文本首行缩进 字符"/>
    <w:next w:val="1027"/>
    <w:link w:val="1026"/>
    <w:rPr>
      <w:rFonts w:ascii="仿宋_GB2312" w:hAnsi="Times New Roman" w:eastAsia="仿宋_GB2312" w:cs="Times New Roman"/>
      <w:sz w:val="30"/>
      <w:szCs w:val="30"/>
    </w:rPr>
  </w:style>
  <w:style w:type="paragraph" w:styleId="1028">
    <w:name w:val="正文首行缩进 2"/>
    <w:basedOn w:val="991"/>
    <w:next w:val="957"/>
    <w:link w:val="1029"/>
    <w:pPr>
      <w:ind w:left="0" w:firstLine="420"/>
      <w:spacing w:after="0" w:line="360" w:lineRule="auto"/>
    </w:pPr>
    <w:rPr>
      <w:rFonts w:ascii="宋体" w:hAnsi="宋体" w:eastAsia="宋体" w:cs="Times New Roman"/>
      <w:szCs w:val="20"/>
    </w:rPr>
  </w:style>
  <w:style w:type="character" w:styleId="1029">
    <w:name w:val="正文文本首行缩进 2 字符"/>
    <w:next w:val="1029"/>
    <w:link w:val="1028"/>
    <w:rPr>
      <w:rFonts w:ascii="宋体" w:hAnsi="宋体" w:eastAsia="宋体" w:cs="Times New Roman"/>
      <w:szCs w:val="20"/>
    </w:rPr>
  </w:style>
  <w:style w:type="table" w:styleId="1030">
    <w:name w:val="网格型"/>
    <w:basedOn w:val="968"/>
    <w:next w:val="1030"/>
    <w:link w:val="957"/>
    <w:pPr>
      <w:jc w:val="both"/>
      <w:widowControl w:val="off"/>
    </w:pPr>
    <w:rPr>
      <w:rFonts w:ascii="Times New Roman" w:hAnsi="Times New Roman" w:eastAsia="宋体" w:cs="Times New Roman"/>
      <w:sz w:val="20"/>
      <w:szCs w:val="20"/>
    </w:rPr>
    <w:tblPr/>
  </w:style>
  <w:style w:type="character" w:styleId="1031">
    <w:name w:val="要点"/>
    <w:next w:val="1031"/>
    <w:link w:val="957"/>
    <w:uiPriority w:val="22"/>
    <w:qFormat/>
    <w:rPr>
      <w:b/>
      <w:bCs/>
    </w:rPr>
  </w:style>
  <w:style w:type="character" w:styleId="1032">
    <w:name w:val="页码"/>
    <w:next w:val="1032"/>
    <w:link w:val="957"/>
  </w:style>
  <w:style w:type="character" w:styleId="1033">
    <w:name w:val="已访问的超链接"/>
    <w:next w:val="1033"/>
    <w:link w:val="957"/>
    <w:rPr>
      <w:color w:val="800080"/>
      <w:u w:val="single"/>
    </w:rPr>
  </w:style>
  <w:style w:type="character" w:styleId="1034">
    <w:name w:val="超链接"/>
    <w:next w:val="1034"/>
    <w:link w:val="957"/>
    <w:rPr>
      <w:color w:val="0000ff"/>
      <w:u w:val="single"/>
    </w:rPr>
  </w:style>
  <w:style w:type="character" w:styleId="1035">
    <w:name w:val="批注引用"/>
    <w:next w:val="1035"/>
    <w:link w:val="957"/>
    <w:semiHidden/>
    <w:rPr>
      <w:sz w:val="21"/>
      <w:szCs w:val="21"/>
    </w:rPr>
  </w:style>
  <w:style w:type="paragraph" w:styleId="1036">
    <w:name w:val="Default"/>
    <w:next w:val="1036"/>
    <w:link w:val="957"/>
    <w:qFormat/>
    <w:pPr>
      <w:widowControl w:val="off"/>
    </w:pPr>
    <w:rPr>
      <w:rFonts w:cs="Calibri"/>
      <w:color w:val="000000"/>
      <w:sz w:val="24"/>
      <w:szCs w:val="24"/>
      <w:lang w:val="en-US" w:eastAsia="zh-CN" w:bidi="ar-SA"/>
    </w:rPr>
  </w:style>
  <w:style w:type="paragraph" w:styleId="1037">
    <w:name w:val="一级条标题"/>
    <w:basedOn w:val="1038"/>
    <w:next w:val="1039"/>
    <w:link w:val="957"/>
    <w:qFormat/>
    <w:pPr>
      <w:ind w:left="907" w:hanging="907"/>
      <w:tabs>
        <w:tab w:val="left" w:pos="810" w:leader="none"/>
        <w:tab w:val="left" w:pos="907" w:leader="none"/>
        <w:tab w:val="left" w:pos="1265" w:leader="none"/>
      </w:tabs>
      <w:outlineLvl w:val="2"/>
    </w:pPr>
    <w:rPr>
      <w:rFonts w:hAnsi="宋体"/>
      <w:sz w:val="20"/>
      <w:szCs w:val="20"/>
    </w:rPr>
  </w:style>
  <w:style w:type="paragraph" w:styleId="1038">
    <w:name w:val="章标题"/>
    <w:next w:val="957"/>
    <w:link w:val="957"/>
    <w:qFormat/>
    <w:pPr>
      <w:ind w:left="810" w:hanging="810"/>
      <w:jc w:val="both"/>
      <w:tabs>
        <w:tab w:val="left" w:pos="810" w:leader="none"/>
        <w:tab w:val="left" w:pos="1265" w:leader="none"/>
      </w:tabs>
      <w:outlineLvl w:val="1"/>
    </w:pPr>
    <w:rPr>
      <w:rFonts w:ascii="黑体" w:hAnsi="Calibri" w:eastAsia="黑体"/>
      <w:sz w:val="21"/>
      <w:szCs w:val="22"/>
      <w:lang w:val="en-US" w:eastAsia="zh-CN" w:bidi="ar-SA"/>
    </w:rPr>
  </w:style>
  <w:style w:type="paragraph" w:styleId="1039">
    <w:name w:val="段"/>
    <w:basedOn w:val="957"/>
    <w:next w:val="957"/>
    <w:link w:val="957"/>
    <w:qFormat/>
    <w:pPr>
      <w:ind w:firstLine="200"/>
      <w:widowControl/>
    </w:pPr>
    <w:rPr>
      <w:rFonts w:hint="eastAsia" w:ascii="宋体"/>
      <w:szCs w:val="20"/>
    </w:rPr>
  </w:style>
  <w:style w:type="paragraph" w:styleId="1040">
    <w:name w:val="正文首行缩进11"/>
    <w:basedOn w:val="1041"/>
    <w:next w:val="1040"/>
    <w:link w:val="957"/>
    <w:qFormat/>
    <w:pPr>
      <w:ind w:firstLine="200"/>
      <w:spacing w:line="360" w:lineRule="auto"/>
    </w:pPr>
    <w:rPr>
      <w:rFonts w:ascii="仿宋_GB2312" w:hAnsi="Times New Roman" w:eastAsia="仿宋_GB2312"/>
      <w:sz w:val="30"/>
      <w:szCs w:val="30"/>
    </w:rPr>
  </w:style>
  <w:style w:type="paragraph" w:styleId="1041">
    <w:name w:val="正文文本1"/>
    <w:basedOn w:val="957"/>
    <w:next w:val="957"/>
    <w:link w:val="957"/>
    <w:qFormat/>
    <w:rPr>
      <w:rFonts w:ascii="楷体_GB2312" w:hAnsi="Arial" w:eastAsia="楷体_GB2312"/>
      <w:sz w:val="28"/>
      <w:szCs w:val="28"/>
      <w:lang w:val="en-US" w:eastAsia="en-US"/>
    </w:rPr>
  </w:style>
  <w:style w:type="character" w:styleId="1042">
    <w:name w:val="font5 Char"/>
    <w:next w:val="1042"/>
    <w:link w:val="957"/>
    <w:rPr>
      <w:rFonts w:ascii="宋体" w:hAnsi="宋体" w:eastAsia="宋体"/>
      <w:sz w:val="28"/>
      <w:szCs w:val="28"/>
      <w:lang w:val="en-US" w:eastAsia="zh-CN" w:bidi="ar-SA"/>
    </w:rPr>
  </w:style>
  <w:style w:type="character" w:styleId="1043">
    <w:name w:val="二级目录 Char"/>
    <w:next w:val="1043"/>
    <w:link w:val="1044"/>
    <w:rPr>
      <w:b/>
      <w:sz w:val="30"/>
      <w:szCs w:val="28"/>
    </w:rPr>
  </w:style>
  <w:style w:type="paragraph" w:styleId="1044">
    <w:name w:val="二级目录"/>
    <w:next w:val="957"/>
    <w:link w:val="1043"/>
    <w:pPr>
      <w:numPr>
        <w:ilvl w:val="0"/>
        <w:numId w:val="2"/>
      </w:numPr>
      <w:tabs>
        <w:tab w:val="left" w:pos="907" w:leader="none"/>
        <w:tab w:val="left" w:pos="1145" w:leader="none"/>
      </w:tabs>
      <w:outlineLvl w:val="1"/>
    </w:pPr>
    <w:rPr>
      <w:b/>
      <w:sz w:val="30"/>
      <w:szCs w:val="28"/>
      <w:lang w:val="en-US" w:eastAsia="zh-CN" w:bidi="ar-SA"/>
    </w:rPr>
  </w:style>
  <w:style w:type="character" w:styleId="1045">
    <w:name w:val="列出段落 Char,Bullet List Char,numbered Char,FooterText Char,List Paragraph1 Char,Paragraphe de liste1 Char"/>
    <w:next w:val="1045"/>
    <w:link w:val="1046"/>
    <w:rPr>
      <w:rFonts w:ascii="Calibri" w:hAnsi="Calibri"/>
      <w:sz w:val="24"/>
      <w:szCs w:val="24"/>
      <w:lang w:eastAsia="en-US" w:bidi="en-US"/>
    </w:rPr>
  </w:style>
  <w:style w:type="paragraph" w:styleId="1046">
    <w:name w:val="列出段落1"/>
    <w:basedOn w:val="957"/>
    <w:next w:val="1046"/>
    <w:link w:val="1045"/>
    <w:qFormat/>
    <w:pPr>
      <w:contextualSpacing/>
      <w:ind w:left="720"/>
      <w:jc w:val="left"/>
      <w:widowControl/>
    </w:pPr>
    <w:rPr>
      <w:rFonts w:ascii="Calibri" w:hAnsi="Calibri"/>
      <w:sz w:val="24"/>
      <w:szCs w:val="24"/>
      <w:lang w:eastAsia="en-US" w:bidi="en-US"/>
    </w:rPr>
  </w:style>
  <w:style w:type="paragraph" w:styleId="1047">
    <w:name w:val="Body Text(ch)"/>
    <w:basedOn w:val="957"/>
    <w:next w:val="970"/>
    <w:link w:val="957"/>
    <w:pPr>
      <w:spacing w:after="120"/>
    </w:pPr>
    <w:rPr>
      <w:rFonts w:ascii="宋体" w:hAnsi="Arial" w:eastAsia="宋体" w:cs="Times New Roman"/>
      <w:bCs/>
      <w:iCs/>
      <w:szCs w:val="24"/>
    </w:rPr>
  </w:style>
  <w:style w:type="paragraph" w:styleId="1048">
    <w:name w:val="xl27"/>
    <w:basedOn w:val="957"/>
    <w:next w:val="1048"/>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49">
    <w:name w:val="xl26"/>
    <w:basedOn w:val="957"/>
    <w:next w:val="1049"/>
    <w:link w:val="95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0">
    <w:name w:val="Char"/>
    <w:basedOn w:val="957"/>
    <w:next w:val="1050"/>
    <w:link w:val="957"/>
    <w:pPr>
      <w:ind w:firstLine="200"/>
      <w:tabs>
        <w:tab w:val="left" w:pos="360" w:leader="none"/>
      </w:tabs>
    </w:pPr>
    <w:rPr>
      <w:rFonts w:ascii="Times New Roman" w:hAnsi="Times New Roman" w:eastAsia="宋体" w:cs="Times New Roman"/>
      <w:sz w:val="28"/>
      <w:szCs w:val="30"/>
    </w:rPr>
  </w:style>
  <w:style w:type="paragraph" w:styleId="1051">
    <w:name w:val=" Char"/>
    <w:basedOn w:val="985"/>
    <w:next w:val="1051"/>
    <w:link w:val="957"/>
    <w:rPr>
      <w:rFonts w:ascii="Tahoma" w:hAnsi="Tahoma"/>
      <w:sz w:val="24"/>
      <w:szCs w:val="24"/>
    </w:rPr>
  </w:style>
  <w:style w:type="paragraph" w:styleId="1052">
    <w:name w:val="普通正文"/>
    <w:basedOn w:val="957"/>
    <w:next w:val="1052"/>
    <w:link w:val="957"/>
    <w:pPr>
      <w:ind w:firstLine="480"/>
      <w:jc w:val="left"/>
      <w:spacing w:before="120" w:after="120" w:line="360" w:lineRule="auto"/>
    </w:pPr>
    <w:rPr>
      <w:rFonts w:ascii="Arial" w:hAnsi="Arial" w:eastAsia="宋体" w:cs="Times New Roman"/>
      <w:sz w:val="24"/>
      <w:szCs w:val="24"/>
    </w:rPr>
  </w:style>
  <w:style w:type="paragraph" w:styleId="1053">
    <w:name w:val="table_lines"/>
    <w:basedOn w:val="957"/>
    <w:next w:val="1053"/>
    <w:link w:val="957"/>
    <w:pPr>
      <w:jc w:val="left"/>
      <w:widowControl/>
    </w:pPr>
    <w:rPr>
      <w:rFonts w:ascii="Times New Roman" w:hAnsi="Times New Roman" w:eastAsia="宋体" w:cs="Times New Roman"/>
      <w:sz w:val="20"/>
      <w:szCs w:val="20"/>
      <w:lang w:val="de-DE" w:eastAsia="de-DE"/>
    </w:rPr>
  </w:style>
  <w:style w:type="paragraph" w:styleId="1054">
    <w:name w:val="附录1"/>
    <w:next w:val="1054"/>
    <w:link w:val="957"/>
    <w:pPr>
      <w:numPr>
        <w:ilvl w:val="0"/>
        <w:numId w:val="2"/>
      </w:numPr>
      <w:spacing w:before="240" w:line="600" w:lineRule="atLeast"/>
      <w:tabs>
        <w:tab w:val="left" w:pos="907" w:leader="none"/>
      </w:tabs>
    </w:pPr>
    <w:rPr>
      <w:b/>
      <w:i/>
      <w:sz w:val="28"/>
      <w:lang w:val="en-US" w:eastAsia="zh-CN" w:bidi="ar-SA"/>
    </w:rPr>
  </w:style>
  <w:style w:type="paragraph" w:styleId="1055">
    <w:name w:val="font7"/>
    <w:basedOn w:val="957"/>
    <w:next w:val="1055"/>
    <w:link w:val="957"/>
    <w:pPr>
      <w:jc w:val="left"/>
      <w:spacing w:before="100" w:beforeAutospacing="1" w:after="100" w:afterAutospacing="1"/>
      <w:widowControl/>
    </w:pPr>
    <w:rPr>
      <w:rFonts w:hint="eastAsia" w:ascii="宋体" w:hAnsi="宋体" w:eastAsia="宋体" w:cs="Times New Roman"/>
      <w:sz w:val="18"/>
      <w:szCs w:val="18"/>
    </w:rPr>
  </w:style>
  <w:style w:type="paragraph" w:styleId="1056">
    <w:name w:val=" Char Char Char Char"/>
    <w:basedOn w:val="985"/>
    <w:next w:val="1056"/>
    <w:link w:val="957"/>
    <w:pPr>
      <w:spacing w:line="360" w:lineRule="auto"/>
    </w:pPr>
    <w:rPr>
      <w:rFonts w:ascii="Tahoma" w:hAnsi="Tahoma"/>
      <w:sz w:val="24"/>
      <w:szCs w:val="24"/>
    </w:rPr>
  </w:style>
  <w:style w:type="paragraph" w:styleId="1057">
    <w:name w:val="列表段落"/>
    <w:basedOn w:val="957"/>
    <w:next w:val="1057"/>
    <w:link w:val="957"/>
    <w:qFormat/>
    <w:pPr>
      <w:contextualSpacing/>
      <w:ind w:left="720"/>
      <w:jc w:val="left"/>
      <w:widowControl/>
    </w:pPr>
    <w:rPr>
      <w:rFonts w:ascii="Calibri" w:hAnsi="Calibri" w:eastAsia="宋体" w:cs="Times New Roman"/>
      <w:sz w:val="24"/>
      <w:szCs w:val="24"/>
      <w:lang w:eastAsia="en-US" w:bidi="en-US"/>
    </w:rPr>
  </w:style>
  <w:style w:type="paragraph" w:styleId="1058">
    <w:name w:val="4"/>
    <w:basedOn w:val="957"/>
    <w:next w:val="1015"/>
    <w:link w:val="957"/>
    <w:pPr>
      <w:ind w:firstLine="420"/>
      <w:spacing w:line="360" w:lineRule="auto"/>
    </w:pPr>
    <w:rPr>
      <w:rFonts w:ascii="Times New Roman" w:hAnsi="Times New Roman" w:eastAsia="宋体" w:cs="Times New Roman"/>
      <w:color w:val="ff0000"/>
      <w:sz w:val="24"/>
      <w:szCs w:val="24"/>
    </w:rPr>
  </w:style>
  <w:style w:type="paragraph" w:styleId="1059">
    <w:name w:val="普通 (Web)"/>
    <w:basedOn w:val="957"/>
    <w:next w:val="1059"/>
    <w:link w:val="957"/>
    <w:pPr>
      <w:jc w:val="left"/>
      <w:spacing w:before="100" w:beforeAutospacing="1" w:after="100" w:afterAutospacing="1"/>
      <w:widowControl/>
    </w:pPr>
    <w:rPr>
      <w:rFonts w:ascii="宋体" w:hAnsi="宋体" w:eastAsia="宋体" w:cs="Times New Roman"/>
      <w:sz w:val="24"/>
      <w:szCs w:val="24"/>
    </w:rPr>
  </w:style>
  <w:style w:type="paragraph" w:styleId="1060">
    <w:name w:val=" Char Char Char Char Char Char Char Char Char Char"/>
    <w:basedOn w:val="957"/>
    <w:next w:val="1060"/>
    <w:link w:val="957"/>
    <w:pPr>
      <w:spacing w:line="360" w:lineRule="auto"/>
    </w:pPr>
    <w:rPr>
      <w:rFonts w:ascii="Times New Roman" w:hAnsi="Times New Roman" w:eastAsia="宋体" w:cs="Times New Roman"/>
      <w:sz w:val="24"/>
      <w:szCs w:val="20"/>
    </w:rPr>
  </w:style>
  <w:style w:type="paragraph" w:styleId="1061">
    <w:name w:val="样式1"/>
    <w:basedOn w:val="957"/>
    <w:next w:val="1061"/>
    <w:link w:val="957"/>
    <w:pPr>
      <w:numPr>
        <w:ilvl w:val="0"/>
        <w:numId w:val="3"/>
      </w:numPr>
      <w:tabs>
        <w:tab w:val="left" w:pos="709" w:leader="none"/>
      </w:tabs>
    </w:pPr>
    <w:rPr>
      <w:rFonts w:ascii="宋体" w:hAnsi="宋体" w:eastAsia="宋体" w:cs="Times New Roman"/>
      <w:szCs w:val="21"/>
    </w:rPr>
  </w:style>
  <w:style w:type="paragraph" w:styleId="1062">
    <w:name w:val="font6"/>
    <w:basedOn w:val="957"/>
    <w:next w:val="1062"/>
    <w:link w:val="957"/>
    <w:pPr>
      <w:jc w:val="left"/>
      <w:spacing w:before="100" w:beforeAutospacing="1" w:after="100" w:afterAutospacing="1"/>
      <w:widowControl/>
    </w:pPr>
    <w:rPr>
      <w:rFonts w:hint="eastAsia" w:ascii="宋体" w:hAnsi="宋体" w:eastAsia="宋体" w:cs="Times New Roman"/>
      <w:sz w:val="28"/>
      <w:szCs w:val="28"/>
      <w:u w:val="single"/>
    </w:rPr>
  </w:style>
  <w:style w:type="paragraph" w:styleId="1063">
    <w:name w:val="xl25"/>
    <w:basedOn w:val="957"/>
    <w:next w:val="1063"/>
    <w:link w:val="95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64">
    <w:name w:val="图标"/>
    <w:basedOn w:val="957"/>
    <w:next w:val="957"/>
    <w:link w:val="95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5">
    <w:name w:val="标题3"/>
    <w:basedOn w:val="957"/>
    <w:next w:val="957"/>
    <w:link w:val="957"/>
    <w:pPr>
      <w:ind w:firstLine="624"/>
      <w:spacing w:line="590" w:lineRule="atLeast"/>
    </w:pPr>
    <w:rPr>
      <w:rFonts w:ascii="方正黑体_GBK" w:hAnsi="Times New Roman" w:eastAsia="方正黑体_GBK" w:cs="Times New Roman"/>
      <w:sz w:val="32"/>
      <w:szCs w:val="32"/>
    </w:rPr>
  </w:style>
  <w:style w:type="paragraph" w:styleId="1066">
    <w:name w:val="xl24"/>
    <w:basedOn w:val="957"/>
    <w:next w:val="1066"/>
    <w:link w:val="95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7">
    <w:name w:val="xl29"/>
    <w:basedOn w:val="957"/>
    <w:next w:val="1067"/>
    <w:link w:val="95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8">
    <w:name w:val="Char Char Char Char Char Char Char Char"/>
    <w:basedOn w:val="957"/>
    <w:next w:val="1068"/>
    <w:link w:val="957"/>
    <w:pPr>
      <w:jc w:val="left"/>
      <w:spacing w:after="160" w:line="240" w:lineRule="exact"/>
      <w:widowControl/>
    </w:pPr>
    <w:rPr>
      <w:rFonts w:ascii="Verdana" w:hAnsi="Verdana" w:eastAsia="宋体" w:cs="Times New Roman"/>
      <w:sz w:val="20"/>
      <w:szCs w:val="20"/>
      <w:lang w:eastAsia="en-US"/>
    </w:rPr>
  </w:style>
  <w:style w:type="paragraph" w:styleId="1069">
    <w:name w:val="xl28"/>
    <w:basedOn w:val="957"/>
    <w:next w:val="1069"/>
    <w:link w:val="95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70">
    <w:name w:val=" Char Char Char Char Char Char Char Char"/>
    <w:basedOn w:val="957"/>
    <w:next w:val="1070"/>
    <w:link w:val="957"/>
    <w:pPr>
      <w:jc w:val="left"/>
      <w:spacing w:after="160" w:line="240" w:lineRule="exact"/>
      <w:widowControl/>
    </w:pPr>
    <w:rPr>
      <w:rFonts w:ascii="Verdana" w:hAnsi="Verdana" w:eastAsia="宋体" w:cs="Times New Roman"/>
      <w:sz w:val="20"/>
      <w:szCs w:val="20"/>
      <w:lang w:eastAsia="en-US"/>
    </w:rPr>
  </w:style>
  <w:style w:type="paragraph" w:styleId="1071">
    <w:name w:val="xl30"/>
    <w:basedOn w:val="957"/>
    <w:next w:val="1071"/>
    <w:link w:val="957"/>
    <w:pPr>
      <w:jc w:val="center"/>
      <w:spacing w:before="100" w:beforeAutospacing="1" w:after="100" w:afterAutospacing="1"/>
      <w:widowControl/>
    </w:pPr>
    <w:rPr>
      <w:rFonts w:ascii="宋体" w:hAnsi="宋体" w:eastAsia="宋体" w:cs="Times New Roman"/>
      <w:b/>
      <w:bCs/>
      <w:sz w:val="36"/>
      <w:szCs w:val="36"/>
    </w:rPr>
  </w:style>
  <w:style w:type="paragraph" w:styleId="1072">
    <w:name w:val="Char Char Char Char"/>
    <w:basedOn w:val="985"/>
    <w:next w:val="1072"/>
    <w:link w:val="957"/>
    <w:pPr>
      <w:spacing w:line="360" w:lineRule="auto"/>
    </w:pPr>
    <w:rPr>
      <w:rFonts w:ascii="Tahoma" w:hAnsi="Tahoma"/>
      <w:sz w:val="24"/>
      <w:szCs w:val="24"/>
    </w:rPr>
  </w:style>
  <w:style w:type="paragraph" w:styleId="1073">
    <w:name w:val="table_1stline"/>
    <w:basedOn w:val="957"/>
    <w:next w:val="1073"/>
    <w:link w:val="957"/>
    <w:pPr>
      <w:jc w:val="left"/>
      <w:spacing w:before="120"/>
      <w:widowControl/>
    </w:pPr>
    <w:rPr>
      <w:rFonts w:ascii="Times New Roman" w:hAnsi="Times New Roman" w:eastAsia="宋体" w:cs="Times New Roman"/>
      <w:bCs/>
      <w:sz w:val="20"/>
      <w:szCs w:val="20"/>
      <w:lang w:val="de-DE" w:eastAsia="de-DE"/>
    </w:rPr>
  </w:style>
  <w:style w:type="paragraph" w:styleId="1074">
    <w:name w:val="font5"/>
    <w:basedOn w:val="957"/>
    <w:next w:val="1074"/>
    <w:link w:val="957"/>
    <w:pPr>
      <w:jc w:val="left"/>
      <w:spacing w:before="100" w:beforeAutospacing="1" w:after="100" w:afterAutospacing="1"/>
      <w:widowControl/>
    </w:pPr>
    <w:rPr>
      <w:rFonts w:hint="eastAsia" w:ascii="宋体" w:hAnsi="宋体" w:eastAsia="宋体" w:cs="Times New Roman"/>
      <w:sz w:val="28"/>
      <w:szCs w:val="28"/>
    </w:rPr>
  </w:style>
  <w:style w:type="paragraph" w:styleId="1075">
    <w:name w:val="标题1"/>
    <w:basedOn w:val="957"/>
    <w:next w:val="957"/>
    <w:link w:val="95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76">
    <w:name w:val="修订"/>
    <w:next w:val="1076"/>
    <w:link w:val="957"/>
    <w:uiPriority w:val="99"/>
    <w:semiHidden/>
    <w:rPr>
      <w:sz w:val="21"/>
      <w:szCs w:val="21"/>
      <w:lang w:val="en-US" w:eastAsia="zh-CN" w:bidi="ar-SA"/>
    </w:rPr>
  </w:style>
  <w:style w:type="paragraph" w:styleId="1077">
    <w:name w:val="无间隔"/>
    <w:next w:val="1077"/>
    <w:link w:val="957"/>
    <w:uiPriority w:val="99"/>
    <w:qFormat/>
    <w:pPr>
      <w:jc w:val="both"/>
      <w:widowControl w:val="off"/>
    </w:pPr>
    <w:rPr>
      <w:sz w:val="21"/>
      <w:szCs w:val="21"/>
      <w:lang w:val="en-US" w:eastAsia="zh-CN" w:bidi="ar-SA"/>
    </w:rPr>
  </w:style>
  <w:style w:type="paragraph" w:styleId="1078">
    <w:name w:val="WPSOffice手动目录 1"/>
    <w:next w:val="1078"/>
    <w:link w:val="957"/>
    <w:rPr>
      <w:lang w:val="en-US" w:eastAsia="zh-CN" w:bidi="ar-SA"/>
    </w:rPr>
  </w:style>
  <w:style w:type="paragraph" w:styleId="1079">
    <w:name w:val="正文缩进1"/>
    <w:basedOn w:val="957"/>
    <w:next w:val="1079"/>
    <w:link w:val="957"/>
    <w:qFormat/>
    <w:pPr>
      <w:ind w:firstLine="420"/>
    </w:pPr>
    <w:rPr>
      <w:sz w:val="20"/>
      <w:lang w:val="en-US" w:eastAsia="en-US"/>
    </w:rPr>
  </w:style>
  <w:style w:type="paragraph" w:styleId="1080">
    <w:name w:val="正文文本111"/>
    <w:basedOn w:val="957"/>
    <w:next w:val="957"/>
    <w:link w:val="957"/>
    <w:qFormat/>
    <w:rPr>
      <w:rFonts w:ascii="楷体_GB2312" w:hAnsi="Arial" w:eastAsia="楷体_GB2312"/>
      <w:sz w:val="28"/>
      <w:szCs w:val="28"/>
    </w:rPr>
  </w:style>
  <w:style w:type="paragraph" w:styleId="1081">
    <w:name w:val="样式 宋体 左 行距: 1.5 倍行距"/>
    <w:basedOn w:val="957"/>
    <w:next w:val="1081"/>
    <w:link w:val="957"/>
    <w:qFormat/>
    <w:pPr>
      <w:jc w:val="left"/>
      <w:spacing w:line="360" w:lineRule="auto"/>
    </w:pPr>
    <w:rPr>
      <w:rFonts w:ascii="宋体" w:hAnsi="宋体" w:eastAsia="宋体" w:cs="宋体"/>
      <w:szCs w:val="20"/>
    </w:rPr>
  </w:style>
  <w:style w:type="paragraph" w:styleId="1082">
    <w:name w:val="正文1_1"/>
    <w:basedOn w:val="1083"/>
    <w:next w:val="1082"/>
    <w:link w:val="957"/>
    <w:qFormat/>
    <w:pPr>
      <w:ind w:firstLine="425"/>
      <w:jc w:val="left"/>
      <w:spacing w:line="360" w:lineRule="auto"/>
      <w:widowControl/>
    </w:pPr>
    <w:rPr>
      <w:rFonts w:ascii="宋体" w:hAnsi="宋体" w:cs="宋体"/>
      <w:color w:val="ff0000"/>
      <w:sz w:val="24"/>
      <w:szCs w:val="24"/>
    </w:rPr>
  </w:style>
  <w:style w:type="paragraph" w:styleId="1083">
    <w:name w:val="正文_3"/>
    <w:next w:val="1082"/>
    <w:link w:val="957"/>
    <w:qFormat/>
    <w:pPr>
      <w:jc w:val="both"/>
      <w:widowControl w:val="off"/>
    </w:pPr>
    <w:rPr>
      <w:rFonts w:ascii="Calibri" w:hAnsi="Calibri"/>
      <w:sz w:val="21"/>
      <w:szCs w:val="22"/>
      <w:lang w:val="en-US" w:eastAsia="zh-CN" w:bidi="ar-SA"/>
    </w:rPr>
  </w:style>
  <w:style w:type="paragraph" w:styleId="1084">
    <w:name w:val="ds-markdown-paragraph"/>
    <w:basedOn w:val="957"/>
    <w:next w:val="1084"/>
    <w:link w:val="957"/>
    <w:pPr>
      <w:jc w:val="left"/>
      <w:spacing w:before="100" w:beforeAutospacing="1" w:after="100" w:afterAutospacing="1"/>
      <w:widowControl/>
    </w:pPr>
    <w:rPr>
      <w:rFonts w:ascii="宋体" w:hAnsi="宋体" w:cs="宋体"/>
      <w:sz w:val="24"/>
      <w:szCs w:val="24"/>
    </w:rPr>
  </w:style>
  <w:style w:type="paragraph" w:styleId="1085">
    <w:name w:val="*正文"/>
    <w:basedOn w:val="957"/>
    <w:next w:val="1085"/>
    <w:link w:val="957"/>
    <w:qFormat/>
    <w:rPr>
      <w:rFonts w:ascii="宋体" w:hAnsi="宋体"/>
      <w:sz w:val="24"/>
      <w:lang w:val="zh-CN"/>
    </w:rPr>
  </w:style>
  <w:style w:type="paragraph" w:styleId="1086">
    <w:name w:val="List Paragraph1"/>
    <w:next w:val="1086"/>
    <w:link w:val="957"/>
    <w:qFormat/>
    <w:pPr>
      <w:ind w:firstLine="420"/>
    </w:pPr>
    <w:rPr>
      <w:rFonts w:ascii="Calibri" w:hAnsi="Calibri"/>
      <w:sz w:val="34"/>
      <w:szCs w:val="22"/>
      <w:lang w:val="en-US" w:eastAsia="zh-CN" w:bidi="ar-SA"/>
    </w:rPr>
  </w:style>
  <w:style w:type="paragraph" w:styleId="1087">
    <w:name w:val="正文首行缩进 21"/>
    <w:basedOn w:val="1088"/>
    <w:next w:val="957"/>
    <w:link w:val="957"/>
    <w:qFormat/>
    <w:pPr>
      <w:ind w:left="0" w:firstLine="420"/>
      <w:spacing w:after="0" w:line="360" w:lineRule="auto"/>
    </w:pPr>
    <w:rPr>
      <w:rFonts w:ascii="宋体" w:hAnsi="宋体"/>
      <w:szCs w:val="20"/>
    </w:rPr>
  </w:style>
  <w:style w:type="paragraph" w:styleId="1088">
    <w:name w:val="正文文本缩进1"/>
    <w:basedOn w:val="957"/>
    <w:next w:val="1089"/>
    <w:link w:val="957"/>
    <w:unhideWhenUsed/>
    <w:qFormat/>
    <w:pPr>
      <w:ind w:left="420"/>
      <w:spacing w:after="120"/>
    </w:pPr>
  </w:style>
  <w:style w:type="paragraph" w:styleId="1089">
    <w:name w:val="寄信人地址1"/>
    <w:basedOn w:val="957"/>
    <w:next w:val="1089"/>
    <w:link w:val="957"/>
    <w:uiPriority w:val="99"/>
    <w:unhideWhenUsed/>
    <w:qFormat/>
    <w:rPr>
      <w:rFonts w:ascii="Arial" w:hAnsi="Arial" w:eastAsia="楷体_GB2312"/>
      <w:sz w:val="26"/>
      <w:szCs w:val="20"/>
    </w:rPr>
  </w:style>
  <w:style w:type="paragraph" w:styleId="1090">
    <w:name w:val="p15 paragraphindent"/>
    <w:basedOn w:val="957"/>
    <w:next w:val="1090"/>
    <w:link w:val="957"/>
    <w:qFormat/>
    <w:pPr>
      <w:jc w:val="left"/>
      <w:spacing w:before="100" w:beforeAutospacing="1" w:after="100" w:afterAutospacing="1"/>
      <w:widowControl/>
    </w:pPr>
    <w:rPr>
      <w:rFonts w:ascii="宋体" w:hAnsi="宋体" w:cs="宋体"/>
      <w:sz w:val="24"/>
      <w:szCs w:val="24"/>
    </w:rPr>
  </w:style>
  <w:style w:type="character" w:styleId="1091">
    <w:name w:val="NormalCharacter1"/>
    <w:next w:val="1091"/>
    <w:link w:val="957"/>
    <w:qFormat/>
  </w:style>
  <w:style w:type="paragraph" w:styleId="1092">
    <w:name w:val="Table Text"/>
    <w:basedOn w:val="957"/>
    <w:next w:val="1092"/>
    <w:link w:val="957"/>
    <w:semiHidden/>
    <w:qFormat/>
    <w:rPr>
      <w:rFonts w:ascii="微软雅黑" w:hAnsi="微软雅黑" w:eastAsia="微软雅黑" w:cs="微软雅黑"/>
      <w:sz w:val="20"/>
      <w:szCs w:val="20"/>
      <w:lang w:val="en-US" w:eastAsia="en-US" w:bidi="ar-SA"/>
    </w:r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戎丽云</cp:lastModifiedBy>
  <cp:revision>7</cp:revision>
  <dcterms:created xsi:type="dcterms:W3CDTF">2023-03-16T02:13:00Z</dcterms:created>
  <dcterms:modified xsi:type="dcterms:W3CDTF">2026-09-23T08:31:15Z</dcterms:modified>
</cp:coreProperties>
</file>