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126039">
      <w:pPr>
        <w:jc w:val="center"/>
        <w:rPr>
          <w:b/>
          <w:color w:val="auto"/>
          <w:sz w:val="84"/>
        </w:rPr>
      </w:pPr>
    </w:p>
    <w:p w14:paraId="2F94A1AF">
      <w:pPr>
        <w:jc w:val="center"/>
        <w:rPr>
          <w:color w:val="auto"/>
          <w:sz w:val="44"/>
          <w:szCs w:val="44"/>
        </w:rPr>
      </w:pPr>
      <w:r>
        <w:rPr>
          <w:rFonts w:hint="eastAsia"/>
          <w:b/>
          <w:color w:val="auto"/>
          <w:sz w:val="84"/>
        </w:rPr>
        <w:t>招标文件</w:t>
      </w:r>
    </w:p>
    <w:p w14:paraId="6C270D90">
      <w:pPr>
        <w:rPr>
          <w:rFonts w:eastAsia="黑体"/>
          <w:b/>
          <w:color w:val="auto"/>
          <w:sz w:val="32"/>
        </w:rPr>
      </w:pPr>
    </w:p>
    <w:p w14:paraId="044BD2B2">
      <w:pPr>
        <w:rPr>
          <w:rFonts w:eastAsia="黑体"/>
          <w:b/>
          <w:color w:val="auto"/>
          <w:sz w:val="32"/>
        </w:rPr>
      </w:pPr>
    </w:p>
    <w:p w14:paraId="74C4D041">
      <w:pPr>
        <w:jc w:val="center"/>
        <w:rPr>
          <w:rFonts w:eastAsia="黑体"/>
          <w:b/>
          <w:color w:val="auto"/>
          <w:sz w:val="32"/>
        </w:rPr>
      </w:pPr>
    </w:p>
    <w:p w14:paraId="0F3FF40E">
      <w:pPr>
        <w:jc w:val="center"/>
        <w:rPr>
          <w:rFonts w:ascii="宋体"/>
          <w:b/>
          <w:bCs/>
          <w:color w:val="auto"/>
          <w:sz w:val="36"/>
          <w:szCs w:val="36"/>
        </w:rPr>
      </w:pPr>
    </w:p>
    <w:p w14:paraId="736D840E">
      <w:pPr>
        <w:rPr>
          <w:rFonts w:eastAsia="黑体"/>
          <w:b/>
          <w:color w:val="auto"/>
          <w:sz w:val="32"/>
        </w:rPr>
      </w:pPr>
    </w:p>
    <w:p w14:paraId="0E548407">
      <w:pPr>
        <w:rPr>
          <w:rFonts w:ascii="宋体"/>
          <w:b/>
          <w:color w:val="auto"/>
          <w:sz w:val="36"/>
        </w:rPr>
      </w:pPr>
    </w:p>
    <w:p w14:paraId="7D0A8459">
      <w:pPr>
        <w:rPr>
          <w:rFonts w:ascii="宋体"/>
          <w:b/>
          <w:color w:val="auto"/>
          <w:sz w:val="36"/>
        </w:rPr>
      </w:pPr>
    </w:p>
    <w:p w14:paraId="48CF967F">
      <w:pPr>
        <w:rPr>
          <w:rFonts w:ascii="宋体"/>
          <w:b/>
          <w:color w:val="auto"/>
          <w:sz w:val="36"/>
        </w:rPr>
      </w:pPr>
    </w:p>
    <w:p w14:paraId="0955630A">
      <w:pPr>
        <w:rPr>
          <w:rFonts w:ascii="宋体"/>
          <w:b/>
          <w:color w:val="auto"/>
          <w:sz w:val="36"/>
        </w:rPr>
      </w:pPr>
    </w:p>
    <w:p w14:paraId="0FCC9843">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720" w:lineRule="auto"/>
        <w:ind w:firstLine="1285" w:firstLineChars="400"/>
        <w:jc w:val="both"/>
        <w:textAlignment w:val="auto"/>
        <w:rPr>
          <w:rFonts w:hint="eastAsia" w:asciiTheme="minorEastAsia" w:hAnsiTheme="minorEastAsia" w:eastAsiaTheme="minorEastAsia"/>
          <w:b/>
          <w:sz w:val="32"/>
          <w:szCs w:val="32"/>
          <w:lang w:eastAsia="zh-CN"/>
        </w:rPr>
      </w:pPr>
      <w:bookmarkStart w:id="0" w:name="OLE_LINK2"/>
      <w:r>
        <w:rPr>
          <w:rFonts w:ascii="Arial" w:hAnsi="Arial" w:cs="Arial"/>
          <w:b/>
          <w:sz w:val="32"/>
          <w:szCs w:val="32"/>
        </w:rPr>
        <w:t>项目编号</w:t>
      </w:r>
      <w:r>
        <w:rPr>
          <w:rFonts w:hint="eastAsia" w:ascii="宋体" w:hAnsi="Times New Roman" w:eastAsia="宋体" w:cs="Times New Roman"/>
          <w:b/>
          <w:color w:val="auto"/>
          <w:sz w:val="36"/>
          <w:szCs w:val="22"/>
          <w:lang w:val="en-US" w:eastAsia="zh-CN" w:bidi="ar-SA"/>
        </w:rPr>
        <w:t>：JSZC-320922-YCJD-G2026-0006</w:t>
      </w:r>
    </w:p>
    <w:p w14:paraId="20DC381A">
      <w:pPr>
        <w:keepNext w:val="0"/>
        <w:keepLines w:val="0"/>
        <w:pageBreakBefore w:val="0"/>
        <w:widowControl w:val="0"/>
        <w:kinsoku/>
        <w:wordWrap/>
        <w:overflowPunct/>
        <w:topLinePunct w:val="0"/>
        <w:autoSpaceDE/>
        <w:autoSpaceDN/>
        <w:bidi w:val="0"/>
        <w:adjustRightInd/>
        <w:snapToGrid/>
        <w:spacing w:line="720" w:lineRule="auto"/>
        <w:jc w:val="center"/>
        <w:textAlignment w:val="auto"/>
        <w:rPr>
          <w:rFonts w:hint="default" w:ascii="宋体"/>
          <w:b/>
          <w:color w:val="auto"/>
          <w:sz w:val="32"/>
          <w:szCs w:val="32"/>
          <w:lang w:val="en-US"/>
        </w:rPr>
      </w:pPr>
      <w:r>
        <w:rPr>
          <w:rFonts w:hint="eastAsia" w:ascii="宋体"/>
          <w:b/>
          <w:color w:val="auto"/>
          <w:sz w:val="36"/>
          <w:lang w:val="en-US" w:eastAsia="zh-CN"/>
        </w:rPr>
        <w:t xml:space="preserve">   </w:t>
      </w:r>
      <w:r>
        <w:rPr>
          <w:rFonts w:hint="eastAsia" w:ascii="宋体"/>
          <w:b/>
          <w:color w:val="auto"/>
          <w:sz w:val="32"/>
          <w:szCs w:val="32"/>
          <w:lang w:val="en-US" w:eastAsia="zh-CN"/>
        </w:rPr>
        <w:t>项目</w:t>
      </w:r>
      <w:r>
        <w:rPr>
          <w:rFonts w:hint="eastAsia" w:ascii="宋体"/>
          <w:b/>
          <w:color w:val="auto"/>
          <w:sz w:val="32"/>
          <w:szCs w:val="32"/>
        </w:rPr>
        <w:t>名称：</w:t>
      </w:r>
      <w:bookmarkEnd w:id="0"/>
      <w:r>
        <w:rPr>
          <w:rFonts w:hint="eastAsia" w:ascii="宋体"/>
          <w:b/>
          <w:color w:val="auto"/>
          <w:sz w:val="32"/>
          <w:szCs w:val="32"/>
          <w:lang w:eastAsia="zh-CN"/>
        </w:rPr>
        <w:t>滨海县人民医院医共体心电图机等医疗设备采购项目</w:t>
      </w:r>
    </w:p>
    <w:p w14:paraId="29438AAD">
      <w:pPr>
        <w:pStyle w:val="4"/>
        <w:ind w:firstLine="118"/>
        <w:rPr>
          <w:color w:val="auto"/>
        </w:rPr>
      </w:pPr>
    </w:p>
    <w:p w14:paraId="03E45161">
      <w:pPr>
        <w:rPr>
          <w:rFonts w:ascii="宋体"/>
          <w:b/>
          <w:color w:val="auto"/>
          <w:sz w:val="32"/>
        </w:rPr>
      </w:pPr>
    </w:p>
    <w:p w14:paraId="5C90E55E">
      <w:pPr>
        <w:spacing w:line="480" w:lineRule="auto"/>
        <w:jc w:val="both"/>
        <w:rPr>
          <w:rFonts w:hint="eastAsia" w:ascii="宋体"/>
          <w:b/>
          <w:color w:val="auto"/>
          <w:sz w:val="36"/>
        </w:rPr>
      </w:pPr>
    </w:p>
    <w:p w14:paraId="717A029A">
      <w:pPr>
        <w:spacing w:line="480" w:lineRule="auto"/>
        <w:jc w:val="center"/>
        <w:rPr>
          <w:rFonts w:ascii="宋体"/>
          <w:b/>
          <w:color w:val="auto"/>
          <w:sz w:val="36"/>
        </w:rPr>
      </w:pPr>
      <w:r>
        <w:rPr>
          <w:rFonts w:hint="eastAsia" w:ascii="宋体"/>
          <w:b/>
          <w:color w:val="auto"/>
          <w:sz w:val="36"/>
          <w:lang w:val="en-US" w:eastAsia="zh-CN"/>
        </w:rPr>
        <w:t>采购单位：</w:t>
      </w:r>
      <w:r>
        <w:rPr>
          <w:rFonts w:hint="eastAsia" w:ascii="宋体"/>
          <w:b/>
          <w:color w:val="auto"/>
          <w:sz w:val="36"/>
        </w:rPr>
        <w:t>滨海县人民医院</w:t>
      </w:r>
    </w:p>
    <w:p w14:paraId="556EA8B4">
      <w:pPr>
        <w:spacing w:line="480" w:lineRule="auto"/>
        <w:jc w:val="center"/>
        <w:rPr>
          <w:rFonts w:ascii="宋体"/>
          <w:b/>
          <w:color w:val="auto"/>
          <w:sz w:val="36"/>
        </w:rPr>
      </w:pPr>
      <w:r>
        <w:rPr>
          <w:rFonts w:hint="eastAsia" w:ascii="宋体"/>
          <w:b/>
          <w:color w:val="auto"/>
          <w:sz w:val="36"/>
          <w:highlight w:val="none"/>
        </w:rPr>
        <w:t>202</w:t>
      </w:r>
      <w:r>
        <w:rPr>
          <w:rFonts w:hint="eastAsia" w:ascii="宋体"/>
          <w:b/>
          <w:color w:val="auto"/>
          <w:sz w:val="36"/>
          <w:highlight w:val="none"/>
          <w:lang w:val="en-US" w:eastAsia="zh-CN"/>
        </w:rPr>
        <w:t>6</w:t>
      </w:r>
      <w:r>
        <w:rPr>
          <w:rFonts w:hint="eastAsia" w:ascii="宋体"/>
          <w:b/>
          <w:color w:val="auto"/>
          <w:sz w:val="36"/>
          <w:highlight w:val="none"/>
        </w:rPr>
        <w:t>年</w:t>
      </w:r>
      <w:r>
        <w:rPr>
          <w:rFonts w:hint="eastAsia" w:ascii="宋体"/>
          <w:b/>
          <w:color w:val="auto"/>
          <w:sz w:val="36"/>
          <w:highlight w:val="none"/>
          <w:lang w:val="en-US" w:eastAsia="zh-CN"/>
        </w:rPr>
        <w:t>10</w:t>
      </w:r>
      <w:r>
        <w:rPr>
          <w:rFonts w:hint="eastAsia" w:ascii="宋体"/>
          <w:b/>
          <w:color w:val="auto"/>
          <w:sz w:val="36"/>
          <w:highlight w:val="none"/>
        </w:rPr>
        <w:t>月</w:t>
      </w:r>
    </w:p>
    <w:p w14:paraId="739D2312">
      <w:pPr>
        <w:jc w:val="center"/>
        <w:rPr>
          <w:rFonts w:ascii="黑体" w:hAnsi="Arial" w:eastAsia="黑体"/>
          <w:b/>
          <w:color w:val="auto"/>
          <w:sz w:val="36"/>
          <w:szCs w:val="36"/>
        </w:rPr>
        <w:sectPr>
          <w:type w:val="continuous"/>
          <w:pgSz w:w="11907" w:h="16840"/>
          <w:pgMar w:top="1417" w:right="1134" w:bottom="1417" w:left="1134" w:header="624" w:footer="992" w:gutter="0"/>
          <w:pgNumType w:start="1"/>
          <w:cols w:space="1701" w:num="1"/>
          <w:docGrid w:linePitch="360" w:charSpace="0"/>
        </w:sectPr>
      </w:pPr>
    </w:p>
    <w:p w14:paraId="0017CD2B">
      <w:pPr>
        <w:jc w:val="center"/>
        <w:rPr>
          <w:rFonts w:ascii="黑体" w:hAnsi="Arial" w:eastAsia="黑体"/>
          <w:b/>
          <w:color w:val="auto"/>
          <w:sz w:val="44"/>
        </w:rPr>
      </w:pPr>
      <w:r>
        <w:rPr>
          <w:rFonts w:hint="eastAsia" w:ascii="黑体" w:hAnsi="Arial" w:eastAsia="黑体"/>
          <w:b/>
          <w:color w:val="auto"/>
          <w:sz w:val="44"/>
        </w:rPr>
        <w:t>总目录</w:t>
      </w:r>
    </w:p>
    <w:p w14:paraId="16CB1D83">
      <w:pPr>
        <w:spacing w:line="700" w:lineRule="exact"/>
        <w:outlineLvl w:val="0"/>
        <w:rPr>
          <w:rFonts w:ascii="黑体" w:hAnsi="Arial" w:eastAsia="黑体"/>
          <w:color w:val="auto"/>
          <w:sz w:val="36"/>
        </w:rPr>
      </w:pPr>
    </w:p>
    <w:p w14:paraId="6264E75E">
      <w:pPr>
        <w:spacing w:line="480" w:lineRule="auto"/>
        <w:outlineLvl w:val="0"/>
        <w:rPr>
          <w:rFonts w:ascii="Arial" w:hAnsi="Arial" w:eastAsia="黑体"/>
          <w:color w:val="auto"/>
          <w:sz w:val="36"/>
        </w:rPr>
      </w:pPr>
      <w:r>
        <w:rPr>
          <w:rFonts w:hint="eastAsia" w:ascii="黑体" w:hAnsi="Arial" w:eastAsia="黑体"/>
          <w:color w:val="auto"/>
          <w:sz w:val="36"/>
        </w:rPr>
        <w:t xml:space="preserve">     第一章</w:t>
      </w:r>
      <w:r>
        <w:rPr>
          <w:rFonts w:hint="eastAsia" w:ascii="黑体" w:hAnsi="Arial" w:eastAsia="黑体"/>
          <w:color w:val="auto"/>
          <w:sz w:val="36"/>
          <w:lang w:val="en-US" w:eastAsia="zh-CN"/>
        </w:rPr>
        <w:t xml:space="preserve"> </w:t>
      </w:r>
      <w:r>
        <w:rPr>
          <w:rFonts w:hint="eastAsia" w:ascii="黑体" w:hAnsi="Arial" w:eastAsia="黑体"/>
          <w:color w:val="auto"/>
          <w:sz w:val="36"/>
        </w:rPr>
        <w:t>招标公告</w:t>
      </w:r>
    </w:p>
    <w:p w14:paraId="54390C46">
      <w:pPr>
        <w:spacing w:line="480" w:lineRule="auto"/>
        <w:outlineLvl w:val="0"/>
        <w:rPr>
          <w:rFonts w:ascii="黑体" w:hAnsi="Arial" w:eastAsia="黑体"/>
          <w:color w:val="auto"/>
          <w:sz w:val="36"/>
        </w:rPr>
      </w:pPr>
      <w:r>
        <w:rPr>
          <w:rFonts w:hint="eastAsia" w:ascii="黑体" w:hAnsi="Arial" w:eastAsia="黑体"/>
          <w:color w:val="auto"/>
          <w:sz w:val="36"/>
        </w:rPr>
        <w:t xml:space="preserve">     第二章</w:t>
      </w:r>
      <w:r>
        <w:rPr>
          <w:rFonts w:hint="eastAsia" w:ascii="黑体" w:hAnsi="Arial" w:eastAsia="黑体"/>
          <w:color w:val="auto"/>
          <w:sz w:val="36"/>
          <w:lang w:val="en-US" w:eastAsia="zh-CN"/>
        </w:rPr>
        <w:t xml:space="preserve"> </w:t>
      </w:r>
      <w:r>
        <w:rPr>
          <w:rFonts w:hint="eastAsia" w:ascii="黑体" w:hAnsi="Arial" w:eastAsia="黑体"/>
          <w:color w:val="auto"/>
          <w:sz w:val="36"/>
        </w:rPr>
        <w:t>供应商须知</w:t>
      </w:r>
    </w:p>
    <w:p w14:paraId="1B48DD3F">
      <w:pPr>
        <w:spacing w:line="480" w:lineRule="auto"/>
        <w:outlineLvl w:val="0"/>
        <w:rPr>
          <w:rFonts w:ascii="黑体" w:hAnsi="Showcard Gothic" w:eastAsia="黑体"/>
          <w:color w:val="auto"/>
          <w:sz w:val="36"/>
        </w:rPr>
      </w:pPr>
      <w:r>
        <w:rPr>
          <w:rFonts w:hint="eastAsia" w:ascii="黑体" w:hAnsi="Arial" w:eastAsia="黑体"/>
          <w:color w:val="auto"/>
          <w:sz w:val="36"/>
        </w:rPr>
        <w:t xml:space="preserve">     第三章</w:t>
      </w:r>
      <w:r>
        <w:rPr>
          <w:rFonts w:hint="eastAsia" w:ascii="黑体" w:hAnsi="Arial" w:eastAsia="黑体"/>
          <w:color w:val="auto"/>
          <w:sz w:val="36"/>
          <w:lang w:val="en-US" w:eastAsia="zh-CN"/>
        </w:rPr>
        <w:t xml:space="preserve"> </w:t>
      </w:r>
      <w:r>
        <w:rPr>
          <w:rFonts w:hint="eastAsia" w:ascii="黑体" w:hAnsi="宋体" w:eastAsia="黑体"/>
          <w:color w:val="auto"/>
          <w:sz w:val="36"/>
        </w:rPr>
        <w:t>合同文本</w:t>
      </w:r>
    </w:p>
    <w:p w14:paraId="598615E4">
      <w:pPr>
        <w:spacing w:line="480" w:lineRule="auto"/>
        <w:outlineLvl w:val="0"/>
        <w:rPr>
          <w:rFonts w:ascii="黑体" w:hAnsi="Arial" w:eastAsia="黑体"/>
          <w:color w:val="auto"/>
          <w:sz w:val="36"/>
        </w:rPr>
      </w:pPr>
      <w:r>
        <w:rPr>
          <w:rFonts w:hint="eastAsia" w:ascii="黑体" w:hAnsi="Arial" w:eastAsia="黑体"/>
          <w:color w:val="auto"/>
          <w:sz w:val="36"/>
        </w:rPr>
        <w:t xml:space="preserve">     第四章</w:t>
      </w:r>
      <w:r>
        <w:rPr>
          <w:rFonts w:hint="eastAsia" w:ascii="黑体" w:hAnsi="Arial" w:eastAsia="黑体"/>
          <w:color w:val="auto"/>
          <w:sz w:val="36"/>
          <w:lang w:val="en-US" w:eastAsia="zh-CN"/>
        </w:rPr>
        <w:t xml:space="preserve"> </w:t>
      </w:r>
      <w:r>
        <w:rPr>
          <w:rFonts w:hint="eastAsia" w:ascii="黑体" w:hAnsi="宋体" w:eastAsia="黑体"/>
          <w:color w:val="auto"/>
          <w:sz w:val="36"/>
        </w:rPr>
        <w:t>采购需求</w:t>
      </w:r>
    </w:p>
    <w:p w14:paraId="0EFE0ADB">
      <w:pPr>
        <w:spacing w:line="480" w:lineRule="auto"/>
        <w:outlineLvl w:val="0"/>
        <w:rPr>
          <w:rFonts w:ascii="??_GB2312" w:hAnsi="Arial" w:eastAsia="黑体"/>
          <w:color w:val="auto"/>
          <w:sz w:val="36"/>
        </w:rPr>
      </w:pPr>
      <w:r>
        <w:rPr>
          <w:rFonts w:hint="eastAsia" w:ascii="黑体" w:hAnsi="Arial" w:eastAsia="黑体"/>
          <w:color w:val="auto"/>
          <w:sz w:val="36"/>
        </w:rPr>
        <w:t xml:space="preserve">     第五章</w:t>
      </w:r>
      <w:r>
        <w:rPr>
          <w:rFonts w:hint="eastAsia" w:ascii="黑体" w:hAnsi="Arial" w:eastAsia="黑体"/>
          <w:color w:val="auto"/>
          <w:sz w:val="36"/>
          <w:lang w:val="en-US" w:eastAsia="zh-CN"/>
        </w:rPr>
        <w:t xml:space="preserve"> </w:t>
      </w:r>
      <w:r>
        <w:rPr>
          <w:rFonts w:hint="eastAsia" w:ascii="黑体" w:hAnsi="宋体" w:eastAsia="黑体"/>
          <w:bCs/>
          <w:color w:val="auto"/>
          <w:sz w:val="36"/>
          <w:szCs w:val="36"/>
        </w:rPr>
        <w:t>评标方法与评标标准</w:t>
      </w:r>
    </w:p>
    <w:p w14:paraId="7930754F">
      <w:pPr>
        <w:spacing w:line="480" w:lineRule="auto"/>
        <w:ind w:firstLine="900" w:firstLineChars="250"/>
        <w:jc w:val="left"/>
        <w:outlineLvl w:val="0"/>
        <w:rPr>
          <w:color w:val="auto"/>
        </w:rPr>
      </w:pPr>
      <w:r>
        <w:rPr>
          <w:rFonts w:hint="eastAsia" w:ascii="黑体" w:hAnsi="Arial" w:eastAsia="黑体"/>
          <w:color w:val="auto"/>
          <w:sz w:val="36"/>
        </w:rPr>
        <w:t>第六章</w:t>
      </w:r>
      <w:r>
        <w:rPr>
          <w:rFonts w:hint="eastAsia" w:ascii="黑体" w:hAnsi="宋体" w:eastAsia="黑体"/>
          <w:color w:val="auto"/>
          <w:sz w:val="36"/>
        </w:rPr>
        <w:t xml:space="preserve"> 投标文件格式</w:t>
      </w:r>
    </w:p>
    <w:p w14:paraId="7439FF66">
      <w:pPr>
        <w:spacing w:line="360" w:lineRule="auto"/>
        <w:jc w:val="center"/>
        <w:outlineLvl w:val="0"/>
        <w:rPr>
          <w:color w:val="auto"/>
        </w:rPr>
      </w:pPr>
      <w:r>
        <w:rPr>
          <w:color w:val="auto"/>
        </w:rPr>
        <w:br w:type="page" w:clear="all"/>
      </w:r>
      <w:r>
        <w:rPr>
          <w:rFonts w:hint="eastAsia" w:ascii="黑体" w:hAnsi="Arial" w:eastAsia="黑体"/>
          <w:color w:val="auto"/>
          <w:sz w:val="44"/>
          <w:szCs w:val="44"/>
        </w:rPr>
        <w:t>第一章  招标公告</w:t>
      </w:r>
    </w:p>
    <w:tbl>
      <w:tblPr>
        <w:tblStyle w:val="4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628"/>
      </w:tblGrid>
      <w:tr w14:paraId="213D8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628" w:type="dxa"/>
          </w:tcPr>
          <w:p w14:paraId="678108BB">
            <w:pPr>
              <w:pStyle w:val="198"/>
              <w:spacing w:before="0" w:after="0"/>
              <w:jc w:val="both"/>
              <w:rPr>
                <w:rFonts w:ascii="Times New Roman" w:hAnsi="Times New Roman"/>
                <w:color w:val="auto"/>
              </w:rPr>
            </w:pPr>
            <w:r>
              <w:rPr>
                <w:rFonts w:ascii="Times New Roman" w:hAnsi="Times New Roman"/>
                <w:color w:val="auto"/>
              </w:rPr>
              <w:t>项目概况</w:t>
            </w:r>
          </w:p>
          <w:p w14:paraId="438C5F2C">
            <w:pPr>
              <w:pStyle w:val="198"/>
              <w:spacing w:before="0" w:after="0"/>
              <w:jc w:val="both"/>
              <w:rPr>
                <w:rFonts w:ascii="Times New Roman" w:hAnsi="Times New Roman"/>
                <w:color w:val="auto"/>
                <w:u w:val="single"/>
              </w:rPr>
            </w:pPr>
            <w:r>
              <w:rPr>
                <w:rFonts w:hint="eastAsia" w:ascii="Times New Roman" w:hAnsi="Times New Roman"/>
                <w:color w:val="auto"/>
                <w:u w:val="single"/>
                <w:lang w:eastAsia="zh-CN"/>
              </w:rPr>
              <w:t>滨海县人民医院医共体心电图机等医疗设备采购项目</w:t>
            </w:r>
            <w:r>
              <w:rPr>
                <w:rFonts w:ascii="Times New Roman" w:hAnsi="Times New Roman"/>
                <w:color w:val="auto"/>
              </w:rPr>
              <w:t>的</w:t>
            </w:r>
            <w:r>
              <w:rPr>
                <w:rFonts w:hint="eastAsia" w:ascii="Times New Roman" w:hAnsi="Times New Roman"/>
                <w:color w:val="auto"/>
              </w:rPr>
              <w:t>潜在</w:t>
            </w:r>
            <w:r>
              <w:rPr>
                <w:rFonts w:hint="eastAsia" w:ascii="宋体" w:hAnsi="宋体"/>
                <w:color w:val="auto"/>
                <w:sz w:val="24"/>
                <w:szCs w:val="24"/>
              </w:rPr>
              <w:t>供应商</w:t>
            </w:r>
            <w:r>
              <w:rPr>
                <w:rFonts w:hint="eastAsia" w:ascii="Times New Roman" w:hAnsi="Times New Roman"/>
                <w:color w:val="auto"/>
              </w:rPr>
              <w:t>可在“苏采云”系统内免费下载（投标人必须在苏采云系统中获取采购文件，方能参与政府采购项目），</w:t>
            </w:r>
            <w:r>
              <w:rPr>
                <w:rFonts w:ascii="Times New Roman" w:hAnsi="Times New Roman"/>
                <w:color w:val="auto"/>
              </w:rPr>
              <w:t>并于</w:t>
            </w:r>
            <w:r>
              <w:rPr>
                <w:rFonts w:ascii="宋体" w:hAnsi="宋体"/>
                <w:b w:val="0"/>
                <w:bCs w:val="0"/>
                <w:color w:val="auto"/>
                <w:highlight w:val="none"/>
                <w:u w:val="single"/>
              </w:rPr>
              <w:t>202</w:t>
            </w:r>
            <w:r>
              <w:rPr>
                <w:rFonts w:hint="eastAsia" w:ascii="宋体" w:hAnsi="宋体"/>
                <w:b w:val="0"/>
                <w:bCs w:val="0"/>
                <w:color w:val="auto"/>
                <w:highlight w:val="none"/>
                <w:u w:val="single"/>
                <w:lang w:val="en-US" w:eastAsia="zh-CN"/>
              </w:rPr>
              <w:t>6</w:t>
            </w:r>
            <w:r>
              <w:rPr>
                <w:rFonts w:ascii="宋体" w:hAnsi="宋体"/>
                <w:b w:val="0"/>
                <w:bCs w:val="0"/>
                <w:color w:val="auto"/>
                <w:highlight w:val="none"/>
                <w:u w:val="single"/>
              </w:rPr>
              <w:t>年</w:t>
            </w:r>
            <w:r>
              <w:rPr>
                <w:rFonts w:hint="eastAsia" w:ascii="宋体" w:hAnsi="宋体"/>
                <w:b w:val="0"/>
                <w:bCs w:val="0"/>
                <w:color w:val="auto"/>
                <w:highlight w:val="none"/>
                <w:u w:val="single"/>
                <w:lang w:val="en-US" w:eastAsia="zh-CN"/>
              </w:rPr>
              <w:t>11</w:t>
            </w:r>
            <w:r>
              <w:rPr>
                <w:rFonts w:ascii="宋体" w:hAnsi="宋体"/>
                <w:b w:val="0"/>
                <w:bCs w:val="0"/>
                <w:color w:val="auto"/>
                <w:highlight w:val="none"/>
                <w:u w:val="single"/>
              </w:rPr>
              <w:t>月</w:t>
            </w:r>
            <w:r>
              <w:rPr>
                <w:rFonts w:hint="eastAsia" w:ascii="宋体" w:hAnsi="宋体"/>
                <w:b w:val="0"/>
                <w:bCs w:val="0"/>
                <w:color w:val="auto"/>
                <w:highlight w:val="none"/>
                <w:u w:val="single"/>
                <w:lang w:val="en-US" w:eastAsia="zh-CN"/>
              </w:rPr>
              <w:t>10</w:t>
            </w:r>
            <w:r>
              <w:rPr>
                <w:rFonts w:ascii="宋体" w:hAnsi="宋体"/>
                <w:b w:val="0"/>
                <w:bCs w:val="0"/>
                <w:color w:val="auto"/>
                <w:highlight w:val="none"/>
                <w:u w:val="single"/>
              </w:rPr>
              <w:t>日</w:t>
            </w:r>
            <w:r>
              <w:rPr>
                <w:rFonts w:hint="eastAsia" w:ascii="宋体" w:hAnsi="宋体"/>
                <w:b w:val="0"/>
                <w:bCs w:val="0"/>
                <w:color w:val="auto"/>
                <w:highlight w:val="none"/>
                <w:u w:val="single"/>
                <w:lang w:val="en-US" w:eastAsia="zh-CN"/>
              </w:rPr>
              <w:t>09</w:t>
            </w:r>
            <w:r>
              <w:rPr>
                <w:rFonts w:ascii="宋体" w:hAnsi="宋体"/>
                <w:b w:val="0"/>
                <w:bCs w:val="0"/>
                <w:color w:val="auto"/>
                <w:highlight w:val="none"/>
                <w:u w:val="single"/>
              </w:rPr>
              <w:t>时00分</w:t>
            </w:r>
            <w:r>
              <w:rPr>
                <w:rFonts w:hint="eastAsia" w:ascii="宋体" w:hAnsi="宋体" w:cs="宋体"/>
                <w:b w:val="0"/>
                <w:bCs w:val="0"/>
                <w:color w:val="auto"/>
                <w:highlight w:val="none"/>
                <w:u w:val="single"/>
              </w:rPr>
              <w:t>00秒</w:t>
            </w:r>
            <w:r>
              <w:rPr>
                <w:rFonts w:ascii="Times New Roman" w:hAnsi="Times New Roman"/>
                <w:b w:val="0"/>
                <w:bCs w:val="0"/>
                <w:color w:val="auto"/>
              </w:rPr>
              <w:t>（</w:t>
            </w:r>
            <w:r>
              <w:rPr>
                <w:rFonts w:ascii="Times New Roman" w:hAnsi="Times New Roman"/>
                <w:color w:val="auto"/>
              </w:rPr>
              <w:t>北京时间）前递交投标文件。</w:t>
            </w:r>
          </w:p>
        </w:tc>
      </w:tr>
    </w:tbl>
    <w:p w14:paraId="3382177E">
      <w:pPr>
        <w:keepNext w:val="0"/>
        <w:keepLines w:val="0"/>
        <w:pageBreakBefore w:val="0"/>
        <w:tabs>
          <w:tab w:val="left" w:pos="900"/>
        </w:tabs>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一、项目基本情况</w:t>
      </w:r>
    </w:p>
    <w:p w14:paraId="1725B4A6">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1.项目编号：JSZC-320922-YCJD-G2026-0006</w:t>
      </w:r>
    </w:p>
    <w:p w14:paraId="08902E04">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u w:val="single"/>
          <w:lang w:val="en-US"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项目名称：</w:t>
      </w:r>
      <w:r>
        <w:rPr>
          <w:rFonts w:hint="eastAsia" w:ascii="宋体" w:hAnsi="宋体" w:eastAsia="宋体" w:cs="宋体"/>
          <w:color w:val="auto"/>
          <w:sz w:val="24"/>
          <w:szCs w:val="24"/>
          <w:lang w:eastAsia="zh-CN"/>
        </w:rPr>
        <w:t>滨海县人民医院医共体心电图机等医疗设备采购项目</w:t>
      </w:r>
    </w:p>
    <w:p w14:paraId="2002901C">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.采购方式：公开招标</w:t>
      </w:r>
    </w:p>
    <w:p w14:paraId="7717DAF5">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.预算金额：</w:t>
      </w:r>
      <w:r>
        <w:rPr>
          <w:rFonts w:hint="eastAsia" w:ascii="宋体" w:hAnsi="宋体" w:eastAsia="宋体" w:cs="宋体"/>
          <w:color w:val="auto"/>
          <w:sz w:val="24"/>
          <w:szCs w:val="24"/>
          <w:lang w:val="en-US" w:eastAsia="zh-CN"/>
        </w:rPr>
        <w:t>212万元</w:t>
      </w:r>
      <w:r>
        <w:rPr>
          <w:rFonts w:hint="eastAsia" w:ascii="宋体" w:hAnsi="宋体" w:eastAsia="宋体" w:cs="宋体"/>
          <w:color w:val="333333"/>
          <w:sz w:val="24"/>
          <w:szCs w:val="24"/>
          <w:highlight w:val="none"/>
          <w:shd w:val="clear" w:color="auto" w:fill="FFFFFF"/>
          <w:lang w:eastAsia="zh-CN"/>
        </w:rPr>
        <w:t>（采购包1：</w:t>
      </w:r>
      <w:r>
        <w:rPr>
          <w:rFonts w:hint="eastAsia" w:ascii="宋体" w:hAnsi="宋体" w:eastAsia="宋体" w:cs="宋体"/>
          <w:color w:val="333333"/>
          <w:sz w:val="24"/>
          <w:szCs w:val="24"/>
          <w:highlight w:val="none"/>
          <w:shd w:val="clear" w:color="auto" w:fill="FFFFFF"/>
          <w:lang w:val="en-US" w:eastAsia="zh-CN"/>
        </w:rPr>
        <w:t>84</w:t>
      </w:r>
      <w:r>
        <w:rPr>
          <w:rFonts w:hint="eastAsia" w:ascii="宋体" w:hAnsi="宋体" w:eastAsia="宋体" w:cs="宋体"/>
          <w:color w:val="333333"/>
          <w:sz w:val="24"/>
          <w:szCs w:val="24"/>
          <w:highlight w:val="none"/>
          <w:shd w:val="clear" w:color="auto" w:fill="FFFFFF"/>
          <w:lang w:eastAsia="zh-CN"/>
        </w:rPr>
        <w:t>万元；采购包2：</w:t>
      </w:r>
      <w:r>
        <w:rPr>
          <w:rFonts w:hint="eastAsia" w:ascii="宋体" w:hAnsi="宋体" w:eastAsia="宋体" w:cs="宋体"/>
          <w:color w:val="333333"/>
          <w:sz w:val="24"/>
          <w:szCs w:val="24"/>
          <w:highlight w:val="none"/>
          <w:shd w:val="clear" w:color="auto" w:fill="FFFFFF"/>
          <w:lang w:val="en-US" w:eastAsia="zh-CN"/>
        </w:rPr>
        <w:t>56</w:t>
      </w:r>
      <w:r>
        <w:rPr>
          <w:rFonts w:hint="eastAsia" w:ascii="宋体" w:hAnsi="宋体" w:eastAsia="宋体" w:cs="宋体"/>
          <w:color w:val="333333"/>
          <w:sz w:val="24"/>
          <w:szCs w:val="24"/>
          <w:highlight w:val="none"/>
          <w:shd w:val="clear" w:color="auto" w:fill="FFFFFF"/>
          <w:lang w:eastAsia="zh-CN"/>
        </w:rPr>
        <w:t>万元；</w:t>
      </w:r>
      <w:r>
        <w:rPr>
          <w:rFonts w:hint="eastAsia" w:ascii="宋体" w:hAnsi="宋体" w:eastAsia="宋体" w:cs="宋体"/>
          <w:color w:val="333333"/>
          <w:sz w:val="24"/>
          <w:szCs w:val="24"/>
          <w:highlight w:val="none"/>
          <w:shd w:val="clear" w:color="auto" w:fill="FFFFFF"/>
          <w:lang w:val="en-US" w:eastAsia="zh-CN"/>
        </w:rPr>
        <w:t>采购包3:32万元；采购包4</w:t>
      </w:r>
      <w:r>
        <w:rPr>
          <w:rFonts w:hint="eastAsia" w:ascii="宋体" w:hAnsi="宋体" w:eastAsia="宋体" w:cs="宋体"/>
          <w:color w:val="333333"/>
          <w:sz w:val="24"/>
          <w:szCs w:val="24"/>
          <w:highlight w:val="none"/>
          <w:shd w:val="clear" w:color="auto" w:fill="FFFFFF"/>
          <w:lang w:eastAsia="zh-CN"/>
        </w:rPr>
        <w:t>：</w:t>
      </w:r>
      <w:r>
        <w:rPr>
          <w:rFonts w:hint="eastAsia" w:ascii="宋体" w:hAnsi="宋体" w:eastAsia="宋体" w:cs="宋体"/>
          <w:color w:val="333333"/>
          <w:sz w:val="24"/>
          <w:szCs w:val="24"/>
          <w:highlight w:val="none"/>
          <w:shd w:val="clear" w:color="auto" w:fill="FFFFFF"/>
          <w:lang w:val="en-US" w:eastAsia="zh-CN"/>
        </w:rPr>
        <w:t>40万</w:t>
      </w:r>
      <w:r>
        <w:rPr>
          <w:rFonts w:hint="eastAsia" w:ascii="宋体" w:hAnsi="宋体" w:eastAsia="宋体" w:cs="宋体"/>
          <w:color w:val="333333"/>
          <w:sz w:val="24"/>
          <w:szCs w:val="24"/>
          <w:highlight w:val="none"/>
          <w:shd w:val="clear" w:color="auto" w:fill="FFFFFF"/>
          <w:lang w:eastAsia="zh-CN"/>
        </w:rPr>
        <w:t>）</w:t>
      </w:r>
    </w:p>
    <w:p w14:paraId="15234313">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.最高限价：</w:t>
      </w:r>
      <w:r>
        <w:rPr>
          <w:rFonts w:hint="eastAsia" w:ascii="宋体" w:hAnsi="宋体" w:eastAsia="宋体" w:cs="宋体"/>
          <w:color w:val="333333"/>
          <w:kern w:val="0"/>
          <w:sz w:val="24"/>
          <w:szCs w:val="24"/>
          <w:highlight w:val="none"/>
          <w:shd w:val="clear" w:color="auto" w:fill="FFFFFF"/>
          <w:lang w:val="en-US" w:eastAsia="zh-CN" w:bidi="ar-SA"/>
        </w:rPr>
        <w:t>采购包1心电图机：84万元；采购包2心电监护除颤一体机：56万元；采购包3呼吸机：32万元；采购包4电动担架车：40万元。（投标人投标报价不得超过上述限价金额，否则将作无效投标处理）</w:t>
      </w:r>
      <w:r>
        <w:rPr>
          <w:rFonts w:hint="eastAsia" w:ascii="宋体" w:hAnsi="宋体" w:eastAsia="宋体" w:cs="宋体"/>
          <w:color w:val="auto"/>
          <w:sz w:val="24"/>
          <w:szCs w:val="24"/>
        </w:rPr>
        <w:t>。</w:t>
      </w:r>
    </w:p>
    <w:p w14:paraId="3A39F7FC">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w:t>
      </w:r>
      <w:r>
        <w:rPr>
          <w:rFonts w:hint="eastAsia" w:ascii="宋体" w:hAnsi="宋体" w:eastAsia="宋体" w:cs="宋体"/>
          <w:color w:val="auto"/>
          <w:sz w:val="24"/>
          <w:szCs w:val="24"/>
          <w:highlight w:val="none"/>
        </w:rPr>
        <w:t>采购需求：</w:t>
      </w:r>
      <w:r>
        <w:rPr>
          <w:rFonts w:hint="eastAsia" w:ascii="宋体" w:hAnsi="宋体" w:eastAsia="宋体" w:cs="宋体"/>
          <w:color w:val="auto"/>
          <w:sz w:val="24"/>
          <w:szCs w:val="24"/>
          <w:lang w:eastAsia="zh-CN"/>
        </w:rPr>
        <w:t>滨海县人民医院医共体心电图机等医疗设备采购项目</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本项目所有包件均</w:t>
      </w:r>
      <w:r>
        <w:rPr>
          <w:rFonts w:hint="eastAsia" w:ascii="宋体" w:hAnsi="宋体" w:eastAsia="宋体" w:cs="宋体"/>
          <w:color w:val="auto"/>
          <w:sz w:val="24"/>
          <w:szCs w:val="24"/>
          <w:lang w:eastAsia="zh-CN"/>
        </w:rPr>
        <w:t>属于</w:t>
      </w:r>
      <w:r>
        <w:rPr>
          <w:rFonts w:hint="eastAsia" w:ascii="宋体" w:hAnsi="宋体" w:cs="宋体"/>
          <w:color w:val="auto"/>
          <w:sz w:val="24"/>
          <w:szCs w:val="24"/>
          <w:lang w:val="en-US" w:eastAsia="zh-CN"/>
        </w:rPr>
        <w:t>南北结对帮扶</w:t>
      </w:r>
      <w:r>
        <w:rPr>
          <w:rFonts w:hint="eastAsia" w:ascii="宋体" w:hAnsi="宋体" w:eastAsia="宋体" w:cs="宋体"/>
          <w:color w:val="auto"/>
          <w:sz w:val="24"/>
          <w:szCs w:val="24"/>
          <w:lang w:eastAsia="zh-CN"/>
        </w:rPr>
        <w:t>建设项目。</w:t>
      </w:r>
      <w:r>
        <w:rPr>
          <w:rFonts w:hint="eastAsia" w:ascii="宋体" w:hAnsi="宋体" w:eastAsia="宋体" w:cs="宋体"/>
          <w:color w:val="000000"/>
          <w:kern w:val="2"/>
          <w:sz w:val="24"/>
          <w:szCs w:val="24"/>
          <w:highlight w:val="none"/>
          <w:lang w:val="en-US" w:eastAsia="zh-CN" w:bidi="ar-SA"/>
        </w:rPr>
        <w:t>详见招标文件第四章项目需求</w:t>
      </w:r>
      <w:r>
        <w:rPr>
          <w:rFonts w:hint="eastAsia" w:ascii="宋体" w:hAnsi="宋体" w:eastAsia="宋体" w:cs="宋体"/>
          <w:color w:val="auto"/>
          <w:sz w:val="24"/>
          <w:szCs w:val="24"/>
        </w:rPr>
        <w:t>。</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9"/>
        <w:gridCol w:w="1605"/>
        <w:gridCol w:w="2999"/>
        <w:gridCol w:w="1935"/>
        <w:gridCol w:w="1935"/>
      </w:tblGrid>
      <w:tr w14:paraId="18E96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9" w:type="dxa"/>
            <w:vAlign w:val="center"/>
          </w:tcPr>
          <w:p w14:paraId="624E9389">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000000"/>
                <w:kern w:val="2"/>
                <w:sz w:val="21"/>
                <w:szCs w:val="21"/>
                <w:highlight w:val="none"/>
                <w:vertAlign w:val="baseline"/>
                <w:lang w:val="en-US" w:eastAsia="zh-CN" w:bidi="ar-SA"/>
              </w:rPr>
            </w:pPr>
            <w:r>
              <w:rPr>
                <w:rFonts w:hint="eastAsia" w:ascii="宋体" w:hAnsi="宋体" w:eastAsia="宋体" w:cs="宋体"/>
                <w:color w:val="000000"/>
                <w:kern w:val="2"/>
                <w:sz w:val="21"/>
                <w:szCs w:val="21"/>
                <w:highlight w:val="none"/>
                <w:vertAlign w:val="baseline"/>
                <w:lang w:val="en-US" w:eastAsia="zh-CN" w:bidi="ar-SA"/>
              </w:rPr>
              <w:t>序号</w:t>
            </w:r>
          </w:p>
        </w:tc>
        <w:tc>
          <w:tcPr>
            <w:tcW w:w="1605" w:type="dxa"/>
            <w:vAlign w:val="center"/>
          </w:tcPr>
          <w:p w14:paraId="1BF0868D">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000000"/>
                <w:kern w:val="2"/>
                <w:sz w:val="21"/>
                <w:szCs w:val="21"/>
                <w:highlight w:val="none"/>
                <w:vertAlign w:val="baseline"/>
                <w:lang w:val="en-US" w:eastAsia="zh-CN" w:bidi="ar-SA"/>
              </w:rPr>
            </w:pPr>
            <w:r>
              <w:rPr>
                <w:rFonts w:hint="eastAsia" w:ascii="宋体" w:hAnsi="宋体" w:eastAsia="宋体" w:cs="宋体"/>
                <w:color w:val="000000"/>
                <w:kern w:val="2"/>
                <w:sz w:val="21"/>
                <w:szCs w:val="21"/>
                <w:highlight w:val="none"/>
                <w:vertAlign w:val="baseline"/>
                <w:lang w:val="en-US" w:eastAsia="zh-CN" w:bidi="ar-SA"/>
              </w:rPr>
              <w:t>采购包</w:t>
            </w:r>
          </w:p>
        </w:tc>
        <w:tc>
          <w:tcPr>
            <w:tcW w:w="2999" w:type="dxa"/>
            <w:vAlign w:val="center"/>
          </w:tcPr>
          <w:p w14:paraId="05F396B1">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000000"/>
                <w:kern w:val="2"/>
                <w:sz w:val="21"/>
                <w:szCs w:val="21"/>
                <w:highlight w:val="none"/>
                <w:vertAlign w:val="baseline"/>
                <w:lang w:val="en-US" w:eastAsia="zh-CN" w:bidi="ar-SA"/>
              </w:rPr>
            </w:pPr>
            <w:r>
              <w:rPr>
                <w:rFonts w:hint="eastAsia" w:ascii="宋体" w:hAnsi="宋体" w:eastAsia="宋体" w:cs="宋体"/>
                <w:color w:val="000000"/>
                <w:kern w:val="2"/>
                <w:sz w:val="21"/>
                <w:szCs w:val="21"/>
                <w:highlight w:val="none"/>
                <w:vertAlign w:val="baseline"/>
                <w:lang w:val="en-US" w:eastAsia="zh-CN" w:bidi="ar-SA"/>
              </w:rPr>
              <w:t>标段名称</w:t>
            </w:r>
          </w:p>
        </w:tc>
        <w:tc>
          <w:tcPr>
            <w:tcW w:w="1935" w:type="dxa"/>
            <w:vAlign w:val="center"/>
          </w:tcPr>
          <w:p w14:paraId="2CBD1AEA">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000000"/>
                <w:kern w:val="2"/>
                <w:sz w:val="21"/>
                <w:szCs w:val="21"/>
                <w:highlight w:val="none"/>
                <w:vertAlign w:val="baseline"/>
                <w:lang w:val="en-US" w:eastAsia="zh-CN" w:bidi="ar-SA"/>
              </w:rPr>
            </w:pPr>
            <w:r>
              <w:rPr>
                <w:rFonts w:hint="eastAsia" w:ascii="宋体" w:hAnsi="宋体" w:eastAsia="宋体" w:cs="宋体"/>
                <w:color w:val="000000"/>
                <w:kern w:val="2"/>
                <w:sz w:val="21"/>
                <w:szCs w:val="21"/>
                <w:highlight w:val="none"/>
                <w:vertAlign w:val="baseline"/>
                <w:lang w:val="en-US" w:eastAsia="zh-CN" w:bidi="ar-SA"/>
              </w:rPr>
              <w:t>单位</w:t>
            </w:r>
          </w:p>
        </w:tc>
        <w:tc>
          <w:tcPr>
            <w:tcW w:w="1935" w:type="dxa"/>
            <w:vAlign w:val="center"/>
          </w:tcPr>
          <w:p w14:paraId="3A8066B8">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000000"/>
                <w:kern w:val="2"/>
                <w:sz w:val="21"/>
                <w:szCs w:val="21"/>
                <w:highlight w:val="none"/>
                <w:vertAlign w:val="baseline"/>
                <w:lang w:val="en-US" w:eastAsia="zh-CN" w:bidi="ar-SA"/>
              </w:rPr>
            </w:pPr>
            <w:r>
              <w:rPr>
                <w:rFonts w:hint="eastAsia" w:ascii="宋体" w:hAnsi="宋体" w:eastAsia="宋体" w:cs="宋体"/>
                <w:color w:val="000000"/>
                <w:kern w:val="2"/>
                <w:sz w:val="21"/>
                <w:szCs w:val="21"/>
                <w:highlight w:val="none"/>
                <w:vertAlign w:val="baseline"/>
                <w:lang w:val="en-US" w:eastAsia="zh-CN" w:bidi="ar-SA"/>
              </w:rPr>
              <w:t>数量</w:t>
            </w:r>
          </w:p>
        </w:tc>
      </w:tr>
      <w:tr w14:paraId="77B27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9" w:type="dxa"/>
            <w:vAlign w:val="center"/>
          </w:tcPr>
          <w:p w14:paraId="06A13E26">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000000"/>
                <w:kern w:val="2"/>
                <w:sz w:val="21"/>
                <w:szCs w:val="21"/>
                <w:highlight w:val="none"/>
                <w:vertAlign w:val="baseline"/>
                <w:lang w:val="en-US" w:eastAsia="zh-CN" w:bidi="ar-SA"/>
              </w:rPr>
            </w:pPr>
            <w:r>
              <w:rPr>
                <w:rFonts w:hint="eastAsia" w:ascii="宋体" w:hAnsi="宋体" w:eastAsia="宋体" w:cs="宋体"/>
                <w:color w:val="000000"/>
                <w:kern w:val="2"/>
                <w:sz w:val="21"/>
                <w:szCs w:val="21"/>
                <w:highlight w:val="none"/>
                <w:vertAlign w:val="baseline"/>
                <w:lang w:val="en-US" w:eastAsia="zh-CN" w:bidi="ar-SA"/>
              </w:rPr>
              <w:t>1</w:t>
            </w:r>
          </w:p>
        </w:tc>
        <w:tc>
          <w:tcPr>
            <w:tcW w:w="1605" w:type="dxa"/>
            <w:vAlign w:val="center"/>
          </w:tcPr>
          <w:p w14:paraId="78525002">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000000"/>
                <w:kern w:val="2"/>
                <w:sz w:val="21"/>
                <w:szCs w:val="21"/>
                <w:highlight w:val="none"/>
                <w:vertAlign w:val="baseline"/>
                <w:lang w:val="en-US" w:eastAsia="zh-CN" w:bidi="ar-SA"/>
              </w:rPr>
            </w:pPr>
            <w:r>
              <w:rPr>
                <w:rFonts w:hint="eastAsia" w:ascii="宋体" w:hAnsi="宋体" w:eastAsia="宋体" w:cs="宋体"/>
                <w:color w:val="000000"/>
                <w:kern w:val="2"/>
                <w:sz w:val="21"/>
                <w:szCs w:val="21"/>
                <w:highlight w:val="none"/>
                <w:vertAlign w:val="baseline"/>
                <w:lang w:val="en-US" w:eastAsia="zh-CN" w:bidi="ar-SA"/>
              </w:rPr>
              <w:t>采购包1</w:t>
            </w:r>
          </w:p>
        </w:tc>
        <w:tc>
          <w:tcPr>
            <w:tcW w:w="2999" w:type="dxa"/>
            <w:vAlign w:val="center"/>
          </w:tcPr>
          <w:p w14:paraId="1487B2C8">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000000"/>
                <w:kern w:val="2"/>
                <w:sz w:val="21"/>
                <w:szCs w:val="21"/>
                <w:highlight w:val="none"/>
                <w:vertAlign w:val="baseline"/>
                <w:lang w:val="en-US" w:eastAsia="zh-CN" w:bidi="ar-SA"/>
              </w:rPr>
            </w:pPr>
            <w:r>
              <w:rPr>
                <w:rFonts w:hint="eastAsia" w:ascii="宋体" w:hAnsi="宋体" w:eastAsia="宋体" w:cs="宋体"/>
                <w:color w:val="333333"/>
                <w:kern w:val="0"/>
                <w:sz w:val="24"/>
                <w:szCs w:val="24"/>
                <w:highlight w:val="none"/>
                <w:shd w:val="clear" w:color="auto" w:fill="FFFFFF"/>
                <w:lang w:val="en-US" w:eastAsia="zh-CN" w:bidi="ar-SA"/>
              </w:rPr>
              <w:t>心电图机</w:t>
            </w:r>
          </w:p>
        </w:tc>
        <w:tc>
          <w:tcPr>
            <w:tcW w:w="1935" w:type="dxa"/>
            <w:vAlign w:val="center"/>
          </w:tcPr>
          <w:p w14:paraId="463FE04D">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000000"/>
                <w:kern w:val="2"/>
                <w:sz w:val="21"/>
                <w:szCs w:val="21"/>
                <w:highlight w:val="none"/>
                <w:vertAlign w:val="baseline"/>
                <w:lang w:val="en-US" w:eastAsia="zh-CN" w:bidi="ar-SA"/>
              </w:rPr>
            </w:pPr>
            <w:r>
              <w:rPr>
                <w:rFonts w:hint="eastAsia" w:ascii="宋体" w:hAnsi="宋体" w:eastAsia="宋体" w:cs="宋体"/>
                <w:color w:val="000000"/>
                <w:kern w:val="2"/>
                <w:sz w:val="21"/>
                <w:szCs w:val="21"/>
                <w:highlight w:val="none"/>
                <w:vertAlign w:val="baseline"/>
                <w:lang w:val="en-US" w:eastAsia="zh-CN" w:bidi="ar-SA"/>
              </w:rPr>
              <w:t>台</w:t>
            </w:r>
          </w:p>
        </w:tc>
        <w:tc>
          <w:tcPr>
            <w:tcW w:w="1935" w:type="dxa"/>
            <w:vAlign w:val="center"/>
          </w:tcPr>
          <w:p w14:paraId="551FA1EA">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000000"/>
                <w:kern w:val="2"/>
                <w:sz w:val="21"/>
                <w:szCs w:val="21"/>
                <w:highlight w:val="none"/>
                <w:vertAlign w:val="baseline"/>
                <w:lang w:val="en-US" w:eastAsia="zh-CN" w:bidi="ar-SA"/>
              </w:rPr>
            </w:pPr>
            <w:r>
              <w:rPr>
                <w:rFonts w:hint="eastAsia" w:ascii="宋体" w:hAnsi="宋体" w:eastAsia="宋体" w:cs="宋体"/>
                <w:color w:val="000000"/>
                <w:kern w:val="2"/>
                <w:sz w:val="21"/>
                <w:szCs w:val="21"/>
                <w:highlight w:val="none"/>
                <w:vertAlign w:val="baseline"/>
                <w:lang w:val="en-US" w:eastAsia="zh-CN" w:bidi="ar-SA"/>
              </w:rPr>
              <w:t>42</w:t>
            </w:r>
          </w:p>
        </w:tc>
      </w:tr>
      <w:tr w14:paraId="00049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9" w:type="dxa"/>
            <w:vAlign w:val="center"/>
          </w:tcPr>
          <w:p w14:paraId="3625F0FA">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000000"/>
                <w:kern w:val="2"/>
                <w:sz w:val="21"/>
                <w:szCs w:val="21"/>
                <w:highlight w:val="none"/>
                <w:vertAlign w:val="baseline"/>
                <w:lang w:val="en-US" w:eastAsia="zh-CN" w:bidi="ar-SA"/>
              </w:rPr>
            </w:pPr>
            <w:r>
              <w:rPr>
                <w:rFonts w:hint="eastAsia" w:ascii="宋体" w:hAnsi="宋体" w:eastAsia="宋体" w:cs="宋体"/>
                <w:color w:val="000000"/>
                <w:kern w:val="2"/>
                <w:sz w:val="21"/>
                <w:szCs w:val="21"/>
                <w:highlight w:val="none"/>
                <w:vertAlign w:val="baseline"/>
                <w:lang w:val="en-US" w:eastAsia="zh-CN" w:bidi="ar-SA"/>
              </w:rPr>
              <w:t>2</w:t>
            </w:r>
          </w:p>
        </w:tc>
        <w:tc>
          <w:tcPr>
            <w:tcW w:w="1605" w:type="dxa"/>
            <w:vAlign w:val="center"/>
          </w:tcPr>
          <w:p w14:paraId="554D3AA6">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000000"/>
                <w:kern w:val="2"/>
                <w:sz w:val="21"/>
                <w:szCs w:val="21"/>
                <w:highlight w:val="none"/>
                <w:vertAlign w:val="baseline"/>
                <w:lang w:val="en-US" w:eastAsia="zh-CN" w:bidi="ar-SA"/>
              </w:rPr>
            </w:pPr>
            <w:r>
              <w:rPr>
                <w:rFonts w:hint="eastAsia" w:ascii="宋体" w:hAnsi="宋体" w:eastAsia="宋体" w:cs="宋体"/>
                <w:color w:val="000000"/>
                <w:kern w:val="2"/>
                <w:sz w:val="21"/>
                <w:szCs w:val="21"/>
                <w:highlight w:val="none"/>
                <w:vertAlign w:val="baseline"/>
                <w:lang w:val="en-US" w:eastAsia="zh-CN" w:bidi="ar-SA"/>
              </w:rPr>
              <w:t>采购包2</w:t>
            </w:r>
          </w:p>
        </w:tc>
        <w:tc>
          <w:tcPr>
            <w:tcW w:w="2999" w:type="dxa"/>
            <w:vAlign w:val="center"/>
          </w:tcPr>
          <w:p w14:paraId="6BA1823B">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000000"/>
                <w:kern w:val="2"/>
                <w:sz w:val="21"/>
                <w:szCs w:val="21"/>
                <w:highlight w:val="none"/>
                <w:vertAlign w:val="baseline"/>
                <w:lang w:val="en-US" w:eastAsia="zh-CN" w:bidi="ar-SA"/>
              </w:rPr>
            </w:pPr>
            <w:r>
              <w:rPr>
                <w:rFonts w:hint="eastAsia" w:ascii="宋体" w:hAnsi="宋体" w:eastAsia="宋体" w:cs="宋体"/>
                <w:color w:val="333333"/>
                <w:kern w:val="0"/>
                <w:sz w:val="24"/>
                <w:szCs w:val="24"/>
                <w:highlight w:val="none"/>
                <w:shd w:val="clear" w:color="auto" w:fill="FFFFFF"/>
                <w:lang w:val="en-US" w:eastAsia="zh-CN" w:bidi="ar-SA"/>
              </w:rPr>
              <w:t>心电监护除颤一体机</w:t>
            </w:r>
          </w:p>
        </w:tc>
        <w:tc>
          <w:tcPr>
            <w:tcW w:w="1935" w:type="dxa"/>
            <w:vAlign w:val="center"/>
          </w:tcPr>
          <w:p w14:paraId="548FEFCA">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000000"/>
                <w:kern w:val="2"/>
                <w:sz w:val="21"/>
                <w:szCs w:val="21"/>
                <w:highlight w:val="none"/>
                <w:vertAlign w:val="baseline"/>
                <w:lang w:val="en-US" w:eastAsia="zh-CN" w:bidi="ar-SA"/>
              </w:rPr>
            </w:pPr>
            <w:r>
              <w:rPr>
                <w:rFonts w:hint="eastAsia" w:ascii="宋体" w:hAnsi="宋体" w:eastAsia="宋体" w:cs="宋体"/>
                <w:color w:val="000000"/>
                <w:kern w:val="2"/>
                <w:sz w:val="21"/>
                <w:szCs w:val="21"/>
                <w:highlight w:val="none"/>
                <w:vertAlign w:val="baseline"/>
                <w:lang w:val="en-US" w:eastAsia="zh-CN" w:bidi="ar-SA"/>
              </w:rPr>
              <w:t>台</w:t>
            </w:r>
          </w:p>
        </w:tc>
        <w:tc>
          <w:tcPr>
            <w:tcW w:w="1935" w:type="dxa"/>
            <w:vAlign w:val="center"/>
          </w:tcPr>
          <w:p w14:paraId="0659E904">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000000"/>
                <w:kern w:val="2"/>
                <w:sz w:val="21"/>
                <w:szCs w:val="21"/>
                <w:highlight w:val="none"/>
                <w:vertAlign w:val="baseline"/>
                <w:lang w:val="en-US" w:eastAsia="zh-CN" w:bidi="ar-SA"/>
              </w:rPr>
            </w:pPr>
            <w:r>
              <w:rPr>
                <w:rFonts w:hint="eastAsia" w:ascii="宋体" w:hAnsi="宋体" w:eastAsia="宋体" w:cs="宋体"/>
                <w:color w:val="000000"/>
                <w:kern w:val="2"/>
                <w:sz w:val="21"/>
                <w:szCs w:val="21"/>
                <w:highlight w:val="none"/>
                <w:vertAlign w:val="baseline"/>
                <w:lang w:val="en-US" w:eastAsia="zh-CN" w:bidi="ar-SA"/>
              </w:rPr>
              <w:t>8</w:t>
            </w:r>
          </w:p>
        </w:tc>
      </w:tr>
      <w:tr w14:paraId="07A25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9" w:type="dxa"/>
            <w:vAlign w:val="center"/>
          </w:tcPr>
          <w:p w14:paraId="53E4744F">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000000"/>
                <w:kern w:val="2"/>
                <w:sz w:val="21"/>
                <w:szCs w:val="21"/>
                <w:highlight w:val="none"/>
                <w:vertAlign w:val="baseline"/>
                <w:lang w:val="en-US" w:eastAsia="zh-CN" w:bidi="ar-SA"/>
              </w:rPr>
            </w:pPr>
            <w:r>
              <w:rPr>
                <w:rFonts w:hint="eastAsia" w:ascii="宋体" w:hAnsi="宋体" w:eastAsia="宋体" w:cs="宋体"/>
                <w:color w:val="000000"/>
                <w:kern w:val="2"/>
                <w:sz w:val="21"/>
                <w:szCs w:val="21"/>
                <w:highlight w:val="none"/>
                <w:vertAlign w:val="baseline"/>
                <w:lang w:val="en-US" w:eastAsia="zh-CN" w:bidi="ar-SA"/>
              </w:rPr>
              <w:t>3</w:t>
            </w:r>
          </w:p>
        </w:tc>
        <w:tc>
          <w:tcPr>
            <w:tcW w:w="1605" w:type="dxa"/>
            <w:vAlign w:val="center"/>
          </w:tcPr>
          <w:p w14:paraId="00624C50">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000000"/>
                <w:kern w:val="2"/>
                <w:sz w:val="21"/>
                <w:szCs w:val="21"/>
                <w:highlight w:val="none"/>
                <w:vertAlign w:val="baseline"/>
                <w:lang w:val="en-US" w:eastAsia="zh-CN" w:bidi="ar-SA"/>
              </w:rPr>
            </w:pPr>
            <w:r>
              <w:rPr>
                <w:rFonts w:hint="eastAsia" w:ascii="宋体" w:hAnsi="宋体" w:eastAsia="宋体" w:cs="宋体"/>
                <w:color w:val="000000"/>
                <w:kern w:val="2"/>
                <w:sz w:val="21"/>
                <w:szCs w:val="21"/>
                <w:highlight w:val="none"/>
                <w:vertAlign w:val="baseline"/>
                <w:lang w:val="en-US" w:eastAsia="zh-CN" w:bidi="ar-SA"/>
              </w:rPr>
              <w:t>采购包3</w:t>
            </w:r>
          </w:p>
        </w:tc>
        <w:tc>
          <w:tcPr>
            <w:tcW w:w="2999" w:type="dxa"/>
            <w:vAlign w:val="center"/>
          </w:tcPr>
          <w:p w14:paraId="7B4D4C58">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000000"/>
                <w:kern w:val="2"/>
                <w:sz w:val="21"/>
                <w:szCs w:val="21"/>
                <w:highlight w:val="none"/>
                <w:vertAlign w:val="baseline"/>
                <w:lang w:val="en-US" w:eastAsia="zh-CN" w:bidi="ar-SA"/>
              </w:rPr>
            </w:pPr>
            <w:r>
              <w:rPr>
                <w:rFonts w:hint="eastAsia" w:ascii="宋体" w:hAnsi="宋体" w:eastAsia="宋体" w:cs="宋体"/>
                <w:color w:val="333333"/>
                <w:kern w:val="0"/>
                <w:sz w:val="24"/>
                <w:szCs w:val="24"/>
                <w:highlight w:val="none"/>
                <w:shd w:val="clear" w:color="auto" w:fill="FFFFFF"/>
                <w:lang w:val="en-US" w:eastAsia="zh-CN" w:bidi="ar-SA"/>
              </w:rPr>
              <w:t>呼吸机</w:t>
            </w:r>
          </w:p>
        </w:tc>
        <w:tc>
          <w:tcPr>
            <w:tcW w:w="1935" w:type="dxa"/>
            <w:vAlign w:val="center"/>
          </w:tcPr>
          <w:p w14:paraId="18FE6FBF">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000000"/>
                <w:kern w:val="2"/>
                <w:sz w:val="21"/>
                <w:szCs w:val="21"/>
                <w:highlight w:val="none"/>
                <w:vertAlign w:val="baseline"/>
                <w:lang w:val="en-US" w:eastAsia="zh-CN" w:bidi="ar-SA"/>
              </w:rPr>
            </w:pPr>
            <w:r>
              <w:rPr>
                <w:rFonts w:hint="eastAsia" w:ascii="宋体" w:hAnsi="宋体" w:eastAsia="宋体" w:cs="宋体"/>
                <w:color w:val="000000"/>
                <w:kern w:val="2"/>
                <w:sz w:val="21"/>
                <w:szCs w:val="21"/>
                <w:highlight w:val="none"/>
                <w:vertAlign w:val="baseline"/>
                <w:lang w:val="en-US" w:eastAsia="zh-CN" w:bidi="ar-SA"/>
              </w:rPr>
              <w:t>台</w:t>
            </w:r>
          </w:p>
        </w:tc>
        <w:tc>
          <w:tcPr>
            <w:tcW w:w="1935" w:type="dxa"/>
            <w:vAlign w:val="center"/>
          </w:tcPr>
          <w:p w14:paraId="2700E29F">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000000"/>
                <w:kern w:val="2"/>
                <w:sz w:val="21"/>
                <w:szCs w:val="21"/>
                <w:highlight w:val="none"/>
                <w:vertAlign w:val="baseline"/>
                <w:lang w:val="en-US" w:eastAsia="zh-CN" w:bidi="ar-SA"/>
              </w:rPr>
            </w:pPr>
            <w:r>
              <w:rPr>
                <w:rFonts w:hint="eastAsia" w:ascii="宋体" w:hAnsi="宋体" w:eastAsia="宋体" w:cs="宋体"/>
                <w:color w:val="000000"/>
                <w:kern w:val="2"/>
                <w:sz w:val="21"/>
                <w:szCs w:val="21"/>
                <w:highlight w:val="none"/>
                <w:vertAlign w:val="baseline"/>
                <w:lang w:val="en-US" w:eastAsia="zh-CN" w:bidi="ar-SA"/>
              </w:rPr>
              <w:t>4</w:t>
            </w:r>
          </w:p>
        </w:tc>
      </w:tr>
      <w:tr w14:paraId="07279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9" w:type="dxa"/>
            <w:vAlign w:val="center"/>
          </w:tcPr>
          <w:p w14:paraId="41A1B5CD">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000000"/>
                <w:kern w:val="2"/>
                <w:sz w:val="21"/>
                <w:szCs w:val="21"/>
                <w:highlight w:val="none"/>
                <w:vertAlign w:val="baseline"/>
                <w:lang w:val="en-US" w:eastAsia="zh-CN" w:bidi="ar-SA"/>
              </w:rPr>
            </w:pPr>
            <w:r>
              <w:rPr>
                <w:rFonts w:hint="eastAsia" w:ascii="宋体" w:hAnsi="宋体" w:eastAsia="宋体" w:cs="宋体"/>
                <w:color w:val="000000"/>
                <w:kern w:val="2"/>
                <w:sz w:val="21"/>
                <w:szCs w:val="21"/>
                <w:highlight w:val="none"/>
                <w:vertAlign w:val="baseline"/>
                <w:lang w:val="en-US" w:eastAsia="zh-CN" w:bidi="ar-SA"/>
              </w:rPr>
              <w:t>4</w:t>
            </w:r>
          </w:p>
        </w:tc>
        <w:tc>
          <w:tcPr>
            <w:tcW w:w="1605" w:type="dxa"/>
            <w:vAlign w:val="center"/>
          </w:tcPr>
          <w:p w14:paraId="2959B479">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000000"/>
                <w:kern w:val="2"/>
                <w:sz w:val="21"/>
                <w:szCs w:val="21"/>
                <w:highlight w:val="none"/>
                <w:vertAlign w:val="baseline"/>
                <w:lang w:val="en-US" w:eastAsia="zh-CN" w:bidi="ar-SA"/>
              </w:rPr>
            </w:pPr>
            <w:r>
              <w:rPr>
                <w:rFonts w:hint="eastAsia" w:ascii="宋体" w:hAnsi="宋体" w:eastAsia="宋体" w:cs="宋体"/>
                <w:color w:val="000000"/>
                <w:kern w:val="2"/>
                <w:sz w:val="21"/>
                <w:szCs w:val="21"/>
                <w:highlight w:val="none"/>
                <w:vertAlign w:val="baseline"/>
                <w:lang w:val="en-US" w:eastAsia="zh-CN" w:bidi="ar-SA"/>
              </w:rPr>
              <w:t>采购包4</w:t>
            </w:r>
          </w:p>
        </w:tc>
        <w:tc>
          <w:tcPr>
            <w:tcW w:w="2999" w:type="dxa"/>
            <w:vAlign w:val="center"/>
          </w:tcPr>
          <w:p w14:paraId="5D722466">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000000"/>
                <w:kern w:val="2"/>
                <w:sz w:val="21"/>
                <w:szCs w:val="21"/>
                <w:highlight w:val="none"/>
                <w:vertAlign w:val="baseline"/>
                <w:lang w:val="en-US" w:eastAsia="zh-CN" w:bidi="ar-SA"/>
              </w:rPr>
            </w:pPr>
            <w:r>
              <w:rPr>
                <w:rFonts w:hint="eastAsia" w:ascii="宋体" w:hAnsi="宋体" w:eastAsia="宋体" w:cs="宋体"/>
                <w:color w:val="333333"/>
                <w:kern w:val="0"/>
                <w:sz w:val="24"/>
                <w:szCs w:val="24"/>
                <w:highlight w:val="none"/>
                <w:shd w:val="clear" w:color="auto" w:fill="FFFFFF"/>
                <w:lang w:val="en-US" w:eastAsia="zh-CN" w:bidi="ar-SA"/>
              </w:rPr>
              <w:t>电动担架车</w:t>
            </w:r>
          </w:p>
        </w:tc>
        <w:tc>
          <w:tcPr>
            <w:tcW w:w="1935" w:type="dxa"/>
            <w:vAlign w:val="center"/>
          </w:tcPr>
          <w:p w14:paraId="052913E5">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000000"/>
                <w:kern w:val="2"/>
                <w:sz w:val="21"/>
                <w:szCs w:val="21"/>
                <w:highlight w:val="none"/>
                <w:vertAlign w:val="baseline"/>
                <w:lang w:val="en-US" w:eastAsia="zh-CN" w:bidi="ar-SA"/>
              </w:rPr>
            </w:pPr>
            <w:r>
              <w:rPr>
                <w:rFonts w:hint="eastAsia" w:ascii="宋体" w:hAnsi="宋体" w:eastAsia="宋体" w:cs="宋体"/>
                <w:color w:val="000000"/>
                <w:kern w:val="2"/>
                <w:sz w:val="21"/>
                <w:szCs w:val="21"/>
                <w:highlight w:val="none"/>
                <w:vertAlign w:val="baseline"/>
                <w:lang w:val="en-US" w:eastAsia="zh-CN" w:bidi="ar-SA"/>
              </w:rPr>
              <w:t>台</w:t>
            </w:r>
          </w:p>
        </w:tc>
        <w:tc>
          <w:tcPr>
            <w:tcW w:w="1935" w:type="dxa"/>
            <w:vAlign w:val="center"/>
          </w:tcPr>
          <w:p w14:paraId="51D3347A">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000000"/>
                <w:kern w:val="2"/>
                <w:sz w:val="21"/>
                <w:szCs w:val="21"/>
                <w:highlight w:val="none"/>
                <w:vertAlign w:val="baseline"/>
                <w:lang w:val="en-US" w:eastAsia="zh-CN" w:bidi="ar-SA"/>
              </w:rPr>
            </w:pPr>
            <w:r>
              <w:rPr>
                <w:rFonts w:hint="eastAsia" w:ascii="宋体" w:hAnsi="宋体" w:eastAsia="宋体" w:cs="宋体"/>
                <w:color w:val="000000"/>
                <w:kern w:val="2"/>
                <w:sz w:val="21"/>
                <w:szCs w:val="21"/>
                <w:highlight w:val="none"/>
                <w:vertAlign w:val="baseline"/>
                <w:lang w:val="en-US" w:eastAsia="zh-CN" w:bidi="ar-SA"/>
              </w:rPr>
              <w:t>5</w:t>
            </w:r>
          </w:p>
        </w:tc>
      </w:tr>
    </w:tbl>
    <w:p w14:paraId="6FC829E9">
      <w:pPr>
        <w:keepNext w:val="0"/>
        <w:keepLines w:val="0"/>
        <w:pageBreakBefore w:val="0"/>
        <w:widowControl w:val="0"/>
        <w:shd w:val="clear"/>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注：</w:t>
      </w:r>
      <w:r>
        <w:rPr>
          <w:rFonts w:hint="eastAsia" w:ascii="宋体" w:hAnsi="宋体" w:eastAsia="宋体" w:cs="宋体"/>
          <w:kern w:val="2"/>
          <w:sz w:val="24"/>
          <w:szCs w:val="24"/>
          <w:lang w:val="en-US" w:eastAsia="zh-CN" w:bidi="ar-SA"/>
        </w:rPr>
        <w:t>本项目共计4个标段，开标顺序按标段编号依次开标。（2）投标单位可对以上4个标段中的任意一个或全部标段报名投标，本项目实行</w:t>
      </w:r>
      <w:r>
        <w:rPr>
          <w:rFonts w:hint="eastAsia" w:ascii="宋体" w:hAnsi="宋体" w:eastAsia="宋体" w:cs="宋体"/>
          <w:b/>
          <w:bCs/>
          <w:color w:val="000000"/>
          <w:kern w:val="2"/>
          <w:sz w:val="24"/>
          <w:szCs w:val="24"/>
          <w:lang w:val="en-US" w:eastAsia="zh-CN" w:bidi="ar-SA"/>
        </w:rPr>
        <w:t>兼投兼中</w:t>
      </w:r>
      <w:r>
        <w:rPr>
          <w:rFonts w:hint="eastAsia" w:ascii="宋体" w:hAnsi="宋体" w:eastAsia="宋体" w:cs="宋体"/>
          <w:kern w:val="2"/>
          <w:sz w:val="24"/>
          <w:szCs w:val="24"/>
          <w:lang w:val="en-US" w:eastAsia="zh-CN" w:bidi="ar-SA"/>
        </w:rPr>
        <w:t>原则，投标单位可同时中标多个标段，各标段评标、中标结果相互独立，已中标前序标段的投标单位，仍可参与后续标段的完整评标</w:t>
      </w:r>
      <w:r>
        <w:rPr>
          <w:rFonts w:hint="eastAsia" w:ascii="宋体" w:hAnsi="宋体" w:eastAsia="宋体" w:cs="宋体"/>
          <w:kern w:val="2"/>
          <w:sz w:val="24"/>
          <w:szCs w:val="24"/>
          <w:highlight w:val="none"/>
          <w:lang w:val="en-US" w:eastAsia="zh-CN" w:bidi="ar-SA"/>
        </w:rPr>
        <w:t>程序并参与中标候选排序。</w:t>
      </w:r>
    </w:p>
    <w:p w14:paraId="578B64FC">
      <w:pPr>
        <w:keepNext w:val="0"/>
        <w:keepLines w:val="0"/>
        <w:pageBreakBefore w:val="0"/>
        <w:widowControl w:val="0"/>
        <w:numPr>
          <w:ilvl w:val="0"/>
          <w:numId w:val="1"/>
        </w:numPr>
        <w:tabs>
          <w:tab w:val="left" w:pos="900"/>
          <w:tab w:val="clear" w:pos="312"/>
        </w:tabs>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lang w:val="en-US" w:eastAsia="zh-CN"/>
        </w:rPr>
        <w:t>交货期</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各标段均</w:t>
      </w:r>
      <w:r>
        <w:rPr>
          <w:rFonts w:hint="eastAsia" w:ascii="宋体" w:hAnsi="宋体" w:eastAsia="宋体" w:cs="宋体"/>
          <w:sz w:val="24"/>
          <w:szCs w:val="24"/>
          <w:highlight w:val="none"/>
        </w:rPr>
        <w:t>在合同签订后</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0日内完成</w:t>
      </w:r>
      <w:r>
        <w:rPr>
          <w:rFonts w:hint="eastAsia" w:ascii="宋体" w:hAnsi="宋体" w:eastAsia="宋体" w:cs="宋体"/>
          <w:sz w:val="24"/>
          <w:szCs w:val="24"/>
          <w:highlight w:val="none"/>
          <w:lang w:val="en-US" w:eastAsia="zh-CN"/>
        </w:rPr>
        <w:t>全部设备的</w:t>
      </w:r>
      <w:r>
        <w:rPr>
          <w:rFonts w:hint="eastAsia" w:ascii="宋体" w:hAnsi="宋体" w:eastAsia="宋体" w:cs="宋体"/>
          <w:sz w:val="24"/>
          <w:szCs w:val="24"/>
          <w:highlight w:val="none"/>
        </w:rPr>
        <w:t>交货、安装、调试及验收合格</w:t>
      </w:r>
      <w:r>
        <w:rPr>
          <w:rFonts w:hint="eastAsia" w:ascii="宋体" w:hAnsi="宋体" w:eastAsia="宋体" w:cs="宋体"/>
          <w:sz w:val="24"/>
          <w:szCs w:val="24"/>
          <w:highlight w:val="none"/>
          <w:lang w:eastAsia="zh-CN"/>
        </w:rPr>
        <w:t>；</w:t>
      </w:r>
    </w:p>
    <w:p w14:paraId="7D0AE0EE">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333333"/>
          <w:sz w:val="24"/>
          <w:szCs w:val="24"/>
          <w:highlight w:val="none"/>
          <w:shd w:val="clear" w:color="auto" w:fill="FFFFFF"/>
          <w:lang w:val="en-US"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333333"/>
          <w:sz w:val="24"/>
          <w:szCs w:val="24"/>
          <w:highlight w:val="none"/>
          <w:shd w:val="clear" w:color="auto" w:fill="FFFFFF"/>
          <w:lang w:val="en-US" w:eastAsia="zh-CN"/>
        </w:rPr>
        <w:t>免费质保期：</w:t>
      </w:r>
    </w:p>
    <w:p w14:paraId="2735A782">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333333"/>
          <w:sz w:val="24"/>
          <w:szCs w:val="24"/>
          <w:highlight w:val="none"/>
          <w:shd w:val="clear" w:color="auto" w:fill="FFFFFF"/>
          <w:lang w:val="en-US" w:eastAsia="zh-CN"/>
        </w:rPr>
        <w:t>采购包1</w:t>
      </w:r>
      <w:r>
        <w:rPr>
          <w:rFonts w:hint="eastAsia" w:ascii="宋体" w:hAnsi="宋体" w:cs="宋体"/>
          <w:color w:val="333333"/>
          <w:sz w:val="24"/>
          <w:szCs w:val="24"/>
          <w:highlight w:val="none"/>
          <w:shd w:val="clear" w:color="auto" w:fill="FFFFFF"/>
          <w:lang w:val="en-US" w:eastAsia="zh-CN"/>
        </w:rPr>
        <w:t>、</w:t>
      </w:r>
      <w:r>
        <w:rPr>
          <w:rFonts w:hint="eastAsia" w:ascii="宋体" w:hAnsi="宋体" w:eastAsia="宋体" w:cs="宋体"/>
          <w:color w:val="333333"/>
          <w:sz w:val="24"/>
          <w:szCs w:val="24"/>
          <w:highlight w:val="none"/>
          <w:shd w:val="clear" w:color="auto" w:fill="FFFFFF"/>
          <w:lang w:val="en-US" w:eastAsia="zh-CN"/>
        </w:rPr>
        <w:t>采购包2、采购包3、采购包4：免费</w:t>
      </w:r>
      <w:r>
        <w:rPr>
          <w:rFonts w:hint="eastAsia" w:ascii="宋体" w:hAnsi="宋体" w:eastAsia="宋体" w:cs="宋体"/>
          <w:sz w:val="24"/>
          <w:szCs w:val="24"/>
          <w:highlight w:val="none"/>
        </w:rPr>
        <w:t>质保期</w:t>
      </w:r>
      <w:r>
        <w:rPr>
          <w:rFonts w:hint="eastAsia" w:ascii="宋体" w:hAnsi="宋体" w:eastAsia="宋体" w:cs="宋体"/>
          <w:sz w:val="24"/>
          <w:szCs w:val="24"/>
          <w:highlight w:val="none"/>
          <w:lang w:val="en-US" w:eastAsia="zh-CN"/>
        </w:rPr>
        <w:t>均5</w:t>
      </w:r>
      <w:r>
        <w:rPr>
          <w:rFonts w:hint="eastAsia" w:ascii="宋体" w:hAnsi="宋体" w:eastAsia="宋体" w:cs="宋体"/>
          <w:sz w:val="24"/>
          <w:szCs w:val="24"/>
          <w:highlight w:val="none"/>
        </w:rPr>
        <w:t>年（自验收合格之日起计算）</w:t>
      </w:r>
      <w:r>
        <w:rPr>
          <w:rFonts w:hint="eastAsia" w:ascii="宋体" w:hAnsi="宋体" w:eastAsia="宋体" w:cs="宋体"/>
          <w:color w:val="auto"/>
          <w:sz w:val="24"/>
          <w:szCs w:val="24"/>
          <w:highlight w:val="none"/>
          <w:lang w:val="en-US" w:eastAsia="zh-CN"/>
        </w:rPr>
        <w:t>。</w:t>
      </w:r>
    </w:p>
    <w:p w14:paraId="4CE27F4C">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.服务标准：合格。</w:t>
      </w:r>
    </w:p>
    <w:p w14:paraId="401A4A35">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本项目（是/否）接受联合体投标：否。</w:t>
      </w:r>
    </w:p>
    <w:p w14:paraId="39048F05">
      <w:pPr>
        <w:keepNext w:val="0"/>
        <w:keepLines w:val="0"/>
        <w:pageBreakBefore w:val="0"/>
        <w:tabs>
          <w:tab w:val="left" w:pos="900"/>
        </w:tabs>
        <w:kinsoku/>
        <w:wordWrap/>
        <w:overflowPunct/>
        <w:topLinePunct w:val="0"/>
        <w:autoSpaceDE/>
        <w:autoSpaceDN/>
        <w:bidi w:val="0"/>
        <w:adjustRightInd/>
        <w:snapToGrid/>
        <w:spacing w:line="360" w:lineRule="auto"/>
        <w:ind w:left="42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二、申请人的资格要求</w:t>
      </w:r>
    </w:p>
    <w:p w14:paraId="30A42CF6">
      <w:pPr>
        <w:pStyle w:val="36"/>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highlight w:val="none"/>
        </w:rPr>
      </w:pPr>
      <w:r>
        <w:rPr>
          <w:rFonts w:hint="eastAsia" w:ascii="宋体" w:hAnsi="宋体" w:eastAsia="宋体" w:cs="宋体"/>
          <w:highlight w:val="none"/>
        </w:rPr>
        <w:t>1.满足《中华人民共和国政府采购法》第二十二条规定，并提供下列材料：</w:t>
      </w:r>
    </w:p>
    <w:p w14:paraId="48824A2D">
      <w:pPr>
        <w:pStyle w:val="36"/>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highlight w:val="none"/>
        </w:rPr>
      </w:pPr>
      <w:r>
        <w:rPr>
          <w:rFonts w:hint="eastAsia" w:ascii="宋体" w:hAnsi="宋体" w:eastAsia="宋体" w:cs="宋体"/>
          <w:highlight w:val="none"/>
        </w:rPr>
        <w:t>1.1 法人或者其他组织的营业执照等证明文件，自然人的身份证明；</w:t>
      </w:r>
    </w:p>
    <w:p w14:paraId="6ACCD3F9">
      <w:pPr>
        <w:pStyle w:val="36"/>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highlight w:val="none"/>
        </w:rPr>
      </w:pPr>
      <w:r>
        <w:rPr>
          <w:rFonts w:hint="eastAsia" w:ascii="宋体" w:hAnsi="宋体" w:eastAsia="宋体" w:cs="宋体"/>
          <w:highlight w:val="none"/>
        </w:rPr>
        <w:t>1.2</w:t>
      </w:r>
      <w:r>
        <w:rPr>
          <w:rFonts w:hint="eastAsia" w:ascii="宋体" w:hAnsi="宋体" w:eastAsia="宋体" w:cs="宋体"/>
          <w:iCs/>
          <w:color w:val="000000"/>
          <w:highlight w:val="none"/>
          <w:lang w:eastAsia="zh-CN"/>
        </w:rPr>
        <w:t>上一年度的财务状况报表（至少提供资产负债表、利润表、现金流量表，投标人成立不满一年无需提供）</w:t>
      </w:r>
      <w:r>
        <w:rPr>
          <w:rFonts w:hint="eastAsia" w:ascii="宋体" w:hAnsi="宋体" w:eastAsia="宋体" w:cs="宋体"/>
          <w:highlight w:val="none"/>
        </w:rPr>
        <w:t>；</w:t>
      </w:r>
    </w:p>
    <w:p w14:paraId="70BD4FB8">
      <w:pPr>
        <w:pStyle w:val="36"/>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highlight w:val="none"/>
        </w:rPr>
      </w:pPr>
      <w:r>
        <w:rPr>
          <w:rFonts w:hint="eastAsia" w:ascii="宋体" w:hAnsi="宋体" w:eastAsia="宋体" w:cs="宋体"/>
          <w:highlight w:val="none"/>
        </w:rPr>
        <w:t>1.</w:t>
      </w:r>
      <w:bookmarkStart w:id="1" w:name="OLE_LINK18"/>
      <w:bookmarkStart w:id="2" w:name="OLE_LINK17"/>
      <w:r>
        <w:rPr>
          <w:rFonts w:hint="eastAsia" w:ascii="宋体" w:hAnsi="宋体" w:eastAsia="宋体" w:cs="宋体"/>
          <w:highlight w:val="none"/>
          <w:lang w:val="en-US" w:eastAsia="zh-CN"/>
        </w:rPr>
        <w:t>3</w:t>
      </w:r>
      <w:r>
        <w:rPr>
          <w:rFonts w:hint="eastAsia" w:ascii="宋体" w:hAnsi="宋体" w:eastAsia="宋体" w:cs="宋体"/>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bookmarkEnd w:id="1"/>
      <w:bookmarkEnd w:id="2"/>
      <w:r>
        <w:rPr>
          <w:rFonts w:hint="eastAsia" w:ascii="宋体" w:hAnsi="宋体" w:eastAsia="宋体" w:cs="宋体"/>
          <w:highlight w:val="none"/>
        </w:rPr>
        <w:t>；</w:t>
      </w:r>
    </w:p>
    <w:p w14:paraId="34447174">
      <w:pPr>
        <w:pStyle w:val="36"/>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highlight w:val="none"/>
        </w:rPr>
      </w:pPr>
      <w:r>
        <w:rPr>
          <w:rFonts w:hint="eastAsia" w:ascii="宋体" w:hAnsi="宋体" w:eastAsia="宋体" w:cs="宋体"/>
          <w:highlight w:val="none"/>
        </w:rPr>
        <w:t>1.</w:t>
      </w:r>
      <w:r>
        <w:rPr>
          <w:rFonts w:hint="eastAsia" w:ascii="宋体" w:hAnsi="宋体" w:eastAsia="宋体" w:cs="宋体"/>
          <w:highlight w:val="none"/>
          <w:lang w:val="en-US" w:eastAsia="zh-CN"/>
        </w:rPr>
        <w:t>4</w:t>
      </w:r>
      <w:r>
        <w:rPr>
          <w:rFonts w:hint="eastAsia" w:ascii="宋体" w:hAnsi="宋体" w:eastAsia="宋体" w:cs="宋体"/>
          <w:highlight w:val="none"/>
        </w:rPr>
        <w:t>具备履行合同所必需的设备和专业技术能力的书面声明；</w:t>
      </w:r>
    </w:p>
    <w:p w14:paraId="7FAE033B">
      <w:pPr>
        <w:pStyle w:val="36"/>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highlight w:val="none"/>
        </w:rPr>
      </w:pPr>
      <w:r>
        <w:rPr>
          <w:rFonts w:hint="eastAsia" w:ascii="宋体" w:hAnsi="宋体" w:eastAsia="宋体" w:cs="宋体"/>
          <w:highlight w:val="none"/>
        </w:rPr>
        <w:t>1.5</w:t>
      </w:r>
      <w:bookmarkStart w:id="3" w:name="OLE_LINK20"/>
      <w:bookmarkStart w:id="4" w:name="OLE_LINK19"/>
      <w:r>
        <w:rPr>
          <w:rFonts w:hint="eastAsia" w:ascii="宋体" w:hAnsi="宋体" w:eastAsia="宋体" w:cs="宋体"/>
          <w:highlight w:val="none"/>
        </w:rPr>
        <w:t>参加政府采购活动前3年内在经营活动中没有重大违法记录的书面声明</w:t>
      </w:r>
      <w:bookmarkEnd w:id="3"/>
      <w:bookmarkEnd w:id="4"/>
      <w:r>
        <w:rPr>
          <w:rFonts w:hint="eastAsia" w:ascii="宋体" w:hAnsi="宋体" w:eastAsia="宋体" w:cs="宋体"/>
          <w:highlight w:val="none"/>
        </w:rPr>
        <w:t>。</w:t>
      </w:r>
    </w:p>
    <w:p w14:paraId="0C32B200">
      <w:pPr>
        <w:pStyle w:val="36"/>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highlight w:val="none"/>
        </w:rPr>
      </w:pPr>
      <w:r>
        <w:rPr>
          <w:rFonts w:hint="eastAsia" w:ascii="宋体" w:hAnsi="宋体" w:eastAsia="宋体" w:cs="宋体"/>
          <w:highlight w:val="none"/>
        </w:rPr>
        <w:t>1.6</w:t>
      </w:r>
      <w:bookmarkStart w:id="5" w:name="OLE_LINK22"/>
      <w:r>
        <w:rPr>
          <w:rFonts w:hint="eastAsia" w:ascii="宋体" w:hAnsi="宋体" w:eastAsia="宋体" w:cs="宋体"/>
          <w:highlight w:val="none"/>
        </w:rPr>
        <w:t>法律、行政法规规定的其他条件</w:t>
      </w:r>
      <w:bookmarkEnd w:id="5"/>
      <w:r>
        <w:rPr>
          <w:rFonts w:hint="eastAsia" w:ascii="宋体" w:hAnsi="宋体" w:eastAsia="宋体" w:cs="宋体"/>
          <w:highlight w:val="none"/>
        </w:rPr>
        <w:t>。</w:t>
      </w:r>
    </w:p>
    <w:p w14:paraId="2B228FD1">
      <w:pPr>
        <w:pStyle w:val="36"/>
        <w:keepNext w:val="0"/>
        <w:keepLines w:val="0"/>
        <w:pageBreakBefore w:val="0"/>
        <w:tabs>
          <w:tab w:val="left" w:pos="3570"/>
        </w:tabs>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highlight w:val="none"/>
        </w:rPr>
      </w:pPr>
      <w:r>
        <w:rPr>
          <w:rFonts w:hint="eastAsia" w:ascii="宋体" w:hAnsi="宋体" w:eastAsia="宋体" w:cs="宋体"/>
          <w:highlight w:val="none"/>
        </w:rPr>
        <w:t>1.7</w:t>
      </w:r>
      <w:bookmarkStart w:id="6" w:name="OLE_LINK25"/>
      <w:bookmarkStart w:id="7" w:name="OLE_LINK24"/>
      <w:r>
        <w:rPr>
          <w:rFonts w:hint="eastAsia" w:ascii="宋体" w:hAnsi="宋体" w:eastAsia="宋体" w:cs="宋体"/>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6"/>
      <w:bookmarkEnd w:id="7"/>
    </w:p>
    <w:p w14:paraId="4CDF2AED">
      <w:pPr>
        <w:pStyle w:val="36"/>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highlight w:val="none"/>
        </w:rPr>
      </w:pPr>
      <w:r>
        <w:rPr>
          <w:rFonts w:hint="eastAsia" w:ascii="宋体" w:hAnsi="宋体" w:eastAsia="宋体" w:cs="宋体"/>
          <w:highlight w:val="none"/>
        </w:rPr>
        <w:t>1.8</w:t>
      </w:r>
      <w:bookmarkStart w:id="8" w:name="OLE_LINK26"/>
      <w:r>
        <w:rPr>
          <w:rFonts w:hint="eastAsia" w:ascii="宋体" w:hAnsi="宋体" w:eastAsia="宋体" w:cs="宋体"/>
          <w:highlight w:val="none"/>
        </w:rPr>
        <w:t>单位负责人为同一人或者存在直接控股、管理关系的不同供应商，不得参加同一合同项下的政府采购活动</w:t>
      </w:r>
      <w:bookmarkEnd w:id="8"/>
      <w:r>
        <w:rPr>
          <w:rFonts w:hint="eastAsia" w:ascii="宋体" w:hAnsi="宋体" w:eastAsia="宋体" w:cs="宋体"/>
          <w:highlight w:val="none"/>
        </w:rPr>
        <w:t>。</w:t>
      </w:r>
    </w:p>
    <w:p w14:paraId="771EAD2A">
      <w:pPr>
        <w:pStyle w:val="36"/>
        <w:keepNext w:val="0"/>
        <w:keepLines w:val="0"/>
        <w:pageBreakBefore w:val="0"/>
        <w:numPr>
          <w:ilvl w:val="0"/>
          <w:numId w:val="2"/>
        </w:numPr>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highlight w:val="none"/>
        </w:rPr>
      </w:pPr>
      <w:r>
        <w:rPr>
          <w:rFonts w:hint="eastAsia" w:ascii="宋体" w:hAnsi="宋体" w:eastAsia="宋体" w:cs="宋体"/>
          <w:highlight w:val="none"/>
        </w:rPr>
        <w:t>落实政府采购政策需满足的资格要求</w:t>
      </w:r>
      <w:r>
        <w:rPr>
          <w:rFonts w:hint="eastAsia" w:ascii="宋体" w:hAnsi="宋体" w:eastAsia="宋体" w:cs="宋体"/>
          <w:highlight w:val="none"/>
          <w:u w:val="none"/>
        </w:rPr>
        <w:t>：</w:t>
      </w:r>
      <w:r>
        <w:rPr>
          <w:rFonts w:hint="eastAsia" w:ascii="宋体" w:hAnsi="宋体" w:eastAsia="宋体" w:cs="宋体"/>
          <w:color w:val="auto"/>
          <w:sz w:val="24"/>
          <w:szCs w:val="24"/>
          <w:highlight w:val="none"/>
          <w:u w:val="none"/>
          <w:lang w:val="en-US" w:eastAsia="zh-CN"/>
        </w:rPr>
        <w:t>本项目落实小微型企业、残疾人福利性单位及监狱企业扶持等相关政府采购政策。对符合(财库[2020]46号)规定的小微企业报价给予20%的价格扣除，用扣除后的价格参与评审。参加政府采购活动的小微企业如实提供《中小企业声明函》</w:t>
      </w:r>
      <w:r>
        <w:rPr>
          <w:rFonts w:hint="eastAsia" w:ascii="宋体" w:hAnsi="宋体" w:eastAsia="宋体" w:cs="宋体"/>
          <w:highlight w:val="none"/>
          <w:u w:val="none"/>
        </w:rPr>
        <w:t>。</w:t>
      </w:r>
    </w:p>
    <w:p w14:paraId="31B99C4F">
      <w:pPr>
        <w:keepNext w:val="0"/>
        <w:keepLines w:val="0"/>
        <w:pageBreakBefore w:val="0"/>
        <w:numPr>
          <w:ilvl w:val="0"/>
          <w:numId w:val="2"/>
        </w:numPr>
        <w:tabs>
          <w:tab w:val="left" w:pos="900"/>
          <w:tab w:val="clear" w:pos="312"/>
        </w:tabs>
        <w:kinsoku/>
        <w:wordWrap/>
        <w:overflowPunct/>
        <w:topLinePunct w:val="0"/>
        <w:autoSpaceDE/>
        <w:autoSpaceDN/>
        <w:bidi w:val="0"/>
        <w:adjustRightInd/>
        <w:snapToGrid/>
        <w:spacing w:line="360" w:lineRule="auto"/>
        <w:ind w:left="0" w:leftChars="0" w:firstLine="480" w:firstLineChars="0"/>
        <w:textAlignment w:val="auto"/>
        <w:rPr>
          <w:rFonts w:hint="eastAsia" w:ascii="宋体" w:hAnsi="宋体" w:eastAsia="宋体" w:cs="宋体"/>
          <w:sz w:val="24"/>
          <w:szCs w:val="22"/>
          <w:highlight w:val="none"/>
          <w:lang w:val="en-US" w:eastAsia="zh-CN" w:bidi="ar-SA"/>
        </w:rPr>
      </w:pPr>
      <w:r>
        <w:rPr>
          <w:rFonts w:hint="eastAsia" w:ascii="宋体" w:hAnsi="宋体" w:eastAsia="宋体" w:cs="宋体"/>
          <w:sz w:val="24"/>
          <w:szCs w:val="22"/>
          <w:highlight w:val="none"/>
          <w:lang w:val="en-US" w:eastAsia="zh-CN" w:bidi="ar-SA"/>
        </w:rPr>
        <w:t>本项目的特定资格要求：</w:t>
      </w:r>
    </w:p>
    <w:p w14:paraId="2AF4C4B9">
      <w:pPr>
        <w:keepNext w:val="0"/>
        <w:keepLines w:val="0"/>
        <w:pageBreakBefore w:val="0"/>
        <w:numPr>
          <w:ilvl w:val="0"/>
          <w:numId w:val="0"/>
        </w:numPr>
        <w:tabs>
          <w:tab w:val="left" w:pos="900"/>
        </w:tabs>
        <w:kinsoku/>
        <w:wordWrap/>
        <w:overflowPunct/>
        <w:topLinePunct w:val="0"/>
        <w:autoSpaceDE/>
        <w:autoSpaceDN/>
        <w:bidi w:val="0"/>
        <w:adjustRightInd/>
        <w:snapToGrid/>
        <w:spacing w:line="360" w:lineRule="auto"/>
        <w:ind w:left="480" w:leftChars="0"/>
        <w:textAlignment w:val="auto"/>
        <w:rPr>
          <w:rFonts w:hint="eastAsia" w:ascii="宋体" w:hAnsi="宋体" w:eastAsia="宋体" w:cs="宋体"/>
          <w:color w:val="000000"/>
          <w:kern w:val="2"/>
          <w:sz w:val="21"/>
          <w:szCs w:val="21"/>
          <w:highlight w:val="none"/>
          <w:vertAlign w:val="baseline"/>
          <w:lang w:val="en-US" w:eastAsia="zh-CN" w:bidi="ar-SA"/>
        </w:rPr>
      </w:pPr>
      <w:r>
        <w:rPr>
          <w:rFonts w:hint="eastAsia" w:ascii="宋体" w:hAnsi="宋体" w:eastAsia="宋体" w:cs="宋体"/>
          <w:color w:val="000000"/>
          <w:kern w:val="2"/>
          <w:sz w:val="21"/>
          <w:szCs w:val="21"/>
          <w:highlight w:val="none"/>
          <w:vertAlign w:val="baseline"/>
          <w:lang w:val="en-US" w:eastAsia="zh-CN" w:bidi="ar-SA"/>
        </w:rPr>
        <w:t>注：</w:t>
      </w:r>
      <w:r>
        <w:rPr>
          <w:rFonts w:hint="eastAsia" w:ascii="宋体" w:hAnsi="宋体" w:eastAsia="宋体" w:cs="宋体"/>
          <w:sz w:val="24"/>
          <w:szCs w:val="24"/>
          <w:highlight w:val="none"/>
        </w:rPr>
        <w:t>供应商可同时投多个采购包，须满足所投对应采购包全部特定资格要求</w:t>
      </w:r>
      <w:r>
        <w:rPr>
          <w:rFonts w:hint="eastAsia" w:ascii="宋体" w:hAnsi="宋体" w:eastAsia="宋体" w:cs="宋体"/>
          <w:sz w:val="24"/>
          <w:szCs w:val="24"/>
          <w:highlight w:val="none"/>
          <w:lang w:eastAsia="zh-CN"/>
        </w:rPr>
        <w:t>。</w:t>
      </w:r>
    </w:p>
    <w:p w14:paraId="11F344D0">
      <w:pPr>
        <w:keepNext w:val="0"/>
        <w:keepLines w:val="0"/>
        <w:pageBreakBefore w:val="0"/>
        <w:numPr>
          <w:ilvl w:val="0"/>
          <w:numId w:val="0"/>
        </w:numPr>
        <w:tabs>
          <w:tab w:val="left" w:pos="900"/>
        </w:tabs>
        <w:kinsoku/>
        <w:wordWrap/>
        <w:overflowPunct/>
        <w:topLinePunct w:val="0"/>
        <w:autoSpaceDE/>
        <w:autoSpaceDN/>
        <w:bidi w:val="0"/>
        <w:adjustRightInd/>
        <w:snapToGrid/>
        <w:spacing w:line="360" w:lineRule="auto"/>
        <w:ind w:left="480" w:leftChars="0"/>
        <w:textAlignment w:val="auto"/>
        <w:rPr>
          <w:rFonts w:hint="eastAsia" w:ascii="宋体" w:hAnsi="宋体" w:eastAsia="宋体" w:cs="宋体"/>
          <w:sz w:val="24"/>
          <w:szCs w:val="22"/>
          <w:highlight w:val="none"/>
          <w:lang w:val="en-US" w:eastAsia="zh-CN" w:bidi="ar-SA"/>
        </w:rPr>
      </w:pPr>
      <w:r>
        <w:rPr>
          <w:rFonts w:hint="eastAsia" w:ascii="宋体" w:hAnsi="宋体" w:eastAsia="宋体" w:cs="宋体"/>
          <w:color w:val="000000"/>
          <w:kern w:val="2"/>
          <w:sz w:val="21"/>
          <w:szCs w:val="21"/>
          <w:highlight w:val="none"/>
          <w:vertAlign w:val="baseline"/>
          <w:lang w:val="en-US" w:eastAsia="zh-CN" w:bidi="ar-SA"/>
        </w:rPr>
        <w:t>采购包1</w:t>
      </w:r>
      <w:r>
        <w:rPr>
          <w:rFonts w:hint="eastAsia" w:ascii="宋体" w:hAnsi="宋体" w:eastAsia="宋体" w:cs="宋体"/>
          <w:sz w:val="24"/>
          <w:szCs w:val="22"/>
          <w:highlight w:val="none"/>
          <w:lang w:val="en-US" w:eastAsia="zh-CN" w:bidi="ar-SA"/>
        </w:rPr>
        <w:t>：心电图机</w:t>
      </w:r>
    </w:p>
    <w:p w14:paraId="07E3CD7C">
      <w:pPr>
        <w:keepNext w:val="0"/>
        <w:keepLines w:val="0"/>
        <w:pageBreakBefore w:val="0"/>
        <w:numPr>
          <w:ilvl w:val="0"/>
          <w:numId w:val="0"/>
        </w:numPr>
        <w:tabs>
          <w:tab w:val="left" w:pos="900"/>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2"/>
          <w:highlight w:val="none"/>
          <w:lang w:val="en-US" w:eastAsia="zh-CN" w:bidi="ar-SA"/>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投标人须具备有效的医疗器械经营许可证或者第二类医疗器械经营备案凭证</w:t>
      </w:r>
      <w:r>
        <w:rPr>
          <w:rFonts w:hint="eastAsia" w:ascii="宋体" w:hAnsi="宋体" w:eastAsia="宋体" w:cs="宋体"/>
          <w:sz w:val="24"/>
          <w:szCs w:val="22"/>
          <w:highlight w:val="none"/>
          <w:lang w:val="en-US" w:eastAsia="zh-CN" w:bidi="ar-SA"/>
        </w:rPr>
        <w:t>；</w:t>
      </w:r>
    </w:p>
    <w:p w14:paraId="070921DB">
      <w:pPr>
        <w:keepNext w:val="0"/>
        <w:keepLines w:val="0"/>
        <w:pageBreakBefore w:val="0"/>
        <w:widowControl/>
        <w:suppressLineNumbers w:val="0"/>
        <w:kinsoku/>
        <w:wordWrap/>
        <w:overflowPunct/>
        <w:topLinePunct w:val="0"/>
        <w:autoSpaceDE/>
        <w:autoSpaceDN/>
        <w:bidi w:val="0"/>
        <w:adjustRightInd/>
        <w:spacing w:line="360" w:lineRule="auto"/>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（2）投标文件须提供所投产品生产厂家有效的医疗器械生产许可证（进口产品除外）；</w:t>
      </w:r>
    </w:p>
    <w:p w14:paraId="16F5615A">
      <w:pPr>
        <w:keepNext w:val="0"/>
        <w:keepLines w:val="0"/>
        <w:pageBreakBefore w:val="0"/>
        <w:widowControl/>
        <w:suppressLineNumbers w:val="0"/>
        <w:kinsoku/>
        <w:wordWrap/>
        <w:overflowPunct/>
        <w:topLinePunct w:val="0"/>
        <w:autoSpaceDE/>
        <w:autoSpaceDN/>
        <w:bidi w:val="0"/>
        <w:adjustRightInd/>
        <w:spacing w:line="360" w:lineRule="auto"/>
        <w:jc w:val="left"/>
        <w:textAlignment w:val="auto"/>
        <w:rPr>
          <w:rFonts w:hint="eastAsia" w:ascii="宋体" w:hAnsi="宋体" w:eastAsia="宋体" w:cs="宋体"/>
          <w:sz w:val="24"/>
          <w:szCs w:val="22"/>
          <w:highlight w:val="none"/>
          <w:lang w:val="en-US" w:eastAsia="zh-CN" w:bidi="ar-SA"/>
        </w:rPr>
      </w:pPr>
      <w:r>
        <w:rPr>
          <w:rFonts w:hint="eastAsia" w:ascii="宋体" w:hAnsi="宋体" w:eastAsia="宋体" w:cs="宋体"/>
          <w:kern w:val="0"/>
          <w:sz w:val="24"/>
          <w:szCs w:val="24"/>
          <w:highlight w:val="none"/>
          <w:lang w:val="en-US" w:eastAsia="zh-CN" w:bidi="ar"/>
        </w:rPr>
        <w:t>（3）</w:t>
      </w:r>
      <w:r>
        <w:rPr>
          <w:rFonts w:hint="eastAsia" w:ascii="宋体" w:hAnsi="宋体" w:eastAsia="宋体" w:cs="宋体"/>
          <w:sz w:val="24"/>
          <w:szCs w:val="24"/>
          <w:highlight w:val="none"/>
        </w:rPr>
        <w:t>投标人2023年1月至今须至少拥有1个同类移动心电采集设备销售业绩</w:t>
      </w:r>
      <w:r>
        <w:rPr>
          <w:rFonts w:hint="eastAsia" w:ascii="宋体" w:hAnsi="宋体" w:eastAsia="宋体" w:cs="宋体"/>
          <w:sz w:val="24"/>
          <w:szCs w:val="22"/>
          <w:highlight w:val="none"/>
          <w:lang w:val="en-US" w:eastAsia="zh-CN" w:bidi="ar-SA"/>
        </w:rPr>
        <w:t>（提供合同或中标通知书扫描件）。</w:t>
      </w:r>
    </w:p>
    <w:p w14:paraId="0CD1F19F">
      <w:pPr>
        <w:keepNext w:val="0"/>
        <w:keepLines w:val="0"/>
        <w:pageBreakBefore w:val="0"/>
        <w:numPr>
          <w:ilvl w:val="0"/>
          <w:numId w:val="0"/>
        </w:numPr>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采购包2：</w:t>
      </w:r>
      <w:r>
        <w:rPr>
          <w:rFonts w:hint="eastAsia" w:ascii="宋体" w:hAnsi="宋体" w:eastAsia="宋体" w:cs="宋体"/>
          <w:sz w:val="24"/>
          <w:szCs w:val="24"/>
        </w:rPr>
        <w:t>心电监护除颤一体机、采购包3：呼吸机、采购包4：电动担架车（通用特定资格）</w:t>
      </w:r>
    </w:p>
    <w:p w14:paraId="0E0DBAC0">
      <w:pPr>
        <w:keepNext w:val="0"/>
        <w:keepLines w:val="0"/>
        <w:pageBreakBefore w:val="0"/>
        <w:numPr>
          <w:ilvl w:val="0"/>
          <w:numId w:val="0"/>
        </w:numPr>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（1）</w:t>
      </w:r>
      <w:r>
        <w:rPr>
          <w:rFonts w:hint="eastAsia" w:ascii="宋体" w:hAnsi="宋体" w:eastAsia="宋体" w:cs="宋体"/>
          <w:sz w:val="24"/>
          <w:szCs w:val="24"/>
        </w:rPr>
        <w:t>投标人为医疗器械经营企业的，须具备与投标产品管理类别相匹配的有效的医疗器械经营许可证或者第二类医疗器械经营备案凭证</w:t>
      </w:r>
      <w:r>
        <w:rPr>
          <w:rFonts w:hint="eastAsia" w:ascii="宋体" w:hAnsi="宋体" w:eastAsia="宋体" w:cs="宋体"/>
          <w:sz w:val="24"/>
          <w:szCs w:val="22"/>
          <w:lang w:val="en-US" w:eastAsia="zh-CN" w:bidi="ar-SA"/>
        </w:rPr>
        <w:t>；</w:t>
      </w:r>
    </w:p>
    <w:p w14:paraId="493A72B7">
      <w:pPr>
        <w:keepNext w:val="0"/>
        <w:keepLines w:val="0"/>
        <w:pageBreakBefore w:val="0"/>
        <w:numPr>
          <w:ilvl w:val="0"/>
          <w:numId w:val="0"/>
        </w:numPr>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2"/>
          <w:highlight w:val="none"/>
          <w:lang w:val="en-US" w:eastAsia="zh-CN" w:bidi="ar-SA"/>
        </w:rPr>
      </w:pPr>
      <w:r>
        <w:rPr>
          <w:rFonts w:hint="eastAsia" w:ascii="宋体" w:hAnsi="宋体" w:eastAsia="宋体" w:cs="宋体"/>
          <w:sz w:val="24"/>
          <w:szCs w:val="22"/>
          <w:lang w:val="en-US" w:eastAsia="zh-CN" w:bidi="ar-SA"/>
        </w:rPr>
        <w:t>（2）</w:t>
      </w:r>
      <w:r>
        <w:rPr>
          <w:rFonts w:hint="eastAsia" w:ascii="宋体" w:hAnsi="宋体" w:eastAsia="宋体" w:cs="宋体"/>
          <w:sz w:val="24"/>
          <w:szCs w:val="24"/>
        </w:rPr>
        <w:t>投标人</w:t>
      </w:r>
      <w:r>
        <w:rPr>
          <w:rFonts w:hint="eastAsia" w:ascii="宋体" w:hAnsi="宋体" w:eastAsia="宋体" w:cs="宋体"/>
          <w:sz w:val="24"/>
          <w:szCs w:val="24"/>
          <w:highlight w:val="none"/>
        </w:rPr>
        <w:t>为医疗器械生产企业且投标本企业自有产品的，投标文件须提供本企业有效的医疗器械生产许可证</w:t>
      </w:r>
      <w:r>
        <w:rPr>
          <w:rFonts w:hint="eastAsia" w:ascii="宋体" w:hAnsi="宋体" w:eastAsia="宋体" w:cs="宋体"/>
          <w:sz w:val="24"/>
          <w:szCs w:val="22"/>
          <w:highlight w:val="none"/>
          <w:lang w:val="en-US" w:eastAsia="zh-CN" w:bidi="ar-SA"/>
        </w:rPr>
        <w:t>。</w:t>
      </w:r>
      <w:r>
        <w:rPr>
          <w:rFonts w:hint="eastAsia" w:ascii="宋体" w:hAnsi="宋体" w:eastAsia="宋体" w:cs="宋体"/>
          <w:kern w:val="0"/>
          <w:sz w:val="24"/>
          <w:szCs w:val="24"/>
          <w:highlight w:val="none"/>
          <w:lang w:val="en-US" w:eastAsia="zh-CN" w:bidi="ar"/>
        </w:rPr>
        <w:t>（进口产品除外）</w:t>
      </w:r>
    </w:p>
    <w:p w14:paraId="033307DA">
      <w:pPr>
        <w:keepNext w:val="0"/>
        <w:keepLines w:val="0"/>
        <w:pageBreakBefore w:val="0"/>
        <w:tabs>
          <w:tab w:val="left" w:pos="900"/>
        </w:tabs>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三、获取招标文件</w:t>
      </w:r>
    </w:p>
    <w:p w14:paraId="7AA82599">
      <w:pPr>
        <w:keepNext w:val="0"/>
        <w:keepLines w:val="0"/>
        <w:pageBreakBefore w:val="0"/>
        <w:tabs>
          <w:tab w:val="left" w:pos="90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auto"/>
          <w:sz w:val="24"/>
          <w:szCs w:val="24"/>
        </w:rPr>
      </w:pPr>
      <w:r>
        <w:rPr>
          <w:rFonts w:hint="eastAsia" w:ascii="宋体" w:hAnsi="宋体" w:eastAsia="宋体" w:cs="宋体"/>
          <w:color w:val="auto"/>
          <w:sz w:val="24"/>
          <w:szCs w:val="24"/>
        </w:rPr>
        <w:t>1.时间：自招标文件公告发布之日起5个工作日。</w:t>
      </w:r>
    </w:p>
    <w:p w14:paraId="5731F346">
      <w:pPr>
        <w:keepNext w:val="0"/>
        <w:keepLines w:val="0"/>
        <w:pageBreakBefore w:val="0"/>
        <w:tabs>
          <w:tab w:val="left" w:pos="90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2.地点：</w:t>
      </w:r>
      <w:r>
        <w:rPr>
          <w:rFonts w:hint="eastAsia" w:ascii="宋体" w:hAnsi="宋体" w:eastAsia="宋体" w:cs="宋体"/>
          <w:color w:val="000000"/>
          <w:kern w:val="0"/>
          <w:sz w:val="24"/>
          <w:szCs w:val="24"/>
          <w:highlight w:val="none"/>
          <w:lang w:val="en-US" w:eastAsia="zh-CN" w:bidi="ar-SA"/>
        </w:rPr>
        <w:t>“苏采云”系统内免费下载（</w:t>
      </w:r>
      <w:r>
        <w:rPr>
          <w:rFonts w:hint="eastAsia" w:ascii="宋体" w:hAnsi="宋体" w:eastAsia="宋体" w:cs="宋体"/>
          <w:color w:val="auto"/>
          <w:sz w:val="24"/>
          <w:szCs w:val="24"/>
        </w:rPr>
        <w:t>供应商</w:t>
      </w:r>
      <w:r>
        <w:rPr>
          <w:rFonts w:hint="eastAsia" w:ascii="宋体" w:hAnsi="宋体" w:eastAsia="宋体" w:cs="宋体"/>
          <w:color w:val="000000"/>
          <w:kern w:val="0"/>
          <w:sz w:val="24"/>
          <w:szCs w:val="24"/>
          <w:highlight w:val="none"/>
          <w:lang w:val="en-US" w:eastAsia="zh-CN" w:bidi="ar-SA"/>
        </w:rPr>
        <w:t>必须在苏采云系统中获取采购文件，方能参与政府采购项目）</w:t>
      </w:r>
      <w:r>
        <w:rPr>
          <w:rFonts w:hint="eastAsia" w:ascii="宋体" w:hAnsi="宋体" w:eastAsia="宋体" w:cs="宋体"/>
          <w:color w:val="auto"/>
          <w:sz w:val="24"/>
          <w:szCs w:val="24"/>
        </w:rPr>
        <w:t>。</w:t>
      </w:r>
    </w:p>
    <w:p w14:paraId="00D3F542">
      <w:pPr>
        <w:keepNext w:val="0"/>
        <w:keepLines w:val="0"/>
        <w:pageBreakBefore w:val="0"/>
        <w:tabs>
          <w:tab w:val="left" w:pos="90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rPr>
        <w:t>3.方式：</w:t>
      </w:r>
      <w:r>
        <w:rPr>
          <w:rFonts w:hint="eastAsia" w:ascii="宋体" w:hAnsi="宋体" w:eastAsia="宋体" w:cs="宋体"/>
          <w:color w:val="000000"/>
          <w:kern w:val="0"/>
          <w:sz w:val="24"/>
          <w:szCs w:val="24"/>
          <w:highlight w:val="none"/>
          <w:lang w:val="en-US" w:eastAsia="zh-CN" w:bidi="ar-SA"/>
        </w:rPr>
        <w:t>本项目采用网上注册登记方式。</w:t>
      </w:r>
    </w:p>
    <w:p w14:paraId="37F8FDA0">
      <w:pPr>
        <w:keepNext w:val="0"/>
        <w:keepLines w:val="0"/>
        <w:pageBreakBefore w:val="0"/>
        <w:tabs>
          <w:tab w:val="left" w:pos="90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4.售价：0元。</w:t>
      </w:r>
    </w:p>
    <w:p w14:paraId="4107DAD5">
      <w:pPr>
        <w:keepNext w:val="0"/>
        <w:keepLines w:val="0"/>
        <w:pageBreakBefore w:val="0"/>
        <w:tabs>
          <w:tab w:val="left" w:pos="900"/>
        </w:tabs>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4"/>
          <w:szCs w:val="24"/>
        </w:rPr>
      </w:pPr>
      <w:bookmarkStart w:id="9" w:name="_Toc28359084"/>
      <w:bookmarkStart w:id="10" w:name="_Toc28359007"/>
      <w:bookmarkStart w:id="11" w:name="_Toc35393625"/>
      <w:bookmarkStart w:id="12" w:name="_Toc35393794"/>
      <w:r>
        <w:rPr>
          <w:rFonts w:hint="eastAsia" w:ascii="宋体" w:hAnsi="宋体" w:eastAsia="宋体" w:cs="宋体"/>
          <w:b/>
          <w:bCs/>
          <w:color w:val="auto"/>
          <w:sz w:val="24"/>
          <w:szCs w:val="24"/>
        </w:rPr>
        <w:t>四、提交投标文件截止时间、开标时间和地点</w:t>
      </w:r>
    </w:p>
    <w:p w14:paraId="610ACBED">
      <w:pPr>
        <w:keepNext w:val="0"/>
        <w:keepLines w:val="0"/>
        <w:pageBreakBefore w:val="0"/>
        <w:tabs>
          <w:tab w:val="left" w:pos="90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1.投标文件截止及开标时间：</w:t>
      </w: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11</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09</w:t>
      </w:r>
      <w:r>
        <w:rPr>
          <w:rFonts w:hint="eastAsia" w:ascii="宋体" w:hAnsi="宋体" w:eastAsia="宋体" w:cs="宋体"/>
          <w:color w:val="auto"/>
          <w:sz w:val="24"/>
          <w:szCs w:val="24"/>
          <w:highlight w:val="none"/>
        </w:rPr>
        <w:t>时00分00秒</w:t>
      </w:r>
      <w:r>
        <w:rPr>
          <w:rFonts w:hint="eastAsia" w:ascii="宋体" w:hAnsi="宋体" w:eastAsia="宋体" w:cs="宋体"/>
          <w:color w:val="auto"/>
          <w:sz w:val="24"/>
          <w:szCs w:val="24"/>
        </w:rPr>
        <w:t>（北京时间）</w:t>
      </w:r>
    </w:p>
    <w:p w14:paraId="692B850C">
      <w:pPr>
        <w:keepNext w:val="0"/>
        <w:keepLines w:val="0"/>
        <w:pageBreakBefore w:val="0"/>
        <w:tabs>
          <w:tab w:val="left" w:pos="90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2.地点：</w:t>
      </w:r>
      <w:r>
        <w:rPr>
          <w:rFonts w:hint="eastAsia" w:ascii="宋体" w:hAnsi="宋体" w:eastAsia="宋体" w:cs="宋体"/>
          <w:color w:val="000000"/>
          <w:kern w:val="0"/>
          <w:sz w:val="24"/>
          <w:szCs w:val="24"/>
          <w:highlight w:val="none"/>
          <w:lang w:val="en-US" w:eastAsia="zh-CN" w:bidi="ar-SA"/>
        </w:rPr>
        <w:t>苏采云“不见面”开标大厅</w:t>
      </w:r>
      <w:r>
        <w:rPr>
          <w:rFonts w:hint="eastAsia" w:ascii="宋体" w:hAnsi="宋体" w:eastAsia="宋体" w:cs="宋体"/>
          <w:color w:val="auto"/>
          <w:sz w:val="24"/>
          <w:szCs w:val="24"/>
        </w:rPr>
        <w:t>。</w:t>
      </w:r>
    </w:p>
    <w:bookmarkEnd w:id="9"/>
    <w:bookmarkEnd w:id="10"/>
    <w:bookmarkEnd w:id="11"/>
    <w:bookmarkEnd w:id="12"/>
    <w:p w14:paraId="1299620B">
      <w:pPr>
        <w:keepNext w:val="0"/>
        <w:keepLines w:val="0"/>
        <w:pageBreakBefore w:val="0"/>
        <w:tabs>
          <w:tab w:val="left" w:pos="900"/>
        </w:tabs>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4"/>
          <w:szCs w:val="20"/>
        </w:rPr>
      </w:pPr>
      <w:bookmarkStart w:id="13" w:name="_Toc38985267"/>
      <w:bookmarkStart w:id="14" w:name="_Toc35393795"/>
      <w:bookmarkStart w:id="15" w:name="_Toc35393626"/>
      <w:r>
        <w:rPr>
          <w:rFonts w:hint="eastAsia" w:ascii="宋体" w:hAnsi="宋体" w:eastAsia="宋体" w:cs="宋体"/>
          <w:b/>
          <w:bCs/>
          <w:color w:val="auto"/>
          <w:sz w:val="24"/>
          <w:szCs w:val="20"/>
        </w:rPr>
        <w:t>五、公告期限</w:t>
      </w:r>
      <w:bookmarkEnd w:id="13"/>
    </w:p>
    <w:p w14:paraId="047B486D">
      <w:pPr>
        <w:keepNext w:val="0"/>
        <w:keepLines w:val="0"/>
        <w:pageBreakBefore w:val="0"/>
        <w:tabs>
          <w:tab w:val="left" w:pos="90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0"/>
        </w:rPr>
      </w:pPr>
      <w:bookmarkStart w:id="16" w:name="_Toc38985268"/>
      <w:r>
        <w:rPr>
          <w:rFonts w:hint="eastAsia" w:ascii="宋体" w:hAnsi="宋体" w:eastAsia="宋体" w:cs="宋体"/>
          <w:color w:val="auto"/>
          <w:sz w:val="24"/>
          <w:szCs w:val="20"/>
        </w:rPr>
        <w:t>自本公告发布之日起5个工作日。</w:t>
      </w:r>
      <w:bookmarkEnd w:id="16"/>
    </w:p>
    <w:p w14:paraId="686693BC">
      <w:pPr>
        <w:keepNext w:val="0"/>
        <w:keepLines w:val="0"/>
        <w:pageBreakBefore w:val="0"/>
        <w:tabs>
          <w:tab w:val="left" w:pos="900"/>
        </w:tabs>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六、其他补充事宜</w:t>
      </w:r>
      <w:bookmarkEnd w:id="14"/>
      <w:bookmarkEnd w:id="15"/>
    </w:p>
    <w:p w14:paraId="788D013D">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bookmarkStart w:id="17" w:name="_Toc35393796"/>
      <w:bookmarkStart w:id="18" w:name="_Toc28359085"/>
      <w:bookmarkStart w:id="19" w:name="_Toc28359008"/>
      <w:bookmarkStart w:id="20" w:name="_Toc35393627"/>
      <w:r>
        <w:rPr>
          <w:rFonts w:hint="eastAsia" w:ascii="宋体" w:hAnsi="宋体" w:eastAsia="宋体" w:cs="宋体"/>
          <w:color w:val="auto"/>
          <w:sz w:val="24"/>
          <w:szCs w:val="24"/>
          <w:highlight w:val="none"/>
          <w:shd w:val="clear" w:color="auto" w:fill="auto"/>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auto"/>
          <w:sz w:val="24"/>
          <w:szCs w:val="24"/>
        </w:rPr>
        <w:t>供应商</w:t>
      </w:r>
      <w:r>
        <w:rPr>
          <w:rFonts w:hint="eastAsia" w:ascii="宋体" w:hAnsi="宋体" w:eastAsia="宋体" w:cs="宋体"/>
          <w:color w:val="auto"/>
          <w:sz w:val="24"/>
          <w:szCs w:val="24"/>
          <w:highlight w:val="none"/>
          <w:shd w:val="clear" w:color="auto" w:fill="auto"/>
          <w:lang w:val="en-US" w:eastAsia="zh-CN"/>
        </w:rPr>
        <w:t>通过苏采云系统参与政府采购项目，需要更换CA数字证书和电子签章。具体办理指南和操作手册：在盐城市政府采购网点击【办事指南】-【供应商参与政府采购活动相关资料】。</w:t>
      </w:r>
    </w:p>
    <w:p w14:paraId="13650505">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eastAsia="宋体" w:cs="宋体"/>
          <w:color w:val="auto"/>
          <w:sz w:val="24"/>
          <w:szCs w:val="24"/>
          <w:highlight w:val="none"/>
          <w:shd w:val="clear" w:color="auto" w:fill="auto"/>
          <w:lang w:val="en-US" w:eastAsia="zh-CN"/>
        </w:rPr>
        <w:t>。</w:t>
      </w:r>
    </w:p>
    <w:p w14:paraId="5C04DD9E">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2.潜在供应商访问电子招标响应交易平台的网络地址和方法： </w:t>
      </w:r>
    </w:p>
    <w:p w14:paraId="636817EC">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p>
    <w:p w14:paraId="5A6F8EEB">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2.2 潜在</w:t>
      </w:r>
      <w:r>
        <w:rPr>
          <w:rFonts w:hint="eastAsia" w:ascii="宋体" w:hAnsi="宋体" w:eastAsia="宋体" w:cs="宋体"/>
          <w:color w:val="auto"/>
          <w:sz w:val="24"/>
          <w:szCs w:val="24"/>
        </w:rPr>
        <w:t>供应商</w:t>
      </w:r>
      <w:r>
        <w:rPr>
          <w:rFonts w:hint="eastAsia" w:ascii="宋体" w:hAnsi="宋体" w:eastAsia="宋体" w:cs="宋体"/>
          <w:color w:val="auto"/>
          <w:sz w:val="24"/>
          <w:szCs w:val="24"/>
          <w:highlight w:val="none"/>
          <w:shd w:val="clear" w:color="auto" w:fill="auto"/>
          <w:lang w:val="en-US" w:eastAsia="zh-CN"/>
        </w:rPr>
        <w:t xml:space="preserve">访问“苏采云”系统方法：江苏省政府采购网首页-“苏采云”链接。 </w:t>
      </w:r>
    </w:p>
    <w:p w14:paraId="0F939ADC">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2.3 采购文件（后缀名为“.kedt”）、供应商操作手册及政府采购客户端工具可通过“苏采云”系统相应链接进行下载。 </w:t>
      </w:r>
    </w:p>
    <w:p w14:paraId="70759E2A">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2.4 采购代理机构将数据电文形式的采购文件加载至“苏采云”系统，供潜在供应商下载或者查阅。 </w:t>
      </w:r>
    </w:p>
    <w:p w14:paraId="170CF67C">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2.5 请潜在投标单位提前安装相应的控件（详见《“苏采云”系统供应商操作手册》）并使用谷歌浏览器登录“苏采云”系统参与不见面开评标。 </w:t>
      </w:r>
    </w:p>
    <w:p w14:paraId="6EE3D9D4">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如潜在</w:t>
      </w:r>
      <w:r>
        <w:rPr>
          <w:rFonts w:hint="eastAsia" w:ascii="宋体" w:hAnsi="宋体" w:eastAsia="宋体" w:cs="宋体"/>
          <w:color w:val="auto"/>
          <w:sz w:val="24"/>
          <w:szCs w:val="24"/>
        </w:rPr>
        <w:t>供应商</w:t>
      </w:r>
      <w:r>
        <w:rPr>
          <w:rFonts w:hint="eastAsia" w:ascii="宋体" w:hAnsi="宋体" w:eastAsia="宋体" w:cs="宋体"/>
          <w:color w:val="auto"/>
          <w:sz w:val="24"/>
          <w:szCs w:val="24"/>
          <w:highlight w:val="none"/>
          <w:shd w:val="clear" w:color="auto" w:fill="auto"/>
          <w:lang w:val="en-US" w:eastAsia="zh-CN"/>
        </w:rPr>
        <w:t>未按上述要求操作，将自行承担所产生的风险。</w:t>
      </w:r>
    </w:p>
    <w:p w14:paraId="2FA944ED">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3.有关本次招标的事项若存在变动或修改，敬请及时关注盐城市政府采购中心在“中国政府采购网”“江苏政府采购网”“盐城市政府采购网”发布的更正公告。</w:t>
      </w:r>
    </w:p>
    <w:p w14:paraId="125CCBEF">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4.本次招标不收取投标保证金，不收取质量保证金。</w:t>
      </w:r>
    </w:p>
    <w:p w14:paraId="7EDB8AF7">
      <w:pPr>
        <w:keepNext w:val="0"/>
        <w:keepLines w:val="0"/>
        <w:pageBreakBefore w:val="0"/>
        <w:tabs>
          <w:tab w:val="left" w:pos="900"/>
        </w:tabs>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七、对本次招标提出询问，请按以下方式联系</w:t>
      </w:r>
      <w:bookmarkEnd w:id="17"/>
      <w:bookmarkEnd w:id="18"/>
      <w:bookmarkEnd w:id="19"/>
      <w:bookmarkEnd w:id="20"/>
    </w:p>
    <w:p w14:paraId="4A044C59">
      <w:pPr>
        <w:keepNext w:val="0"/>
        <w:keepLines w:val="0"/>
        <w:pageBreakBefore w:val="0"/>
        <w:tabs>
          <w:tab w:val="left" w:pos="90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1.采购人信息</w:t>
      </w:r>
    </w:p>
    <w:p w14:paraId="32575F5F">
      <w:pPr>
        <w:keepNext w:val="0"/>
        <w:keepLines w:val="0"/>
        <w:pageBreakBefore w:val="0"/>
        <w:tabs>
          <w:tab w:val="left" w:pos="90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名    称：滨海县人民医院</w:t>
      </w:r>
    </w:p>
    <w:p w14:paraId="72743F5B">
      <w:pPr>
        <w:keepNext w:val="0"/>
        <w:keepLines w:val="0"/>
        <w:pageBreakBefore w:val="0"/>
        <w:tabs>
          <w:tab w:val="left" w:pos="90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  址：滨海县海滨大道299号</w:t>
      </w:r>
    </w:p>
    <w:p w14:paraId="092B000C">
      <w:pPr>
        <w:keepNext w:val="0"/>
        <w:keepLines w:val="0"/>
        <w:pageBreakBefore w:val="0"/>
        <w:tabs>
          <w:tab w:val="left" w:pos="90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 系人：</w:t>
      </w:r>
      <w:r>
        <w:rPr>
          <w:rFonts w:hint="eastAsia" w:ascii="宋体" w:hAnsi="宋体" w:eastAsia="宋体" w:cs="宋体"/>
          <w:color w:val="auto"/>
          <w:sz w:val="24"/>
          <w:szCs w:val="24"/>
          <w:lang w:val="en-US" w:eastAsia="zh-CN"/>
        </w:rPr>
        <w:t>代先生</w:t>
      </w:r>
    </w:p>
    <w:p w14:paraId="6297B5D2">
      <w:pPr>
        <w:keepNext w:val="0"/>
        <w:keepLines w:val="0"/>
        <w:pageBreakBefore w:val="0"/>
        <w:tabs>
          <w:tab w:val="left" w:pos="90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联系电话：</w:t>
      </w:r>
      <w:r>
        <w:rPr>
          <w:rFonts w:hint="eastAsia" w:ascii="宋体" w:hAnsi="宋体" w:eastAsia="宋体" w:cs="宋体"/>
          <w:color w:val="auto"/>
          <w:sz w:val="24"/>
          <w:szCs w:val="24"/>
          <w:lang w:eastAsia="zh-CN"/>
        </w:rPr>
        <w:t>18051681603</w:t>
      </w:r>
    </w:p>
    <w:p w14:paraId="6EC87BAD">
      <w:pPr>
        <w:keepNext w:val="0"/>
        <w:keepLines w:val="0"/>
        <w:pageBreakBefore w:val="0"/>
        <w:tabs>
          <w:tab w:val="left" w:pos="90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2.采购代理机构信息</w:t>
      </w:r>
    </w:p>
    <w:p w14:paraId="42B2FA61">
      <w:pPr>
        <w:keepNext w:val="0"/>
        <w:keepLines w:val="0"/>
        <w:pageBreakBefore w:val="0"/>
        <w:tabs>
          <w:tab w:val="left" w:pos="90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lang w:eastAsia="zh-CN"/>
        </w:rPr>
      </w:pPr>
      <w:bookmarkStart w:id="21" w:name="_Toc28359021"/>
      <w:r>
        <w:rPr>
          <w:rFonts w:hint="eastAsia" w:ascii="宋体" w:hAnsi="宋体" w:eastAsia="宋体" w:cs="宋体"/>
          <w:color w:val="auto"/>
          <w:sz w:val="24"/>
          <w:szCs w:val="24"/>
        </w:rPr>
        <w:t>名    称：</w:t>
      </w:r>
      <w:r>
        <w:rPr>
          <w:rFonts w:hint="eastAsia" w:ascii="宋体" w:hAnsi="宋体" w:eastAsia="宋体" w:cs="宋体"/>
          <w:color w:val="auto"/>
          <w:sz w:val="24"/>
          <w:szCs w:val="24"/>
          <w:lang w:eastAsia="zh-CN"/>
        </w:rPr>
        <w:t>盐城市鲸咚项目管理有限公司</w:t>
      </w:r>
    </w:p>
    <w:p w14:paraId="70B221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地    址：</w:t>
      </w:r>
      <w:r>
        <w:rPr>
          <w:rFonts w:hint="eastAsia" w:ascii="宋体" w:hAnsi="宋体" w:eastAsia="宋体" w:cs="宋体"/>
          <w:sz w:val="24"/>
          <w:szCs w:val="24"/>
          <w:u w:val="none"/>
          <w:lang w:val="en-US" w:eastAsia="zh-CN"/>
        </w:rPr>
        <w:t>滨海县坎北街道大学生创业园C东103-2</w:t>
      </w:r>
    </w:p>
    <w:p w14:paraId="784D0D67">
      <w:pPr>
        <w:keepNext w:val="0"/>
        <w:keepLines w:val="0"/>
        <w:pageBreakBefore w:val="0"/>
        <w:tabs>
          <w:tab w:val="left" w:pos="90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 系 人：</w:t>
      </w:r>
      <w:r>
        <w:rPr>
          <w:rFonts w:hint="eastAsia" w:ascii="宋体" w:hAnsi="宋体" w:eastAsia="宋体" w:cs="宋体"/>
          <w:color w:val="auto"/>
          <w:sz w:val="24"/>
          <w:szCs w:val="24"/>
          <w:lang w:val="en-US" w:eastAsia="zh-CN"/>
        </w:rPr>
        <w:t>刘女士</w:t>
      </w:r>
    </w:p>
    <w:p w14:paraId="21AECEA5">
      <w:pPr>
        <w:keepNext w:val="0"/>
        <w:keepLines w:val="0"/>
        <w:pageBreakBefore w:val="0"/>
        <w:tabs>
          <w:tab w:val="left" w:pos="90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联系方式：</w:t>
      </w:r>
      <w:r>
        <w:rPr>
          <w:rFonts w:hint="eastAsia" w:ascii="宋体" w:hAnsi="宋体" w:eastAsia="宋体" w:cs="宋体"/>
          <w:color w:val="auto"/>
          <w:sz w:val="24"/>
          <w:szCs w:val="24"/>
          <w:lang w:eastAsia="zh-CN"/>
        </w:rPr>
        <w:t>19962308468</w:t>
      </w:r>
    </w:p>
    <w:p w14:paraId="61F26640">
      <w:pPr>
        <w:keepNext w:val="0"/>
        <w:keepLines w:val="0"/>
        <w:pageBreakBefore w:val="0"/>
        <w:tabs>
          <w:tab w:val="left" w:pos="90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bookmarkEnd w:id="21"/>
      <w:r>
        <w:rPr>
          <w:rFonts w:hint="eastAsia" w:ascii="宋体" w:hAnsi="宋体" w:eastAsia="宋体" w:cs="宋体"/>
          <w:color w:val="auto"/>
          <w:sz w:val="24"/>
          <w:szCs w:val="24"/>
        </w:rPr>
        <w:t>项目联系方式</w:t>
      </w:r>
    </w:p>
    <w:p w14:paraId="6D22F477">
      <w:pPr>
        <w:keepNext w:val="0"/>
        <w:keepLines w:val="0"/>
        <w:pageBreakBefore w:val="0"/>
        <w:tabs>
          <w:tab w:val="left" w:pos="90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项目联系人：</w:t>
      </w:r>
      <w:r>
        <w:rPr>
          <w:rFonts w:hint="eastAsia" w:ascii="宋体" w:hAnsi="宋体" w:eastAsia="宋体" w:cs="宋体"/>
          <w:color w:val="auto"/>
          <w:sz w:val="24"/>
          <w:szCs w:val="24"/>
          <w:lang w:val="en-US" w:eastAsia="zh-CN"/>
        </w:rPr>
        <w:t>代先生</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刘女士</w:t>
      </w:r>
    </w:p>
    <w:p w14:paraId="35D9B625">
      <w:pPr>
        <w:keepNext w:val="0"/>
        <w:keepLines w:val="0"/>
        <w:pageBreakBefore w:val="0"/>
        <w:tabs>
          <w:tab w:val="left" w:pos="90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电    话：</w:t>
      </w:r>
      <w:r>
        <w:rPr>
          <w:rFonts w:hint="eastAsia" w:ascii="宋体" w:hAnsi="宋体" w:eastAsia="宋体" w:cs="宋体"/>
          <w:color w:val="auto"/>
          <w:sz w:val="24"/>
          <w:szCs w:val="24"/>
          <w:lang w:eastAsia="zh-CN"/>
        </w:rPr>
        <w:t>18051681603</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19962308468</w:t>
      </w:r>
    </w:p>
    <w:p w14:paraId="76C6D297">
      <w:pPr>
        <w:tabs>
          <w:tab w:val="left" w:pos="900"/>
        </w:tabs>
        <w:spacing w:line="360" w:lineRule="auto"/>
        <w:jc w:val="center"/>
        <w:rPr>
          <w:rFonts w:ascii="黑体" w:hAnsi="Arial" w:eastAsia="黑体"/>
          <w:color w:val="auto"/>
          <w:sz w:val="44"/>
          <w:szCs w:val="44"/>
        </w:rPr>
      </w:pPr>
      <w:r>
        <w:rPr>
          <w:rFonts w:hint="eastAsia" w:ascii="黑体" w:hAnsi="Arial" w:eastAsia="黑体"/>
          <w:color w:val="auto"/>
          <w:sz w:val="44"/>
          <w:szCs w:val="44"/>
        </w:rPr>
        <w:t>第二章  供应商须知</w:t>
      </w:r>
    </w:p>
    <w:p w14:paraId="0108ABD2">
      <w:pPr>
        <w:pStyle w:val="4"/>
        <w:pageBreakBefore w:val="0"/>
        <w:kinsoku/>
        <w:wordWrap/>
        <w:overflowPunct/>
        <w:topLinePunct w:val="0"/>
        <w:autoSpaceDE/>
        <w:autoSpaceDN/>
        <w:bidi w:val="0"/>
        <w:adjustRightInd/>
        <w:snapToGrid/>
        <w:spacing w:line="360" w:lineRule="auto"/>
        <w:ind w:firstLine="118"/>
        <w:textAlignment w:val="auto"/>
        <w:rPr>
          <w:rFonts w:hint="eastAsia" w:asciiTheme="minorEastAsia" w:hAnsiTheme="minorEastAsia" w:eastAsiaTheme="minorEastAsia" w:cstheme="minorEastAsia"/>
          <w:b/>
          <w:color w:val="auto"/>
          <w:szCs w:val="24"/>
          <w:highlight w:val="none"/>
        </w:rPr>
      </w:pPr>
      <w:bookmarkStart w:id="22" w:name="_Toc513029203"/>
      <w:bookmarkStart w:id="23" w:name="_Toc120614214"/>
      <w:bookmarkStart w:id="24" w:name="_Toc20823275"/>
      <w:bookmarkStart w:id="25" w:name="_Toc16938519"/>
      <w:r>
        <w:rPr>
          <w:rFonts w:hint="eastAsia" w:asciiTheme="minorEastAsia" w:hAnsiTheme="minorEastAsia" w:eastAsiaTheme="minorEastAsia" w:cstheme="minorEastAsia"/>
          <w:b/>
          <w:color w:val="auto"/>
          <w:szCs w:val="24"/>
          <w:highlight w:val="none"/>
        </w:rPr>
        <w:t>一、总则</w:t>
      </w:r>
      <w:bookmarkEnd w:id="22"/>
      <w:bookmarkEnd w:id="23"/>
      <w:bookmarkEnd w:id="24"/>
      <w:bookmarkEnd w:id="25"/>
    </w:p>
    <w:p w14:paraId="4F42030C">
      <w:pPr>
        <w:pStyle w:val="5"/>
        <w:pageBreakBefore w:val="0"/>
        <w:kinsoku/>
        <w:wordWrap/>
        <w:overflowPunct/>
        <w:topLinePunct w:val="0"/>
        <w:autoSpaceDE/>
        <w:autoSpaceDN/>
        <w:bidi w:val="0"/>
        <w:adjustRightInd/>
        <w:snapToGrid/>
        <w:spacing w:before="0" w:after="0" w:line="360" w:lineRule="auto"/>
        <w:ind w:firstLine="361"/>
        <w:textAlignment w:val="auto"/>
        <w:rPr>
          <w:rFonts w:hint="eastAsia" w:asciiTheme="minorEastAsia" w:hAnsiTheme="minorEastAsia" w:eastAsiaTheme="minorEastAsia" w:cstheme="minorEastAsia"/>
          <w:bCs w:val="0"/>
          <w:color w:val="auto"/>
          <w:sz w:val="24"/>
          <w:szCs w:val="24"/>
          <w:highlight w:val="none"/>
        </w:rPr>
      </w:pPr>
      <w:bookmarkStart w:id="26" w:name="_Hlt16619475"/>
      <w:bookmarkEnd w:id="26"/>
      <w:bookmarkStart w:id="27" w:name="_Toc20823276"/>
      <w:bookmarkStart w:id="28" w:name="_Toc513029204"/>
      <w:bookmarkStart w:id="29" w:name="_Toc16938520"/>
      <w:r>
        <w:rPr>
          <w:rFonts w:hint="eastAsia" w:asciiTheme="minorEastAsia" w:hAnsiTheme="minorEastAsia" w:eastAsiaTheme="minorEastAsia" w:cstheme="minorEastAsia"/>
          <w:bCs w:val="0"/>
          <w:color w:val="auto"/>
          <w:sz w:val="24"/>
          <w:szCs w:val="24"/>
          <w:highlight w:val="none"/>
        </w:rPr>
        <w:t>1.招标方式</w:t>
      </w:r>
      <w:bookmarkEnd w:id="27"/>
      <w:bookmarkEnd w:id="28"/>
      <w:bookmarkEnd w:id="29"/>
    </w:p>
    <w:p w14:paraId="7D43A3B7">
      <w:pPr>
        <w:pageBreakBefore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 本次招标采取公开招标方式，本招标文件仅适用于招标公告中所述项目。</w:t>
      </w:r>
    </w:p>
    <w:p w14:paraId="2501F6F7">
      <w:pPr>
        <w:pStyle w:val="5"/>
        <w:pageBreakBefore w:val="0"/>
        <w:kinsoku/>
        <w:wordWrap/>
        <w:overflowPunct/>
        <w:topLinePunct w:val="0"/>
        <w:autoSpaceDE/>
        <w:autoSpaceDN/>
        <w:bidi w:val="0"/>
        <w:adjustRightInd/>
        <w:snapToGrid/>
        <w:spacing w:before="0" w:after="0" w:line="360" w:lineRule="auto"/>
        <w:ind w:firstLine="361"/>
        <w:textAlignment w:val="auto"/>
        <w:rPr>
          <w:rFonts w:hint="eastAsia" w:asciiTheme="minorEastAsia" w:hAnsiTheme="minorEastAsia" w:eastAsiaTheme="minorEastAsia" w:cstheme="minorEastAsia"/>
          <w:bCs w:val="0"/>
          <w:color w:val="auto"/>
          <w:sz w:val="24"/>
          <w:szCs w:val="24"/>
          <w:highlight w:val="none"/>
          <w:lang w:val="en-US" w:eastAsia="zh-CN"/>
        </w:rPr>
      </w:pPr>
      <w:bookmarkStart w:id="30" w:name="_Toc20823277"/>
      <w:bookmarkStart w:id="31" w:name="_Toc16938521"/>
      <w:bookmarkStart w:id="32" w:name="_Toc513029205"/>
      <w:r>
        <w:rPr>
          <w:rFonts w:hint="eastAsia" w:asciiTheme="minorEastAsia" w:hAnsiTheme="minorEastAsia" w:eastAsiaTheme="minorEastAsia" w:cstheme="minorEastAsia"/>
          <w:bCs w:val="0"/>
          <w:color w:val="auto"/>
          <w:sz w:val="24"/>
          <w:szCs w:val="24"/>
          <w:highlight w:val="none"/>
        </w:rPr>
        <w:t>2.合格的</w:t>
      </w:r>
      <w:bookmarkEnd w:id="30"/>
      <w:bookmarkEnd w:id="31"/>
      <w:bookmarkEnd w:id="32"/>
      <w:r>
        <w:rPr>
          <w:rFonts w:hint="eastAsia" w:asciiTheme="minorEastAsia" w:hAnsiTheme="minorEastAsia" w:eastAsiaTheme="minorEastAsia" w:cstheme="minorEastAsia"/>
          <w:color w:val="auto"/>
          <w:sz w:val="24"/>
          <w:szCs w:val="24"/>
          <w:highlight w:val="none"/>
          <w:lang w:val="en-US" w:eastAsia="zh-CN"/>
        </w:rPr>
        <w:t>供应商</w:t>
      </w:r>
    </w:p>
    <w:p w14:paraId="77FB1802">
      <w:pPr>
        <w:pageBreakBefore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2.1满足招标公告中供应商的资格要求的规定。</w:t>
      </w:r>
    </w:p>
    <w:p w14:paraId="3F527F63">
      <w:pPr>
        <w:pageBreakBefore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 满足本文件实质性要求和条件的规定。</w:t>
      </w:r>
    </w:p>
    <w:p w14:paraId="31F65220">
      <w:pPr>
        <w:pStyle w:val="5"/>
        <w:pageBreakBefore w:val="0"/>
        <w:kinsoku/>
        <w:wordWrap/>
        <w:overflowPunct/>
        <w:topLinePunct w:val="0"/>
        <w:autoSpaceDE/>
        <w:autoSpaceDN/>
        <w:bidi w:val="0"/>
        <w:adjustRightInd/>
        <w:snapToGrid/>
        <w:spacing w:before="0" w:after="0" w:line="360" w:lineRule="auto"/>
        <w:ind w:firstLine="361"/>
        <w:textAlignment w:val="auto"/>
        <w:rPr>
          <w:rFonts w:hint="eastAsia" w:asciiTheme="minorEastAsia" w:hAnsiTheme="minorEastAsia" w:eastAsiaTheme="minorEastAsia" w:cstheme="minorEastAsia"/>
          <w:bCs w:val="0"/>
          <w:color w:val="auto"/>
          <w:sz w:val="24"/>
          <w:szCs w:val="24"/>
          <w:highlight w:val="none"/>
        </w:rPr>
      </w:pPr>
      <w:bookmarkStart w:id="33" w:name="_Toc513029206"/>
      <w:bookmarkStart w:id="34" w:name="_Toc20823278"/>
      <w:bookmarkStart w:id="35" w:name="_Toc16938522"/>
      <w:r>
        <w:rPr>
          <w:rFonts w:hint="eastAsia" w:asciiTheme="minorEastAsia" w:hAnsiTheme="minorEastAsia" w:eastAsiaTheme="minorEastAsia" w:cstheme="minorEastAsia"/>
          <w:bCs w:val="0"/>
          <w:color w:val="auto"/>
          <w:sz w:val="24"/>
          <w:szCs w:val="24"/>
          <w:highlight w:val="none"/>
        </w:rPr>
        <w:t>3.适用法律</w:t>
      </w:r>
      <w:bookmarkEnd w:id="33"/>
      <w:bookmarkEnd w:id="34"/>
      <w:bookmarkEnd w:id="35"/>
    </w:p>
    <w:p w14:paraId="7388CDF3">
      <w:pPr>
        <w:pageBreakBefore w:val="0"/>
        <w:kinsoku/>
        <w:wordWrap/>
        <w:overflowPunct/>
        <w:topLinePunct w:val="0"/>
        <w:autoSpaceDE/>
        <w:autoSpaceDN/>
        <w:bidi w:val="0"/>
        <w:adjustRightInd/>
        <w:snapToGrid/>
        <w:spacing w:line="360" w:lineRule="auto"/>
        <w:ind w:firstLine="42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 本次招标及由此产生的合同受中华人民共和国有关的法律法规制约和保护。</w:t>
      </w:r>
    </w:p>
    <w:p w14:paraId="1F23E57B">
      <w:pPr>
        <w:pStyle w:val="5"/>
        <w:pageBreakBefore w:val="0"/>
        <w:kinsoku/>
        <w:wordWrap/>
        <w:overflowPunct/>
        <w:topLinePunct w:val="0"/>
        <w:autoSpaceDE/>
        <w:autoSpaceDN/>
        <w:bidi w:val="0"/>
        <w:adjustRightInd/>
        <w:snapToGrid/>
        <w:spacing w:before="0" w:after="0" w:line="360" w:lineRule="auto"/>
        <w:ind w:firstLine="361"/>
        <w:textAlignment w:val="auto"/>
        <w:rPr>
          <w:rFonts w:hint="eastAsia" w:asciiTheme="minorEastAsia" w:hAnsiTheme="minorEastAsia" w:eastAsiaTheme="minorEastAsia" w:cstheme="minorEastAsia"/>
          <w:bCs w:val="0"/>
          <w:color w:val="auto"/>
          <w:sz w:val="24"/>
          <w:szCs w:val="24"/>
          <w:highlight w:val="none"/>
        </w:rPr>
      </w:pPr>
      <w:bookmarkStart w:id="36" w:name="_Toc20823279"/>
      <w:bookmarkStart w:id="37" w:name="_Toc16938523"/>
      <w:bookmarkStart w:id="38" w:name="_Toc513029207"/>
      <w:bookmarkStart w:id="39" w:name="_Toc462564067"/>
      <w:r>
        <w:rPr>
          <w:rFonts w:hint="eastAsia" w:asciiTheme="minorEastAsia" w:hAnsiTheme="minorEastAsia" w:eastAsiaTheme="minorEastAsia" w:cstheme="minorEastAsia"/>
          <w:bCs w:val="0"/>
          <w:color w:val="auto"/>
          <w:sz w:val="24"/>
          <w:szCs w:val="24"/>
          <w:highlight w:val="none"/>
        </w:rPr>
        <w:t>4.投标费用</w:t>
      </w:r>
      <w:bookmarkEnd w:id="36"/>
      <w:bookmarkEnd w:id="37"/>
      <w:bookmarkEnd w:id="38"/>
      <w:bookmarkEnd w:id="39"/>
    </w:p>
    <w:p w14:paraId="1545A218">
      <w:pPr>
        <w:pageBreakBefore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4.1</w:t>
      </w:r>
      <w:r>
        <w:rPr>
          <w:rFonts w:hint="eastAsia" w:asciiTheme="minorEastAsia" w:hAnsiTheme="minorEastAsia" w:eastAsiaTheme="minorEastAsia" w:cstheme="minorEastAsia"/>
          <w:color w:val="auto"/>
          <w:sz w:val="24"/>
          <w:szCs w:val="24"/>
          <w:highlight w:val="none"/>
        </w:rPr>
        <w:t xml:space="preserve"> 供应商应自行承担所有与参加投标有关的费用，无论投标过程中的做法和结果如何，采购人或采购代理机构在任何情况下均无义务和责任承担这些费用。</w:t>
      </w:r>
    </w:p>
    <w:p w14:paraId="606A3C65">
      <w:pPr>
        <w:pStyle w:val="5"/>
        <w:pageBreakBefore w:val="0"/>
        <w:kinsoku/>
        <w:wordWrap/>
        <w:overflowPunct/>
        <w:topLinePunct w:val="0"/>
        <w:autoSpaceDE/>
        <w:autoSpaceDN/>
        <w:bidi w:val="0"/>
        <w:adjustRightInd/>
        <w:snapToGrid/>
        <w:spacing w:before="0" w:after="0" w:line="360" w:lineRule="auto"/>
        <w:ind w:firstLine="482"/>
        <w:textAlignment w:val="auto"/>
        <w:rPr>
          <w:rFonts w:hint="eastAsia" w:asciiTheme="minorEastAsia" w:hAnsiTheme="minorEastAsia" w:eastAsiaTheme="minorEastAsia" w:cstheme="minorEastAsia"/>
          <w:bCs w:val="0"/>
          <w:color w:val="auto"/>
          <w:sz w:val="24"/>
          <w:szCs w:val="24"/>
          <w:highlight w:val="none"/>
        </w:rPr>
      </w:pPr>
      <w:r>
        <w:rPr>
          <w:rFonts w:hint="eastAsia" w:asciiTheme="minorEastAsia" w:hAnsiTheme="minorEastAsia" w:eastAsiaTheme="minorEastAsia" w:cstheme="minorEastAsia"/>
          <w:color w:val="auto"/>
          <w:sz w:val="24"/>
          <w:szCs w:val="24"/>
          <w:highlight w:val="none"/>
        </w:rPr>
        <w:t>5.</w:t>
      </w:r>
      <w:r>
        <w:rPr>
          <w:rFonts w:hint="eastAsia" w:asciiTheme="minorEastAsia" w:hAnsiTheme="minorEastAsia" w:eastAsiaTheme="minorEastAsia" w:cstheme="minorEastAsia"/>
          <w:bCs w:val="0"/>
          <w:color w:val="auto"/>
          <w:sz w:val="24"/>
          <w:szCs w:val="24"/>
          <w:highlight w:val="none"/>
        </w:rPr>
        <w:t>招标文件的约束力</w:t>
      </w:r>
    </w:p>
    <w:p w14:paraId="1B3E0639">
      <w:pPr>
        <w:pageBreakBefore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5.1</w:t>
      </w:r>
      <w:r>
        <w:rPr>
          <w:rFonts w:hint="eastAsia" w:asciiTheme="minorEastAsia" w:hAnsiTheme="minorEastAsia" w:eastAsiaTheme="minorEastAsia" w:cstheme="minorEastAsia"/>
          <w:color w:val="auto"/>
          <w:sz w:val="24"/>
          <w:szCs w:val="24"/>
          <w:highlight w:val="none"/>
        </w:rPr>
        <w:t xml:space="preserve"> 供应商一旦参加本项目采购活动，即被认为接受了本招标文件的规定和约束。</w:t>
      </w:r>
    </w:p>
    <w:p w14:paraId="751080EC">
      <w:pPr>
        <w:pStyle w:val="4"/>
        <w:pageBreakBefore w:val="0"/>
        <w:kinsoku/>
        <w:wordWrap/>
        <w:overflowPunct/>
        <w:topLinePunct w:val="0"/>
        <w:autoSpaceDE/>
        <w:autoSpaceDN/>
        <w:bidi w:val="0"/>
        <w:adjustRightInd/>
        <w:snapToGrid/>
        <w:spacing w:line="360" w:lineRule="auto"/>
        <w:ind w:firstLine="118"/>
        <w:textAlignment w:val="auto"/>
        <w:rPr>
          <w:rFonts w:hint="eastAsia" w:asciiTheme="minorEastAsia" w:hAnsiTheme="minorEastAsia" w:eastAsiaTheme="minorEastAsia" w:cstheme="minorEastAsia"/>
          <w:b/>
          <w:color w:val="auto"/>
          <w:szCs w:val="24"/>
          <w:highlight w:val="none"/>
        </w:rPr>
      </w:pPr>
      <w:bookmarkStart w:id="40" w:name="_Toc120614215"/>
      <w:bookmarkStart w:id="41" w:name="_Toc20823281"/>
      <w:bookmarkStart w:id="42" w:name="_Toc513029209"/>
      <w:bookmarkStart w:id="43" w:name="_Toc16938525"/>
      <w:r>
        <w:rPr>
          <w:rFonts w:hint="eastAsia" w:asciiTheme="minorEastAsia" w:hAnsiTheme="minorEastAsia" w:eastAsiaTheme="minorEastAsia" w:cstheme="minorEastAsia"/>
          <w:b/>
          <w:color w:val="auto"/>
          <w:szCs w:val="24"/>
          <w:highlight w:val="none"/>
        </w:rPr>
        <w:t>二、招标文件</w:t>
      </w:r>
      <w:bookmarkEnd w:id="40"/>
      <w:bookmarkEnd w:id="41"/>
      <w:bookmarkEnd w:id="42"/>
      <w:bookmarkEnd w:id="43"/>
    </w:p>
    <w:p w14:paraId="1DF863AA">
      <w:pPr>
        <w:pStyle w:val="5"/>
        <w:pageBreakBefore w:val="0"/>
        <w:kinsoku/>
        <w:wordWrap/>
        <w:overflowPunct/>
        <w:topLinePunct w:val="0"/>
        <w:autoSpaceDE/>
        <w:autoSpaceDN/>
        <w:bidi w:val="0"/>
        <w:adjustRightInd/>
        <w:snapToGrid/>
        <w:spacing w:before="0" w:after="0" w:line="360" w:lineRule="auto"/>
        <w:ind w:firstLine="361"/>
        <w:textAlignment w:val="auto"/>
        <w:rPr>
          <w:rFonts w:hint="eastAsia" w:asciiTheme="minorEastAsia" w:hAnsiTheme="minorEastAsia" w:eastAsiaTheme="minorEastAsia" w:cstheme="minorEastAsia"/>
          <w:bCs w:val="0"/>
          <w:color w:val="auto"/>
          <w:sz w:val="24"/>
          <w:szCs w:val="24"/>
          <w:highlight w:val="none"/>
        </w:rPr>
      </w:pPr>
      <w:bookmarkStart w:id="44" w:name="_Toc513029210"/>
      <w:bookmarkStart w:id="45" w:name="_Toc16938526"/>
      <w:bookmarkStart w:id="46" w:name="_Toc20823282"/>
      <w:r>
        <w:rPr>
          <w:rFonts w:hint="eastAsia" w:asciiTheme="minorEastAsia" w:hAnsiTheme="minorEastAsia" w:eastAsiaTheme="minorEastAsia" w:cstheme="minorEastAsia"/>
          <w:bCs w:val="0"/>
          <w:color w:val="auto"/>
          <w:sz w:val="24"/>
          <w:szCs w:val="24"/>
          <w:highlight w:val="none"/>
        </w:rPr>
        <w:t>6.招标文件构成</w:t>
      </w:r>
      <w:bookmarkEnd w:id="44"/>
      <w:bookmarkEnd w:id="45"/>
      <w:bookmarkEnd w:id="46"/>
    </w:p>
    <w:p w14:paraId="28CFC2A2">
      <w:pPr>
        <w:pageBreakBefore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6.1</w:t>
      </w:r>
      <w:r>
        <w:rPr>
          <w:rFonts w:hint="eastAsia" w:asciiTheme="minorEastAsia" w:hAnsiTheme="minorEastAsia" w:eastAsiaTheme="minorEastAsia" w:cstheme="minorEastAsia"/>
          <w:color w:val="auto"/>
          <w:sz w:val="24"/>
          <w:szCs w:val="24"/>
          <w:highlight w:val="none"/>
        </w:rPr>
        <w:t xml:space="preserve"> 招标文件由以下部分组成：</w:t>
      </w:r>
    </w:p>
    <w:p w14:paraId="76CF9BDC">
      <w:pPr>
        <w:pageBreakBefore w:val="0"/>
        <w:kinsoku/>
        <w:wordWrap/>
        <w:overflowPunct/>
        <w:topLinePunct w:val="0"/>
        <w:autoSpaceDE/>
        <w:autoSpaceDN/>
        <w:bidi w:val="0"/>
        <w:adjustRightInd/>
        <w:snapToGrid/>
        <w:spacing w:line="360" w:lineRule="auto"/>
        <w:ind w:firstLine="36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（1）招标公告</w:t>
      </w:r>
    </w:p>
    <w:p w14:paraId="580E7409">
      <w:pPr>
        <w:pageBreakBefore w:val="0"/>
        <w:kinsoku/>
        <w:wordWrap/>
        <w:overflowPunct/>
        <w:topLinePunct w:val="0"/>
        <w:autoSpaceDE/>
        <w:autoSpaceDN/>
        <w:bidi w:val="0"/>
        <w:adjustRightInd/>
        <w:snapToGrid/>
        <w:spacing w:line="360" w:lineRule="auto"/>
        <w:ind w:firstLine="36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（2）供应商须知</w:t>
      </w:r>
    </w:p>
    <w:p w14:paraId="7EE8F47D">
      <w:pPr>
        <w:pageBreakBefore w:val="0"/>
        <w:kinsoku/>
        <w:wordWrap/>
        <w:overflowPunct/>
        <w:topLinePunct w:val="0"/>
        <w:autoSpaceDE/>
        <w:autoSpaceDN/>
        <w:bidi w:val="0"/>
        <w:adjustRightInd/>
        <w:snapToGrid/>
        <w:spacing w:line="360" w:lineRule="auto"/>
        <w:ind w:firstLine="36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（3）合同文本</w:t>
      </w:r>
    </w:p>
    <w:p w14:paraId="413BFF2D">
      <w:pPr>
        <w:pageBreakBefore w:val="0"/>
        <w:kinsoku/>
        <w:wordWrap/>
        <w:overflowPunct/>
        <w:topLinePunct w:val="0"/>
        <w:autoSpaceDE/>
        <w:autoSpaceDN/>
        <w:bidi w:val="0"/>
        <w:adjustRightInd/>
        <w:snapToGrid/>
        <w:spacing w:line="360" w:lineRule="auto"/>
        <w:ind w:firstLine="36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（4）采购需求</w:t>
      </w:r>
    </w:p>
    <w:p w14:paraId="46C29507">
      <w:pPr>
        <w:pageBreakBefore w:val="0"/>
        <w:kinsoku/>
        <w:wordWrap/>
        <w:overflowPunct/>
        <w:topLinePunct w:val="0"/>
        <w:autoSpaceDE/>
        <w:autoSpaceDN/>
        <w:bidi w:val="0"/>
        <w:adjustRightInd/>
        <w:snapToGrid/>
        <w:spacing w:line="360" w:lineRule="auto"/>
        <w:ind w:firstLine="36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（5）评标方法与评标标准</w:t>
      </w:r>
    </w:p>
    <w:p w14:paraId="54753B1E">
      <w:pPr>
        <w:pageBreakBefore w:val="0"/>
        <w:kinsoku/>
        <w:wordWrap/>
        <w:overflowPunct/>
        <w:topLinePunct w:val="0"/>
        <w:autoSpaceDE/>
        <w:autoSpaceDN/>
        <w:bidi w:val="0"/>
        <w:adjustRightInd/>
        <w:snapToGrid/>
        <w:spacing w:line="360" w:lineRule="auto"/>
        <w:ind w:firstLine="36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（6）投标文件格式</w:t>
      </w:r>
    </w:p>
    <w:p w14:paraId="4F9023A9">
      <w:pPr>
        <w:pageBreakBefore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请仔细检查招标文件是否齐全，如有缺漏请立即与采购代理机构联系解决。</w:t>
      </w:r>
    </w:p>
    <w:p w14:paraId="7001CEBD">
      <w:pPr>
        <w:pageBreakBefore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6.2</w:t>
      </w:r>
      <w:r>
        <w:rPr>
          <w:rFonts w:hint="eastAsia" w:asciiTheme="minorEastAsia" w:hAnsiTheme="minorEastAsia" w:eastAsiaTheme="minorEastAsia" w:cstheme="minorEastAsia"/>
          <w:color w:val="auto"/>
          <w:sz w:val="24"/>
          <w:szCs w:val="24"/>
          <w:highlight w:val="none"/>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04A2010B">
      <w:pPr>
        <w:pStyle w:val="5"/>
        <w:pageBreakBefore w:val="0"/>
        <w:kinsoku/>
        <w:wordWrap/>
        <w:overflowPunct/>
        <w:topLinePunct w:val="0"/>
        <w:autoSpaceDE/>
        <w:autoSpaceDN/>
        <w:bidi w:val="0"/>
        <w:adjustRightInd/>
        <w:snapToGrid/>
        <w:spacing w:before="0" w:after="0" w:line="360" w:lineRule="auto"/>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val="0"/>
          <w:color w:val="auto"/>
          <w:sz w:val="24"/>
          <w:szCs w:val="24"/>
          <w:highlight w:val="none"/>
        </w:rPr>
        <w:t>7.</w:t>
      </w:r>
      <w:r>
        <w:rPr>
          <w:rFonts w:hint="eastAsia" w:asciiTheme="minorEastAsia" w:hAnsiTheme="minorEastAsia" w:eastAsiaTheme="minorEastAsia" w:cstheme="minorEastAsia"/>
          <w:color w:val="auto"/>
          <w:sz w:val="24"/>
          <w:szCs w:val="24"/>
          <w:highlight w:val="none"/>
        </w:rPr>
        <w:t>招标文件的澄清</w:t>
      </w:r>
    </w:p>
    <w:p w14:paraId="49D8A335">
      <w:pPr>
        <w:pageBreakBefore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7.1</w:t>
      </w:r>
      <w:r>
        <w:rPr>
          <w:rFonts w:hint="eastAsia" w:asciiTheme="minorEastAsia" w:hAnsiTheme="minorEastAsia" w:eastAsiaTheme="minorEastAsia" w:cstheme="minorEastAsia"/>
          <w:color w:val="auto"/>
          <w:sz w:val="24"/>
          <w:szCs w:val="24"/>
          <w:highlight w:val="none"/>
        </w:rPr>
        <w:t>任何要求对招标文件进行澄清的供应商，应在投标截止期十日前按招标公告中的通讯地址，以书面形式通知采购代理机构。</w:t>
      </w:r>
    </w:p>
    <w:p w14:paraId="5DD8C9C1">
      <w:pPr>
        <w:pStyle w:val="5"/>
        <w:pageBreakBefore w:val="0"/>
        <w:kinsoku/>
        <w:wordWrap/>
        <w:overflowPunct/>
        <w:topLinePunct w:val="0"/>
        <w:autoSpaceDE/>
        <w:autoSpaceDN/>
        <w:bidi w:val="0"/>
        <w:adjustRightInd/>
        <w:snapToGrid/>
        <w:spacing w:before="0" w:after="0" w:line="360" w:lineRule="auto"/>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val="0"/>
          <w:color w:val="auto"/>
          <w:sz w:val="24"/>
          <w:szCs w:val="24"/>
          <w:highlight w:val="none"/>
        </w:rPr>
        <w:t>8.</w:t>
      </w:r>
      <w:r>
        <w:rPr>
          <w:rFonts w:hint="eastAsia" w:asciiTheme="minorEastAsia" w:hAnsiTheme="minorEastAsia" w:eastAsiaTheme="minorEastAsia" w:cstheme="minorEastAsia"/>
          <w:color w:val="auto"/>
          <w:sz w:val="24"/>
          <w:szCs w:val="24"/>
          <w:highlight w:val="none"/>
        </w:rPr>
        <w:t>招标文件的修改</w:t>
      </w:r>
    </w:p>
    <w:p w14:paraId="6AB20626">
      <w:pPr>
        <w:pageBreakBefore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8.1 在投标截止时间前，</w:t>
      </w:r>
      <w:r>
        <w:rPr>
          <w:rFonts w:hint="eastAsia" w:asciiTheme="minorEastAsia" w:hAnsiTheme="minorEastAsia" w:eastAsiaTheme="minorEastAsia" w:cstheme="minorEastAsia"/>
          <w:color w:val="auto"/>
          <w:sz w:val="24"/>
          <w:szCs w:val="24"/>
          <w:highlight w:val="none"/>
        </w:rPr>
        <w:t>采购代理机构</w:t>
      </w:r>
      <w:r>
        <w:rPr>
          <w:rFonts w:hint="eastAsia" w:asciiTheme="minorEastAsia" w:hAnsiTheme="minorEastAsia" w:eastAsiaTheme="minorEastAsia" w:cstheme="minorEastAsia"/>
          <w:bCs/>
          <w:color w:val="auto"/>
          <w:sz w:val="24"/>
          <w:szCs w:val="24"/>
          <w:highlight w:val="none"/>
        </w:rPr>
        <w:t>可以对招标文件进行修改。</w:t>
      </w:r>
    </w:p>
    <w:p w14:paraId="56F86845">
      <w:pPr>
        <w:pageBreakBefore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8.2</w:t>
      </w:r>
      <w:r>
        <w:rPr>
          <w:rFonts w:hint="eastAsia" w:asciiTheme="minorEastAsia" w:hAnsiTheme="minorEastAsia" w:eastAsiaTheme="minorEastAsia" w:cstheme="minorEastAsia"/>
          <w:color w:val="auto"/>
          <w:sz w:val="24"/>
          <w:szCs w:val="24"/>
          <w:highlight w:val="none"/>
        </w:rPr>
        <w:t>采购代理机构</w:t>
      </w:r>
      <w:r>
        <w:rPr>
          <w:rFonts w:hint="eastAsia" w:asciiTheme="minorEastAsia" w:hAnsiTheme="minorEastAsia" w:eastAsiaTheme="minorEastAsia" w:cstheme="minorEastAsia"/>
          <w:bCs/>
          <w:color w:val="auto"/>
          <w:sz w:val="24"/>
          <w:szCs w:val="24"/>
          <w:highlight w:val="none"/>
        </w:rPr>
        <w:t>有权按照法定的要求推迟投标截止日期和开标日期。</w:t>
      </w:r>
    </w:p>
    <w:p w14:paraId="657DF35D">
      <w:pPr>
        <w:pageBreakBefore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8.3招标文件的修改将在“中国政府采购网”、“江苏政府采购网、盐城市政府采购网”公布，补充文件将作为招标文件的组成部分，并对供应商具有约束力。</w:t>
      </w:r>
    </w:p>
    <w:p w14:paraId="7FBF6F43">
      <w:pPr>
        <w:pStyle w:val="4"/>
        <w:pageBreakBefore w:val="0"/>
        <w:kinsoku/>
        <w:wordWrap/>
        <w:overflowPunct/>
        <w:topLinePunct w:val="0"/>
        <w:autoSpaceDE/>
        <w:autoSpaceDN/>
        <w:bidi w:val="0"/>
        <w:adjustRightInd/>
        <w:snapToGrid/>
        <w:spacing w:line="360" w:lineRule="auto"/>
        <w:ind w:firstLine="118"/>
        <w:textAlignment w:val="auto"/>
        <w:rPr>
          <w:rFonts w:hint="eastAsia" w:asciiTheme="minorEastAsia" w:hAnsiTheme="minorEastAsia" w:eastAsiaTheme="minorEastAsia" w:cstheme="minorEastAsia"/>
          <w:b/>
          <w:color w:val="auto"/>
          <w:szCs w:val="24"/>
          <w:highlight w:val="none"/>
        </w:rPr>
      </w:pPr>
      <w:bookmarkStart w:id="47" w:name="_Toc16938529"/>
      <w:bookmarkStart w:id="48" w:name="_Toc513029213"/>
      <w:bookmarkStart w:id="49" w:name="_Toc20823285"/>
      <w:bookmarkStart w:id="50" w:name="_Toc462564072"/>
      <w:bookmarkStart w:id="51" w:name="_Toc120614216"/>
      <w:r>
        <w:rPr>
          <w:rFonts w:hint="eastAsia" w:asciiTheme="minorEastAsia" w:hAnsiTheme="minorEastAsia" w:eastAsiaTheme="minorEastAsia" w:cstheme="minorEastAsia"/>
          <w:b/>
          <w:color w:val="auto"/>
          <w:szCs w:val="24"/>
          <w:highlight w:val="none"/>
        </w:rPr>
        <w:t>三、投标文件的编制</w:t>
      </w:r>
      <w:bookmarkEnd w:id="47"/>
      <w:bookmarkEnd w:id="48"/>
      <w:bookmarkEnd w:id="49"/>
      <w:bookmarkEnd w:id="50"/>
      <w:bookmarkEnd w:id="51"/>
    </w:p>
    <w:p w14:paraId="79BA5A66">
      <w:pPr>
        <w:pStyle w:val="5"/>
        <w:pageBreakBefore w:val="0"/>
        <w:kinsoku/>
        <w:wordWrap/>
        <w:overflowPunct/>
        <w:topLinePunct w:val="0"/>
        <w:autoSpaceDE/>
        <w:autoSpaceDN/>
        <w:bidi w:val="0"/>
        <w:adjustRightInd/>
        <w:snapToGrid/>
        <w:spacing w:before="0" w:after="0" w:line="360" w:lineRule="auto"/>
        <w:ind w:firstLine="482"/>
        <w:textAlignment w:val="auto"/>
        <w:rPr>
          <w:rFonts w:hint="eastAsia" w:asciiTheme="minorEastAsia" w:hAnsiTheme="minorEastAsia" w:eastAsiaTheme="minorEastAsia" w:cstheme="minorEastAsia"/>
          <w:bCs w:val="0"/>
          <w:color w:val="auto"/>
          <w:sz w:val="24"/>
          <w:szCs w:val="24"/>
          <w:highlight w:val="none"/>
        </w:rPr>
      </w:pPr>
      <w:bookmarkStart w:id="52" w:name="_Toc462564073"/>
      <w:bookmarkStart w:id="53" w:name="_Toc513029214"/>
      <w:bookmarkStart w:id="54" w:name="_Toc16938530"/>
      <w:bookmarkStart w:id="55" w:name="_Toc20823286"/>
      <w:r>
        <w:rPr>
          <w:rFonts w:hint="eastAsia" w:asciiTheme="minorEastAsia" w:hAnsiTheme="minorEastAsia" w:eastAsiaTheme="minorEastAsia" w:cstheme="minorEastAsia"/>
          <w:bCs w:val="0"/>
          <w:color w:val="auto"/>
          <w:sz w:val="24"/>
          <w:szCs w:val="24"/>
          <w:highlight w:val="none"/>
        </w:rPr>
        <w:t>9.投标文件的语言及度量衡单位</w:t>
      </w:r>
      <w:bookmarkEnd w:id="52"/>
      <w:bookmarkEnd w:id="53"/>
      <w:bookmarkEnd w:id="54"/>
      <w:bookmarkEnd w:id="55"/>
    </w:p>
    <w:p w14:paraId="4CB07A91">
      <w:pPr>
        <w:pageBreakBefore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9.1</w:t>
      </w:r>
      <w:r>
        <w:rPr>
          <w:rFonts w:hint="eastAsia" w:asciiTheme="minorEastAsia" w:hAnsiTheme="minorEastAsia" w:eastAsiaTheme="minorEastAsia" w:cstheme="minorEastAsia"/>
          <w:color w:val="auto"/>
          <w:sz w:val="24"/>
          <w:szCs w:val="24"/>
          <w:highlight w:val="none"/>
        </w:rPr>
        <w:t xml:space="preserve"> 供应商提交的投标文件以及供应商与采购人就有关投标的所有来往通知、函件和文件均应使用</w:t>
      </w:r>
      <w:r>
        <w:rPr>
          <w:rFonts w:hint="eastAsia" w:asciiTheme="minorEastAsia" w:hAnsiTheme="minorEastAsia" w:eastAsiaTheme="minorEastAsia" w:cstheme="minorEastAsia"/>
          <w:bCs/>
          <w:color w:val="auto"/>
          <w:sz w:val="24"/>
          <w:szCs w:val="24"/>
          <w:highlight w:val="none"/>
        </w:rPr>
        <w:t>简体中文</w:t>
      </w:r>
      <w:r>
        <w:rPr>
          <w:rFonts w:hint="eastAsia" w:asciiTheme="minorEastAsia" w:hAnsiTheme="minorEastAsia" w:eastAsiaTheme="minorEastAsia" w:cstheme="minorEastAsia"/>
          <w:color w:val="auto"/>
          <w:sz w:val="24"/>
          <w:szCs w:val="24"/>
          <w:highlight w:val="none"/>
        </w:rPr>
        <w:t>。</w:t>
      </w:r>
    </w:p>
    <w:p w14:paraId="5CF70538">
      <w:pPr>
        <w:pageBreakBefore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9.2</w:t>
      </w:r>
      <w:r>
        <w:rPr>
          <w:rFonts w:hint="eastAsia" w:asciiTheme="minorEastAsia" w:hAnsiTheme="minorEastAsia" w:eastAsiaTheme="minorEastAsia" w:cstheme="minorEastAsia"/>
          <w:color w:val="auto"/>
          <w:sz w:val="24"/>
          <w:szCs w:val="24"/>
          <w:highlight w:val="none"/>
        </w:rPr>
        <w:t xml:space="preserve"> 除技术性能另有规定外，投标文件所使用的度量衡单位，均须采用国家法定计量单位。</w:t>
      </w:r>
    </w:p>
    <w:p w14:paraId="09494125">
      <w:pPr>
        <w:pStyle w:val="5"/>
        <w:pageBreakBefore w:val="0"/>
        <w:kinsoku/>
        <w:wordWrap/>
        <w:overflowPunct/>
        <w:topLinePunct w:val="0"/>
        <w:autoSpaceDE/>
        <w:autoSpaceDN/>
        <w:bidi w:val="0"/>
        <w:adjustRightInd/>
        <w:snapToGrid/>
        <w:spacing w:before="0" w:after="0" w:line="360" w:lineRule="auto"/>
        <w:ind w:firstLine="482"/>
        <w:textAlignment w:val="auto"/>
        <w:rPr>
          <w:rFonts w:hint="eastAsia" w:asciiTheme="minorEastAsia" w:hAnsiTheme="minorEastAsia" w:eastAsiaTheme="minorEastAsia" w:cstheme="minorEastAsia"/>
          <w:color w:val="auto"/>
          <w:sz w:val="24"/>
          <w:szCs w:val="24"/>
          <w:highlight w:val="none"/>
        </w:rPr>
      </w:pPr>
      <w:bookmarkStart w:id="56" w:name="_Toc20823287"/>
      <w:bookmarkStart w:id="57" w:name="_Toc16938531"/>
      <w:bookmarkStart w:id="58" w:name="_Toc462564074"/>
      <w:bookmarkStart w:id="59" w:name="_Toc513029215"/>
      <w:r>
        <w:rPr>
          <w:rFonts w:hint="eastAsia" w:asciiTheme="minorEastAsia" w:hAnsiTheme="minorEastAsia" w:eastAsiaTheme="minorEastAsia" w:cstheme="minorEastAsia"/>
          <w:color w:val="auto"/>
          <w:sz w:val="24"/>
          <w:szCs w:val="24"/>
          <w:highlight w:val="none"/>
        </w:rPr>
        <w:t>10.投标文件构成</w:t>
      </w:r>
      <w:bookmarkEnd w:id="56"/>
      <w:bookmarkEnd w:id="57"/>
      <w:bookmarkEnd w:id="58"/>
      <w:bookmarkEnd w:id="59"/>
    </w:p>
    <w:p w14:paraId="236F280A">
      <w:pPr>
        <w:pageBreakBefore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bCs/>
          <w:color w:val="auto"/>
          <w:sz w:val="24"/>
          <w:szCs w:val="24"/>
          <w:highlight w:val="none"/>
          <w:lang w:val="zh-CN"/>
        </w:rPr>
      </w:pPr>
      <w:r>
        <w:rPr>
          <w:rFonts w:hint="eastAsia" w:asciiTheme="minorEastAsia" w:hAnsiTheme="minorEastAsia" w:eastAsiaTheme="minorEastAsia" w:cstheme="minorEastAsia"/>
          <w:bCs/>
          <w:color w:val="auto"/>
          <w:sz w:val="24"/>
          <w:szCs w:val="24"/>
          <w:highlight w:val="none"/>
        </w:rPr>
        <w:t>10.1供应商编写的投标文件应包括资格证明文件、符合性证明文件、投标分项报价表、技术要求响应及偏离表、商务要求响应及偏离表、投标函、开标一览表、其他证明文件等部分</w:t>
      </w:r>
      <w:r>
        <w:rPr>
          <w:rFonts w:hint="eastAsia" w:asciiTheme="minorEastAsia" w:hAnsiTheme="minorEastAsia" w:eastAsiaTheme="minorEastAsia" w:cstheme="minorEastAsia"/>
          <w:b/>
          <w:color w:val="auto"/>
          <w:sz w:val="24"/>
          <w:szCs w:val="24"/>
          <w:highlight w:val="none"/>
          <w:lang w:val="zh-CN"/>
        </w:rPr>
        <w:t>（格式详见招标文件“第六章  投标文件格式”）</w:t>
      </w:r>
      <w:r>
        <w:rPr>
          <w:rFonts w:hint="eastAsia" w:asciiTheme="minorEastAsia" w:hAnsiTheme="minorEastAsia" w:eastAsiaTheme="minorEastAsia" w:cstheme="minorEastAsia"/>
          <w:bCs/>
          <w:color w:val="auto"/>
          <w:sz w:val="24"/>
          <w:szCs w:val="24"/>
          <w:highlight w:val="none"/>
          <w:lang w:val="zh-CN"/>
        </w:rPr>
        <w:t>。</w:t>
      </w:r>
    </w:p>
    <w:p w14:paraId="2EA65C49">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b/>
          <w:color w:val="auto"/>
          <w:sz w:val="24"/>
          <w:szCs w:val="24"/>
          <w:highlight w:val="none"/>
        </w:rPr>
      </w:pPr>
      <w:bookmarkStart w:id="60" w:name="_Toc14577357"/>
      <w:bookmarkStart w:id="61" w:name="_Toc49090509"/>
      <w:bookmarkStart w:id="62" w:name="_Toc513029219"/>
      <w:bookmarkStart w:id="63" w:name="_Toc513029216"/>
      <w:bookmarkStart w:id="64" w:name="_Toc14577354"/>
      <w:bookmarkStart w:id="65" w:name="_Toc49090507"/>
      <w:r>
        <w:rPr>
          <w:rFonts w:hint="eastAsia" w:asciiTheme="minorEastAsia" w:hAnsiTheme="minorEastAsia" w:eastAsiaTheme="minorEastAsia" w:cstheme="minorEastAsia"/>
          <w:color w:val="auto"/>
          <w:sz w:val="24"/>
          <w:szCs w:val="24"/>
          <w:highlight w:val="none"/>
        </w:rPr>
        <w:t>10.2如标书制作工具中格式和内容与“中国政府采购网”、“江苏政府采购网”、“盐城市政府采购网”发布的招标文件不一致，请以“中国政府采购网”、“江苏政府采购网”、“盐城市政府采购网”发布的招标文件为准。</w:t>
      </w:r>
    </w:p>
    <w:p w14:paraId="6D05C8A3">
      <w:pPr>
        <w:pStyle w:val="5"/>
        <w:pageBreakBefore w:val="0"/>
        <w:kinsoku/>
        <w:wordWrap/>
        <w:overflowPunct/>
        <w:topLinePunct w:val="0"/>
        <w:autoSpaceDE/>
        <w:autoSpaceDN/>
        <w:bidi w:val="0"/>
        <w:adjustRightInd/>
        <w:snapToGrid/>
        <w:spacing w:before="0" w:after="0" w:line="360" w:lineRule="auto"/>
        <w:ind w:firstLine="361"/>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bookmarkEnd w:id="60"/>
      <w:bookmarkEnd w:id="61"/>
      <w:bookmarkEnd w:id="62"/>
      <w:r>
        <w:rPr>
          <w:rFonts w:hint="eastAsia" w:asciiTheme="minorEastAsia" w:hAnsiTheme="minorEastAsia" w:eastAsiaTheme="minorEastAsia" w:cstheme="minorEastAsia"/>
          <w:color w:val="auto"/>
          <w:sz w:val="24"/>
          <w:szCs w:val="24"/>
          <w:highlight w:val="none"/>
        </w:rPr>
        <w:t>1.证明供应商及投标标的符合招标文件规定的文件</w:t>
      </w:r>
    </w:p>
    <w:p w14:paraId="6987FC20">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11.1供应商应按照法律、法规、规章和规范性文件以及招标文件要求提交证明文件，证明其及投标标的符合招标文件规定。</w:t>
      </w:r>
    </w:p>
    <w:p w14:paraId="236EDD4C">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11.2招标文件对证明文件无明确形式要求的，证明文件可以以文字资料、图纸和数据等形式提交。</w:t>
      </w:r>
    </w:p>
    <w:bookmarkEnd w:id="63"/>
    <w:bookmarkEnd w:id="64"/>
    <w:bookmarkEnd w:id="65"/>
    <w:p w14:paraId="6B5BCE73">
      <w:pPr>
        <w:pStyle w:val="5"/>
        <w:pageBreakBefore w:val="0"/>
        <w:kinsoku/>
        <w:wordWrap/>
        <w:overflowPunct/>
        <w:topLinePunct w:val="0"/>
        <w:autoSpaceDE/>
        <w:autoSpaceDN/>
        <w:bidi w:val="0"/>
        <w:adjustRightInd/>
        <w:snapToGrid/>
        <w:spacing w:before="0" w:after="0" w:line="360" w:lineRule="auto"/>
        <w:ind w:firstLine="482"/>
        <w:textAlignment w:val="auto"/>
        <w:rPr>
          <w:rFonts w:hint="eastAsia" w:asciiTheme="minorEastAsia" w:hAnsiTheme="minorEastAsia" w:eastAsiaTheme="minorEastAsia" w:cstheme="minorEastAsia"/>
          <w:color w:val="auto"/>
          <w:sz w:val="24"/>
          <w:szCs w:val="24"/>
          <w:highlight w:val="none"/>
        </w:rPr>
      </w:pPr>
      <w:bookmarkStart w:id="66" w:name="_Toc14577355"/>
      <w:bookmarkStart w:id="67" w:name="_Toc49090508"/>
      <w:r>
        <w:rPr>
          <w:rFonts w:hint="eastAsia" w:asciiTheme="minorEastAsia" w:hAnsiTheme="minorEastAsia" w:eastAsiaTheme="minorEastAsia" w:cstheme="minorEastAsia"/>
          <w:color w:val="auto"/>
          <w:sz w:val="24"/>
          <w:szCs w:val="24"/>
          <w:highlight w:val="none"/>
        </w:rPr>
        <w:t>12.</w:t>
      </w:r>
      <w:bookmarkEnd w:id="66"/>
      <w:bookmarkEnd w:id="67"/>
      <w:r>
        <w:rPr>
          <w:rFonts w:hint="eastAsia" w:asciiTheme="minorEastAsia" w:hAnsiTheme="minorEastAsia" w:eastAsiaTheme="minorEastAsia" w:cstheme="minorEastAsia"/>
          <w:color w:val="auto"/>
          <w:sz w:val="24"/>
          <w:szCs w:val="24"/>
          <w:highlight w:val="none"/>
        </w:rPr>
        <w:t>投标分项报价表</w:t>
      </w:r>
    </w:p>
    <w:p w14:paraId="765071C7">
      <w:pPr>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12.1 投标人应按照招标文件规定格式填报投标分项报价表。</w:t>
      </w:r>
    </w:p>
    <w:p w14:paraId="0B110B2D">
      <w:pPr>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inorEastAsia" w:hAnsiTheme="minorEastAsia" w:eastAsiaTheme="minorEastAsia" w:cstheme="minorEastAsia"/>
          <w:bCs/>
          <w:color w:val="auto"/>
          <w:sz w:val="24"/>
          <w:szCs w:val="24"/>
          <w:highlight w:val="none"/>
        </w:rPr>
      </w:pPr>
      <w:r>
        <w:rPr>
          <w:rFonts w:hint="eastAsia" w:ascii="宋体" w:hAnsi="宋体" w:eastAsia="宋体" w:cs="宋体"/>
          <w:color w:val="000000"/>
          <w:sz w:val="24"/>
          <w:szCs w:val="24"/>
          <w:highlight w:val="none"/>
          <w:lang w:val="en-US" w:eastAsia="zh-CN"/>
        </w:rPr>
        <w:t>12.2投标货币。投标文件中的单价和总价无特殊规定的采用人民币报价，以元为单位标注。招标文件中另有规定的按规定执行。</w:t>
      </w:r>
    </w:p>
    <w:p w14:paraId="5AF0672C">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77" w:firstLineChars="199"/>
        <w:textAlignment w:val="auto"/>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rPr>
        <w:t>12.3本项目招标代理服务费</w:t>
      </w:r>
      <w:r>
        <w:rPr>
          <w:rFonts w:hint="eastAsia" w:asciiTheme="minorEastAsia" w:hAnsiTheme="minorEastAsia" w:eastAsiaTheme="minorEastAsia" w:cstheme="minorEastAsia"/>
          <w:bCs/>
          <w:color w:val="auto"/>
          <w:sz w:val="24"/>
          <w:szCs w:val="24"/>
          <w:highlight w:val="none"/>
          <w:lang w:eastAsia="zh-CN"/>
        </w:rPr>
        <w:t>：</w:t>
      </w:r>
      <w:r>
        <w:rPr>
          <w:rFonts w:ascii="宋体" w:hAnsi="宋体" w:eastAsia="宋体" w:cs="宋体"/>
          <w:kern w:val="2"/>
          <w:sz w:val="24"/>
          <w:szCs w:val="24"/>
        </w:rPr>
        <w:t>中标单位须在领取各标段中标通知书时，向采购代理机构</w:t>
      </w:r>
      <w:r>
        <w:rPr>
          <w:rFonts w:ascii="宋体" w:hAnsi="宋体" w:eastAsia="宋体" w:cs="宋体"/>
          <w:b w:val="0"/>
          <w:bCs w:val="0"/>
          <w:color w:val="000000"/>
          <w:kern w:val="2"/>
          <w:sz w:val="24"/>
          <w:szCs w:val="24"/>
        </w:rPr>
        <w:t>按标段一次性足额支付</w:t>
      </w:r>
      <w:r>
        <w:rPr>
          <w:rFonts w:ascii="宋体" w:hAnsi="宋体" w:eastAsia="宋体" w:cs="宋体"/>
          <w:kern w:val="2"/>
          <w:sz w:val="24"/>
          <w:szCs w:val="24"/>
        </w:rPr>
        <w:t>对应标段的采购代理服务费用，各标段服务费单独核算、分别收取，收费标准如下</w:t>
      </w:r>
      <w:r>
        <w:rPr>
          <w:rFonts w:hint="eastAsia" w:ascii="宋体" w:hAnsi="宋体" w:cs="宋体"/>
          <w:color w:val="auto"/>
          <w:kern w:val="2"/>
          <w:sz w:val="24"/>
          <w:szCs w:val="24"/>
          <w:highlight w:val="none"/>
          <w:lang w:eastAsia="zh-CN"/>
        </w:rPr>
        <w:t>：</w:t>
      </w:r>
    </w:p>
    <w:p w14:paraId="7C74DEBA">
      <w:pPr>
        <w:pageBreakBefore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val="en-US" w:eastAsia="zh-CN"/>
        </w:rPr>
        <w:t>12</w:t>
      </w:r>
      <w:r>
        <w:rPr>
          <w:rFonts w:hint="eastAsia" w:asciiTheme="minorEastAsia" w:hAnsiTheme="minorEastAsia" w:eastAsiaTheme="minorEastAsia" w:cstheme="minorEastAsia"/>
          <w:bCs/>
          <w:color w:val="auto"/>
          <w:sz w:val="24"/>
          <w:szCs w:val="24"/>
          <w:highlight w:val="none"/>
          <w:lang w:eastAsia="zh-CN"/>
        </w:rPr>
        <w:t>.3.1中标金额小于10万元，每个项目收取采购代理服务费2500元。</w:t>
      </w:r>
    </w:p>
    <w:p w14:paraId="0035DF76">
      <w:pPr>
        <w:pageBreakBefore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val="en-US" w:eastAsia="zh-CN"/>
        </w:rPr>
        <w:t>12</w:t>
      </w:r>
      <w:r>
        <w:rPr>
          <w:rFonts w:hint="eastAsia" w:asciiTheme="minorEastAsia" w:hAnsiTheme="minorEastAsia" w:eastAsiaTheme="minorEastAsia" w:cstheme="minorEastAsia"/>
          <w:bCs/>
          <w:color w:val="auto"/>
          <w:sz w:val="24"/>
          <w:szCs w:val="24"/>
          <w:highlight w:val="none"/>
          <w:lang w:eastAsia="zh-CN"/>
        </w:rPr>
        <w:t>.3.2中标金额大于等于10万元且小于50万元，每个项目收取采购代理服务费3500元。</w:t>
      </w:r>
    </w:p>
    <w:p w14:paraId="20F27B3D">
      <w:pPr>
        <w:pageBreakBefore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val="en-US" w:eastAsia="zh-CN"/>
        </w:rPr>
        <w:t>12</w:t>
      </w:r>
      <w:r>
        <w:rPr>
          <w:rFonts w:hint="eastAsia" w:asciiTheme="minorEastAsia" w:hAnsiTheme="minorEastAsia" w:eastAsiaTheme="minorEastAsia" w:cstheme="minorEastAsia"/>
          <w:bCs/>
          <w:color w:val="auto"/>
          <w:sz w:val="24"/>
          <w:szCs w:val="24"/>
          <w:highlight w:val="none"/>
          <w:lang w:eastAsia="zh-CN"/>
        </w:rPr>
        <w:t>.3.3中标金额大于等于50万元且小于400万元的，按项目中标金额</w:t>
      </w:r>
      <w:r>
        <w:rPr>
          <w:rFonts w:hint="eastAsia" w:asciiTheme="minorEastAsia" w:hAnsiTheme="minorEastAsia" w:eastAsiaTheme="minorEastAsia" w:cstheme="minorEastAsia"/>
          <w:bCs/>
          <w:color w:val="auto"/>
          <w:sz w:val="24"/>
          <w:szCs w:val="24"/>
          <w:highlight w:val="none"/>
          <w:lang w:val="en-US" w:eastAsia="zh-CN"/>
        </w:rPr>
        <w:t>×</w:t>
      </w:r>
      <w:r>
        <w:rPr>
          <w:rFonts w:hint="eastAsia" w:asciiTheme="minorEastAsia" w:hAnsiTheme="minorEastAsia" w:eastAsiaTheme="minorEastAsia" w:cstheme="minorEastAsia"/>
          <w:bCs/>
          <w:color w:val="auto"/>
          <w:sz w:val="24"/>
          <w:szCs w:val="24"/>
          <w:highlight w:val="none"/>
          <w:lang w:eastAsia="zh-CN"/>
        </w:rPr>
        <w:t>苏招协(2022)2号文规定标准</w:t>
      </w:r>
      <w:r>
        <w:rPr>
          <w:rFonts w:hint="eastAsia" w:asciiTheme="minorEastAsia" w:hAnsiTheme="minorEastAsia" w:eastAsiaTheme="minorEastAsia" w:cstheme="minorEastAsia"/>
          <w:bCs/>
          <w:color w:val="auto"/>
          <w:sz w:val="24"/>
          <w:szCs w:val="24"/>
          <w:highlight w:val="none"/>
          <w:lang w:val="en-US" w:eastAsia="zh-CN"/>
        </w:rPr>
        <w:t>×</w:t>
      </w:r>
      <w:r>
        <w:rPr>
          <w:rFonts w:hint="eastAsia" w:asciiTheme="minorEastAsia" w:hAnsiTheme="minorEastAsia" w:eastAsiaTheme="minorEastAsia" w:cstheme="minorEastAsia"/>
          <w:bCs/>
          <w:color w:val="auto"/>
          <w:sz w:val="24"/>
          <w:szCs w:val="24"/>
          <w:highlight w:val="none"/>
          <w:lang w:eastAsia="zh-CN"/>
        </w:rPr>
        <w:t>50%收取采购代理服务费。</w:t>
      </w:r>
    </w:p>
    <w:p w14:paraId="181E50BF">
      <w:pPr>
        <w:pageBreakBefore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val="en-US" w:eastAsia="zh-CN"/>
        </w:rPr>
        <w:t>12</w:t>
      </w:r>
      <w:r>
        <w:rPr>
          <w:rFonts w:hint="eastAsia" w:asciiTheme="minorEastAsia" w:hAnsiTheme="minorEastAsia" w:eastAsiaTheme="minorEastAsia" w:cstheme="minorEastAsia"/>
          <w:bCs/>
          <w:color w:val="auto"/>
          <w:sz w:val="24"/>
          <w:szCs w:val="24"/>
          <w:highlight w:val="none"/>
          <w:lang w:eastAsia="zh-CN"/>
        </w:rPr>
        <w:t>.3.4中标金额大于等于400万元以上的，按项目中标金额</w:t>
      </w:r>
      <w:r>
        <w:rPr>
          <w:rFonts w:hint="eastAsia" w:asciiTheme="minorEastAsia" w:hAnsiTheme="minorEastAsia" w:eastAsiaTheme="minorEastAsia" w:cstheme="minorEastAsia"/>
          <w:bCs/>
          <w:color w:val="auto"/>
          <w:sz w:val="24"/>
          <w:szCs w:val="24"/>
          <w:highlight w:val="none"/>
          <w:lang w:val="en-US" w:eastAsia="zh-CN"/>
        </w:rPr>
        <w:t>×</w:t>
      </w:r>
      <w:r>
        <w:rPr>
          <w:rFonts w:hint="eastAsia" w:asciiTheme="minorEastAsia" w:hAnsiTheme="minorEastAsia" w:eastAsiaTheme="minorEastAsia" w:cstheme="minorEastAsia"/>
          <w:bCs/>
          <w:color w:val="auto"/>
          <w:sz w:val="24"/>
          <w:szCs w:val="24"/>
          <w:highlight w:val="none"/>
          <w:lang w:eastAsia="zh-CN"/>
        </w:rPr>
        <w:t>苏招协(2022)2号文规定标准x30%收取采购代理服务费。</w:t>
      </w:r>
    </w:p>
    <w:p w14:paraId="22AD2BCF">
      <w:pPr>
        <w:pageBreakBefore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val="en-US" w:eastAsia="zh-CN"/>
        </w:rPr>
        <w:t>12</w:t>
      </w:r>
      <w:r>
        <w:rPr>
          <w:rFonts w:hint="eastAsia" w:asciiTheme="minorEastAsia" w:hAnsiTheme="minorEastAsia" w:eastAsiaTheme="minorEastAsia" w:cstheme="minorEastAsia"/>
          <w:bCs/>
          <w:color w:val="auto"/>
          <w:sz w:val="24"/>
          <w:szCs w:val="24"/>
          <w:highlight w:val="none"/>
          <w:lang w:eastAsia="zh-CN"/>
        </w:rPr>
        <w:t>.3.</w:t>
      </w:r>
      <w:r>
        <w:rPr>
          <w:rFonts w:hint="eastAsia" w:asciiTheme="minorEastAsia" w:hAnsiTheme="minorEastAsia" w:eastAsiaTheme="minorEastAsia" w:cstheme="minorEastAsia"/>
          <w:bCs/>
          <w:color w:val="auto"/>
          <w:sz w:val="24"/>
          <w:szCs w:val="24"/>
          <w:highlight w:val="none"/>
          <w:lang w:val="en-US" w:eastAsia="zh-CN"/>
        </w:rPr>
        <w:t>5</w:t>
      </w:r>
      <w:r>
        <w:rPr>
          <w:rFonts w:hint="eastAsia" w:asciiTheme="minorEastAsia" w:hAnsiTheme="minorEastAsia" w:eastAsiaTheme="minorEastAsia" w:cstheme="minorEastAsia"/>
          <w:bCs/>
          <w:color w:val="auto"/>
          <w:sz w:val="24"/>
          <w:szCs w:val="24"/>
          <w:highlight w:val="none"/>
          <w:lang w:eastAsia="zh-CN"/>
        </w:rPr>
        <w:t>无中标金额的项目按3500元收取（注：无中标金额即按照费率或单价中标的项目）。</w:t>
      </w:r>
    </w:p>
    <w:p w14:paraId="0171F1D2">
      <w:pPr>
        <w:pageBreakBefore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12.4供应商根据招标内容的要求准确报价，一经报出，不得更改。</w:t>
      </w:r>
    </w:p>
    <w:p w14:paraId="13D58FA3">
      <w:pPr>
        <w:pageBreakBefore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bCs/>
          <w:color w:val="auto"/>
          <w:sz w:val="24"/>
          <w:szCs w:val="24"/>
          <w:highlight w:val="none"/>
          <w:lang w:val="zh-CN"/>
        </w:rPr>
      </w:pPr>
      <w:r>
        <w:rPr>
          <w:rFonts w:hint="eastAsia" w:asciiTheme="minorEastAsia" w:hAnsiTheme="minorEastAsia" w:eastAsiaTheme="minorEastAsia" w:cstheme="minorEastAsia"/>
          <w:bCs/>
          <w:color w:val="auto"/>
          <w:sz w:val="24"/>
          <w:szCs w:val="24"/>
          <w:highlight w:val="none"/>
        </w:rPr>
        <w:t>12.5 中标人如果未能按合同、招标投标文件履约，终止合同后，履约保证金不予退还，并且如果给招标人造成的损失超过履约保证金数额的，还应当对超过部分予以赔偿‌‌。</w:t>
      </w:r>
    </w:p>
    <w:p w14:paraId="05C616CE">
      <w:pPr>
        <w:pageBreakBefore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12.6由供应商自行根据采购人提供的招标文件及答疑文件等资料要求，并根据市场行情、结合自身公司实力、管理水平等因素，按要求的报价格式进行报价。中标后，执行其投标报价金额，其在招标范围内的漏项或缺项部分视为已包含在其投标总价中，结算时除变更外，一律不予调整中标价。</w:t>
      </w:r>
    </w:p>
    <w:p w14:paraId="7B6FC178">
      <w:pPr>
        <w:pageBreakBefore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12.6.1只允许有一个报价，任何有选择的报价将被拒绝。</w:t>
      </w:r>
    </w:p>
    <w:p w14:paraId="16BA5A9F">
      <w:pPr>
        <w:pageBreakBefore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12.7现场踏勘要求：供应商均应自行到项目现场进行踏勘，充分了解项目位置、情况及任何其他足以影响承包价的情况，并将本项目可预见的相关费用考虑到投标报价中，中标后采购人可认为本项目可预见的所有费用已在投标报价中予以考虑。任何因忽视或误解现场情况而导致的索赔将不被批准。</w:t>
      </w:r>
    </w:p>
    <w:p w14:paraId="14EDC7C5">
      <w:pPr>
        <w:pageBreakBefore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b/>
          <w:color w:val="auto"/>
          <w:sz w:val="24"/>
          <w:szCs w:val="24"/>
          <w:highlight w:val="none"/>
        </w:rPr>
      </w:pPr>
      <w:bookmarkStart w:id="68" w:name="_Hlt26670486"/>
      <w:bookmarkEnd w:id="68"/>
      <w:bookmarkStart w:id="69" w:name="_Hlt26954846"/>
      <w:bookmarkEnd w:id="69"/>
      <w:bookmarkStart w:id="70" w:name="_Hlt26670482"/>
      <w:bookmarkEnd w:id="70"/>
      <w:bookmarkStart w:id="71" w:name="_Hlt26954848"/>
      <w:bookmarkEnd w:id="71"/>
      <w:bookmarkStart w:id="72" w:name="_Hlt26954731"/>
      <w:bookmarkEnd w:id="72"/>
      <w:r>
        <w:rPr>
          <w:rFonts w:hint="eastAsia" w:asciiTheme="minorEastAsia" w:hAnsiTheme="minorEastAsia" w:eastAsiaTheme="minorEastAsia" w:cstheme="minorEastAsia"/>
          <w:b/>
          <w:color w:val="auto"/>
          <w:sz w:val="24"/>
          <w:szCs w:val="24"/>
          <w:highlight w:val="none"/>
        </w:rPr>
        <w:t>13.技术要求响应及偏离表、商务要求响应及偏离表</w:t>
      </w:r>
    </w:p>
    <w:p w14:paraId="0F54404B">
      <w:pPr>
        <w:pageBreakBefore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13.1</w:t>
      </w:r>
      <w:r>
        <w:rPr>
          <w:rFonts w:hint="eastAsia" w:ascii="宋体" w:hAnsi="宋体" w:eastAsia="宋体" w:cs="宋体"/>
          <w:color w:val="000000"/>
          <w:sz w:val="24"/>
          <w:szCs w:val="24"/>
          <w:highlight w:val="none"/>
        </w:rPr>
        <w:t>投标人需对招标文件中的技术要求与商务要求逐项作出响应或偏离，并说明原因</w:t>
      </w:r>
      <w:r>
        <w:rPr>
          <w:rFonts w:hint="eastAsia" w:asciiTheme="minorEastAsia" w:hAnsiTheme="minorEastAsia" w:eastAsiaTheme="minorEastAsia" w:cstheme="minorEastAsia"/>
          <w:bCs/>
          <w:color w:val="auto"/>
          <w:sz w:val="24"/>
          <w:szCs w:val="24"/>
          <w:highlight w:val="none"/>
        </w:rPr>
        <w:t>。</w:t>
      </w:r>
    </w:p>
    <w:p w14:paraId="07C5CF8A">
      <w:pPr>
        <w:pageBreakBefore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13.2供应商可在投标文件中提供认为需要的其他技术文件或说明。</w:t>
      </w:r>
    </w:p>
    <w:p w14:paraId="0F49484C">
      <w:pPr>
        <w:pageBreakBefore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b/>
          <w:color w:val="auto"/>
          <w:sz w:val="24"/>
          <w:szCs w:val="24"/>
          <w:highlight w:val="none"/>
        </w:rPr>
      </w:pPr>
      <w:bookmarkStart w:id="73" w:name="_Toc14577359"/>
      <w:bookmarkStart w:id="74" w:name="_Toc49090510"/>
      <w:r>
        <w:rPr>
          <w:rFonts w:hint="eastAsia" w:asciiTheme="minorEastAsia" w:hAnsiTheme="minorEastAsia" w:eastAsiaTheme="minorEastAsia" w:cstheme="minorEastAsia"/>
          <w:b/>
          <w:color w:val="auto"/>
          <w:sz w:val="24"/>
          <w:szCs w:val="24"/>
          <w:highlight w:val="none"/>
        </w:rPr>
        <w:t>14.投标函和开标一览表</w:t>
      </w:r>
    </w:p>
    <w:p w14:paraId="24E898EA">
      <w:pPr>
        <w:pageBreakBefore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14.1 供应商应按照招标文件</w:t>
      </w:r>
      <w:r>
        <w:rPr>
          <w:rFonts w:hint="eastAsia" w:asciiTheme="minorEastAsia" w:hAnsiTheme="minorEastAsia" w:eastAsiaTheme="minorEastAsia" w:cstheme="minorEastAsia"/>
          <w:color w:val="auto"/>
          <w:sz w:val="24"/>
          <w:szCs w:val="24"/>
          <w:highlight w:val="none"/>
        </w:rPr>
        <w:t>中提供的格式完整、正确填写投标函、开标一览表。</w:t>
      </w:r>
    </w:p>
    <w:p w14:paraId="6EB3DE3C">
      <w:pPr>
        <w:pageBreakBefore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14.2对于采用货币报价的项目，开标一览表中的投标总报价应与投标分项报价表中的投标总报价一致，如不一致，不作为无效投标处理，但评标时按开标一览表中的投标总报价为准。</w:t>
      </w:r>
    </w:p>
    <w:p w14:paraId="44460D43">
      <w:pPr>
        <w:pageBreakBefore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14.3投标文件的大写金额和小写金额不一致的，以大写金额为准；对不同文字文本投标的解释发生异议的，以中文文本为准。</w:t>
      </w:r>
    </w:p>
    <w:bookmarkEnd w:id="73"/>
    <w:bookmarkEnd w:id="74"/>
    <w:p w14:paraId="41CB2988">
      <w:pPr>
        <w:pageBreakBefore w:val="0"/>
        <w:kinsoku/>
        <w:wordWrap/>
        <w:overflowPunct/>
        <w:topLinePunct w:val="0"/>
        <w:autoSpaceDE/>
        <w:autoSpaceDN/>
        <w:bidi w:val="0"/>
        <w:adjustRightInd/>
        <w:snapToGrid/>
        <w:spacing w:line="360" w:lineRule="auto"/>
        <w:ind w:firstLine="482"/>
        <w:textAlignment w:val="auto"/>
        <w:rPr>
          <w:rFonts w:hint="eastAsia" w:asciiTheme="minorEastAsia" w:hAnsiTheme="minorEastAsia" w:eastAsiaTheme="minorEastAsia" w:cstheme="minorEastAsia"/>
          <w:b/>
          <w:bCs/>
          <w:color w:val="auto"/>
          <w:sz w:val="24"/>
          <w:szCs w:val="24"/>
          <w:highlight w:val="none"/>
        </w:rPr>
      </w:pPr>
      <w:bookmarkStart w:id="75" w:name="_Hlt26954734"/>
      <w:bookmarkEnd w:id="75"/>
      <w:bookmarkStart w:id="76" w:name="_Hlt26954850"/>
      <w:bookmarkEnd w:id="76"/>
      <w:bookmarkStart w:id="77" w:name="_Hlt26670489"/>
      <w:bookmarkEnd w:id="77"/>
      <w:bookmarkStart w:id="78" w:name="_Toc14577360"/>
      <w:bookmarkStart w:id="79" w:name="_Toc49090511"/>
      <w:r>
        <w:rPr>
          <w:rFonts w:hint="eastAsia" w:asciiTheme="minorEastAsia" w:hAnsiTheme="minorEastAsia" w:eastAsiaTheme="minorEastAsia" w:cstheme="minorEastAsia"/>
          <w:b/>
          <w:bCs/>
          <w:color w:val="auto"/>
          <w:sz w:val="24"/>
          <w:szCs w:val="24"/>
          <w:highlight w:val="none"/>
        </w:rPr>
        <w:t>15.投标有效期</w:t>
      </w:r>
      <w:bookmarkEnd w:id="78"/>
      <w:bookmarkEnd w:id="79"/>
    </w:p>
    <w:p w14:paraId="04FC52F4">
      <w:pPr>
        <w:pageBreakBefore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rPr>
        <w:t>15.1 投标有效期为采购代理机构规定的开标之日后</w:t>
      </w:r>
      <w:r>
        <w:rPr>
          <w:rFonts w:hint="eastAsia" w:asciiTheme="minorEastAsia" w:hAnsiTheme="minorEastAsia" w:eastAsiaTheme="minorEastAsia" w:cstheme="minorEastAsia"/>
          <w:bCs/>
          <w:color w:val="auto"/>
          <w:sz w:val="24"/>
          <w:szCs w:val="24"/>
          <w:highlight w:val="none"/>
          <w:lang w:val="en-US" w:eastAsia="zh-CN"/>
        </w:rPr>
        <w:t>九</w:t>
      </w:r>
      <w:r>
        <w:rPr>
          <w:rFonts w:hint="eastAsia" w:asciiTheme="minorEastAsia" w:hAnsiTheme="minorEastAsia" w:eastAsiaTheme="minorEastAsia" w:cstheme="minorEastAsia"/>
          <w:bCs/>
          <w:color w:val="auto"/>
          <w:sz w:val="24"/>
          <w:szCs w:val="24"/>
          <w:highlight w:val="none"/>
        </w:rPr>
        <w:t>十（</w:t>
      </w:r>
      <w:r>
        <w:rPr>
          <w:rFonts w:hint="eastAsia" w:asciiTheme="minorEastAsia" w:hAnsiTheme="minorEastAsia" w:eastAsiaTheme="minorEastAsia" w:cstheme="minorEastAsia"/>
          <w:bCs/>
          <w:color w:val="auto"/>
          <w:sz w:val="24"/>
          <w:szCs w:val="24"/>
          <w:highlight w:val="none"/>
          <w:lang w:val="en-US" w:eastAsia="zh-CN"/>
        </w:rPr>
        <w:t>9</w:t>
      </w:r>
      <w:r>
        <w:rPr>
          <w:rFonts w:hint="eastAsia" w:asciiTheme="minorEastAsia" w:hAnsiTheme="minorEastAsia" w:eastAsiaTheme="minorEastAsia" w:cstheme="minorEastAsia"/>
          <w:bCs/>
          <w:color w:val="auto"/>
          <w:sz w:val="24"/>
          <w:szCs w:val="24"/>
          <w:highlight w:val="none"/>
        </w:rPr>
        <w:t>0）天。投标有效期比规定短的将被视为非响应性投标而予以拒绝。</w:t>
      </w:r>
    </w:p>
    <w:p w14:paraId="31B4CDDD">
      <w:pPr>
        <w:pageBreakBefore w:val="0"/>
        <w:kinsoku/>
        <w:wordWrap/>
        <w:overflowPunct/>
        <w:topLinePunct w:val="0"/>
        <w:autoSpaceDE/>
        <w:autoSpaceDN/>
        <w:bidi w:val="0"/>
        <w:adjustRightInd/>
        <w:snapToGrid/>
        <w:spacing w:line="360" w:lineRule="auto"/>
        <w:ind w:firstLine="482"/>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16.投标有效期的延长</w:t>
      </w:r>
    </w:p>
    <w:p w14:paraId="54F5188B">
      <w:pPr>
        <w:pageBreakBefore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16.1在特殊情况下，采购代理机构于原投标有效期满之前，可向供应商提出延长投标有效期的要求。这种要求与答复均应采用书面形式。供应商可以拒绝采购中心的这一要求而放弃投标。同意延长投标有效期的供应商既不能要求也不允许修改其投标文件，同时受投标有效期约束的所有权利与义务均延长至新的有效期</w:t>
      </w:r>
      <w:r>
        <w:rPr>
          <w:rFonts w:hint="eastAsia" w:asciiTheme="minorEastAsia" w:hAnsiTheme="minorEastAsia" w:eastAsiaTheme="minorEastAsia" w:cstheme="minorEastAsia"/>
          <w:bCs/>
          <w:color w:val="auto"/>
          <w:sz w:val="24"/>
          <w:szCs w:val="24"/>
          <w:highlight w:val="none"/>
        </w:rPr>
        <w:t>。</w:t>
      </w:r>
    </w:p>
    <w:p w14:paraId="66784262">
      <w:pPr>
        <w:pStyle w:val="4"/>
        <w:pageBreakBefore w:val="0"/>
        <w:kinsoku/>
        <w:wordWrap/>
        <w:overflowPunct/>
        <w:topLinePunct w:val="0"/>
        <w:autoSpaceDE/>
        <w:autoSpaceDN/>
        <w:bidi w:val="0"/>
        <w:adjustRightInd/>
        <w:snapToGrid/>
        <w:spacing w:line="360" w:lineRule="auto"/>
        <w:ind w:firstLine="118"/>
        <w:textAlignment w:val="auto"/>
        <w:rPr>
          <w:rFonts w:hint="eastAsia" w:asciiTheme="minorEastAsia" w:hAnsiTheme="minorEastAsia" w:eastAsiaTheme="minorEastAsia" w:cstheme="minorEastAsia"/>
          <w:b/>
          <w:color w:val="auto"/>
          <w:szCs w:val="24"/>
          <w:highlight w:val="none"/>
        </w:rPr>
      </w:pPr>
      <w:bookmarkStart w:id="80" w:name="_Hlt26954739"/>
      <w:bookmarkEnd w:id="80"/>
      <w:bookmarkStart w:id="81" w:name="_Hlt26954852"/>
      <w:bookmarkEnd w:id="81"/>
      <w:r>
        <w:rPr>
          <w:rFonts w:hint="eastAsia" w:asciiTheme="minorEastAsia" w:hAnsiTheme="minorEastAsia" w:eastAsiaTheme="minorEastAsia" w:cstheme="minorEastAsia"/>
          <w:b/>
          <w:color w:val="auto"/>
          <w:szCs w:val="24"/>
          <w:highlight w:val="none"/>
        </w:rPr>
        <w:t>四、投标文件的递交</w:t>
      </w:r>
    </w:p>
    <w:p w14:paraId="4235D04B">
      <w:pPr>
        <w:pageBreakBefore w:val="0"/>
        <w:kinsoku/>
        <w:wordWrap/>
        <w:overflowPunct/>
        <w:topLinePunct w:val="0"/>
        <w:autoSpaceDE/>
        <w:autoSpaceDN/>
        <w:bidi w:val="0"/>
        <w:adjustRightInd/>
        <w:snapToGrid/>
        <w:spacing w:line="360" w:lineRule="auto"/>
        <w:ind w:firstLine="482"/>
        <w:textAlignment w:val="auto"/>
        <w:rPr>
          <w:rFonts w:hint="eastAsia" w:asciiTheme="minorEastAsia" w:hAnsiTheme="minorEastAsia" w:eastAsiaTheme="minorEastAsia" w:cstheme="minorEastAsia"/>
          <w:b/>
          <w:bCs/>
          <w:color w:val="auto"/>
          <w:sz w:val="24"/>
          <w:szCs w:val="24"/>
          <w:highlight w:val="none"/>
        </w:rPr>
      </w:pPr>
      <w:bookmarkStart w:id="82" w:name="_Toc513029229"/>
      <w:bookmarkStart w:id="83" w:name="_Toc20823301"/>
      <w:bookmarkStart w:id="84" w:name="_Toc120614218"/>
      <w:bookmarkStart w:id="85" w:name="_Toc16938545"/>
      <w:r>
        <w:rPr>
          <w:rFonts w:hint="eastAsia" w:asciiTheme="minorEastAsia" w:hAnsiTheme="minorEastAsia" w:eastAsiaTheme="minorEastAsia" w:cstheme="minorEastAsia"/>
          <w:b/>
          <w:bCs/>
          <w:color w:val="auto"/>
          <w:sz w:val="24"/>
          <w:szCs w:val="24"/>
          <w:highlight w:val="none"/>
        </w:rPr>
        <w:t>17.投标文件的递交</w:t>
      </w:r>
    </w:p>
    <w:p w14:paraId="6C9C597E">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17.1 电子投标文件的递交</w:t>
      </w:r>
    </w:p>
    <w:p w14:paraId="38C6B419">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供应商应当按照《操作手册》规定，在投标截止时间前制作并上传电子投标文件。</w:t>
      </w:r>
    </w:p>
    <w:p w14:paraId="68E570F3">
      <w:pPr>
        <w:pageBreakBefore w:val="0"/>
        <w:kinsoku/>
        <w:wordWrap/>
        <w:overflowPunct/>
        <w:topLinePunct w:val="0"/>
        <w:autoSpaceDE/>
        <w:autoSpaceDN/>
        <w:bidi w:val="0"/>
        <w:adjustRightInd/>
        <w:snapToGrid/>
        <w:spacing w:line="360" w:lineRule="auto"/>
        <w:ind w:firstLine="482"/>
        <w:textAlignment w:val="auto"/>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rPr>
        <w:t>18.投标截止</w:t>
      </w:r>
      <w:r>
        <w:rPr>
          <w:rFonts w:hint="eastAsia" w:asciiTheme="minorEastAsia" w:hAnsiTheme="minorEastAsia" w:eastAsiaTheme="minorEastAsia" w:cstheme="minorEastAsia"/>
          <w:b/>
          <w:bCs/>
          <w:color w:val="auto"/>
          <w:sz w:val="24"/>
          <w:szCs w:val="24"/>
          <w:highlight w:val="none"/>
          <w:lang w:eastAsia="zh-CN"/>
        </w:rPr>
        <w:t>日期</w:t>
      </w:r>
    </w:p>
    <w:p w14:paraId="0ECCD361">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18.1</w:t>
      </w:r>
      <w:r>
        <w:rPr>
          <w:rFonts w:hint="eastAsia" w:ascii="宋体" w:hAnsi="宋体" w:eastAsia="宋体" w:cs="宋体"/>
          <w:i/>
          <w:color w:val="000000"/>
          <w:sz w:val="24"/>
          <w:szCs w:val="24"/>
          <w:highlight w:val="none"/>
          <w:u w:val="single"/>
        </w:rPr>
        <w:t>投标人上传电子投标文件的时间不得迟于招标公告中规定的投标截止时间</w:t>
      </w:r>
      <w:r>
        <w:rPr>
          <w:rFonts w:hint="eastAsia" w:asciiTheme="minorEastAsia" w:hAnsiTheme="minorEastAsia" w:eastAsiaTheme="minorEastAsia" w:cstheme="minorEastAsia"/>
          <w:color w:val="auto"/>
          <w:sz w:val="24"/>
          <w:szCs w:val="24"/>
          <w:highlight w:val="none"/>
        </w:rPr>
        <w:t>。</w:t>
      </w:r>
    </w:p>
    <w:p w14:paraId="5AB160AC">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000000"/>
          <w:sz w:val="24"/>
          <w:szCs w:val="24"/>
          <w:highlight w:val="none"/>
        </w:rPr>
        <w:t>投标人应充分考虑到网络环境、网络带宽等风险因素，如因投标人自身原因造成的电子投标文件上传不成功的按照本招标文件第二章第2</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.1.2条规定做无效投标处理</w:t>
      </w:r>
      <w:r>
        <w:rPr>
          <w:rFonts w:hint="eastAsia" w:asciiTheme="minorEastAsia" w:hAnsiTheme="minorEastAsia" w:eastAsiaTheme="minorEastAsia" w:cstheme="minorEastAsia"/>
          <w:color w:val="auto"/>
          <w:sz w:val="24"/>
          <w:szCs w:val="24"/>
          <w:highlight w:val="none"/>
        </w:rPr>
        <w:t>。</w:t>
      </w:r>
    </w:p>
    <w:p w14:paraId="7C9E5B2C">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18.2采购代理机构可以按照规定，通过修改招标文件酌情延长投标截止时间，在此情况下，</w:t>
      </w:r>
      <w:r>
        <w:rPr>
          <w:rFonts w:hint="eastAsia" w:ascii="宋体" w:hAnsi="宋体" w:eastAsia="宋体" w:cs="宋体"/>
          <w:color w:val="000000"/>
          <w:sz w:val="24"/>
          <w:szCs w:val="24"/>
          <w:highlight w:val="none"/>
        </w:rPr>
        <w:t>投标人的所有权利和义务以及投标人受制的截止日期均应以延长后新的截止日期为准</w:t>
      </w:r>
      <w:r>
        <w:rPr>
          <w:rFonts w:hint="eastAsia" w:asciiTheme="minorEastAsia" w:hAnsiTheme="minorEastAsia" w:eastAsiaTheme="minorEastAsia" w:cstheme="minorEastAsia"/>
          <w:color w:val="auto"/>
          <w:sz w:val="24"/>
          <w:szCs w:val="24"/>
          <w:highlight w:val="none"/>
        </w:rPr>
        <w:t>。</w:t>
      </w:r>
    </w:p>
    <w:p w14:paraId="1BDDAAA3">
      <w:pPr>
        <w:pageBreakBefore w:val="0"/>
        <w:kinsoku/>
        <w:wordWrap/>
        <w:overflowPunct/>
        <w:topLinePunct w:val="0"/>
        <w:autoSpaceDE/>
        <w:autoSpaceDN/>
        <w:bidi w:val="0"/>
        <w:adjustRightInd/>
        <w:snapToGrid/>
        <w:spacing w:line="360" w:lineRule="auto"/>
        <w:ind w:firstLine="482"/>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19.投标文件的拒收</w:t>
      </w:r>
    </w:p>
    <w:p w14:paraId="6ADB458A">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19.1采购代理机构拒绝接收在其规定的投标截止时间后上传的任何投标文件。</w:t>
      </w:r>
    </w:p>
    <w:p w14:paraId="27248995">
      <w:pPr>
        <w:pageBreakBefore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20.投标文件的撤回和修改</w:t>
      </w:r>
    </w:p>
    <w:p w14:paraId="19E01FC9">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20.1投标文件的撤回</w:t>
      </w:r>
    </w:p>
    <w:p w14:paraId="19BB871F">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20.1.1电子投标文件的撤回</w:t>
      </w:r>
    </w:p>
    <w:p w14:paraId="73B4AD49">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000000"/>
          <w:sz w:val="24"/>
          <w:szCs w:val="24"/>
          <w:highlight w:val="none"/>
        </w:rPr>
        <w:t>投标人可在投标截止时间前，撤回其电子投标文件，具体操作方法见《操作手册》</w:t>
      </w:r>
      <w:r>
        <w:rPr>
          <w:rFonts w:hint="eastAsia" w:asciiTheme="minorEastAsia" w:hAnsiTheme="minorEastAsia" w:eastAsiaTheme="minorEastAsia" w:cstheme="minorEastAsia"/>
          <w:color w:val="auto"/>
          <w:sz w:val="24"/>
          <w:szCs w:val="24"/>
          <w:highlight w:val="none"/>
        </w:rPr>
        <w:t>。</w:t>
      </w:r>
    </w:p>
    <w:p w14:paraId="211DD592">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20.1.2</w:t>
      </w:r>
      <w:r>
        <w:rPr>
          <w:rFonts w:hint="eastAsia" w:ascii="宋体" w:hAnsi="宋体" w:eastAsia="宋体" w:cs="宋体"/>
          <w:color w:val="000000"/>
          <w:sz w:val="24"/>
          <w:szCs w:val="24"/>
          <w:highlight w:val="none"/>
        </w:rPr>
        <w:t>投标人撤回电子投标文件，则认为其不再参与本项目投标活动</w:t>
      </w:r>
      <w:r>
        <w:rPr>
          <w:rFonts w:hint="eastAsia" w:asciiTheme="minorEastAsia" w:hAnsiTheme="minorEastAsia" w:eastAsiaTheme="minorEastAsia" w:cstheme="minorEastAsia"/>
          <w:color w:val="auto"/>
          <w:sz w:val="24"/>
          <w:szCs w:val="24"/>
          <w:highlight w:val="none"/>
        </w:rPr>
        <w:t>。</w:t>
      </w:r>
    </w:p>
    <w:p w14:paraId="5AA6DE2F">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20.2 投标文件的修改</w:t>
      </w:r>
    </w:p>
    <w:p w14:paraId="6D2BEE20">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20.2.1</w:t>
      </w:r>
      <w:r>
        <w:rPr>
          <w:rFonts w:hint="eastAsia" w:ascii="宋体" w:hAnsi="宋体" w:eastAsia="宋体" w:cs="宋体"/>
          <w:color w:val="000000"/>
          <w:sz w:val="24"/>
          <w:szCs w:val="24"/>
          <w:highlight w:val="none"/>
        </w:rPr>
        <w:t>投标人可在投标截止时间前，对其电子投标文件进行修改，具体操作方法见《操作手册》</w:t>
      </w:r>
      <w:r>
        <w:rPr>
          <w:rFonts w:hint="eastAsia" w:asciiTheme="minorEastAsia" w:hAnsiTheme="minorEastAsia" w:eastAsiaTheme="minorEastAsia" w:cstheme="minorEastAsia"/>
          <w:color w:val="auto"/>
          <w:sz w:val="24"/>
          <w:szCs w:val="24"/>
          <w:highlight w:val="none"/>
        </w:rPr>
        <w:t>。</w:t>
      </w:r>
    </w:p>
    <w:p w14:paraId="677D9274">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20.2.2</w:t>
      </w:r>
      <w:r>
        <w:rPr>
          <w:rFonts w:hint="eastAsia" w:ascii="宋体" w:hAnsi="宋体" w:eastAsia="宋体" w:cs="宋体"/>
          <w:color w:val="000000"/>
          <w:sz w:val="24"/>
          <w:szCs w:val="24"/>
          <w:highlight w:val="none"/>
        </w:rPr>
        <w:t>在投标截止时间之后，投标人不得对其电子投标文件作任何修改</w:t>
      </w:r>
      <w:r>
        <w:rPr>
          <w:rFonts w:hint="eastAsia" w:asciiTheme="minorEastAsia" w:hAnsiTheme="minorEastAsia" w:eastAsiaTheme="minorEastAsia" w:cstheme="minorEastAsia"/>
          <w:color w:val="auto"/>
          <w:sz w:val="24"/>
          <w:szCs w:val="24"/>
          <w:highlight w:val="none"/>
        </w:rPr>
        <w:t>。</w:t>
      </w:r>
    </w:p>
    <w:p w14:paraId="3552A405">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20.3</w:t>
      </w:r>
      <w:r>
        <w:rPr>
          <w:rFonts w:hint="eastAsia" w:ascii="宋体" w:hAnsi="宋体" w:eastAsia="宋体" w:cs="宋体"/>
          <w:color w:val="000000"/>
          <w:sz w:val="24"/>
          <w:szCs w:val="24"/>
          <w:highlight w:val="none"/>
        </w:rPr>
        <w:t>在投标截止时间至招标文件中规定的投标有效期满之间的这段时间内，投标人不得撤回其投标</w:t>
      </w:r>
      <w:r>
        <w:rPr>
          <w:rFonts w:hint="eastAsia" w:asciiTheme="minorEastAsia" w:hAnsiTheme="minorEastAsia" w:eastAsiaTheme="minorEastAsia" w:cstheme="minorEastAsia"/>
          <w:color w:val="auto"/>
          <w:sz w:val="24"/>
          <w:szCs w:val="24"/>
          <w:highlight w:val="none"/>
        </w:rPr>
        <w:t>。</w:t>
      </w:r>
    </w:p>
    <w:p w14:paraId="75EE3836">
      <w:pPr>
        <w:pStyle w:val="4"/>
        <w:pageBreakBefore w:val="0"/>
        <w:kinsoku/>
        <w:wordWrap/>
        <w:overflowPunct/>
        <w:topLinePunct w:val="0"/>
        <w:autoSpaceDE/>
        <w:autoSpaceDN/>
        <w:bidi w:val="0"/>
        <w:adjustRightInd/>
        <w:snapToGrid/>
        <w:spacing w:line="360" w:lineRule="auto"/>
        <w:ind w:firstLine="118"/>
        <w:textAlignment w:val="auto"/>
        <w:rPr>
          <w:rFonts w:hint="eastAsia"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t>五、开标与评标</w:t>
      </w:r>
      <w:bookmarkEnd w:id="82"/>
      <w:bookmarkEnd w:id="83"/>
      <w:bookmarkEnd w:id="84"/>
      <w:bookmarkEnd w:id="85"/>
      <w:bookmarkStart w:id="86" w:name="_Toc513029230"/>
      <w:bookmarkStart w:id="87" w:name="_Toc16938546"/>
      <w:bookmarkStart w:id="88" w:name="_Toc20823302"/>
    </w:p>
    <w:p w14:paraId="079F5768">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21.开标</w:t>
      </w:r>
      <w:bookmarkEnd w:id="86"/>
      <w:bookmarkEnd w:id="87"/>
      <w:bookmarkEnd w:id="88"/>
    </w:p>
    <w:p w14:paraId="6447899F">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bookmarkStart w:id="89" w:name="_Toc513029231"/>
      <w:bookmarkStart w:id="90" w:name="_Toc16938547"/>
      <w:bookmarkStart w:id="91" w:name="_Toc20823303"/>
      <w:r>
        <w:rPr>
          <w:rFonts w:hint="eastAsia" w:asciiTheme="minorEastAsia" w:hAnsiTheme="minorEastAsia" w:eastAsiaTheme="minorEastAsia" w:cstheme="minorEastAsia"/>
          <w:color w:val="auto"/>
          <w:sz w:val="24"/>
          <w:szCs w:val="24"/>
          <w:highlight w:val="none"/>
        </w:rPr>
        <w:t>21.1采购代理机构将在招标公告中规定的时间和地点组织公开开标。</w:t>
      </w:r>
      <w:r>
        <w:rPr>
          <w:rFonts w:hint="eastAsia" w:ascii="宋体" w:hAnsi="宋体" w:eastAsia="宋体" w:cs="宋体"/>
          <w:color w:val="000000"/>
          <w:sz w:val="24"/>
          <w:szCs w:val="24"/>
          <w:highlight w:val="none"/>
        </w:rPr>
        <w:t>投标人应当按照《操作手册》规定，参加开标活动</w:t>
      </w:r>
      <w:r>
        <w:rPr>
          <w:rFonts w:hint="eastAsia" w:ascii="宋体" w:hAnsi="宋体" w:eastAsia="宋体" w:cs="宋体"/>
          <w:color w:val="auto"/>
          <w:sz w:val="24"/>
          <w:szCs w:val="24"/>
          <w:highlight w:val="none"/>
        </w:rPr>
        <w:t>和在苏采云系统规定的时间内对投标文件进行解密</w:t>
      </w:r>
      <w:r>
        <w:rPr>
          <w:rFonts w:hint="eastAsia" w:asciiTheme="minorEastAsia" w:hAnsiTheme="minorEastAsia" w:eastAsiaTheme="minorEastAsia" w:cstheme="minorEastAsia"/>
          <w:color w:val="auto"/>
          <w:sz w:val="24"/>
          <w:szCs w:val="24"/>
          <w:highlight w:val="none"/>
        </w:rPr>
        <w:t>。</w:t>
      </w:r>
    </w:p>
    <w:p w14:paraId="31A4ECC8">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21.2开标仪式由采购代理机构组织。苏采云系统将自动对项目进行开标，</w:t>
      </w:r>
      <w:r>
        <w:rPr>
          <w:rFonts w:hint="eastAsia" w:ascii="宋体" w:hAnsi="宋体" w:eastAsia="宋体" w:cs="宋体"/>
          <w:color w:val="auto"/>
          <w:sz w:val="24"/>
          <w:szCs w:val="24"/>
          <w:highlight w:val="none"/>
        </w:rPr>
        <w:t>并宣布各投标人名称和投标价格</w:t>
      </w:r>
      <w:r>
        <w:rPr>
          <w:rFonts w:hint="eastAsia" w:asciiTheme="minorEastAsia" w:hAnsiTheme="minorEastAsia" w:eastAsiaTheme="minorEastAsia" w:cstheme="minorEastAsia"/>
          <w:color w:val="auto"/>
          <w:sz w:val="24"/>
          <w:szCs w:val="24"/>
          <w:highlight w:val="none"/>
        </w:rPr>
        <w:t>。</w:t>
      </w:r>
    </w:p>
    <w:p w14:paraId="25F2DD8D">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21.3</w:t>
      </w:r>
      <w:r>
        <w:rPr>
          <w:rFonts w:hint="eastAsia" w:ascii="宋体" w:hAnsi="宋体" w:eastAsia="宋体" w:cs="宋体"/>
          <w:color w:val="auto"/>
          <w:sz w:val="24"/>
          <w:szCs w:val="24"/>
          <w:highlight w:val="none"/>
        </w:rPr>
        <w:t>投标人在开标过程中涉及到的投标文件解密、开标结果确认等工作，应按照《操作手册》规定执行</w:t>
      </w:r>
      <w:r>
        <w:rPr>
          <w:rFonts w:hint="eastAsia" w:asciiTheme="minorEastAsia" w:hAnsiTheme="minorEastAsia" w:eastAsiaTheme="minorEastAsia" w:cstheme="minorEastAsia"/>
          <w:color w:val="auto"/>
          <w:sz w:val="24"/>
          <w:szCs w:val="24"/>
          <w:highlight w:val="none"/>
        </w:rPr>
        <w:t>。</w:t>
      </w:r>
    </w:p>
    <w:p w14:paraId="531FB8F1">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21.4</w:t>
      </w:r>
      <w:r>
        <w:rPr>
          <w:rFonts w:hint="eastAsia" w:ascii="宋体" w:hAnsi="宋体" w:eastAsia="宋体" w:cs="宋体"/>
          <w:color w:val="auto"/>
          <w:sz w:val="24"/>
          <w:szCs w:val="24"/>
          <w:highlight w:val="none"/>
        </w:rPr>
        <w:t>投标人如果对开标过程和开标记录有疑义，应当根据《操作手册》规定提出，如 苏采云系统中《开标记录表》宣布后5分钟内未提出的</w:t>
      </w:r>
      <w:r>
        <w:rPr>
          <w:rFonts w:hint="eastAsia" w:ascii="宋体" w:hAnsi="宋体" w:eastAsia="宋体" w:cs="宋体"/>
          <w:color w:val="000000"/>
          <w:sz w:val="24"/>
          <w:szCs w:val="24"/>
          <w:highlight w:val="none"/>
        </w:rPr>
        <w:t>，视同认可开标结果</w:t>
      </w:r>
      <w:r>
        <w:rPr>
          <w:rFonts w:hint="eastAsia" w:asciiTheme="minorEastAsia" w:hAnsiTheme="minorEastAsia" w:eastAsiaTheme="minorEastAsia" w:cstheme="minorEastAsia"/>
          <w:color w:val="auto"/>
          <w:sz w:val="24"/>
          <w:szCs w:val="24"/>
          <w:highlight w:val="none"/>
        </w:rPr>
        <w:t>。</w:t>
      </w:r>
      <w:bookmarkEnd w:id="89"/>
      <w:bookmarkEnd w:id="90"/>
      <w:bookmarkEnd w:id="91"/>
    </w:p>
    <w:p w14:paraId="6D039163">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22.评标委员会</w:t>
      </w:r>
    </w:p>
    <w:p w14:paraId="5F5513D7">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22.1开标后，采购代理机构将立即组织评标委员会（以下简称评委会）进行评标。</w:t>
      </w:r>
    </w:p>
    <w:p w14:paraId="6C1AFA2A">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22.2评委会由采购人代表和有关技术、经济等方面的专家组成，且人员构成符合政府采购有关规定。</w:t>
      </w:r>
    </w:p>
    <w:p w14:paraId="784DA629">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22.3评委会独立工作，负责评审所有投标文件并确定中标候选人。</w:t>
      </w:r>
    </w:p>
    <w:p w14:paraId="4F27624D">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23.评标过程的保密与公正</w:t>
      </w:r>
    </w:p>
    <w:p w14:paraId="0F95DABB">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23.1凡是与审查、澄清、评价和比较投标的有关资料以及授标建议等，采购人、评委、采购代理机构均不得向</w:t>
      </w:r>
      <w:r>
        <w:rPr>
          <w:rFonts w:hint="eastAsia" w:ascii="宋体" w:hAnsi="宋体" w:eastAsia="宋体" w:cs="宋体"/>
          <w:color w:val="000000"/>
          <w:sz w:val="24"/>
          <w:szCs w:val="24"/>
          <w:highlight w:val="none"/>
        </w:rPr>
        <w:t>投标人或与评标无关的其他人员透露</w:t>
      </w:r>
      <w:r>
        <w:rPr>
          <w:rFonts w:hint="eastAsia" w:asciiTheme="minorEastAsia" w:hAnsiTheme="minorEastAsia" w:eastAsiaTheme="minorEastAsia" w:cstheme="minorEastAsia"/>
          <w:color w:val="auto"/>
          <w:sz w:val="24"/>
          <w:szCs w:val="24"/>
          <w:highlight w:val="none"/>
        </w:rPr>
        <w:t>。</w:t>
      </w:r>
    </w:p>
    <w:p w14:paraId="6B756985">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23.2在评标过程中，</w:t>
      </w:r>
      <w:r>
        <w:rPr>
          <w:rFonts w:hint="eastAsia" w:ascii="宋体" w:hAnsi="宋体" w:eastAsia="宋体" w:cs="宋体"/>
          <w:color w:val="000000"/>
          <w:sz w:val="24"/>
          <w:szCs w:val="24"/>
          <w:highlight w:val="none"/>
        </w:rPr>
        <w:t>投标人不得以任何行为影响评标过程，否则其投标文件将被作为无效投标文件</w:t>
      </w:r>
      <w:r>
        <w:rPr>
          <w:rFonts w:hint="eastAsia" w:asciiTheme="minorEastAsia" w:hAnsiTheme="minorEastAsia" w:eastAsiaTheme="minorEastAsia" w:cstheme="minorEastAsia"/>
          <w:color w:val="auto"/>
          <w:sz w:val="24"/>
          <w:szCs w:val="24"/>
          <w:highlight w:val="none"/>
        </w:rPr>
        <w:t>。</w:t>
      </w:r>
    </w:p>
    <w:p w14:paraId="60E51D3E">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23.3采购代理机构</w:t>
      </w:r>
      <w:r>
        <w:rPr>
          <w:rFonts w:hint="eastAsia" w:ascii="宋体" w:hAnsi="宋体" w:eastAsia="宋体" w:cs="宋体"/>
          <w:color w:val="000000"/>
          <w:sz w:val="24"/>
          <w:szCs w:val="24"/>
          <w:highlight w:val="none"/>
        </w:rPr>
        <w:t>和评标委员会不向未中标的投标人解释未中标原因，也不公布评标过程中的相关</w:t>
      </w:r>
      <w:r>
        <w:rPr>
          <w:rFonts w:hint="eastAsia" w:ascii="宋体" w:hAnsi="宋体" w:eastAsia="宋体" w:cs="宋体"/>
          <w:color w:val="auto"/>
          <w:sz w:val="24"/>
          <w:szCs w:val="24"/>
          <w:highlight w:val="none"/>
        </w:rPr>
        <w:t>细节</w:t>
      </w:r>
      <w:r>
        <w:rPr>
          <w:rFonts w:hint="eastAsia" w:asciiTheme="minorEastAsia" w:hAnsiTheme="minorEastAsia" w:eastAsiaTheme="minorEastAsia" w:cstheme="minorEastAsia"/>
          <w:color w:val="auto"/>
          <w:sz w:val="24"/>
          <w:szCs w:val="24"/>
          <w:highlight w:val="none"/>
        </w:rPr>
        <w:t>。</w:t>
      </w:r>
    </w:p>
    <w:p w14:paraId="4C2DAD25">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23.4 </w:t>
      </w:r>
      <w:r>
        <w:rPr>
          <w:rFonts w:hint="eastAsia" w:ascii="宋体" w:hAnsi="宋体" w:eastAsia="宋体" w:cs="宋体"/>
          <w:color w:val="auto"/>
          <w:sz w:val="24"/>
          <w:szCs w:val="24"/>
          <w:highlight w:val="none"/>
        </w:rPr>
        <w:t>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排序情况</w:t>
      </w:r>
      <w:r>
        <w:rPr>
          <w:rFonts w:hint="eastAsia" w:asciiTheme="minorEastAsia" w:hAnsiTheme="minorEastAsia" w:eastAsiaTheme="minorEastAsia" w:cstheme="minorEastAsia"/>
          <w:color w:val="auto"/>
          <w:sz w:val="24"/>
          <w:szCs w:val="24"/>
          <w:highlight w:val="none"/>
          <w:lang w:eastAsia="zh-CN"/>
        </w:rPr>
        <w:t>。</w:t>
      </w:r>
    </w:p>
    <w:p w14:paraId="5486628B">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24.投标文件的澄清</w:t>
      </w:r>
    </w:p>
    <w:p w14:paraId="452E6FE5">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24.1评标期间，评委会对投标文件中含义不明确、同类问题表述不一致或者有明显文字和计算错误的内容，</w:t>
      </w:r>
      <w:r>
        <w:rPr>
          <w:rFonts w:hint="eastAsia" w:ascii="宋体" w:hAnsi="宋体" w:eastAsia="宋体" w:cs="宋体"/>
          <w:color w:val="000000"/>
          <w:sz w:val="24"/>
          <w:szCs w:val="24"/>
          <w:highlight w:val="none"/>
        </w:rPr>
        <w:t>有权要求投标人作出必要的澄清、说明或者补正</w:t>
      </w:r>
      <w:r>
        <w:rPr>
          <w:rFonts w:hint="eastAsia" w:asciiTheme="minorEastAsia" w:hAnsiTheme="minorEastAsia" w:eastAsiaTheme="minorEastAsia" w:cstheme="minorEastAsia"/>
          <w:color w:val="auto"/>
          <w:sz w:val="24"/>
          <w:szCs w:val="24"/>
          <w:highlight w:val="none"/>
        </w:rPr>
        <w:t>。</w:t>
      </w:r>
    </w:p>
    <w:p w14:paraId="20EBCCBA">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000000"/>
          <w:sz w:val="24"/>
          <w:szCs w:val="24"/>
          <w:highlight w:val="none"/>
        </w:rPr>
        <w:t>投标人的澄清、说明或者补正不得超出投标文件的范围或者改变投标文件的实质性内容</w:t>
      </w:r>
      <w:r>
        <w:rPr>
          <w:rFonts w:hint="eastAsia" w:asciiTheme="minorEastAsia" w:hAnsiTheme="minorEastAsia" w:eastAsiaTheme="minorEastAsia" w:cstheme="minorEastAsia"/>
          <w:color w:val="auto"/>
          <w:sz w:val="24"/>
          <w:szCs w:val="24"/>
          <w:highlight w:val="none"/>
        </w:rPr>
        <w:t>。</w:t>
      </w:r>
    </w:p>
    <w:p w14:paraId="4C8FA7B9">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评标委员会并非对每个供应商都做澄清要求。</w:t>
      </w:r>
    </w:p>
    <w:p w14:paraId="08693A22">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24.2</w:t>
      </w:r>
      <w:r>
        <w:rPr>
          <w:rFonts w:hint="eastAsia" w:ascii="宋体" w:hAnsi="宋体" w:eastAsia="宋体" w:cs="宋体"/>
          <w:color w:val="auto"/>
          <w:sz w:val="24"/>
          <w:szCs w:val="24"/>
          <w:highlight w:val="none"/>
        </w:rPr>
        <w:t>需要</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进行澄清、说明和补正的，评委会将通过苏采云系统向</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发出“澄清要求函”，接到“澄清要求函”的投标人应当按照要求在苏采云系统中提交“澄清响应函”并加盖CA电子公章。澄清、说明和补正的内容作为投标文件的补充部分，具体操作方式见《操作手册》</w:t>
      </w:r>
      <w:r>
        <w:rPr>
          <w:rFonts w:hint="eastAsia" w:asciiTheme="minorEastAsia" w:hAnsiTheme="minorEastAsia" w:eastAsiaTheme="minorEastAsia" w:cstheme="minorEastAsia"/>
          <w:color w:val="auto"/>
          <w:sz w:val="24"/>
          <w:szCs w:val="24"/>
          <w:highlight w:val="none"/>
        </w:rPr>
        <w:t>。</w:t>
      </w:r>
    </w:p>
    <w:p w14:paraId="797147E2">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24.3接到评委会澄清、</w:t>
      </w:r>
      <w:r>
        <w:rPr>
          <w:rFonts w:hint="eastAsia" w:ascii="宋体" w:hAnsi="宋体" w:eastAsia="宋体" w:cs="宋体"/>
          <w:color w:val="auto"/>
          <w:sz w:val="24"/>
          <w:szCs w:val="24"/>
          <w:highlight w:val="none"/>
        </w:rPr>
        <w:t>说明和补正要求的投标人如未按规定</w:t>
      </w:r>
      <w:r>
        <w:rPr>
          <w:rFonts w:hint="eastAsia" w:ascii="宋体" w:hAnsi="宋体" w:eastAsia="宋体" w:cs="宋体"/>
          <w:color w:val="auto"/>
          <w:sz w:val="24"/>
          <w:szCs w:val="24"/>
          <w:highlight w:val="none"/>
          <w:lang w:val="en-US" w:eastAsia="zh-CN"/>
        </w:rPr>
        <w:t>作</w:t>
      </w:r>
      <w:r>
        <w:rPr>
          <w:rFonts w:hint="eastAsia" w:ascii="宋体" w:hAnsi="宋体" w:eastAsia="宋体" w:cs="宋体"/>
          <w:color w:val="auto"/>
          <w:sz w:val="24"/>
          <w:szCs w:val="24"/>
          <w:highlight w:val="none"/>
        </w:rPr>
        <w:t>出澄清、</w:t>
      </w:r>
      <w:r>
        <w:rPr>
          <w:rFonts w:hint="eastAsia" w:ascii="宋体" w:hAnsi="宋体" w:eastAsia="宋体" w:cs="宋体"/>
          <w:color w:val="000000"/>
          <w:sz w:val="24"/>
          <w:szCs w:val="24"/>
          <w:highlight w:val="none"/>
        </w:rPr>
        <w:t>说明和补正，其风险由投标人自行承担</w:t>
      </w:r>
      <w:r>
        <w:rPr>
          <w:rFonts w:hint="eastAsia" w:asciiTheme="minorEastAsia" w:hAnsiTheme="minorEastAsia" w:eastAsiaTheme="minorEastAsia" w:cstheme="minorEastAsia"/>
          <w:color w:val="auto"/>
          <w:sz w:val="24"/>
          <w:szCs w:val="24"/>
          <w:highlight w:val="none"/>
        </w:rPr>
        <w:t>。</w:t>
      </w:r>
    </w:p>
    <w:p w14:paraId="2F3ACFB8">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25.对投标文件的初审</w:t>
      </w:r>
    </w:p>
    <w:p w14:paraId="1859DDDA">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25.1投标文件初审分为资格审查和符合性审查。</w:t>
      </w:r>
    </w:p>
    <w:p w14:paraId="509F2EFF">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25.1.1资格审查：依据法律法规和招标文件的规定，</w:t>
      </w:r>
      <w:r>
        <w:rPr>
          <w:rFonts w:hint="eastAsia" w:ascii="宋体" w:hAnsi="宋体" w:eastAsia="宋体" w:cs="宋体"/>
          <w:color w:val="000000"/>
          <w:sz w:val="24"/>
          <w:szCs w:val="24"/>
          <w:highlight w:val="none"/>
        </w:rPr>
        <w:t>由采购人对投标文件中的资格证明文件进行审查。资格审查的结论，采购人以书面形式向评委会进行反馈</w:t>
      </w:r>
      <w:r>
        <w:rPr>
          <w:rFonts w:hint="eastAsia" w:asciiTheme="minorEastAsia" w:hAnsiTheme="minorEastAsia" w:eastAsiaTheme="minorEastAsia" w:cstheme="minorEastAsia"/>
          <w:color w:val="auto"/>
          <w:sz w:val="24"/>
          <w:szCs w:val="24"/>
          <w:highlight w:val="none"/>
        </w:rPr>
        <w:t>。</w:t>
      </w:r>
    </w:p>
    <w:p w14:paraId="23CA14EA">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000000"/>
          <w:sz w:val="24"/>
          <w:szCs w:val="24"/>
          <w:highlight w:val="none"/>
        </w:rPr>
        <w:t>采购人在进行资格性审查的同时，将在“信用中国”网站（www.creditchina.gov.cn）查询投标人的信用记录，以确定投标人是否具备投标资格,查询结果留存并归档</w:t>
      </w:r>
      <w:r>
        <w:rPr>
          <w:rFonts w:hint="eastAsia" w:asciiTheme="minorEastAsia" w:hAnsiTheme="minorEastAsia" w:eastAsiaTheme="minorEastAsia" w:cstheme="minorEastAsia"/>
          <w:color w:val="auto"/>
          <w:sz w:val="24"/>
          <w:szCs w:val="24"/>
          <w:highlight w:val="none"/>
        </w:rPr>
        <w:t>。</w:t>
      </w:r>
    </w:p>
    <w:p w14:paraId="6906C2CA">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32952FCC">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25.1.2符合性审查：</w:t>
      </w:r>
      <w:r>
        <w:rPr>
          <w:rFonts w:hint="eastAsia" w:ascii="宋体" w:hAnsi="宋体" w:eastAsia="宋体" w:cs="宋体"/>
          <w:color w:val="000000"/>
          <w:sz w:val="24"/>
          <w:szCs w:val="24"/>
          <w:highlight w:val="none"/>
        </w:rPr>
        <w:t>依据招标文件的规定，由评委会从投标文件的有效性、完整性和对招标文件的响应程度进行审查，以确定是否对招标文件的实质性要求作出响应</w:t>
      </w:r>
      <w:r>
        <w:rPr>
          <w:rFonts w:hint="eastAsia" w:asciiTheme="minorEastAsia" w:hAnsiTheme="minorEastAsia" w:eastAsiaTheme="minorEastAsia" w:cstheme="minorEastAsia"/>
          <w:color w:val="auto"/>
          <w:sz w:val="24"/>
          <w:szCs w:val="24"/>
          <w:highlight w:val="none"/>
        </w:rPr>
        <w:t>。</w:t>
      </w:r>
    </w:p>
    <w:p w14:paraId="6AE8D01E">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25.1.3</w:t>
      </w:r>
      <w:r>
        <w:rPr>
          <w:rFonts w:hint="eastAsia" w:ascii="宋体" w:hAnsi="宋体" w:eastAsia="宋体" w:cs="宋体"/>
          <w:color w:val="000000"/>
          <w:sz w:val="24"/>
          <w:szCs w:val="24"/>
          <w:highlight w:val="none"/>
        </w:rPr>
        <w:t>未通过资格审查或符合性审查的投标人，</w:t>
      </w:r>
      <w:r>
        <w:rPr>
          <w:rFonts w:hint="eastAsia" w:asciiTheme="minorEastAsia" w:hAnsiTheme="minorEastAsia" w:eastAsiaTheme="minorEastAsia" w:cstheme="minorEastAsia"/>
          <w:color w:val="auto"/>
          <w:sz w:val="24"/>
          <w:szCs w:val="24"/>
          <w:highlight w:val="none"/>
        </w:rPr>
        <w:t>采购代理机构</w:t>
      </w:r>
      <w:r>
        <w:rPr>
          <w:rFonts w:hint="eastAsia" w:ascii="宋体" w:hAnsi="宋体" w:eastAsia="宋体" w:cs="宋体"/>
          <w:color w:val="000000"/>
          <w:sz w:val="24"/>
          <w:szCs w:val="24"/>
          <w:highlight w:val="none"/>
        </w:rPr>
        <w:t>将</w:t>
      </w:r>
      <w:r>
        <w:rPr>
          <w:rFonts w:hint="eastAsia" w:ascii="宋体" w:hAnsi="宋体" w:eastAsia="宋体" w:cs="宋体"/>
          <w:color w:val="auto"/>
          <w:sz w:val="24"/>
          <w:szCs w:val="24"/>
          <w:highlight w:val="none"/>
        </w:rPr>
        <w:t>在苏采云系统中告知未通过资格审查或符合性审查的原因，评审结束后</w:t>
      </w:r>
      <w:r>
        <w:rPr>
          <w:rFonts w:hint="eastAsia" w:asciiTheme="minorEastAsia" w:hAnsiTheme="minorEastAsia" w:eastAsiaTheme="minorEastAsia" w:cstheme="minorEastAsia"/>
          <w:color w:val="auto"/>
          <w:sz w:val="24"/>
          <w:szCs w:val="24"/>
          <w:highlight w:val="none"/>
        </w:rPr>
        <w:t>，采购代理机构将不再告知未通过资格审查和符合性审查的原因。</w:t>
      </w:r>
    </w:p>
    <w:p w14:paraId="077198C2">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25.2</w:t>
      </w:r>
      <w:r>
        <w:rPr>
          <w:rFonts w:hint="eastAsia" w:ascii="宋体" w:hAnsi="宋体" w:eastAsia="宋体" w:cs="宋体"/>
          <w:color w:val="000000"/>
          <w:sz w:val="24"/>
          <w:szCs w:val="24"/>
          <w:highlight w:val="none"/>
        </w:rPr>
        <w:t>在详细评标之前，评委会将首先审查每份投标文件是否实质性响应了招标文件的要求。实质性响应的投标应该是与招标文件要求的全部条款、条件和规格相符，没有重大偏离或保留的投标</w:t>
      </w:r>
      <w:r>
        <w:rPr>
          <w:rFonts w:hint="eastAsia" w:asciiTheme="minorEastAsia" w:hAnsiTheme="minorEastAsia" w:eastAsiaTheme="minorEastAsia" w:cstheme="minorEastAsia"/>
          <w:color w:val="auto"/>
          <w:sz w:val="24"/>
          <w:szCs w:val="24"/>
          <w:highlight w:val="none"/>
        </w:rPr>
        <w:t>。</w:t>
      </w:r>
    </w:p>
    <w:p w14:paraId="77E99D68">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所谓重大偏离或保留是指与招标文件规定的实质性要求存在负偏离，或者在实质上与招标文件不一致，而且限制了合同中采购人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p>
    <w:p w14:paraId="6A1C806C">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25.3如果投标文件实质上没有响应招标文件的要求，评委会将予以拒绝，供应商不得通过修改或撤销不合要求的偏离或保留而使其投标成为实质性响应的投标。</w:t>
      </w:r>
    </w:p>
    <w:p w14:paraId="77CAB01A">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25.4评委会将对确定为实质性响应的投标进行进一步审核，确定其是否有计算上或累加上的算术错误，修正错误的原则如下：</w:t>
      </w:r>
    </w:p>
    <w:p w14:paraId="368E803C">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（1）投标文件中开标一览表内容与投标文件中相应内容不一致的，以开标一览表为准。</w:t>
      </w:r>
    </w:p>
    <w:p w14:paraId="26DBCCC2">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（2）大写金额和小写金额不一致的，以大写金额为准。</w:t>
      </w:r>
    </w:p>
    <w:p w14:paraId="086EBA35">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（3）单价金额小数点或者百分比有明显错位的，以开标一览表的总价为准，并修改单价。</w:t>
      </w:r>
    </w:p>
    <w:p w14:paraId="4A3263B5">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（4）总价金额与按单价汇总金额不一致的，以单价金额计算结果为准。</w:t>
      </w:r>
    </w:p>
    <w:p w14:paraId="05DE6845">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同时出现两种以上错误的，按照前款规定的顺序修正。</w:t>
      </w:r>
    </w:p>
    <w:p w14:paraId="315DE87D">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25.5评委会将按上述修正错误的方法调整投标文件中的投标报价，并通过苏采云系统告知供应商，调整后的价格应对供应商具有约束力。如果供应商不接受修正后的价格，则其投标将被拒绝。</w:t>
      </w:r>
    </w:p>
    <w:p w14:paraId="770E2C00">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25.6</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在开、评标全过程中应保持通讯畅通，及时登录苏采云系统查阅、答复相关信息，并安排专人与采购代理机构及评标委员会联系。</w:t>
      </w:r>
    </w:p>
    <w:p w14:paraId="6041F4B7">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26.无效投标条款和废标条款</w:t>
      </w:r>
    </w:p>
    <w:p w14:paraId="55A34F62">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26.1无效投标条款</w:t>
      </w:r>
    </w:p>
    <w:p w14:paraId="48112A32">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26.1.1供应商在苏采云系统规定的时间内未成功解密电子投标文件的。</w:t>
      </w:r>
    </w:p>
    <w:p w14:paraId="4C07760D">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26.1.2供应商未按照招标文件要求上传电子投标文件的。</w:t>
      </w:r>
    </w:p>
    <w:p w14:paraId="3EB59095">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26.1.3同一供应商提交两个（含两个）以上不同的投标报价的。</w:t>
      </w:r>
    </w:p>
    <w:p w14:paraId="20F37789">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26.1.4供应商不具备招标文件中规定资格要求的。</w:t>
      </w:r>
    </w:p>
    <w:p w14:paraId="7E148DB6">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26.1.5供应商的报价超过了采购预算或最高限价的。</w:t>
      </w:r>
    </w:p>
    <w:p w14:paraId="0335A35F">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26.1.</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未通过符合性审查的。</w:t>
      </w:r>
    </w:p>
    <w:p w14:paraId="7308A5B6">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26.1.7 不能完全响应第四章采购需求内容的。</w:t>
      </w:r>
    </w:p>
    <w:p w14:paraId="3D5B8CE2">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26.1.</w:t>
      </w: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不符合招标文件中规定的实质性要求和条件的（</w:t>
      </w:r>
      <w:r>
        <w:rPr>
          <w:rFonts w:hint="eastAsia" w:asciiTheme="minorEastAsia" w:hAnsiTheme="minorEastAsia" w:eastAsiaTheme="minorEastAsia" w:cstheme="minorEastAsia"/>
          <w:i/>
          <w:color w:val="auto"/>
          <w:sz w:val="24"/>
          <w:szCs w:val="24"/>
          <w:highlight w:val="none"/>
          <w:u w:val="single"/>
        </w:rPr>
        <w:t>本招标文件中斜体且有下划线部分为实质性要求和条件）。</w:t>
      </w:r>
    </w:p>
    <w:p w14:paraId="2F29CFFD">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26.1.</w:t>
      </w:r>
      <w:r>
        <w:rPr>
          <w:rFonts w:hint="eastAsia" w:asciiTheme="minorEastAsia" w:hAnsiTheme="minorEastAsia" w:eastAsia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35EBD6A1">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26.1.</w:t>
      </w:r>
      <w:r>
        <w:rPr>
          <w:rFonts w:hint="eastAsia" w:asciiTheme="minorEastAsia" w:hAnsiTheme="minorEastAsia" w:eastAsia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rPr>
        <w:t>投标文件含有采购人不能接受的附加条件的。</w:t>
      </w:r>
    </w:p>
    <w:p w14:paraId="30278C46">
      <w:pPr>
        <w:pStyle w:val="36"/>
        <w:pageBreakBefore w:val="0"/>
        <w:kinsoku/>
        <w:wordWrap/>
        <w:overflowPunct/>
        <w:topLinePunct w:val="0"/>
        <w:autoSpaceDE/>
        <w:autoSpaceDN/>
        <w:bidi w:val="0"/>
        <w:adjustRightInd/>
        <w:snapToGrid/>
        <w:spacing w:beforeAutospacing="0" w:afterAutospacing="0" w:line="360" w:lineRule="auto"/>
        <w:ind w:firstLine="650" w:firstLineChars="271"/>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投标人不能证明其报价合理性的，评</w:t>
      </w:r>
      <w:r>
        <w:rPr>
          <w:rFonts w:hint="eastAsia" w:ascii="宋体" w:hAnsi="宋体" w:eastAsia="宋体" w:cs="宋体"/>
          <w:color w:val="auto"/>
          <w:sz w:val="24"/>
          <w:szCs w:val="24"/>
          <w:highlight w:val="none"/>
          <w:lang w:val="en-US" w:eastAsia="zh-CN"/>
        </w:rPr>
        <w:t>标</w:t>
      </w:r>
      <w:r>
        <w:rPr>
          <w:rFonts w:hint="eastAsia" w:ascii="宋体" w:hAnsi="宋体" w:eastAsia="宋体" w:cs="宋体"/>
          <w:color w:val="auto"/>
          <w:sz w:val="24"/>
          <w:szCs w:val="24"/>
          <w:highlight w:val="none"/>
        </w:rPr>
        <w:t>委员会应当将其作为无效投标处理。</w:t>
      </w:r>
    </w:p>
    <w:p w14:paraId="6F27A046">
      <w:pPr>
        <w:pStyle w:val="36"/>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（一）</w:t>
      </w:r>
      <w:r>
        <w:rPr>
          <w:rFonts w:hint="eastAsia" w:ascii="宋体" w:hAnsi="宋体" w:eastAsia="宋体" w:cs="宋体"/>
          <w:color w:val="auto"/>
          <w:kern w:val="0"/>
          <w:sz w:val="24"/>
          <w:szCs w:val="24"/>
          <w:highlight w:val="none"/>
          <w:lang w:val="en-US" w:eastAsia="zh-CN" w:bidi="ar-SA"/>
        </w:rPr>
        <w:t>评审过程中出现下列情形之一的，评标委员会应当启动异常低价投标审查程序</w:t>
      </w:r>
      <w:r>
        <w:rPr>
          <w:rFonts w:hint="eastAsia" w:ascii="宋体" w:hAnsi="宋体" w:eastAsia="宋体" w:cs="宋体"/>
          <w:b/>
          <w:bCs/>
          <w:color w:val="auto"/>
          <w:kern w:val="0"/>
          <w:sz w:val="24"/>
          <w:szCs w:val="24"/>
          <w:highlight w:val="none"/>
          <w:lang w:val="en-US" w:eastAsia="zh-CN" w:bidi="ar-SA"/>
        </w:rPr>
        <w:t>：</w:t>
      </w:r>
    </w:p>
    <w:p w14:paraId="029D404A">
      <w:pPr>
        <w:pStyle w:val="36"/>
        <w:pageBreakBefore w:val="0"/>
        <w:kinsoku/>
        <w:wordWrap/>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w:t>
      </w:r>
      <w:r>
        <w:rPr>
          <w:rFonts w:hint="eastAsia" w:ascii="宋体" w:hAnsi="宋体" w:eastAsia="宋体" w:cs="宋体"/>
          <w:color w:val="auto"/>
          <w:kern w:val="0"/>
          <w:sz w:val="24"/>
          <w:szCs w:val="24"/>
          <w:highlight w:val="none"/>
          <w:lang w:val="en-US" w:eastAsia="zh-CN" w:bidi="ar-SA"/>
        </w:rPr>
        <w:t>投标报价低于采购项目预算50% 的，即投标报价&lt;采购项目预算×50%</w:t>
      </w:r>
      <w:r>
        <w:rPr>
          <w:rFonts w:hint="eastAsia" w:ascii="宋体" w:hAnsi="宋体" w:eastAsia="宋体" w:cs="宋体"/>
          <w:b/>
          <w:bCs/>
          <w:color w:val="auto"/>
          <w:sz w:val="24"/>
          <w:szCs w:val="24"/>
          <w:highlight w:val="none"/>
          <w:lang w:val="en-US" w:eastAsia="zh-CN" w:bidi="ar-SA"/>
        </w:rPr>
        <w:t>；</w:t>
      </w:r>
    </w:p>
    <w:p w14:paraId="191012DE">
      <w:pPr>
        <w:pStyle w:val="36"/>
        <w:pageBreakBefore w:val="0"/>
        <w:kinsoku/>
        <w:wordWrap/>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w:t>
      </w:r>
      <w:r>
        <w:rPr>
          <w:rFonts w:hint="eastAsia" w:ascii="宋体" w:hAnsi="宋体" w:eastAsia="宋体" w:cs="宋体"/>
          <w:color w:val="auto"/>
          <w:kern w:val="0"/>
          <w:sz w:val="24"/>
          <w:szCs w:val="24"/>
          <w:highlight w:val="none"/>
          <w:lang w:val="en-US" w:eastAsia="zh-CN" w:bidi="ar-SA"/>
        </w:rPr>
        <w:t>投标报价低于采购项目最高限价45% 的，即投标报价&lt;采购项目最高限价×45%</w:t>
      </w:r>
      <w:r>
        <w:rPr>
          <w:rFonts w:hint="eastAsia" w:ascii="宋体" w:hAnsi="宋体" w:eastAsia="宋体" w:cs="宋体"/>
          <w:b/>
          <w:bCs/>
          <w:color w:val="auto"/>
          <w:sz w:val="24"/>
          <w:szCs w:val="24"/>
          <w:highlight w:val="none"/>
          <w:lang w:val="en-US" w:eastAsia="zh-CN" w:bidi="ar-SA"/>
        </w:rPr>
        <w:t>；</w:t>
      </w:r>
    </w:p>
    <w:p w14:paraId="08E26264">
      <w:pPr>
        <w:pStyle w:val="36"/>
        <w:pageBreakBefore w:val="0"/>
        <w:kinsoku/>
        <w:wordWrap/>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w:t>
      </w:r>
      <w:r>
        <w:rPr>
          <w:rFonts w:hint="eastAsia" w:ascii="宋体" w:hAnsi="宋体" w:eastAsia="宋体" w:cs="宋体"/>
          <w:color w:val="auto"/>
          <w:kern w:val="0"/>
          <w:sz w:val="24"/>
          <w:szCs w:val="24"/>
          <w:highlight w:val="none"/>
          <w:lang w:val="en-US" w:eastAsia="zh-CN" w:bidi="ar-SA"/>
        </w:rPr>
        <w:t>评标委员会认定的供应商报价过低、有可能影响产品质量或者不能诚信履约的其他情形</w:t>
      </w:r>
      <w:r>
        <w:rPr>
          <w:rFonts w:hint="eastAsia" w:ascii="宋体" w:hAnsi="宋体" w:eastAsia="宋体" w:cs="宋体"/>
          <w:b/>
          <w:bCs/>
          <w:color w:val="auto"/>
          <w:sz w:val="24"/>
          <w:szCs w:val="24"/>
          <w:highlight w:val="none"/>
          <w:lang w:val="en-US" w:eastAsia="zh-CN" w:bidi="ar-SA"/>
        </w:rPr>
        <w:t>；</w:t>
      </w:r>
    </w:p>
    <w:p w14:paraId="06AA015D">
      <w:pPr>
        <w:pageBreakBefore w:val="0"/>
        <w:kinsoku/>
        <w:wordWrap/>
        <w:overflowPunct/>
        <w:topLinePunct w:val="0"/>
        <w:autoSpaceDE/>
        <w:autoSpaceDN/>
        <w:bidi w:val="0"/>
        <w:adjustRightInd/>
        <w:snapToGrid/>
        <w:spacing w:line="360" w:lineRule="auto"/>
        <w:ind w:firstLine="600"/>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w:t>
      </w:r>
      <w:r>
        <w:rPr>
          <w:rFonts w:hint="eastAsia" w:ascii="宋体" w:hAnsi="宋体" w:eastAsia="宋体" w:cs="宋体"/>
          <w:color w:val="auto"/>
          <w:kern w:val="0"/>
          <w:sz w:val="24"/>
          <w:szCs w:val="24"/>
          <w:highlight w:val="none"/>
          <w:lang w:val="en-US" w:eastAsia="zh-CN" w:bidi="ar-SA"/>
        </w:rPr>
        <w:t>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hint="eastAsia" w:ascii="宋体" w:hAnsi="宋体" w:eastAsia="宋体" w:cs="宋体"/>
          <w:b/>
          <w:bCs/>
          <w:color w:val="auto"/>
          <w:sz w:val="24"/>
          <w:szCs w:val="24"/>
          <w:highlight w:val="none"/>
          <w:lang w:val="en-US" w:eastAsia="zh-CN" w:bidi="ar-SA"/>
        </w:rPr>
        <w:t>。</w:t>
      </w:r>
    </w:p>
    <w:p w14:paraId="26FD5E0D">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26.1.1</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投标文件未按照招标文件要求加盖CA电子公章的。</w:t>
      </w:r>
    </w:p>
    <w:p w14:paraId="7A038D84">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26.1.1</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其他法律、法规及本招标文件规定的属无效投标的情形。</w:t>
      </w:r>
    </w:p>
    <w:p w14:paraId="2A8F2541">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26.2废标条款</w:t>
      </w:r>
    </w:p>
    <w:p w14:paraId="177BC664">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26.2.1符合专业条件的供应商或者对招标文件作实质响应的供应商不足三家的。</w:t>
      </w:r>
    </w:p>
    <w:p w14:paraId="07A33D7A">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26.2.2出现影响采购公正的违法、违规行为的。</w:t>
      </w:r>
    </w:p>
    <w:p w14:paraId="02AB8424">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26.2.3因重大变故，采购任务取消的。</w:t>
      </w:r>
    </w:p>
    <w:p w14:paraId="6E43E2EB">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26.2.4评标委员会认定招标文件存在歧义、重大缺陷导致评审工作无法进行。</w:t>
      </w:r>
    </w:p>
    <w:p w14:paraId="5D3FBCEA">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26.2.5因苏采云系统故障原因造成开标不成功的。</w:t>
      </w:r>
    </w:p>
    <w:p w14:paraId="04323C13">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26.3 投标截止时间结束后参加投标的供应商不足三家的处理：</w:t>
      </w:r>
    </w:p>
    <w:p w14:paraId="612166BD">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26.3.1如出现投标截止时间结束后参加投标的供应商或者在评标期间对招标文件做出实质响应的</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不足三家情况，按政府采购相关规定执行。</w:t>
      </w:r>
    </w:p>
    <w:p w14:paraId="77088B43">
      <w:pPr>
        <w:pStyle w:val="36"/>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t>六、定标</w:t>
      </w:r>
    </w:p>
    <w:p w14:paraId="13421F45">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27.确定中标单位</w:t>
      </w:r>
    </w:p>
    <w:p w14:paraId="60ECC9DD">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27.1中标候选人的选取原则和数量见招标文件第五章规定。 </w:t>
      </w:r>
    </w:p>
    <w:p w14:paraId="57A622E3">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27.2采购人应根据评委会推荐的中标候选人确定中标人。</w:t>
      </w:r>
    </w:p>
    <w:p w14:paraId="5225E273">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27.3采购代理机构将在“中国政府采购网”、“江苏政府采购网”、“盐城市政府采购网”发布中标公告，公告期限为1个工作日。</w:t>
      </w:r>
    </w:p>
    <w:p w14:paraId="3C0FFEBC">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27.4若有充分证据证明，中标人出现下列情况之一的，一经查实，将被取消中标资格：</w:t>
      </w:r>
    </w:p>
    <w:p w14:paraId="56C43AF8">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27.4.1提供虚假材料谋取中标的。</w:t>
      </w:r>
    </w:p>
    <w:p w14:paraId="141AD506">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27.4.2向采购人、采购代理机构行贿或者提供其他不正当利益的。</w:t>
      </w:r>
    </w:p>
    <w:p w14:paraId="231A4165">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27.4.3属于本文件规定的无效条件，但在评标过程中又未被评委会发现的。</w:t>
      </w:r>
    </w:p>
    <w:p w14:paraId="6147EE77">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27.4.4与采购人或者其他供应商恶意串通的。</w:t>
      </w:r>
    </w:p>
    <w:p w14:paraId="3BFCD560">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27.4.5采取不正当手段诋毁、排挤其他</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的。</w:t>
      </w:r>
    </w:p>
    <w:p w14:paraId="60AA9B6C">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27.5 有下列情形之一的，视为</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串通投标，投标无效：</w:t>
      </w:r>
    </w:p>
    <w:p w14:paraId="1EFAF01E">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27.5.1不同</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的投标文件由同一单位或者个人编制。</w:t>
      </w:r>
    </w:p>
    <w:p w14:paraId="4FBFBB79">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27.5.2不同</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委托同一单位或者个人办理投标事宜。</w:t>
      </w:r>
    </w:p>
    <w:p w14:paraId="6BA55684">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27.5.3不同</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的投标文件载明的项目管理成员或者联系人员为同一人。</w:t>
      </w:r>
    </w:p>
    <w:p w14:paraId="3E6A10A4">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27.5.4不同</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的投标文件异常一致或者投标报价呈规律性差异。</w:t>
      </w:r>
    </w:p>
    <w:p w14:paraId="2CB0673E">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28.质疑处理</w:t>
      </w:r>
    </w:p>
    <w:p w14:paraId="02833E95">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28.1提出质疑的供应商应当是参与所质疑项目采购活动的供应商。潜在供应商依法获取其可质疑的招标文件的，可以对招标文件提出质疑。</w:t>
      </w:r>
    </w:p>
    <w:p w14:paraId="717C5083">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28.2供应商认为招标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2269D1A2">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28.2.1对可以质疑的招标文件提出质疑的，为收到</w:t>
      </w:r>
      <w:r>
        <w:rPr>
          <w:rFonts w:hint="eastAsia" w:asciiTheme="minorEastAsia" w:hAnsiTheme="minorEastAsia" w:eastAsia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rPr>
        <w:t>文件之日或者</w:t>
      </w:r>
      <w:r>
        <w:rPr>
          <w:rFonts w:hint="eastAsia" w:asciiTheme="minorEastAsia" w:hAnsiTheme="minorEastAsia" w:eastAsia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rPr>
        <w:t>文件公告期限届满之日；</w:t>
      </w:r>
    </w:p>
    <w:p w14:paraId="16CFFC52">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28.2.2对采购过程提出质疑的，为各采购程序环节结束之日；</w:t>
      </w:r>
    </w:p>
    <w:p w14:paraId="4273592C">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28.2.3对中标或者成交结果提出质疑的，为中标或者成交结果公告期限届满之日。</w:t>
      </w:r>
    </w:p>
    <w:p w14:paraId="06179A7E">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455F662B">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7F12D043">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35718B10">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采购代理机构及采购人只接收以纸质原件形式送达的质疑,采购人和采购代理机构不接受未填写快递运单的快件。</w:t>
      </w:r>
    </w:p>
    <w:p w14:paraId="5BC091D3">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28.5 以下情形的质疑不予受理</w:t>
      </w:r>
    </w:p>
    <w:p w14:paraId="77573001">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28.5.1内容不符合《政府采购质疑和投诉办法》第十二条规定的质疑。</w:t>
      </w:r>
    </w:p>
    <w:p w14:paraId="13E0F631">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28.5.2超出政府采购法定期限的质疑。</w:t>
      </w:r>
    </w:p>
    <w:p w14:paraId="2E0DFA18">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28.5.3以传真、电子邮件等方式递交的非原件形式的质疑。</w:t>
      </w:r>
    </w:p>
    <w:p w14:paraId="1C8618F6">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28.5.4未参加投标活动的供应商或在投标活动中自身权益未受到损害的供应商所提出的质疑。</w:t>
      </w:r>
    </w:p>
    <w:p w14:paraId="4603A8F8">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28.5.5供应商组成联合体参加投标，联合体中任何一方或多方未按要求签字、盖章、加盖公章的质疑。</w:t>
      </w:r>
    </w:p>
    <w:p w14:paraId="1A875F8F">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33B7CC8D">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29.中标通知书</w:t>
      </w:r>
    </w:p>
    <w:p w14:paraId="2D7AB9C4">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29.l中标结果确定后，采购人或采购代理机构将向中标人发出中标通知书。</w:t>
      </w:r>
    </w:p>
    <w:p w14:paraId="38D8660A">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29.2中标人应及时到招标代理机构领取中标通知书，中标通知书是签订合同的依据和组成部分。</w:t>
      </w:r>
    </w:p>
    <w:p w14:paraId="61E2120E">
      <w:pPr>
        <w:pStyle w:val="36"/>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t>七、授予合同</w:t>
      </w:r>
    </w:p>
    <w:p w14:paraId="19E5FF5C">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30.签订合同</w:t>
      </w:r>
    </w:p>
    <w:p w14:paraId="06D7489D">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30.l中标人应当在中标通知书发出之日起三十日内，按照招标文件确定的事项与采购人签订政府采购合同。</w:t>
      </w:r>
    </w:p>
    <w:p w14:paraId="0A7F84C8">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30.2招标文件、中标人的投标文件及招标过程中有关澄清、承诺文件均应作为合同附件。</w:t>
      </w:r>
    </w:p>
    <w:p w14:paraId="67FFBAD0">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30.3签订合同后，中标人不得将合同标的进行转包或分包。未经采购人同意，中标人也不得采用分包的形式履行合同，否则采购人有权终止合同。转包或分包造成采购人损失的，中标人应承担相应赔偿责任。</w:t>
      </w:r>
    </w:p>
    <w:p w14:paraId="1B13B9AC">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31.服务（包含与服务相关的货物）的追加</w:t>
      </w:r>
    </w:p>
    <w:p w14:paraId="5E3C2DFE">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的10%。</w:t>
      </w:r>
    </w:p>
    <w:p w14:paraId="6048606E">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32.政府采购履约资金扶持政策</w:t>
      </w:r>
    </w:p>
    <w:p w14:paraId="3EA2C724">
      <w:pPr>
        <w:pStyle w:val="36"/>
        <w:keepNext/>
        <w:keepLines/>
        <w:pageBreakBefore w:val="0"/>
        <w:kinsoku/>
        <w:wordWrap/>
        <w:overflowPunct/>
        <w:topLinePunct w:val="0"/>
        <w:autoSpaceDE/>
        <w:autoSpaceDN/>
        <w:bidi w:val="0"/>
        <w:adjustRightInd/>
        <w:snapToGrid/>
        <w:spacing w:beforeAutospacing="0" w:afterAutospacing="0" w:line="360" w:lineRule="auto"/>
        <w:ind w:firstLine="6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32.1</w:t>
      </w:r>
      <w:r>
        <w:rPr>
          <w:rFonts w:hint="eastAsia" w:asciiTheme="minorEastAsia" w:hAnsiTheme="minorEastAsia" w:eastAsiaTheme="minorEastAsia" w:cstheme="minorEastAsia"/>
          <w:color w:val="auto"/>
          <w:sz w:val="24"/>
          <w:szCs w:val="24"/>
          <w:highlight w:val="none"/>
        </w:rPr>
        <w:t>政府采购</w:t>
      </w:r>
      <w:r>
        <w:rPr>
          <w:rFonts w:hint="eastAsia" w:asciiTheme="minorEastAsia" w:hAnsiTheme="minorEastAsia" w:eastAsiaTheme="minorEastAsia" w:cstheme="minorEastAsia"/>
          <w:color w:val="auto"/>
          <w:sz w:val="24"/>
          <w:szCs w:val="24"/>
          <w:highlight w:val="none"/>
          <w:lang w:eastAsia="zh-CN"/>
        </w:rPr>
        <w:t>线上合同信用融资</w:t>
      </w:r>
      <w:r>
        <w:rPr>
          <w:rFonts w:hint="eastAsia" w:asciiTheme="minorEastAsia" w:hAnsiTheme="minorEastAsia" w:eastAsiaTheme="minorEastAsia" w:cstheme="minorEastAsia"/>
          <w:color w:val="auto"/>
          <w:sz w:val="24"/>
          <w:szCs w:val="24"/>
          <w:highlight w:val="none"/>
        </w:rPr>
        <w:t>政策</w:t>
      </w:r>
    </w:p>
    <w:p w14:paraId="7831DEFD">
      <w:pPr>
        <w:pStyle w:val="36"/>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Theme="minorEastAsia" w:hAnsiTheme="minorEastAsia" w:eastAsiaTheme="minorEastAsia" w:cstheme="minorEastAsia"/>
          <w:color w:val="auto"/>
          <w:sz w:val="24"/>
          <w:szCs w:val="24"/>
          <w:highlight w:val="none"/>
          <w:lang w:val="en-US" w:eastAsia="zh-CN"/>
        </w:rPr>
        <w:t>江苏省</w:t>
      </w:r>
      <w:r>
        <w:rPr>
          <w:rFonts w:hint="eastAsia" w:asciiTheme="minorEastAsia" w:hAnsiTheme="minorEastAsia" w:eastAsiaTheme="minorEastAsia" w:cstheme="minorEastAsia"/>
          <w:color w:val="auto"/>
          <w:sz w:val="24"/>
          <w:szCs w:val="24"/>
          <w:highlight w:val="none"/>
        </w:rPr>
        <w:t>政府采购网“政采贷”栏目）申请贷款，相关金融机构按照双方自愿的原则提供便捷、优惠的贷款服务；具体操作流程请参考苏采云系统中操作手册。 </w:t>
      </w:r>
    </w:p>
    <w:p w14:paraId="05A8ADEB">
      <w:pPr>
        <w:pageBreakBefore w:val="0"/>
        <w:tabs>
          <w:tab w:val="left" w:pos="1381"/>
        </w:tabs>
        <w:kinsoku/>
        <w:wordWrap/>
        <w:overflowPunct/>
        <w:topLinePunct w:val="0"/>
        <w:autoSpaceDE/>
        <w:autoSpaceDN/>
        <w:bidi w:val="0"/>
        <w:adjustRightInd/>
        <w:snapToGrid/>
        <w:spacing w:line="360" w:lineRule="auto"/>
        <w:ind w:firstLine="482"/>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32.2进口产品</w:t>
      </w:r>
    </w:p>
    <w:p w14:paraId="5E25FDB5">
      <w:pPr>
        <w:pStyle w:val="36"/>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进口产品</w:t>
      </w:r>
      <w:r>
        <w:rPr>
          <w:rFonts w:hint="eastAsia" w:asciiTheme="minorEastAsia" w:hAnsiTheme="minorEastAsia" w:eastAsiaTheme="minorEastAsia" w:cstheme="minorEastAsia"/>
          <w:color w:val="auto"/>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pageBreakBefore w:val="0"/>
        <w:tabs>
          <w:tab w:val="left" w:pos="1381"/>
        </w:tabs>
        <w:kinsoku/>
        <w:wordWrap/>
        <w:overflowPunct/>
        <w:topLinePunct w:val="0"/>
        <w:autoSpaceDE/>
        <w:autoSpaceDN/>
        <w:bidi w:val="0"/>
        <w:adjustRightInd/>
        <w:snapToGrid/>
        <w:spacing w:line="360" w:lineRule="auto"/>
        <w:ind w:firstLine="482"/>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32.3中小企业、监狱企业及残疾人福利性单位</w:t>
      </w:r>
    </w:p>
    <w:p w14:paraId="63807B9C">
      <w:pPr>
        <w:pStyle w:val="36"/>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32.3.1中小企业定义：</w:t>
      </w:r>
    </w:p>
    <w:p w14:paraId="4C9CBD8E">
      <w:pPr>
        <w:pStyle w:val="36"/>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pPr>
        <w:pStyle w:val="36"/>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32.3.2供应商提供的货物、工程或者服务符合下列情形的，享受中小企业扶持政策：</w:t>
      </w:r>
    </w:p>
    <w:p w14:paraId="6761BEF4">
      <w:pPr>
        <w:pStyle w:val="36"/>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32.3.2.1在货物采购项目中，货物由中小企业制造，即货物由中小企业生产且使用该中小企业商号或者注册商标；</w:t>
      </w:r>
    </w:p>
    <w:p w14:paraId="31163D45">
      <w:pPr>
        <w:pStyle w:val="36"/>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32.3.2.2在工程采购项目中，工程由中小企业承建，即工程施工单位为中小企业；</w:t>
      </w:r>
    </w:p>
    <w:p w14:paraId="4DFC19BD">
      <w:pPr>
        <w:pStyle w:val="36"/>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32.3.2.3在服务采购项目中，服务由中小企业承接，即提供服务的人员为中小企业依照《中华人民共和国劳动合同法》订立劳动合同的从业人员。</w:t>
      </w:r>
    </w:p>
    <w:p w14:paraId="3EA95C77">
      <w:pPr>
        <w:pStyle w:val="36"/>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32.3.3在货物采购项目中，供应商提供的货物既有中小企业制造货物，也有大型企业制造货物的，不享受中小企业扶持政策。</w:t>
      </w:r>
    </w:p>
    <w:p w14:paraId="18C13D1A">
      <w:pPr>
        <w:pStyle w:val="36"/>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32.3.4以联合体形式参加政府采购活动，联合体各方均为中小企业的，联合体视同中小企业。其中，联合体各方均为小微企业的，联合体视同小微企业。</w:t>
      </w:r>
    </w:p>
    <w:p w14:paraId="34D8F3DF">
      <w:pPr>
        <w:pStyle w:val="36"/>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36"/>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32.3.6残疾人福利单位定义：享受政府采购支持政策的残疾人福利性单位应当同时满足以下条件：</w:t>
      </w:r>
    </w:p>
    <w:p w14:paraId="2C10A4F6">
      <w:pPr>
        <w:pStyle w:val="36"/>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32.3.6.1安置的残疾人占本单位在职职工人数的比例不低于25%（含25%），并且安置的残疾人人数不少于10 人（含10 人）；</w:t>
      </w:r>
    </w:p>
    <w:p w14:paraId="273AB3B5">
      <w:pPr>
        <w:pStyle w:val="36"/>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32.3.6.2依法与安置的每位残疾人签订了一年以上（含一年）的劳动合同或服务协议；</w:t>
      </w:r>
    </w:p>
    <w:p w14:paraId="25054FF3">
      <w:pPr>
        <w:pStyle w:val="36"/>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32.3.6.3为安置的每位残疾人按月足额缴纳了基本养老保险、基本医疗保险、失业保险、工伤保险和生育保险等社会保险费；</w:t>
      </w:r>
    </w:p>
    <w:p w14:paraId="2B08B5C5">
      <w:pPr>
        <w:pStyle w:val="36"/>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32.3.6.4通过银行等金融机构向安置的每位残疾人，按月支付了不低于单位所在区县适用的经省级人民政府批准的月最低工资标准的工资；</w:t>
      </w:r>
    </w:p>
    <w:p w14:paraId="20CB233D">
      <w:pPr>
        <w:pStyle w:val="36"/>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32.3.6.5提供本单位制造的货物、承担的工程或者服务（以下简称产品），或者提供其他残疾人福利性单位制造的货物（不包括使用非残疾人福利性单位注册商标的货物）；</w:t>
      </w:r>
    </w:p>
    <w:p w14:paraId="3B85C34B">
      <w:pPr>
        <w:pStyle w:val="36"/>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36"/>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32.3.7本项目是否专门面向中小企业预留采购份额见第一章《招标公告》。</w:t>
      </w:r>
    </w:p>
    <w:p w14:paraId="66321B5E">
      <w:pPr>
        <w:pStyle w:val="36"/>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32.3.8采购标的对应的中小企业划分标准所属行业见第四章《采购需求》。</w:t>
      </w:r>
    </w:p>
    <w:p w14:paraId="3CD37815">
      <w:pPr>
        <w:pStyle w:val="36"/>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32.3.9小微企业价格评审优惠的政策：见第五章《评标方法和评标标准》。</w:t>
      </w:r>
    </w:p>
    <w:p w14:paraId="24130294">
      <w:pPr>
        <w:pStyle w:val="36"/>
        <w:keepNext/>
        <w:keepLines/>
        <w:pageBreakBefore w:val="0"/>
        <w:kinsoku/>
        <w:wordWrap/>
        <w:overflowPunct/>
        <w:topLinePunct w:val="0"/>
        <w:autoSpaceDE/>
        <w:autoSpaceDN/>
        <w:bidi w:val="0"/>
        <w:adjustRightInd/>
        <w:snapToGrid/>
        <w:spacing w:beforeAutospacing="0" w:afterAutospacing="0" w:line="360" w:lineRule="auto"/>
        <w:ind w:firstLine="60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32.4政府采购节能产品、环境标志产品</w:t>
      </w:r>
    </w:p>
    <w:p w14:paraId="56196F77">
      <w:pPr>
        <w:pStyle w:val="36"/>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644E8D9">
      <w:pPr>
        <w:pStyle w:val="36"/>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Style w:val="36"/>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32.5绿色包装</w:t>
      </w:r>
    </w:p>
    <w:p w14:paraId="3C828DB7">
      <w:pPr>
        <w:pStyle w:val="36"/>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pageBreakBefore w:val="0"/>
        <w:tabs>
          <w:tab w:val="left" w:pos="1381"/>
        </w:tabs>
        <w:kinsoku/>
        <w:wordWrap/>
        <w:overflowPunct/>
        <w:topLinePunct w:val="0"/>
        <w:autoSpaceDE/>
        <w:autoSpaceDN/>
        <w:bidi w:val="0"/>
        <w:adjustRightInd/>
        <w:snapToGrid/>
        <w:spacing w:line="360" w:lineRule="auto"/>
        <w:ind w:firstLine="482"/>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32.6政府采购创新产品</w:t>
      </w:r>
    </w:p>
    <w:p w14:paraId="2D9B3368">
      <w:pPr>
        <w:pStyle w:val="36"/>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采购人优先采购各级政府部门公开发布的有效期内的创新产品、创新服务、首台套、首购首用等《目录》的创新产品。</w:t>
      </w:r>
    </w:p>
    <w:p w14:paraId="57947BB5">
      <w:pPr>
        <w:pageBreakBefore w:val="0"/>
        <w:tabs>
          <w:tab w:val="left" w:pos="1381"/>
        </w:tabs>
        <w:kinsoku/>
        <w:wordWrap/>
        <w:overflowPunct/>
        <w:topLinePunct w:val="0"/>
        <w:autoSpaceDE/>
        <w:autoSpaceDN/>
        <w:bidi w:val="0"/>
        <w:adjustRightInd/>
        <w:snapToGrid/>
        <w:spacing w:line="360" w:lineRule="auto"/>
        <w:ind w:firstLine="482"/>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 xml:space="preserve">32.7绿色数据中心政策 </w:t>
      </w:r>
    </w:p>
    <w:p w14:paraId="722A8D32">
      <w:pPr>
        <w:pStyle w:val="36"/>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34807A4">
      <w:pPr>
        <w:pageBreakBefore w:val="0"/>
        <w:tabs>
          <w:tab w:val="left" w:pos="1381"/>
        </w:tabs>
        <w:kinsoku/>
        <w:wordWrap/>
        <w:overflowPunct/>
        <w:topLinePunct w:val="0"/>
        <w:autoSpaceDE/>
        <w:autoSpaceDN/>
        <w:bidi w:val="0"/>
        <w:adjustRightInd/>
        <w:snapToGrid/>
        <w:spacing w:line="360" w:lineRule="auto"/>
        <w:ind w:firstLine="482"/>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32.8履约保证金政策</w:t>
      </w:r>
    </w:p>
    <w:p w14:paraId="40F02B3A">
      <w:pPr>
        <w:pStyle w:val="36"/>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确需收取履约保证金的，履约保证金的缴纳形式：</w:t>
      </w:r>
    </w:p>
    <w:p w14:paraId="3764CD9E">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中标供应商在领取中标通知书后15日内，须向采购人交纳履约保证金（中标金额*10%，以支票、汇票、本票或者银行保函形式提交）。履约保证金必须交至采购人指定账户。如中标人提供履约保证金采用履约保函形式，所提供的履约保函必须是无条件即索即兑的银行保函，保函有效期为签订合同后12个月，保函开具行须为采购人认可的国有商业银行。如中标人在收到中标通知书后15日内未按上述要求交付履约保证金，采购人有权单方取消中标人中标资格。</w:t>
      </w:r>
    </w:p>
    <w:p w14:paraId="7D32E47E">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中标供应商若在签订采购合同前向采购人提交本单位有效期内的第三方信用报告，且信用评级在AA级及以上的，中标供应商可享受政府采购供应商履约保证金减免政策（减免50%）（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-68982013。</w:t>
      </w:r>
    </w:p>
    <w:p w14:paraId="18EF2D73">
      <w:pPr>
        <w:pageBreakBefore w:val="0"/>
        <w:kinsoku/>
        <w:wordWrap/>
        <w:overflowPunct/>
        <w:topLinePunct w:val="0"/>
        <w:autoSpaceDE/>
        <w:autoSpaceDN/>
        <w:bidi w:val="0"/>
        <w:adjustRightInd/>
        <w:snapToGrid/>
        <w:spacing w:line="360" w:lineRule="auto"/>
        <w:ind w:firstLine="6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33.</w:t>
      </w:r>
      <w:r>
        <w:rPr>
          <w:rFonts w:hint="eastAsia" w:asciiTheme="minorEastAsia" w:hAnsiTheme="minorEastAsia" w:eastAsiaTheme="minorEastAsia" w:cstheme="minorEastAsia"/>
          <w:b/>
          <w:bCs/>
          <w:color w:val="auto"/>
          <w:sz w:val="24"/>
          <w:szCs w:val="24"/>
          <w:highlight w:val="none"/>
          <w:lang w:val="en-US" w:eastAsia="zh-CN"/>
        </w:rPr>
        <w:t>预付款制度</w:t>
      </w:r>
    </w:p>
    <w:p w14:paraId="188939C1">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本项目落实预付款制度，预付款比例为30%。中标供应商在采购人支付预付款前，必须提供同等金额的无条件即索即兑预付款银行保函，保函有效期为签订合同后</w:t>
      </w:r>
      <w:r>
        <w:rPr>
          <w:rFonts w:hint="eastAsia" w:asciiTheme="minorEastAsia" w:hAnsiTheme="minorEastAsia" w:eastAsiaTheme="minorEastAsia" w:cstheme="minorEastAsia"/>
          <w:color w:val="auto"/>
          <w:sz w:val="24"/>
          <w:szCs w:val="24"/>
          <w:highlight w:val="none"/>
          <w:lang w:val="en-US" w:eastAsia="zh-CN"/>
        </w:rPr>
        <w:t>12</w:t>
      </w:r>
      <w:r>
        <w:rPr>
          <w:rFonts w:hint="eastAsia" w:asciiTheme="minorEastAsia" w:hAnsiTheme="minorEastAsia" w:eastAsiaTheme="minorEastAsia" w:cstheme="minorEastAsia"/>
          <w:color w:val="auto"/>
          <w:sz w:val="24"/>
          <w:szCs w:val="24"/>
          <w:highlight w:val="none"/>
        </w:rPr>
        <w:t>个月，以确保采购人的资金安全。在签订合同时，中标、成交供应商明确书面表示无需预付款或者主动要求降低预付款比例的，采购人可就预付款比例作相应调整。</w:t>
      </w:r>
    </w:p>
    <w:p w14:paraId="5409B8AF">
      <w:pPr>
        <w:pageBreakBefore w:val="0"/>
        <w:kinsoku/>
        <w:wordWrap/>
        <w:overflowPunct/>
        <w:topLinePunct w:val="0"/>
        <w:autoSpaceDE/>
        <w:autoSpaceDN/>
        <w:bidi w:val="0"/>
        <w:adjustRightInd/>
        <w:snapToGrid/>
        <w:spacing w:line="360" w:lineRule="auto"/>
        <w:ind w:right="185" w:firstLine="480" w:firstLineChars="200"/>
        <w:jc w:val="left"/>
        <w:textAlignment w:val="auto"/>
        <w:rPr>
          <w:rFonts w:hint="eastAsia" w:ascii="宋体" w:hAnsi="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注：乙方在甲方支付预付款前，必须提供同等金额的预付款银行保函，以确保甲方的资金安全。该保函必须是无条件即付即兑的银行保函，保函有效期为签订合同后</w:t>
      </w:r>
      <w:r>
        <w:rPr>
          <w:rFonts w:hint="eastAsia" w:asciiTheme="minorEastAsia" w:hAnsiTheme="minorEastAsia" w:eastAsiaTheme="minorEastAsia" w:cstheme="minorEastAsia"/>
          <w:color w:val="auto"/>
          <w:sz w:val="24"/>
          <w:szCs w:val="24"/>
          <w:highlight w:val="none"/>
          <w:lang w:val="en-US" w:eastAsia="zh-CN"/>
        </w:rPr>
        <w:t>12</w:t>
      </w:r>
      <w:r>
        <w:rPr>
          <w:rFonts w:hint="eastAsia" w:asciiTheme="minorEastAsia" w:hAnsiTheme="minorEastAsia" w:eastAsiaTheme="minorEastAsia" w:cstheme="minorEastAsia"/>
          <w:color w:val="auto"/>
          <w:sz w:val="24"/>
          <w:szCs w:val="24"/>
          <w:highlight w:val="none"/>
        </w:rPr>
        <w:t>个月，</w:t>
      </w:r>
      <w:r>
        <w:rPr>
          <w:rFonts w:hint="eastAsia" w:asciiTheme="minorEastAsia" w:hAnsiTheme="minorEastAsia" w:eastAsiaTheme="minorEastAsia" w:cstheme="minorEastAsia"/>
          <w:color w:val="auto"/>
          <w:kern w:val="0"/>
          <w:sz w:val="24"/>
          <w:highlight w:val="none"/>
          <w:lang w:val="en-US" w:eastAsia="zh-CN"/>
        </w:rPr>
        <w:t>保函开具行必须为采购人认可的国有商业银行</w:t>
      </w:r>
      <w:r>
        <w:rPr>
          <w:rFonts w:hint="eastAsia" w:asciiTheme="minorEastAsia" w:hAnsiTheme="minorEastAsia" w:eastAsiaTheme="minorEastAsia" w:cstheme="minorEastAsia"/>
          <w:color w:val="auto"/>
          <w:kern w:val="0"/>
          <w:sz w:val="24"/>
          <w:highlight w:val="none"/>
        </w:rPr>
        <w:t>，且须完全符合甲方要求</w:t>
      </w:r>
      <w:r>
        <w:rPr>
          <w:rFonts w:hint="eastAsia" w:asciiTheme="minorEastAsia" w:hAnsiTheme="minorEastAsia" w:eastAsiaTheme="minorEastAsia" w:cstheme="minorEastAsia"/>
          <w:color w:val="auto"/>
          <w:sz w:val="24"/>
          <w:szCs w:val="24"/>
          <w:highlight w:val="none"/>
        </w:rPr>
        <w:t>。如乙方未按上述要求在签订合同前15日内提供银行保函，则视为乙方无条件放弃预付款，付款方式仍按照合同第</w:t>
      </w:r>
      <w:r>
        <w:rPr>
          <w:rFonts w:hint="eastAsia" w:asciiTheme="minorEastAsia" w:hAnsiTheme="minorEastAsia" w:eastAsiaTheme="minorEastAsia" w:cstheme="minorEastAsia"/>
          <w:color w:val="auto"/>
          <w:sz w:val="24"/>
          <w:szCs w:val="24"/>
          <w:highlight w:val="none"/>
          <w:lang w:val="en-US" w:eastAsia="zh-CN"/>
        </w:rPr>
        <w:t>八</w:t>
      </w:r>
      <w:r>
        <w:rPr>
          <w:rFonts w:hint="eastAsia" w:asciiTheme="minorEastAsia" w:hAnsiTheme="minorEastAsia" w:eastAsiaTheme="minorEastAsia" w:cstheme="minorEastAsia"/>
          <w:color w:val="auto"/>
          <w:sz w:val="24"/>
          <w:szCs w:val="24"/>
          <w:highlight w:val="none"/>
        </w:rPr>
        <w:t>条款第</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点中的付款方式执行。</w:t>
      </w:r>
    </w:p>
    <w:p w14:paraId="7C1930B2">
      <w:pPr>
        <w:pageBreakBefore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rPr>
      </w:pPr>
      <w:r>
        <w:rPr>
          <w:rFonts w:hint="eastAsia" w:ascii="宋体" w:hAnsi="宋体" w:cs="宋体"/>
          <w:color w:val="auto"/>
          <w:sz w:val="24"/>
          <w:szCs w:val="24"/>
        </w:rPr>
        <w:br w:type="page"/>
      </w:r>
    </w:p>
    <w:p w14:paraId="598E2924">
      <w:pPr>
        <w:spacing w:line="360" w:lineRule="auto"/>
        <w:ind w:right="185"/>
        <w:jc w:val="center"/>
        <w:rPr>
          <w:rFonts w:ascii="黑体" w:hAnsi="Arial" w:eastAsia="黑体"/>
          <w:color w:val="auto"/>
          <w:sz w:val="44"/>
          <w:szCs w:val="44"/>
        </w:rPr>
      </w:pPr>
      <w:r>
        <w:rPr>
          <w:rFonts w:hint="eastAsia" w:ascii="黑体" w:hAnsi="Arial" w:eastAsia="黑体"/>
          <w:color w:val="auto"/>
          <w:sz w:val="44"/>
          <w:szCs w:val="44"/>
        </w:rPr>
        <w:t>第三章  合同条款及格式</w:t>
      </w:r>
    </w:p>
    <w:p w14:paraId="46326074">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jc w:val="center"/>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盐城市政府采购合同（货物类采购）</w:t>
      </w:r>
    </w:p>
    <w:p w14:paraId="2E37C84F">
      <w:pPr>
        <w:keepNext w:val="0"/>
        <w:keepLines w:val="0"/>
        <w:pageBreakBefore w:val="0"/>
        <w:widowControl w:val="0"/>
        <w:tabs>
          <w:tab w:val="left" w:pos="900"/>
        </w:tabs>
        <w:kinsoku/>
        <w:wordWrap/>
        <w:overflowPunct/>
        <w:topLinePunct w:val="0"/>
        <w:autoSpaceDE/>
        <w:autoSpaceDN/>
        <w:bidi w:val="0"/>
        <w:adjustRightInd/>
        <w:snapToGrid/>
        <w:spacing w:line="520" w:lineRule="exact"/>
        <w:ind w:firstLine="480"/>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项目编号：JSZC-320922-YCJD-G2026-0006</w:t>
      </w:r>
    </w:p>
    <w:p w14:paraId="62031D8A">
      <w:pPr>
        <w:pStyle w:val="22"/>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hAnsi="宋体" w:eastAsia="宋体"/>
          <w:color w:val="auto"/>
          <w:sz w:val="24"/>
          <w:szCs w:val="24"/>
          <w:highlight w:val="none"/>
          <w:lang w:eastAsia="zh-CN"/>
        </w:rPr>
      </w:pPr>
      <w:r>
        <w:rPr>
          <w:rFonts w:hAnsi="宋体"/>
          <w:color w:val="auto"/>
          <w:sz w:val="24"/>
          <w:szCs w:val="24"/>
          <w:highlight w:val="none"/>
        </w:rPr>
        <w:t>项目名称：</w:t>
      </w:r>
      <w:r>
        <w:rPr>
          <w:rFonts w:hint="eastAsia" w:hAnsi="宋体"/>
          <w:color w:val="auto"/>
          <w:sz w:val="24"/>
          <w:szCs w:val="24"/>
          <w:highlight w:val="none"/>
          <w:lang w:eastAsia="zh-CN"/>
        </w:rPr>
        <w:t>滨海县人民医院医共体心电图机等医疗设备采购项目</w:t>
      </w:r>
    </w:p>
    <w:p w14:paraId="2692D5DB">
      <w:pPr>
        <w:pStyle w:val="22"/>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hAnsi="宋体" w:eastAsia="宋体"/>
          <w:color w:val="auto"/>
          <w:sz w:val="24"/>
          <w:szCs w:val="24"/>
          <w:highlight w:val="none"/>
          <w:lang w:val="en-US" w:eastAsia="zh-CN"/>
        </w:rPr>
      </w:pPr>
      <w:r>
        <w:rPr>
          <w:rFonts w:hint="eastAsia" w:hAnsi="宋体"/>
          <w:color w:val="auto"/>
          <w:sz w:val="24"/>
          <w:szCs w:val="24"/>
          <w:highlight w:val="none"/>
          <w:lang w:eastAsia="zh-CN"/>
        </w:rPr>
        <w:t>标段名称：</w:t>
      </w:r>
    </w:p>
    <w:p w14:paraId="74E345B5">
      <w:pPr>
        <w:pStyle w:val="22"/>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Ansi="宋体"/>
          <w:color w:val="auto"/>
          <w:sz w:val="24"/>
          <w:szCs w:val="24"/>
          <w:highlight w:val="none"/>
        </w:rPr>
      </w:pPr>
      <w:r>
        <w:rPr>
          <w:rFonts w:hAnsi="宋体"/>
          <w:color w:val="auto"/>
          <w:sz w:val="24"/>
          <w:szCs w:val="24"/>
          <w:highlight w:val="none"/>
        </w:rPr>
        <w:t>甲方：（买方）</w:t>
      </w:r>
      <w:r>
        <w:rPr>
          <w:rFonts w:hint="eastAsia" w:hAnsi="宋体"/>
          <w:color w:val="auto"/>
          <w:sz w:val="24"/>
          <w:szCs w:val="24"/>
          <w:highlight w:val="none"/>
          <w:u w:val="single"/>
        </w:rPr>
        <w:t>滨海县人民医院</w:t>
      </w:r>
    </w:p>
    <w:p w14:paraId="243CF623">
      <w:pPr>
        <w:pStyle w:val="22"/>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Ansi="宋体"/>
          <w:color w:val="auto"/>
          <w:sz w:val="24"/>
          <w:szCs w:val="24"/>
          <w:highlight w:val="none"/>
        </w:rPr>
      </w:pPr>
      <w:r>
        <w:rPr>
          <w:rFonts w:hAnsi="宋体"/>
          <w:color w:val="auto"/>
          <w:sz w:val="24"/>
          <w:szCs w:val="24"/>
          <w:highlight w:val="none"/>
        </w:rPr>
        <w:t>乙方：（卖方）______________</w:t>
      </w:r>
    </w:p>
    <w:p w14:paraId="77489BD6">
      <w:pPr>
        <w:pStyle w:val="22"/>
        <w:keepNext w:val="0"/>
        <w:keepLines w:val="0"/>
        <w:pageBreakBefore w:val="0"/>
        <w:widowControl w:val="0"/>
        <w:kinsoku/>
        <w:wordWrap/>
        <w:overflowPunct/>
        <w:topLinePunct w:val="0"/>
        <w:autoSpaceDE/>
        <w:autoSpaceDN/>
        <w:bidi w:val="0"/>
        <w:adjustRightInd/>
        <w:snapToGrid/>
        <w:spacing w:line="520" w:lineRule="exact"/>
        <w:ind w:firstLine="240" w:firstLineChars="100"/>
        <w:textAlignment w:val="auto"/>
        <w:rPr>
          <w:rFonts w:hAnsi="宋体"/>
          <w:b/>
          <w:color w:val="auto"/>
          <w:sz w:val="24"/>
          <w:szCs w:val="24"/>
          <w:highlight w:val="none"/>
        </w:rPr>
      </w:pPr>
      <w:r>
        <w:rPr>
          <w:rFonts w:hAnsi="宋体"/>
          <w:color w:val="auto"/>
          <w:sz w:val="24"/>
          <w:szCs w:val="24"/>
          <w:highlight w:val="none"/>
        </w:rPr>
        <w:t>甲、乙双方根据</w:t>
      </w:r>
      <w:r>
        <w:rPr>
          <w:rFonts w:hint="eastAsia" w:hAnsi="宋体"/>
          <w:color w:val="auto"/>
          <w:sz w:val="24"/>
          <w:szCs w:val="24"/>
          <w:highlight w:val="none"/>
          <w:u w:val="single"/>
          <w:lang w:eastAsia="zh-CN"/>
        </w:rPr>
        <w:t>滨海县人民医院医共体心电图机等医疗设备采购项目</w:t>
      </w:r>
      <w:r>
        <w:rPr>
          <w:rFonts w:hAnsi="宋体"/>
          <w:color w:val="auto"/>
          <w:sz w:val="24"/>
          <w:szCs w:val="24"/>
          <w:highlight w:val="none"/>
        </w:rPr>
        <w:t>公开招标的结果，签署本合同。</w:t>
      </w:r>
    </w:p>
    <w:p w14:paraId="2B94ED46">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firstLineChars="200"/>
        <w:jc w:val="both"/>
        <w:textAlignment w:val="auto"/>
        <w:rPr>
          <w:rFonts w:hint="eastAsia" w:ascii="宋体" w:hAnsi="宋体" w:eastAsia="宋体" w:cs="宋体"/>
          <w:sz w:val="24"/>
          <w:szCs w:val="24"/>
          <w:highlight w:val="none"/>
        </w:rPr>
      </w:pPr>
      <w:r>
        <w:rPr>
          <w:rFonts w:hint="eastAsia" w:ascii="宋体" w:hAnsi="宋体" w:eastAsia="宋体" w:cs="宋体"/>
          <w:b/>
          <w:sz w:val="24"/>
          <w:szCs w:val="24"/>
          <w:highlight w:val="none"/>
        </w:rPr>
        <w:t>一、合同内容</w:t>
      </w:r>
    </w:p>
    <w:p w14:paraId="3CF17B55">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 标的名称：</w:t>
      </w:r>
    </w:p>
    <w:p w14:paraId="73D5FE17">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1.2标的质量：</w:t>
      </w:r>
    </w:p>
    <w:p w14:paraId="76F18725">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 标的数量（规模）：</w:t>
      </w:r>
    </w:p>
    <w:p w14:paraId="65CF528A">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 履行时间（期限）：</w:t>
      </w:r>
    </w:p>
    <w:p w14:paraId="3BBCA342">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 履行地点：</w:t>
      </w:r>
    </w:p>
    <w:p w14:paraId="196F6055">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1.6履行方式：</w:t>
      </w:r>
    </w:p>
    <w:p w14:paraId="4DF8A3B5">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firstLineChars="200"/>
        <w:jc w:val="both"/>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1.7质保期限：</w:t>
      </w:r>
    </w:p>
    <w:p w14:paraId="3EED31E6">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firstLineChars="200"/>
        <w:jc w:val="both"/>
        <w:textAlignment w:val="auto"/>
        <w:rPr>
          <w:rFonts w:hint="eastAsia" w:ascii="宋体" w:hAnsi="宋体" w:eastAsia="宋体" w:cs="宋体"/>
          <w:sz w:val="24"/>
          <w:szCs w:val="24"/>
          <w:highlight w:val="none"/>
        </w:rPr>
      </w:pPr>
      <w:r>
        <w:rPr>
          <w:rFonts w:hint="eastAsia" w:ascii="宋体" w:hAnsi="宋体" w:eastAsia="宋体" w:cs="宋体"/>
          <w:b/>
          <w:sz w:val="24"/>
          <w:szCs w:val="24"/>
          <w:highlight w:val="none"/>
        </w:rPr>
        <w:t>二、合同金额</w:t>
      </w:r>
    </w:p>
    <w:p w14:paraId="60FE9FBD">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left="41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2.1本合同金额为（大写）：____________________________________圆（_______________元）人民币或其他币种。</w:t>
      </w:r>
    </w:p>
    <w:p w14:paraId="66CFEF0F">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left="410" w:firstLine="480" w:firstLineChars="200"/>
        <w:jc w:val="both"/>
        <w:textAlignment w:val="auto"/>
        <w:rPr>
          <w:rFonts w:hint="eastAsia" w:ascii="宋体" w:hAnsi="宋体" w:eastAsia="宋体" w:cs="宋体"/>
          <w:sz w:val="24"/>
          <w:szCs w:val="24"/>
          <w:highlight w:val="none"/>
        </w:rPr>
      </w:pPr>
      <w:r>
        <w:rPr>
          <w:rFonts w:hint="eastAsia" w:ascii="宋体" w:hAnsi="宋体" w:cs="宋体"/>
          <w:color w:val="auto"/>
          <w:sz w:val="24"/>
          <w:szCs w:val="24"/>
        </w:rPr>
        <w:t>2.2本合同金额包括但不限于：货物本身、场所改造、安装调试、运输、培训、人工、服务、税金、相关辅助设施以及交付使用过程中涉及到的其他一切费用。</w:t>
      </w:r>
    </w:p>
    <w:p w14:paraId="7F74F11D">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firstLineChars="200"/>
        <w:jc w:val="both"/>
        <w:textAlignment w:val="auto"/>
        <w:rPr>
          <w:rFonts w:hint="eastAsia" w:ascii="宋体" w:hAnsi="宋体" w:eastAsia="宋体" w:cs="宋体"/>
          <w:sz w:val="24"/>
          <w:szCs w:val="24"/>
          <w:highlight w:val="none"/>
        </w:rPr>
      </w:pPr>
      <w:r>
        <w:rPr>
          <w:rFonts w:hint="eastAsia" w:ascii="宋体" w:hAnsi="宋体" w:eastAsia="宋体" w:cs="宋体"/>
          <w:b/>
          <w:sz w:val="24"/>
          <w:szCs w:val="24"/>
          <w:highlight w:val="none"/>
        </w:rPr>
        <w:t>三、技术资料</w:t>
      </w:r>
    </w:p>
    <w:p w14:paraId="76191599">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left="41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3.1乙方应按招标文件规定的时间向甲方提供服务（包含与服务相关的货物）的有关技术资料。</w:t>
      </w:r>
    </w:p>
    <w:p w14:paraId="17763542">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left="41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99720DD">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left="412" w:firstLine="482" w:firstLineChars="200"/>
        <w:jc w:val="both"/>
        <w:textAlignment w:val="auto"/>
        <w:rPr>
          <w:rFonts w:hint="eastAsia" w:ascii="宋体" w:hAnsi="宋体" w:eastAsia="宋体" w:cs="宋体"/>
          <w:sz w:val="24"/>
          <w:szCs w:val="24"/>
          <w:highlight w:val="none"/>
        </w:rPr>
      </w:pPr>
      <w:r>
        <w:rPr>
          <w:rFonts w:hint="eastAsia" w:ascii="宋体" w:hAnsi="宋体" w:eastAsia="宋体" w:cs="宋体"/>
          <w:b/>
          <w:sz w:val="24"/>
          <w:szCs w:val="24"/>
          <w:highlight w:val="none"/>
        </w:rPr>
        <w:t>四、知识产权</w:t>
      </w:r>
    </w:p>
    <w:p w14:paraId="05A9D048">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4.1乙方应保证甲方在使用、接受本合同服务（包含与服务相关的货物）或其任何一部分时不受第三方提出侵犯其专利权、版权、商标权和工业设计权等知识产权的起诉。一旦出现侵权，由乙方负全部责任。</w:t>
      </w:r>
    </w:p>
    <w:p w14:paraId="5E640267">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firstLineChars="200"/>
        <w:jc w:val="both"/>
        <w:textAlignment w:val="auto"/>
        <w:rPr>
          <w:rFonts w:hint="eastAsia" w:ascii="宋体" w:hAnsi="宋体" w:eastAsia="宋体" w:cs="宋体"/>
          <w:sz w:val="24"/>
          <w:szCs w:val="24"/>
          <w:highlight w:val="none"/>
        </w:rPr>
      </w:pPr>
      <w:r>
        <w:rPr>
          <w:rFonts w:hint="eastAsia" w:ascii="宋体" w:hAnsi="宋体" w:eastAsia="宋体" w:cs="宋体"/>
          <w:b/>
          <w:sz w:val="24"/>
          <w:szCs w:val="24"/>
          <w:highlight w:val="none"/>
        </w:rPr>
        <w:t>五、产权担保</w:t>
      </w:r>
    </w:p>
    <w:p w14:paraId="26871068">
      <w:pPr>
        <w:keepNext w:val="0"/>
        <w:keepLines w:val="0"/>
        <w:pageBreakBefore w:val="0"/>
        <w:widowControl w:val="0"/>
        <w:shd w:val="clear" w:color="auto" w:fill="auto"/>
        <w:kinsoku/>
        <w:wordWrap/>
        <w:overflowPunct/>
        <w:topLinePunct w:val="0"/>
        <w:autoSpaceDE/>
        <w:autoSpaceDN/>
        <w:bidi w:val="0"/>
        <w:spacing w:before="120" w:after="120" w:line="520" w:lineRule="exact"/>
        <w:ind w:left="560" w:leftChars="200" w:firstLine="60" w:firstLineChars="25"/>
        <w:rPr>
          <w:rFonts w:ascii="宋体" w:hAnsi="宋体" w:cs="宋体"/>
          <w:color w:val="auto"/>
          <w:sz w:val="24"/>
          <w:szCs w:val="24"/>
        </w:rPr>
      </w:pPr>
      <w:r>
        <w:rPr>
          <w:rFonts w:hint="eastAsia" w:ascii="宋体" w:hAnsi="宋体" w:cs="宋体"/>
          <w:color w:val="auto"/>
          <w:sz w:val="24"/>
          <w:szCs w:val="24"/>
        </w:rPr>
        <w:t>5.1 乙方保证所交付的服务（包含与服务相关的货物）的所有权完全属于甲方且无任何抵押、查封等产权瑕疵。</w:t>
      </w:r>
    </w:p>
    <w:p w14:paraId="77E1BD21">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firstLineChars="200"/>
        <w:jc w:val="both"/>
        <w:textAlignment w:val="auto"/>
        <w:rPr>
          <w:rFonts w:hint="eastAsia" w:ascii="宋体" w:hAnsi="宋体" w:eastAsia="宋体" w:cs="宋体"/>
          <w:sz w:val="24"/>
          <w:szCs w:val="24"/>
          <w:highlight w:val="none"/>
        </w:rPr>
      </w:pPr>
      <w:r>
        <w:rPr>
          <w:rFonts w:hint="eastAsia" w:ascii="宋体" w:hAnsi="宋体" w:eastAsia="宋体" w:cs="宋体"/>
          <w:b/>
          <w:sz w:val="24"/>
          <w:szCs w:val="24"/>
          <w:highlight w:val="none"/>
        </w:rPr>
        <w:t>六、履约保证金</w:t>
      </w:r>
    </w:p>
    <w:p w14:paraId="298A1F1F">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6.1</w:t>
      </w:r>
      <w:r>
        <w:rPr>
          <w:rFonts w:hint="eastAsia" w:ascii="宋体" w:hAnsi="宋体"/>
          <w:color w:val="auto"/>
          <w:sz w:val="24"/>
          <w:highlight w:val="none"/>
        </w:rPr>
        <w:t>中标供应商在领取中标通知书后15日内，须向采购人缴纳履约保证金</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宋体" w:hAnsi="宋体" w:cs="Times New Roman"/>
          <w:color w:val="auto"/>
          <w:sz w:val="24"/>
          <w:highlight w:val="none"/>
          <w:lang w:val="en-US" w:eastAsia="zh-CN"/>
        </w:rPr>
        <w:t>元</w:t>
      </w:r>
      <w:r>
        <w:rPr>
          <w:rFonts w:hint="eastAsia" w:ascii="宋体" w:hAnsi="宋体"/>
          <w:color w:val="auto"/>
          <w:sz w:val="24"/>
          <w:highlight w:val="none"/>
        </w:rPr>
        <w:t>（合同金额*10%，以支票、汇票、本票或者银行保函形式提交）。履约保证金必须交至采购人指定账户。</w:t>
      </w:r>
      <w:r>
        <w:rPr>
          <w:rFonts w:hint="eastAsia" w:ascii="宋体" w:hAnsi="宋体" w:cs="宋体"/>
          <w:color w:val="auto"/>
          <w:sz w:val="24"/>
          <w:szCs w:val="24"/>
          <w:highlight w:val="none"/>
        </w:rPr>
        <w:t>如中标人提供履约保证金采用履约保函形式，所提供的履约保函</w:t>
      </w:r>
      <w:r>
        <w:rPr>
          <w:rFonts w:hint="eastAsia" w:ascii="宋体" w:hAnsi="宋体"/>
          <w:color w:val="auto"/>
          <w:sz w:val="24"/>
          <w:highlight w:val="none"/>
        </w:rPr>
        <w:t>必须是无条件即索即兑的银行保函，保函有效期为签订合同后</w:t>
      </w:r>
      <w:r>
        <w:rPr>
          <w:rFonts w:hint="eastAsia" w:ascii="宋体" w:hAnsi="宋体"/>
          <w:color w:val="auto"/>
          <w:sz w:val="24"/>
          <w:highlight w:val="none"/>
          <w:lang w:val="en-US" w:eastAsia="zh-CN"/>
        </w:rPr>
        <w:t>36</w:t>
      </w:r>
      <w:r>
        <w:rPr>
          <w:rFonts w:hint="eastAsia" w:ascii="宋体" w:hAnsi="宋体"/>
          <w:color w:val="auto"/>
          <w:sz w:val="24"/>
          <w:highlight w:val="none"/>
        </w:rPr>
        <w:t>个月，</w:t>
      </w:r>
      <w:r>
        <w:rPr>
          <w:rFonts w:hint="eastAsia" w:ascii="宋体" w:hAnsi="宋体" w:eastAsia="宋体" w:cs="宋体"/>
          <w:color w:val="auto"/>
          <w:kern w:val="0"/>
          <w:sz w:val="24"/>
          <w:highlight w:val="none"/>
          <w:lang w:val="en-US" w:eastAsia="zh-CN"/>
        </w:rPr>
        <w:t>保函开具行必须为采购人认可的国有商业银行</w:t>
      </w:r>
      <w:r>
        <w:rPr>
          <w:rFonts w:hint="eastAsia" w:ascii="宋体" w:hAnsi="宋体" w:eastAsia="宋体" w:cs="宋体"/>
          <w:color w:val="auto"/>
          <w:kern w:val="0"/>
          <w:sz w:val="24"/>
          <w:highlight w:val="none"/>
        </w:rPr>
        <w:t>，且须完全符合甲方要求</w:t>
      </w:r>
      <w:r>
        <w:rPr>
          <w:rFonts w:hint="eastAsia" w:ascii="宋体" w:hAnsi="宋体"/>
          <w:color w:val="auto"/>
          <w:sz w:val="24"/>
          <w:highlight w:val="none"/>
        </w:rPr>
        <w:t>。如中标人在收到中标通知书后</w:t>
      </w:r>
      <w:r>
        <w:rPr>
          <w:rFonts w:hint="eastAsia" w:ascii="宋体" w:hAnsi="宋体"/>
          <w:color w:val="auto"/>
          <w:sz w:val="24"/>
          <w:highlight w:val="none"/>
          <w:lang w:val="en-US" w:eastAsia="zh-CN"/>
        </w:rPr>
        <w:t>15</w:t>
      </w:r>
      <w:r>
        <w:rPr>
          <w:rFonts w:hint="eastAsia" w:ascii="宋体" w:hAnsi="宋体"/>
          <w:color w:val="auto"/>
          <w:sz w:val="24"/>
          <w:highlight w:val="none"/>
        </w:rPr>
        <w:t>日内未按上述要求交付履约保证金，采购人有权单方取消中标人中标资格</w:t>
      </w:r>
    </w:p>
    <w:p w14:paraId="27BDE41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6.2</w:t>
      </w:r>
      <w:r>
        <w:rPr>
          <w:rFonts w:hint="eastAsia" w:ascii="宋体" w:hAnsi="宋体" w:eastAsia="宋体" w:cs="Times New Roman"/>
          <w:color w:val="auto"/>
          <w:sz w:val="24"/>
          <w:highlight w:val="none"/>
        </w:rPr>
        <w:t>中标供应商</w:t>
      </w:r>
      <w:r>
        <w:rPr>
          <w:rFonts w:hint="eastAsia" w:ascii="宋体" w:hAnsi="宋体" w:eastAsia="宋体" w:cs="Times New Roman"/>
          <w:color w:val="auto"/>
          <w:sz w:val="24"/>
          <w:highlight w:val="none"/>
          <w:lang w:val="zh-CN"/>
        </w:rPr>
        <w:t>若在签订采购合同</w:t>
      </w:r>
      <w:r>
        <w:rPr>
          <w:rFonts w:hint="eastAsia" w:ascii="宋体" w:hAnsi="宋体" w:eastAsia="宋体" w:cs="Times New Roman"/>
          <w:color w:val="auto"/>
          <w:sz w:val="24"/>
          <w:highlight w:val="none"/>
        </w:rPr>
        <w:t>前</w:t>
      </w:r>
      <w:r>
        <w:rPr>
          <w:rFonts w:hint="eastAsia" w:ascii="宋体" w:hAnsi="宋体" w:eastAsia="宋体" w:cs="Times New Roman"/>
          <w:color w:val="auto"/>
          <w:sz w:val="24"/>
          <w:highlight w:val="none"/>
          <w:lang w:val="zh-CN"/>
        </w:rPr>
        <w:t>向</w:t>
      </w:r>
      <w:r>
        <w:rPr>
          <w:rFonts w:hint="eastAsia" w:ascii="宋体" w:hAnsi="宋体" w:eastAsia="宋体" w:cs="Times New Roman"/>
          <w:color w:val="auto"/>
          <w:sz w:val="24"/>
          <w:highlight w:val="none"/>
        </w:rPr>
        <w:t>采购</w:t>
      </w:r>
      <w:r>
        <w:rPr>
          <w:rFonts w:hint="eastAsia" w:ascii="宋体" w:hAnsi="宋体" w:eastAsia="宋体" w:cs="Times New Roman"/>
          <w:color w:val="auto"/>
          <w:sz w:val="24"/>
          <w:highlight w:val="none"/>
          <w:lang w:val="zh-CN"/>
        </w:rPr>
        <w:t>人提交本单位有效期内的第三方信用报告，且信用评级在AA级及以上的，</w:t>
      </w:r>
      <w:r>
        <w:rPr>
          <w:rFonts w:hint="eastAsia" w:ascii="宋体" w:hAnsi="宋体" w:eastAsia="宋体" w:cs="Times New Roman"/>
          <w:color w:val="auto"/>
          <w:sz w:val="24"/>
          <w:highlight w:val="none"/>
        </w:rPr>
        <w:t>中标供应商</w:t>
      </w:r>
      <w:r>
        <w:rPr>
          <w:rFonts w:hint="eastAsia" w:ascii="宋体" w:hAnsi="宋体" w:eastAsia="宋体" w:cs="Times New Roman"/>
          <w:color w:val="auto"/>
          <w:sz w:val="24"/>
          <w:highlight w:val="none"/>
          <w:lang w:val="zh-CN"/>
        </w:rPr>
        <w:t>可享受政府采购供应商履约保证金减免政策（</w:t>
      </w:r>
      <w:r>
        <w:rPr>
          <w:rFonts w:hint="eastAsia" w:ascii="宋体" w:hAnsi="宋体" w:eastAsia="宋体" w:cs="Times New Roman"/>
          <w:color w:val="auto"/>
          <w:sz w:val="24"/>
          <w:highlight w:val="none"/>
        </w:rPr>
        <w:t>减免50%</w:t>
      </w:r>
      <w:r>
        <w:rPr>
          <w:rFonts w:hint="eastAsia" w:ascii="宋体" w:hAnsi="宋体" w:eastAsia="宋体" w:cs="Times New Roman"/>
          <w:color w:val="auto"/>
          <w:sz w:val="24"/>
          <w:highlight w:val="none"/>
          <w:lang w:val="zh-CN"/>
        </w:rPr>
        <w:t>）（具体减免政策请参见滨办通〔2021〕73号文件）。信用报告是指</w:t>
      </w:r>
      <w:r>
        <w:rPr>
          <w:rFonts w:hint="eastAsia" w:ascii="宋体" w:hAnsi="宋体" w:eastAsia="宋体" w:cs="宋体"/>
          <w:color w:val="auto"/>
          <w:sz w:val="24"/>
          <w:szCs w:val="24"/>
          <w:highlight w:val="none"/>
          <w:lang w:val="en-US" w:eastAsia="zh-CN"/>
        </w:rPr>
        <w:t>供应商</w:t>
      </w:r>
      <w:r>
        <w:rPr>
          <w:rFonts w:hint="eastAsia" w:ascii="宋体" w:hAnsi="宋体" w:eastAsia="宋体" w:cs="Times New Roman"/>
          <w:color w:val="auto"/>
          <w:sz w:val="24"/>
          <w:highlight w:val="none"/>
          <w:lang w:val="zh-CN"/>
        </w:rPr>
        <w:t>或供应商委托经信用管理部门备案的第三方信用服务机构，按照相关标准出具的综合性信用评价报告。办理第三方信用报告的具体事项请咨询滨海县信用办，联系电话：0515-68982013</w:t>
      </w:r>
      <w:r>
        <w:rPr>
          <w:rFonts w:hint="eastAsia" w:ascii="宋体" w:hAnsi="宋体" w:eastAsia="宋体" w:cs="Times New Roman"/>
          <w:color w:val="auto"/>
          <w:sz w:val="24"/>
          <w:highlight w:val="none"/>
        </w:rPr>
        <w:t>。</w:t>
      </w:r>
    </w:p>
    <w:p w14:paraId="73054258">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Times New Roman"/>
          <w:color w:val="auto"/>
          <w:sz w:val="24"/>
          <w:szCs w:val="24"/>
          <w:highlight w:val="none"/>
          <w:lang w:val="en-US" w:eastAsia="zh-CN" w:bidi="ar-SA"/>
        </w:rPr>
        <w:t>6.3履约保证金用以约束乙方在合同履行中的行为，弥补合同执行中由于乙方自身行为可能给采购人带来的各种损失。乙方履行合同违约时，甲方按合同约定扣除全部或部分履约保证金。如违约给甲方造成的损失超过履约保证金的，还应当依法赔偿超过部分的损失。</w:t>
      </w:r>
    </w:p>
    <w:p w14:paraId="10A0249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0"/>
          <w:highlight w:val="none"/>
        </w:rPr>
      </w:pPr>
      <w:r>
        <w:rPr>
          <w:rFonts w:hint="eastAsia" w:ascii="宋体" w:hAnsi="宋体" w:eastAsia="宋体" w:cs="宋体"/>
          <w:sz w:val="24"/>
          <w:szCs w:val="20"/>
          <w:highlight w:val="none"/>
        </w:rPr>
        <w:t>6.4履约保证金的退还：</w:t>
      </w:r>
    </w:p>
    <w:p w14:paraId="126AE5A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0"/>
          <w:highlight w:val="none"/>
        </w:rPr>
      </w:pPr>
      <w:r>
        <w:rPr>
          <w:rFonts w:hint="eastAsia" w:ascii="宋体" w:hAnsi="宋体" w:eastAsia="宋体" w:cs="宋体"/>
          <w:sz w:val="24"/>
          <w:szCs w:val="20"/>
          <w:highlight w:val="none"/>
        </w:rPr>
        <w:t>6.4.1方式：退还至投标人缴纳履约保证金的账户。如为保函，在到期时自行失效。</w:t>
      </w:r>
    </w:p>
    <w:p w14:paraId="4682558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0"/>
          <w:highlight w:val="none"/>
        </w:rPr>
      </w:pPr>
      <w:r>
        <w:rPr>
          <w:rFonts w:hint="eastAsia" w:ascii="宋体" w:hAnsi="宋体" w:eastAsia="宋体" w:cs="宋体"/>
          <w:sz w:val="24"/>
          <w:szCs w:val="20"/>
          <w:highlight w:val="none"/>
        </w:rPr>
        <w:t>6.4.2时间：验收合格</w:t>
      </w:r>
      <w:r>
        <w:rPr>
          <w:rFonts w:hint="eastAsia" w:ascii="宋体" w:hAnsi="宋体" w:eastAsia="宋体" w:cs="宋体"/>
          <w:sz w:val="24"/>
          <w:szCs w:val="20"/>
          <w:highlight w:val="none"/>
          <w:lang w:val="en-US" w:eastAsia="zh-CN"/>
        </w:rPr>
        <w:t>后</w:t>
      </w:r>
      <w:r>
        <w:rPr>
          <w:rFonts w:hint="eastAsia" w:ascii="宋体" w:hAnsi="宋体" w:eastAsia="宋体" w:cs="宋体"/>
          <w:sz w:val="24"/>
          <w:szCs w:val="20"/>
          <w:highlight w:val="none"/>
        </w:rPr>
        <w:t>。</w:t>
      </w:r>
    </w:p>
    <w:p w14:paraId="7E1063A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0"/>
          <w:highlight w:val="none"/>
        </w:rPr>
      </w:pPr>
      <w:r>
        <w:rPr>
          <w:rFonts w:hint="eastAsia" w:ascii="宋体" w:hAnsi="宋体" w:eastAsia="宋体" w:cs="宋体"/>
          <w:sz w:val="24"/>
          <w:szCs w:val="20"/>
          <w:highlight w:val="none"/>
        </w:rPr>
        <w:t>6.4.3条件：按合同要求全部履约完成并经</w:t>
      </w:r>
      <w:r>
        <w:rPr>
          <w:rFonts w:hint="eastAsia" w:ascii="宋体" w:hAnsi="宋体" w:eastAsia="宋体" w:cs="宋体"/>
          <w:sz w:val="24"/>
          <w:szCs w:val="20"/>
          <w:highlight w:val="none"/>
          <w:lang w:eastAsia="zh-CN"/>
        </w:rPr>
        <w:t>甲方</w:t>
      </w:r>
      <w:r>
        <w:rPr>
          <w:rFonts w:hint="eastAsia" w:ascii="宋体" w:hAnsi="宋体" w:eastAsia="宋体" w:cs="宋体"/>
          <w:sz w:val="24"/>
          <w:szCs w:val="20"/>
          <w:highlight w:val="none"/>
        </w:rPr>
        <w:t>验收合格。</w:t>
      </w:r>
    </w:p>
    <w:p w14:paraId="11339F5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0"/>
          <w:highlight w:val="none"/>
        </w:rPr>
      </w:pPr>
      <w:r>
        <w:rPr>
          <w:rFonts w:hint="eastAsia" w:ascii="宋体" w:hAnsi="宋体" w:eastAsia="宋体" w:cs="宋体"/>
          <w:sz w:val="24"/>
          <w:szCs w:val="20"/>
          <w:highlight w:val="none"/>
        </w:rPr>
        <w:t>6.4.4不予退还情形：</w:t>
      </w:r>
    </w:p>
    <w:p w14:paraId="5E88D2E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0"/>
          <w:highlight w:val="none"/>
        </w:rPr>
      </w:pPr>
      <w:r>
        <w:rPr>
          <w:rFonts w:hint="eastAsia" w:ascii="宋体" w:hAnsi="宋体" w:eastAsia="宋体" w:cs="宋体"/>
          <w:sz w:val="24"/>
          <w:szCs w:val="20"/>
          <w:highlight w:val="none"/>
        </w:rPr>
        <w:t>除不可抗力情况外，投标人出现下列情形之一的，其履约保证金，招标人将视情节决定不予退还或部分不予退还。</w:t>
      </w:r>
    </w:p>
    <w:p w14:paraId="0629FC6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0"/>
          <w:highlight w:val="none"/>
        </w:rPr>
      </w:pPr>
      <w:r>
        <w:rPr>
          <w:rFonts w:hint="eastAsia" w:ascii="宋体" w:hAnsi="宋体" w:eastAsia="宋体" w:cs="宋体"/>
          <w:sz w:val="24"/>
          <w:szCs w:val="20"/>
          <w:highlight w:val="none"/>
        </w:rPr>
        <w:t>（1）中标人无正当理由拒绝签订合同的，或者在签订合同时向</w:t>
      </w:r>
      <w:r>
        <w:rPr>
          <w:rFonts w:hint="eastAsia" w:ascii="宋体" w:hAnsi="宋体" w:eastAsia="宋体" w:cs="宋体"/>
          <w:sz w:val="24"/>
          <w:szCs w:val="20"/>
          <w:highlight w:val="none"/>
          <w:lang w:eastAsia="zh-CN"/>
        </w:rPr>
        <w:t>甲方</w:t>
      </w:r>
      <w:r>
        <w:rPr>
          <w:rFonts w:hint="eastAsia" w:ascii="宋体" w:hAnsi="宋体" w:eastAsia="宋体" w:cs="宋体"/>
          <w:sz w:val="24"/>
          <w:szCs w:val="20"/>
          <w:highlight w:val="none"/>
        </w:rPr>
        <w:t>提出附加条件或者更改合同实质性内容要求的；</w:t>
      </w:r>
    </w:p>
    <w:p w14:paraId="56E90CD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0"/>
          <w:highlight w:val="none"/>
        </w:rPr>
      </w:pPr>
      <w:r>
        <w:rPr>
          <w:rFonts w:hint="eastAsia" w:ascii="宋体" w:hAnsi="宋体" w:eastAsia="宋体" w:cs="宋体"/>
          <w:sz w:val="24"/>
          <w:szCs w:val="20"/>
          <w:highlight w:val="none"/>
        </w:rPr>
        <w:t>（2）中标人不履行与</w:t>
      </w:r>
      <w:r>
        <w:rPr>
          <w:rFonts w:hint="eastAsia" w:ascii="宋体" w:hAnsi="宋体" w:eastAsia="宋体" w:cs="宋体"/>
          <w:sz w:val="24"/>
          <w:szCs w:val="20"/>
          <w:highlight w:val="none"/>
          <w:lang w:eastAsia="zh-CN"/>
        </w:rPr>
        <w:t>甲方</w:t>
      </w:r>
      <w:r>
        <w:rPr>
          <w:rFonts w:hint="eastAsia" w:ascii="宋体" w:hAnsi="宋体" w:eastAsia="宋体" w:cs="宋体"/>
          <w:sz w:val="24"/>
          <w:szCs w:val="20"/>
          <w:highlight w:val="none"/>
        </w:rPr>
        <w:t>订立的合同的；</w:t>
      </w:r>
    </w:p>
    <w:p w14:paraId="0877EF6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0"/>
          <w:highlight w:val="none"/>
        </w:rPr>
      </w:pPr>
      <w:r>
        <w:rPr>
          <w:rFonts w:hint="eastAsia" w:ascii="宋体" w:hAnsi="宋体" w:eastAsia="宋体" w:cs="宋体"/>
          <w:sz w:val="24"/>
          <w:szCs w:val="20"/>
          <w:highlight w:val="none"/>
        </w:rPr>
        <w:t>（3）中标人所供货物或服务不符合招标文件规定要求的；</w:t>
      </w:r>
    </w:p>
    <w:p w14:paraId="23B9071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0"/>
          <w:highlight w:val="none"/>
        </w:rPr>
      </w:pPr>
      <w:r>
        <w:rPr>
          <w:rFonts w:hint="eastAsia" w:ascii="宋体" w:hAnsi="宋体" w:eastAsia="宋体" w:cs="宋体"/>
          <w:sz w:val="24"/>
          <w:szCs w:val="20"/>
          <w:highlight w:val="none"/>
        </w:rPr>
        <w:t>（4）中标人采取欺骗、弄虚作假方式投标的或与其它投标人串通投标的；</w:t>
      </w:r>
    </w:p>
    <w:p w14:paraId="73C212B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0"/>
          <w:highlight w:val="none"/>
        </w:rPr>
      </w:pPr>
      <w:r>
        <w:rPr>
          <w:rFonts w:hint="eastAsia" w:ascii="宋体" w:hAnsi="宋体" w:eastAsia="宋体" w:cs="宋体"/>
          <w:sz w:val="24"/>
          <w:szCs w:val="20"/>
          <w:highlight w:val="none"/>
        </w:rPr>
        <w:t>（5）中标人将合同内容转包、违法分包的；</w:t>
      </w:r>
    </w:p>
    <w:p w14:paraId="3557938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0"/>
          <w:highlight w:val="none"/>
        </w:rPr>
      </w:pPr>
      <w:r>
        <w:rPr>
          <w:rFonts w:hint="eastAsia" w:ascii="宋体" w:hAnsi="宋体" w:eastAsia="宋体" w:cs="宋体"/>
          <w:sz w:val="24"/>
          <w:szCs w:val="20"/>
          <w:highlight w:val="none"/>
        </w:rPr>
        <w:t>（6）中标人故意捏造事实或伪造证明材料，进行虚假恶意投诉或反映的。</w:t>
      </w:r>
    </w:p>
    <w:p w14:paraId="24EA01C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0"/>
          <w:highlight w:val="none"/>
        </w:rPr>
      </w:pPr>
      <w:r>
        <w:rPr>
          <w:rFonts w:hint="eastAsia" w:ascii="宋体" w:hAnsi="宋体" w:eastAsia="宋体" w:cs="宋体"/>
          <w:sz w:val="24"/>
          <w:szCs w:val="20"/>
          <w:highlight w:val="none"/>
        </w:rPr>
        <w:t>6.4.5逾期退还的违约责任：</w:t>
      </w:r>
      <w:r>
        <w:rPr>
          <w:rFonts w:hint="eastAsia" w:ascii="宋体" w:hAnsi="宋体" w:eastAsia="宋体" w:cs="宋体"/>
          <w:sz w:val="24"/>
          <w:szCs w:val="20"/>
          <w:highlight w:val="none"/>
          <w:lang w:eastAsia="zh-CN"/>
        </w:rPr>
        <w:t>甲方</w:t>
      </w:r>
      <w:r>
        <w:rPr>
          <w:rFonts w:hint="eastAsia" w:ascii="宋体" w:hAnsi="宋体" w:eastAsia="宋体" w:cs="宋体"/>
          <w:sz w:val="24"/>
          <w:szCs w:val="20"/>
          <w:highlight w:val="none"/>
        </w:rPr>
        <w:t>逾期无故未退还履约保证金的，按中国人民银行同期贷款基准利率上浮20%后的利率支付超期资金占用费，但因供应商自身原因导致无法及时退还的除外。</w:t>
      </w:r>
    </w:p>
    <w:p w14:paraId="79A2B90E">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firstLineChars="200"/>
        <w:jc w:val="both"/>
        <w:textAlignment w:val="auto"/>
        <w:rPr>
          <w:rFonts w:hint="eastAsia" w:ascii="宋体" w:hAnsi="宋体" w:eastAsia="宋体" w:cs="宋体"/>
          <w:sz w:val="24"/>
          <w:szCs w:val="24"/>
          <w:highlight w:val="none"/>
        </w:rPr>
      </w:pPr>
      <w:r>
        <w:rPr>
          <w:rFonts w:hint="eastAsia" w:ascii="宋体" w:hAnsi="宋体" w:eastAsia="宋体" w:cs="宋体"/>
          <w:b/>
          <w:sz w:val="24"/>
          <w:szCs w:val="24"/>
          <w:highlight w:val="none"/>
        </w:rPr>
        <w:t>七、合同转包或分包</w:t>
      </w:r>
    </w:p>
    <w:p w14:paraId="7C93ACD6">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7.1乙方不得将合同标的转包给他人履行。</w:t>
      </w:r>
    </w:p>
    <w:p w14:paraId="28559CFC">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7.2乙方不得将合同标的分包给他人履行。</w:t>
      </w:r>
    </w:p>
    <w:p w14:paraId="64B0A2D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b/>
          <w:color w:val="auto"/>
          <w:sz w:val="24"/>
          <w:highlight w:val="none"/>
        </w:rPr>
      </w:pPr>
      <w:r>
        <w:rPr>
          <w:rFonts w:hint="eastAsia" w:ascii="宋体" w:hAnsi="宋体" w:eastAsia="宋体" w:cs="宋体"/>
          <w:sz w:val="24"/>
          <w:szCs w:val="24"/>
          <w:highlight w:val="none"/>
        </w:rPr>
        <w:t>7.3乙方如有转包或未经甲方同意的分包行为，甲方有权解除合同。</w:t>
      </w:r>
    </w:p>
    <w:p w14:paraId="4FA83A8B">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firstLineChars="200"/>
        <w:jc w:val="both"/>
        <w:textAlignment w:val="auto"/>
        <w:rPr>
          <w:rFonts w:hint="eastAsia" w:ascii="宋体" w:hAnsi="宋体" w:eastAsia="宋体" w:cs="宋体"/>
          <w:sz w:val="24"/>
          <w:szCs w:val="24"/>
          <w:highlight w:val="none"/>
        </w:rPr>
      </w:pPr>
      <w:r>
        <w:rPr>
          <w:rFonts w:hint="eastAsia" w:ascii="宋体" w:hAnsi="宋体" w:eastAsia="宋体" w:cs="宋体"/>
          <w:b/>
          <w:sz w:val="24"/>
          <w:szCs w:val="24"/>
          <w:highlight w:val="none"/>
        </w:rPr>
        <w:t>八、合同款项支付</w:t>
      </w:r>
    </w:p>
    <w:p w14:paraId="04E1A80C">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8.1合同款项的支付方式及进度安排</w:t>
      </w:r>
    </w:p>
    <w:p w14:paraId="784812D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8.</w:t>
      </w:r>
      <w:r>
        <w:rPr>
          <w:rFonts w:hint="eastAsia" w:ascii="宋体" w:hAnsi="宋体" w:cs="Times New Roman"/>
          <w:color w:val="auto"/>
          <w:sz w:val="24"/>
          <w:szCs w:val="22"/>
          <w:highlight w:val="none"/>
          <w:lang w:val="en-US" w:eastAsia="zh-CN" w:bidi="ar-SA"/>
        </w:rPr>
        <w:t>2</w:t>
      </w:r>
      <w:r>
        <w:rPr>
          <w:rFonts w:hint="eastAsia" w:ascii="宋体" w:hAnsi="宋体" w:eastAsia="宋体" w:cs="宋体"/>
          <w:color w:val="auto"/>
          <w:sz w:val="24"/>
          <w:szCs w:val="24"/>
          <w:highlight w:val="none"/>
        </w:rPr>
        <w:t>合同预付款比例为合同金额的30%，合同签订后，甲方在收到发票后10个工作日内将预付款支付到合同约定的乙方账户（乙方须提供合同总价30%的即兑即付</w:t>
      </w:r>
      <w:r>
        <w:rPr>
          <w:rFonts w:hint="eastAsia" w:ascii="宋体" w:hAnsi="宋体" w:eastAsia="宋体" w:cs="宋体"/>
          <w:color w:val="auto"/>
          <w:sz w:val="24"/>
          <w:szCs w:val="24"/>
          <w:highlight w:val="none"/>
          <w:lang w:val="en-US" w:eastAsia="zh-CN"/>
        </w:rPr>
        <w:t>预付款</w:t>
      </w:r>
      <w:r>
        <w:rPr>
          <w:rFonts w:hint="eastAsia" w:ascii="宋体" w:hAnsi="宋体" w:eastAsia="宋体" w:cs="宋体"/>
          <w:color w:val="auto"/>
          <w:sz w:val="24"/>
          <w:szCs w:val="24"/>
          <w:highlight w:val="none"/>
        </w:rPr>
        <w:t>银行保函）。签订合同</w:t>
      </w:r>
      <w:r>
        <w:rPr>
          <w:rFonts w:hint="eastAsia" w:ascii="宋体" w:hAnsi="宋体" w:eastAsia="宋体" w:cs="宋体"/>
          <w:color w:val="auto"/>
          <w:sz w:val="24"/>
          <w:szCs w:val="24"/>
          <w:highlight w:val="none"/>
          <w:u w:val="none"/>
        </w:rPr>
        <w:t>时，乙方书面明确表示无需预付款的，甲方可不支付预付款。</w:t>
      </w:r>
    </w:p>
    <w:p w14:paraId="731007D5">
      <w:pPr>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jc w:val="both"/>
        <w:textAlignment w:val="auto"/>
        <w:rPr>
          <w:rFonts w:hint="default"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8.</w:t>
      </w:r>
      <w:r>
        <w:rPr>
          <w:rFonts w:hint="eastAsia" w:ascii="宋体" w:hAnsi="宋体" w:cs="Times New Roman"/>
          <w:color w:val="auto"/>
          <w:sz w:val="24"/>
          <w:szCs w:val="22"/>
          <w:highlight w:val="none"/>
          <w:lang w:val="en-US" w:eastAsia="zh-CN" w:bidi="ar-SA"/>
        </w:rPr>
        <w:t>3</w:t>
      </w:r>
      <w:r>
        <w:rPr>
          <w:rFonts w:hint="eastAsia" w:ascii="宋体" w:hAnsi="宋体" w:eastAsia="宋体" w:cs="宋体"/>
          <w:color w:val="000000"/>
          <w:sz w:val="24"/>
          <w:szCs w:val="24"/>
          <w:highlight w:val="none"/>
          <w:lang w:val="en-US" w:eastAsia="zh-CN" w:bidi="ar-SA"/>
        </w:rPr>
        <w:t>项目验收合格后付至合同金额的</w:t>
      </w:r>
      <w:r>
        <w:rPr>
          <w:rFonts w:hint="eastAsia" w:ascii="宋体" w:hAnsi="宋体" w:eastAsia="宋体" w:cs="宋体"/>
          <w:color w:val="auto"/>
          <w:sz w:val="24"/>
          <w:szCs w:val="24"/>
          <w:highlight w:val="none"/>
          <w:lang w:val="en-US" w:eastAsia="zh-CN" w:bidi="ar-SA"/>
        </w:rPr>
        <w:t>80%</w:t>
      </w:r>
      <w:r>
        <w:rPr>
          <w:rFonts w:hint="eastAsia" w:ascii="宋体" w:hAnsi="宋体" w:eastAsia="宋体" w:cs="宋体"/>
          <w:color w:val="000000"/>
          <w:sz w:val="24"/>
          <w:szCs w:val="24"/>
          <w:highlight w:val="none"/>
          <w:lang w:val="en-US" w:eastAsia="zh-CN" w:bidi="ar-SA"/>
        </w:rPr>
        <w:t>，质保期结束后付至合同金额的100%</w:t>
      </w:r>
      <w:r>
        <w:rPr>
          <w:rFonts w:hint="eastAsia" w:ascii="宋体" w:hAnsi="宋体" w:eastAsia="宋体" w:cs="宋体"/>
          <w:color w:val="auto"/>
          <w:sz w:val="24"/>
          <w:szCs w:val="24"/>
          <w:highlight w:val="none"/>
          <w:lang w:val="en-US" w:eastAsia="zh-CN" w:bidi="ar-SA"/>
        </w:rPr>
        <w:t>。</w:t>
      </w:r>
    </w:p>
    <w:p w14:paraId="133DB647">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注：乙方在甲方支付预付款前，必须提供同等金额的预付款银行保函，以确保甲方的资金安全。该保函必须是无条件即付即兑的银行保函，保函有效期为签订合同后12个月，</w:t>
      </w:r>
      <w:r>
        <w:rPr>
          <w:rFonts w:hint="eastAsia" w:ascii="宋体" w:hAnsi="宋体" w:eastAsia="宋体" w:cs="宋体"/>
          <w:color w:val="auto"/>
          <w:kern w:val="0"/>
          <w:sz w:val="24"/>
          <w:szCs w:val="32"/>
          <w:highlight w:val="none"/>
          <w:lang w:val="en-US" w:eastAsia="zh-CN" w:bidi="ar-SA"/>
        </w:rPr>
        <w:t>保函开具行必须为采购人认可的国有商业银行，且须完全符合甲方要求</w:t>
      </w:r>
      <w:r>
        <w:rPr>
          <w:rFonts w:hint="eastAsia" w:ascii="宋体" w:hAnsi="宋体" w:eastAsia="宋体" w:cs="Times New Roman"/>
          <w:color w:val="auto"/>
          <w:sz w:val="24"/>
          <w:szCs w:val="22"/>
          <w:highlight w:val="none"/>
          <w:lang w:val="en-US" w:eastAsia="zh-CN" w:bidi="ar-SA"/>
        </w:rPr>
        <w:t>。如乙方未按上述要求在签订合同前15日内提供银行保函，则视为乙方无条件放弃预付款，付款方式仍按照合同第五条款第8.2点中的付款方式执行。</w:t>
      </w:r>
    </w:p>
    <w:p w14:paraId="0B485582">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firstLineChars="200"/>
        <w:jc w:val="both"/>
        <w:textAlignment w:val="auto"/>
        <w:rPr>
          <w:rFonts w:hint="eastAsia" w:ascii="宋体" w:hAnsi="宋体" w:eastAsia="宋体" w:cs="宋体"/>
          <w:sz w:val="24"/>
          <w:szCs w:val="24"/>
          <w:highlight w:val="none"/>
        </w:rPr>
      </w:pPr>
      <w:r>
        <w:rPr>
          <w:rFonts w:hint="eastAsia" w:ascii="宋体" w:hAnsi="宋体" w:eastAsia="宋体" w:cs="宋体"/>
          <w:b/>
          <w:sz w:val="24"/>
          <w:szCs w:val="24"/>
          <w:highlight w:val="none"/>
        </w:rPr>
        <w:t>九、税费</w:t>
      </w:r>
    </w:p>
    <w:p w14:paraId="0EBC33E5">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9.1本合同执行中相关的一切税费均由乙方负担。</w:t>
      </w:r>
    </w:p>
    <w:p w14:paraId="2A8718E7">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firstLineChars="200"/>
        <w:jc w:val="both"/>
        <w:textAlignment w:val="auto"/>
        <w:rPr>
          <w:rFonts w:hint="eastAsia" w:ascii="宋体" w:hAnsi="宋体" w:eastAsia="宋体" w:cs="宋体"/>
          <w:sz w:val="24"/>
          <w:szCs w:val="24"/>
          <w:highlight w:val="none"/>
        </w:rPr>
      </w:pPr>
      <w:r>
        <w:rPr>
          <w:rFonts w:hint="eastAsia" w:ascii="宋体" w:hAnsi="宋体" w:eastAsia="宋体" w:cs="宋体"/>
          <w:b/>
          <w:sz w:val="24"/>
          <w:szCs w:val="24"/>
          <w:highlight w:val="none"/>
        </w:rPr>
        <w:t>十、项目验收</w:t>
      </w:r>
    </w:p>
    <w:p w14:paraId="10C0B1D9">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10.1甲方依法组织履约验收工作。</w:t>
      </w:r>
    </w:p>
    <w:p w14:paraId="3411A682">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89C333C">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10.3对于实际使用人和甲方分离的项目，甲方邀请实际使用人参与验收。</w:t>
      </w:r>
    </w:p>
    <w:p w14:paraId="4C7BAAA5">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firstLineChars="200"/>
        <w:jc w:val="both"/>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10.4如有必要，甲方邀请参加本项目的其他供应商或第三方专业机构及专家参与验收，相关意见将作为验收书的参考资料</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相关费用由乙方承担。</w:t>
      </w:r>
    </w:p>
    <w:p w14:paraId="7EAFE8FC">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67681FC0">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32B8EFAD">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firstLineChars="200"/>
        <w:jc w:val="both"/>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10.7乙方所供产品须为近6个月内生产的全新产品，出厂生产日期以产品合格证、设备铭牌记载日期为准。若交付产品生产日期距交货日期超过三个月，甲方有权拒收，乙方应无条件更换合格产品，并承担全部相关费用。</w:t>
      </w:r>
    </w:p>
    <w:p w14:paraId="2C532056">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firstLineChars="200"/>
        <w:jc w:val="both"/>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10.8需具备所承诺的所有功能和技术参数，需要交付所有授权码，否则甲方不予验收。乙方交付后，不得远程锁定或管理所交付货物及软件，一旦发现，甲方有权向乙方主张所有已支付的货款。</w:t>
      </w:r>
    </w:p>
    <w:p w14:paraId="10E44CBA">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firstLineChars="200"/>
        <w:jc w:val="both"/>
        <w:textAlignment w:val="auto"/>
        <w:rPr>
          <w:rFonts w:hint="eastAsia" w:ascii="宋体" w:hAnsi="宋体" w:eastAsia="宋体" w:cs="宋体"/>
          <w:sz w:val="24"/>
          <w:szCs w:val="24"/>
          <w:highlight w:val="none"/>
        </w:rPr>
      </w:pPr>
      <w:r>
        <w:rPr>
          <w:rFonts w:hint="eastAsia" w:ascii="宋体" w:hAnsi="宋体" w:eastAsia="宋体" w:cs="宋体"/>
          <w:b/>
          <w:sz w:val="24"/>
          <w:szCs w:val="24"/>
          <w:highlight w:val="none"/>
        </w:rPr>
        <w:t>十一、违约责任</w:t>
      </w:r>
    </w:p>
    <w:p w14:paraId="62D03FD4">
      <w:pPr>
        <w:keepNext w:val="0"/>
        <w:keepLines w:val="0"/>
        <w:pageBreakBefore w:val="0"/>
        <w:widowControl w:val="0"/>
        <w:numPr>
          <w:ilvl w:val="0"/>
          <w:numId w:val="0"/>
        </w:numPr>
        <w:shd w:val="clear"/>
        <w:kinsoku/>
        <w:wordWrap/>
        <w:overflowPunct/>
        <w:topLinePunct w:val="0"/>
        <w:autoSpaceDE/>
        <w:autoSpaceDN/>
        <w:bidi w:val="0"/>
        <w:adjustRightInd/>
        <w:snapToGrid w:val="0"/>
        <w:spacing w:line="520" w:lineRule="exact"/>
        <w:ind w:firstLine="480" w:firstLineChars="200"/>
        <w:jc w:val="both"/>
        <w:textAlignment w:val="auto"/>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highlight w:val="none"/>
          <w:lang w:val="en-US" w:eastAsia="zh-CN" w:bidi="ar-SA"/>
        </w:rPr>
        <w:t>11.1逾期交货违约责任：乙方逾期交付货物的，每逾期一天，甲方有权按照</w:t>
      </w:r>
      <w:r>
        <w:rPr>
          <w:rFonts w:hint="eastAsia" w:ascii="宋体" w:hAnsi="宋体" w:cs="宋体"/>
          <w:b w:val="0"/>
          <w:bCs/>
          <w:kern w:val="2"/>
          <w:sz w:val="24"/>
          <w:szCs w:val="24"/>
          <w:highlight w:val="none"/>
          <w:lang w:val="en-US" w:eastAsia="zh-CN" w:bidi="ar-SA"/>
        </w:rPr>
        <w:t>合同总额的5%</w:t>
      </w:r>
      <w:r>
        <w:rPr>
          <w:rFonts w:ascii="宋体" w:hAnsi="宋体" w:eastAsia="宋体" w:cs="宋体"/>
          <w:sz w:val="24"/>
          <w:szCs w:val="24"/>
          <w:highlight w:val="none"/>
        </w:rPr>
        <w:t>计收违约金</w:t>
      </w:r>
      <w:r>
        <w:rPr>
          <w:rFonts w:hint="eastAsia" w:ascii="宋体" w:hAnsi="宋体" w:cs="宋体"/>
          <w:b w:val="0"/>
          <w:bCs/>
          <w:kern w:val="2"/>
          <w:sz w:val="24"/>
          <w:szCs w:val="24"/>
          <w:highlight w:val="none"/>
          <w:lang w:val="en-US" w:eastAsia="zh-CN" w:bidi="ar-SA"/>
        </w:rPr>
        <w:t>，由甲方在待付货款中扣除</w:t>
      </w:r>
      <w:r>
        <w:rPr>
          <w:rFonts w:hint="eastAsia" w:ascii="宋体" w:hAnsi="宋体" w:eastAsia="宋体" w:cs="宋体"/>
          <w:b w:val="0"/>
          <w:bCs/>
          <w:kern w:val="2"/>
          <w:sz w:val="24"/>
          <w:szCs w:val="24"/>
          <w:highlight w:val="none"/>
          <w:lang w:val="en-US" w:eastAsia="zh-CN" w:bidi="ar-SA"/>
        </w:rPr>
        <w:t>，乙方逾期超过约定日期10个工作日不能交货的，甲方可解除合同。乙方因逾期交货或因其他违约行为导致解除合同的，乙方应向甲方支付</w:t>
      </w:r>
      <w:r>
        <w:rPr>
          <w:rFonts w:hint="eastAsia" w:ascii="宋体" w:hAnsi="宋体" w:cs="宋体"/>
          <w:b w:val="0"/>
          <w:bCs/>
          <w:kern w:val="2"/>
          <w:sz w:val="24"/>
          <w:szCs w:val="24"/>
          <w:highlight w:val="none"/>
          <w:lang w:val="en-US" w:eastAsia="zh-CN" w:bidi="ar-SA"/>
        </w:rPr>
        <w:t>合同总值5%的违约金</w:t>
      </w:r>
      <w:r>
        <w:rPr>
          <w:rFonts w:hint="eastAsia" w:ascii="宋体" w:hAnsi="宋体" w:eastAsia="宋体" w:cs="宋体"/>
          <w:b w:val="0"/>
          <w:bCs/>
          <w:kern w:val="2"/>
          <w:sz w:val="24"/>
          <w:szCs w:val="24"/>
          <w:highlight w:val="none"/>
          <w:lang w:val="en-US" w:eastAsia="zh-CN" w:bidi="ar-SA"/>
        </w:rPr>
        <w:t>，如造成甲方损失超过违约金的，超出部分由</w:t>
      </w:r>
      <w:r>
        <w:rPr>
          <w:rFonts w:hint="eastAsia" w:ascii="宋体" w:hAnsi="宋体" w:eastAsia="宋体" w:cs="宋体"/>
          <w:b w:val="0"/>
          <w:bCs/>
          <w:kern w:val="2"/>
          <w:sz w:val="24"/>
          <w:szCs w:val="24"/>
          <w:lang w:val="en-US" w:eastAsia="zh-CN" w:bidi="ar-SA"/>
        </w:rPr>
        <w:t>乙方继续承担赔偿责任。</w:t>
      </w:r>
    </w:p>
    <w:p w14:paraId="49D66835">
      <w:pPr>
        <w:keepNext w:val="0"/>
        <w:keepLines w:val="0"/>
        <w:pageBreakBefore w:val="0"/>
        <w:widowControl w:val="0"/>
        <w:numPr>
          <w:ilvl w:val="0"/>
          <w:numId w:val="0"/>
        </w:numPr>
        <w:shd w:val="clear"/>
        <w:kinsoku/>
        <w:wordWrap/>
        <w:overflowPunct/>
        <w:topLinePunct w:val="0"/>
        <w:autoSpaceDE/>
        <w:autoSpaceDN/>
        <w:bidi w:val="0"/>
        <w:adjustRightInd/>
        <w:snapToGrid w:val="0"/>
        <w:spacing w:line="520" w:lineRule="exact"/>
        <w:ind w:firstLine="480" w:firstLineChars="200"/>
        <w:jc w:val="both"/>
        <w:textAlignment w:val="auto"/>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11.2货物不符的违约责任：</w:t>
      </w:r>
    </w:p>
    <w:p w14:paraId="2FBA26C1">
      <w:pPr>
        <w:keepNext w:val="0"/>
        <w:keepLines w:val="0"/>
        <w:pageBreakBefore w:val="0"/>
        <w:widowControl w:val="0"/>
        <w:numPr>
          <w:ilvl w:val="0"/>
          <w:numId w:val="0"/>
        </w:numPr>
        <w:shd w:val="clear"/>
        <w:kinsoku/>
        <w:wordWrap/>
        <w:overflowPunct/>
        <w:topLinePunct w:val="0"/>
        <w:autoSpaceDE/>
        <w:autoSpaceDN/>
        <w:bidi w:val="0"/>
        <w:adjustRightInd/>
        <w:snapToGrid w:val="0"/>
        <w:spacing w:line="520" w:lineRule="exact"/>
        <w:ind w:firstLine="480" w:firstLineChars="200"/>
        <w:jc w:val="both"/>
        <w:textAlignment w:val="auto"/>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乙方所交付货物的品种、型号、规格、技术参数、质量等任一参数不符合合同或招标文件规定标准的，甲方有权拒收该货物，并按以下任一方式处理。</w:t>
      </w:r>
    </w:p>
    <w:p w14:paraId="76B58330">
      <w:pPr>
        <w:keepNext w:val="0"/>
        <w:keepLines w:val="0"/>
        <w:pageBreakBefore w:val="0"/>
        <w:widowControl w:val="0"/>
        <w:numPr>
          <w:ilvl w:val="0"/>
          <w:numId w:val="0"/>
        </w:numPr>
        <w:shd w:val="clear"/>
        <w:kinsoku/>
        <w:wordWrap/>
        <w:overflowPunct/>
        <w:topLinePunct w:val="0"/>
        <w:autoSpaceDE/>
        <w:autoSpaceDN/>
        <w:bidi w:val="0"/>
        <w:adjustRightInd/>
        <w:snapToGrid w:val="0"/>
        <w:spacing w:line="520" w:lineRule="exact"/>
        <w:ind w:firstLine="480" w:firstLineChars="200"/>
        <w:jc w:val="both"/>
        <w:textAlignment w:val="auto"/>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更换：由乙方无条件更换为符合要求的货物，并承担由此产生的一切费用（包括但不限于运输、保险、拆卸、安装等），并向甲方支付</w:t>
      </w:r>
      <w:r>
        <w:rPr>
          <w:rFonts w:hint="eastAsia" w:ascii="宋体" w:hAnsi="宋体" w:cs="宋体"/>
          <w:b w:val="0"/>
          <w:bCs/>
          <w:kern w:val="2"/>
          <w:sz w:val="24"/>
          <w:szCs w:val="24"/>
          <w:lang w:val="en-US" w:eastAsia="zh-CN" w:bidi="ar-SA"/>
        </w:rPr>
        <w:t>合同价20%的</w:t>
      </w:r>
      <w:r>
        <w:rPr>
          <w:rFonts w:hint="eastAsia" w:ascii="宋体" w:hAnsi="宋体" w:eastAsia="宋体" w:cs="宋体"/>
          <w:b w:val="0"/>
          <w:bCs/>
          <w:kern w:val="2"/>
          <w:sz w:val="24"/>
          <w:szCs w:val="24"/>
          <w:lang w:val="en-US" w:eastAsia="zh-CN" w:bidi="ar-SA"/>
        </w:rPr>
        <w:t>违约金。乙方愿意更换货物但逾期交货的，按乙方逾期交货处理。</w:t>
      </w:r>
    </w:p>
    <w:p w14:paraId="1E21D035">
      <w:pPr>
        <w:keepNext w:val="0"/>
        <w:keepLines w:val="0"/>
        <w:pageBreakBefore w:val="0"/>
        <w:widowControl w:val="0"/>
        <w:numPr>
          <w:ilvl w:val="0"/>
          <w:numId w:val="0"/>
        </w:numPr>
        <w:shd w:val="clear"/>
        <w:kinsoku/>
        <w:wordWrap/>
        <w:overflowPunct/>
        <w:topLinePunct w:val="0"/>
        <w:autoSpaceDE/>
        <w:autoSpaceDN/>
        <w:bidi w:val="0"/>
        <w:adjustRightInd/>
        <w:snapToGrid w:val="0"/>
        <w:spacing w:line="520" w:lineRule="exact"/>
        <w:ind w:firstLine="480" w:firstLineChars="200"/>
        <w:jc w:val="both"/>
        <w:textAlignment w:val="auto"/>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 退货处理：因乙方提供产品质量问题导致退货的，乙方应退还甲方已支付的合同款，且乙方承担该产品的直接费用(运输、保险、检验、货款利息及银行手续费等),同时甲方可单方面解除合同并按乙方违约处理，乙方应向甲方支付</w:t>
      </w:r>
      <w:r>
        <w:rPr>
          <w:rFonts w:hint="eastAsia" w:ascii="宋体" w:hAnsi="宋体" w:cs="宋体"/>
          <w:b w:val="0"/>
          <w:bCs/>
          <w:kern w:val="2"/>
          <w:sz w:val="24"/>
          <w:szCs w:val="24"/>
          <w:lang w:val="en-US" w:eastAsia="zh-CN" w:bidi="ar-SA"/>
        </w:rPr>
        <w:t>合同价20%的</w:t>
      </w:r>
      <w:r>
        <w:rPr>
          <w:rFonts w:hint="eastAsia" w:ascii="宋体" w:hAnsi="宋体" w:eastAsia="宋体" w:cs="宋体"/>
          <w:b w:val="0"/>
          <w:bCs/>
          <w:kern w:val="2"/>
          <w:sz w:val="24"/>
          <w:szCs w:val="24"/>
          <w:lang w:val="en-US" w:eastAsia="zh-CN" w:bidi="ar-SA"/>
        </w:rPr>
        <w:t>违约金。</w:t>
      </w:r>
    </w:p>
    <w:p w14:paraId="67211241">
      <w:pPr>
        <w:keepNext w:val="0"/>
        <w:keepLines w:val="0"/>
        <w:pageBreakBefore w:val="0"/>
        <w:widowControl w:val="0"/>
        <w:numPr>
          <w:ilvl w:val="0"/>
          <w:numId w:val="0"/>
        </w:numPr>
        <w:shd w:val="clear"/>
        <w:kinsoku/>
        <w:wordWrap/>
        <w:overflowPunct/>
        <w:topLinePunct w:val="0"/>
        <w:autoSpaceDE/>
        <w:autoSpaceDN/>
        <w:bidi w:val="0"/>
        <w:adjustRightInd/>
        <w:snapToGrid w:val="0"/>
        <w:spacing w:line="520" w:lineRule="exact"/>
        <w:ind w:firstLine="480" w:firstLineChars="200"/>
        <w:jc w:val="both"/>
        <w:textAlignment w:val="auto"/>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11.3质量响应与售后服务违约责任</w:t>
      </w:r>
    </w:p>
    <w:p w14:paraId="14D63C01">
      <w:pPr>
        <w:keepNext w:val="0"/>
        <w:keepLines w:val="0"/>
        <w:pageBreakBefore w:val="0"/>
        <w:widowControl w:val="0"/>
        <w:numPr>
          <w:ilvl w:val="0"/>
          <w:numId w:val="0"/>
        </w:numPr>
        <w:shd w:val="clear"/>
        <w:kinsoku/>
        <w:wordWrap/>
        <w:overflowPunct/>
        <w:topLinePunct w:val="0"/>
        <w:autoSpaceDE/>
        <w:autoSpaceDN/>
        <w:bidi w:val="0"/>
        <w:adjustRightInd/>
        <w:snapToGrid w:val="0"/>
        <w:spacing w:line="520" w:lineRule="exact"/>
        <w:ind w:firstLine="480" w:firstLineChars="200"/>
        <w:jc w:val="both"/>
        <w:textAlignment w:val="auto"/>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11.3.1在维保期内，货物在使用过程中发生任何质量问题，乙方应在接到甲方通知后24小时内予以响应，48小时内派员到达现场并提供解决方案。</w:t>
      </w:r>
    </w:p>
    <w:p w14:paraId="4C602979">
      <w:pPr>
        <w:keepNext w:val="0"/>
        <w:keepLines w:val="0"/>
        <w:pageBreakBefore w:val="0"/>
        <w:widowControl w:val="0"/>
        <w:numPr>
          <w:ilvl w:val="0"/>
          <w:numId w:val="0"/>
        </w:numPr>
        <w:shd w:val="clear"/>
        <w:kinsoku/>
        <w:wordWrap/>
        <w:overflowPunct/>
        <w:topLinePunct w:val="0"/>
        <w:autoSpaceDE/>
        <w:autoSpaceDN/>
        <w:bidi w:val="0"/>
        <w:adjustRightInd/>
        <w:snapToGrid w:val="0"/>
        <w:spacing w:line="520" w:lineRule="exact"/>
        <w:ind w:firstLine="480" w:firstLineChars="200"/>
        <w:jc w:val="both"/>
        <w:textAlignment w:val="auto"/>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11.3.2如乙方未能在规定时间内响应或未在48小时内解决质量及故障问题，甲方有权</w:t>
      </w:r>
      <w:r>
        <w:rPr>
          <w:rFonts w:hint="eastAsia" w:ascii="宋体" w:hAnsi="宋体" w:cs="宋体"/>
          <w:b w:val="0"/>
          <w:bCs/>
          <w:kern w:val="2"/>
          <w:sz w:val="24"/>
          <w:szCs w:val="24"/>
          <w:lang w:val="en-US" w:eastAsia="zh-CN" w:bidi="ar-SA"/>
        </w:rPr>
        <w:t>按合同总额的10%</w:t>
      </w:r>
      <w:r>
        <w:rPr>
          <w:rFonts w:hint="eastAsia" w:ascii="宋体" w:hAnsi="宋体" w:eastAsia="宋体" w:cs="宋体"/>
          <w:b w:val="0"/>
          <w:bCs/>
          <w:kern w:val="2"/>
          <w:sz w:val="24"/>
          <w:szCs w:val="24"/>
          <w:lang w:val="en-US" w:eastAsia="zh-CN" w:bidi="ar-SA"/>
        </w:rPr>
        <w:t>对乙方予以扣</w:t>
      </w:r>
      <w:r>
        <w:rPr>
          <w:rFonts w:hint="eastAsia" w:ascii="宋体" w:hAnsi="宋体" w:cs="宋体"/>
          <w:b w:val="0"/>
          <w:bCs/>
          <w:kern w:val="2"/>
          <w:sz w:val="24"/>
          <w:szCs w:val="24"/>
          <w:lang w:val="en-US" w:eastAsia="zh-CN" w:bidi="ar-SA"/>
        </w:rPr>
        <w:t>罚</w:t>
      </w:r>
      <w:r>
        <w:rPr>
          <w:rFonts w:hint="eastAsia" w:ascii="宋体" w:hAnsi="宋体" w:eastAsia="宋体" w:cs="宋体"/>
          <w:b w:val="0"/>
          <w:bCs/>
          <w:kern w:val="2"/>
          <w:sz w:val="24"/>
          <w:szCs w:val="24"/>
          <w:lang w:val="en-US" w:eastAsia="zh-CN" w:bidi="ar-SA"/>
        </w:rPr>
        <w:t>，若乙方未能在72小时内解决问题，甲方有权自行处理，所发生的费用从尾款中扣除，直至扣除全部尾款。</w:t>
      </w:r>
    </w:p>
    <w:p w14:paraId="66A8768C">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left="41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kern w:val="2"/>
          <w:sz w:val="24"/>
          <w:szCs w:val="24"/>
          <w:lang w:val="en-US" w:eastAsia="zh-CN" w:bidi="ar-SA"/>
        </w:rPr>
        <w:t>11.4乙方擅自解除合同，需向对方支付合同总价20%的违约金</w:t>
      </w:r>
      <w:r>
        <w:rPr>
          <w:rFonts w:hint="eastAsia" w:ascii="宋体" w:hAnsi="宋体" w:eastAsia="宋体" w:cs="宋体"/>
          <w:sz w:val="24"/>
          <w:szCs w:val="24"/>
          <w:highlight w:val="none"/>
        </w:rPr>
        <w:t>。</w:t>
      </w:r>
    </w:p>
    <w:p w14:paraId="514B0AFC">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both"/>
        <w:textAlignment w:val="auto"/>
        <w:rPr>
          <w:rFonts w:hint="default"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十二、考核管理办法</w:t>
      </w:r>
    </w:p>
    <w:p w14:paraId="5AB8360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12.1质保期：设备质保期</w:t>
      </w:r>
      <w:r>
        <w:rPr>
          <w:rFonts w:hint="eastAsia" w:ascii="宋体" w:hAnsi="宋体" w:cs="宋体"/>
          <w:color w:val="000000"/>
          <w:kern w:val="2"/>
          <w:sz w:val="24"/>
          <w:szCs w:val="24"/>
          <w:highlight w:val="none"/>
          <w:u w:val="single"/>
          <w:lang w:val="en-US" w:eastAsia="zh-CN"/>
        </w:rPr>
        <w:t>5</w:t>
      </w:r>
      <w:r>
        <w:rPr>
          <w:rFonts w:hint="eastAsia" w:ascii="宋体" w:hAnsi="宋体" w:eastAsia="宋体" w:cs="宋体"/>
          <w:color w:val="000000"/>
          <w:kern w:val="2"/>
          <w:sz w:val="24"/>
          <w:szCs w:val="24"/>
          <w:highlight w:val="none"/>
          <w:lang w:val="en-US" w:eastAsia="zh-CN"/>
        </w:rPr>
        <w:t>年，质保期内乙方提供免费上门维修、保养、零部件更换服务，所有更换零部件均为原厂全新配件，不得使用翻新、副厂配件。</w:t>
      </w:r>
    </w:p>
    <w:p w14:paraId="0BC1495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12.2质量保证标准：乙方提供的全部货物必须符合中华人民共和国相关的质量、安全及环保标准，并完全响应本项目招标文件中“技术参数要求”的所有规定。乙方提供的产品必须提供有效证明文件证实其完全满足，否则视为根本性违约。</w:t>
      </w:r>
    </w:p>
    <w:p w14:paraId="106F2DA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12.3认证与证明：中标人应在交货时随箱提供货物的原厂质量合格证、出厂检验报告、产品使用说明书及招标文件要求的其他证明文件。</w:t>
      </w:r>
    </w:p>
    <w:p w14:paraId="3B88029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12.4备件供应：质保期内，乙方需在甲方所在地（或周边城市）配备常用备件，确保故障维修时备件及时供应；质保期后，乙方承诺长期提供原厂备件，且备件价格不高于市场同期均价。</w:t>
      </w:r>
    </w:p>
    <w:p w14:paraId="7690296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ascii="Segoe UI" w:hAnsi="Segoe UI" w:eastAsia="Segoe UI" w:cs="Segoe UI"/>
          <w:i w:val="0"/>
          <w:iCs w:val="0"/>
          <w:caps w:val="0"/>
          <w:color w:val="auto"/>
          <w:spacing w:val="0"/>
          <w:sz w:val="24"/>
          <w:szCs w:val="24"/>
          <w:highlight w:val="none"/>
          <w:shd w:val="clear" w:fill="FFFFFF"/>
        </w:rPr>
      </w:pPr>
      <w:r>
        <w:rPr>
          <w:rFonts w:hint="eastAsia" w:ascii="宋体" w:hAnsi="宋体" w:eastAsia="宋体" w:cs="宋体"/>
          <w:color w:val="000000"/>
          <w:kern w:val="2"/>
          <w:sz w:val="24"/>
          <w:szCs w:val="24"/>
          <w:highlight w:val="none"/>
          <w:lang w:val="en-US" w:eastAsia="zh-CN"/>
        </w:rPr>
        <w:t>12.5质保期后服务：质保期结束后，乙方继续提供终身维修服务，仅收取合理的零部件成本费+上门服务费，并承诺维修响应时间仍按质保期内标准执行。</w:t>
      </w:r>
    </w:p>
    <w:p w14:paraId="7A494202">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firstLineChars="200"/>
        <w:jc w:val="both"/>
        <w:textAlignment w:val="auto"/>
        <w:rPr>
          <w:rFonts w:hint="eastAsia" w:ascii="宋体" w:hAnsi="宋体" w:eastAsia="宋体" w:cs="宋体"/>
          <w:sz w:val="24"/>
          <w:szCs w:val="24"/>
          <w:highlight w:val="none"/>
        </w:rPr>
      </w:pPr>
      <w:r>
        <w:rPr>
          <w:rFonts w:hint="eastAsia" w:ascii="宋体" w:hAnsi="宋体" w:eastAsia="宋体" w:cs="宋体"/>
          <w:b/>
          <w:sz w:val="24"/>
          <w:szCs w:val="24"/>
          <w:highlight w:val="none"/>
        </w:rPr>
        <w:t>十</w:t>
      </w:r>
      <w:r>
        <w:rPr>
          <w:rFonts w:hint="eastAsia" w:ascii="宋体" w:hAnsi="宋体" w:eastAsia="宋体" w:cs="宋体"/>
          <w:b/>
          <w:sz w:val="24"/>
          <w:szCs w:val="24"/>
          <w:highlight w:val="none"/>
          <w:lang w:eastAsia="zh-CN"/>
        </w:rPr>
        <w:t>三</w:t>
      </w:r>
      <w:r>
        <w:rPr>
          <w:rFonts w:hint="eastAsia" w:ascii="宋体" w:hAnsi="宋体" w:eastAsia="宋体" w:cs="宋体"/>
          <w:b/>
          <w:sz w:val="24"/>
          <w:szCs w:val="24"/>
          <w:highlight w:val="none"/>
        </w:rPr>
        <w:t>、不可抗力事件处理</w:t>
      </w:r>
    </w:p>
    <w:p w14:paraId="641C3018">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left="48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.1在合同有效期内，任何一方因不可抗力事件导致不能履行合同，则合同履行期可延长，其延长期与不可抗力影响 期相同。</w:t>
      </w:r>
    </w:p>
    <w:p w14:paraId="0DFB5ECF">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.2不可抗力事件发生后，应立即通知对方，并寄送有关权威机构出具的证明。</w:t>
      </w:r>
    </w:p>
    <w:p w14:paraId="214BD98A">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.3不可抗力事件延续120天以上，双方应通过友好协商，确定是否继续履行合同。</w:t>
      </w:r>
    </w:p>
    <w:p w14:paraId="5857AC44">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firstLineChars="200"/>
        <w:jc w:val="both"/>
        <w:textAlignment w:val="auto"/>
        <w:rPr>
          <w:rFonts w:hint="eastAsia" w:ascii="宋体" w:hAnsi="宋体" w:eastAsia="宋体" w:cs="宋体"/>
          <w:sz w:val="24"/>
          <w:szCs w:val="24"/>
          <w:highlight w:val="none"/>
        </w:rPr>
      </w:pPr>
      <w:r>
        <w:rPr>
          <w:rFonts w:hint="eastAsia" w:ascii="宋体" w:hAnsi="宋体" w:eastAsia="宋体" w:cs="宋体"/>
          <w:b/>
          <w:sz w:val="24"/>
          <w:szCs w:val="24"/>
          <w:highlight w:val="none"/>
        </w:rPr>
        <w:t>十</w:t>
      </w:r>
      <w:r>
        <w:rPr>
          <w:rFonts w:hint="eastAsia" w:ascii="宋体" w:hAnsi="宋体" w:eastAsia="宋体" w:cs="宋体"/>
          <w:b/>
          <w:sz w:val="24"/>
          <w:szCs w:val="24"/>
          <w:highlight w:val="none"/>
          <w:lang w:eastAsia="zh-CN"/>
        </w:rPr>
        <w:t>四</w:t>
      </w:r>
      <w:r>
        <w:rPr>
          <w:rFonts w:hint="eastAsia" w:ascii="宋体" w:hAnsi="宋体" w:eastAsia="宋体" w:cs="宋体"/>
          <w:b/>
          <w:sz w:val="24"/>
          <w:szCs w:val="24"/>
          <w:highlight w:val="none"/>
        </w:rPr>
        <w:t>、解决争议的方法</w:t>
      </w:r>
    </w:p>
    <w:p w14:paraId="7F2C86CB">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.1双方在签订、履行合同中所发生的一切争议，应通过友好协商解决。如协商不成，由甲方住所地人民法院管辖。</w:t>
      </w:r>
    </w:p>
    <w:p w14:paraId="1C508001">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firstLineChars="200"/>
        <w:jc w:val="both"/>
        <w:textAlignment w:val="auto"/>
        <w:rPr>
          <w:rFonts w:hint="eastAsia" w:ascii="宋体" w:hAnsi="宋体" w:eastAsia="宋体" w:cs="宋体"/>
          <w:sz w:val="24"/>
          <w:szCs w:val="24"/>
          <w:highlight w:val="none"/>
        </w:rPr>
      </w:pPr>
      <w:r>
        <w:rPr>
          <w:rFonts w:hint="eastAsia" w:ascii="宋体" w:hAnsi="宋体" w:eastAsia="宋体" w:cs="宋体"/>
          <w:b/>
          <w:sz w:val="24"/>
          <w:szCs w:val="24"/>
          <w:highlight w:val="none"/>
        </w:rPr>
        <w:t>十</w:t>
      </w:r>
      <w:r>
        <w:rPr>
          <w:rFonts w:hint="eastAsia" w:ascii="宋体" w:hAnsi="宋体" w:eastAsia="宋体" w:cs="宋体"/>
          <w:b/>
          <w:sz w:val="24"/>
          <w:szCs w:val="24"/>
          <w:highlight w:val="none"/>
          <w:lang w:eastAsia="zh-CN"/>
        </w:rPr>
        <w:t>五</w:t>
      </w:r>
      <w:r>
        <w:rPr>
          <w:rFonts w:hint="eastAsia" w:ascii="宋体" w:hAnsi="宋体" w:eastAsia="宋体" w:cs="宋体"/>
          <w:b/>
          <w:sz w:val="24"/>
          <w:szCs w:val="24"/>
          <w:highlight w:val="none"/>
        </w:rPr>
        <w:t>、合同生效及其他</w:t>
      </w:r>
    </w:p>
    <w:p w14:paraId="2E6A15A6">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.1合同经双方法定代表人或授权委托代表人签字并加盖单位公章后生效。</w:t>
      </w:r>
    </w:p>
    <w:p w14:paraId="149CBFD3">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.2本合同未尽事宜，遵照《《中华人民共和国民法典》、《中华人民共和国政府采购法》有关条文执行。</w:t>
      </w:r>
    </w:p>
    <w:p w14:paraId="483BEA3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b/>
          <w:color w:val="auto"/>
          <w:sz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.3 本合同正本一式</w:t>
      </w:r>
      <w:r>
        <w:rPr>
          <w:rFonts w:hint="eastAsia" w:ascii="宋体" w:hAnsi="宋体" w:eastAsia="宋体" w:cs="宋体"/>
          <w:sz w:val="24"/>
          <w:szCs w:val="24"/>
          <w:highlight w:val="none"/>
          <w:lang w:val="en-US" w:eastAsia="zh-CN"/>
        </w:rPr>
        <w:t>陆</w:t>
      </w:r>
      <w:r>
        <w:rPr>
          <w:rFonts w:hint="eastAsia" w:ascii="宋体" w:hAnsi="宋体" w:eastAsia="宋体" w:cs="宋体"/>
          <w:sz w:val="24"/>
          <w:szCs w:val="24"/>
          <w:highlight w:val="none"/>
        </w:rPr>
        <w:t>份，具有同等法律效力，甲方、乙方各执</w:t>
      </w:r>
      <w:r>
        <w:rPr>
          <w:rFonts w:hint="eastAsia" w:ascii="宋体" w:hAnsi="宋体" w:eastAsia="宋体" w:cs="宋体"/>
          <w:sz w:val="24"/>
          <w:szCs w:val="24"/>
          <w:highlight w:val="none"/>
          <w:lang w:val="en-US" w:eastAsia="zh-CN"/>
        </w:rPr>
        <w:t>叁</w:t>
      </w:r>
      <w:r>
        <w:rPr>
          <w:rFonts w:hint="eastAsia" w:ascii="宋体" w:hAnsi="宋体" w:eastAsia="宋体" w:cs="宋体"/>
          <w:sz w:val="24"/>
          <w:szCs w:val="24"/>
          <w:highlight w:val="none"/>
        </w:rPr>
        <w:t>份。</w:t>
      </w:r>
    </w:p>
    <w:p w14:paraId="075BD835">
      <w:pPr>
        <w:pStyle w:val="16"/>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eastAsia="宋体"/>
          <w:color w:val="auto"/>
          <w:sz w:val="24"/>
          <w:szCs w:val="24"/>
          <w:highlight w:val="none"/>
        </w:rPr>
      </w:pPr>
    </w:p>
    <w:p w14:paraId="384C8368">
      <w:pPr>
        <w:widowControl w:val="0"/>
        <w:spacing w:before="120" w:beforeAutospacing="0" w:after="120" w:afterAutospacing="0" w:line="500" w:lineRule="exact"/>
        <w:ind w:left="480" w:hanging="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甲方：                        乙方： </w:t>
      </w:r>
    </w:p>
    <w:p w14:paraId="70021C4C">
      <w:pPr>
        <w:widowControl w:val="0"/>
        <w:spacing w:before="120" w:beforeAutospacing="0" w:after="120" w:afterAutospacing="0" w:line="500" w:lineRule="exact"/>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地址：                        地址： </w:t>
      </w:r>
    </w:p>
    <w:p w14:paraId="39808DD7">
      <w:pPr>
        <w:widowControl w:val="0"/>
        <w:spacing w:before="120" w:beforeAutospacing="0" w:after="120" w:afterAutospacing="0" w:line="500" w:lineRule="exact"/>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法定代表人或授权代表：        法定代表人或授权代表：</w:t>
      </w:r>
    </w:p>
    <w:p w14:paraId="38C410EC">
      <w:pPr>
        <w:widowControl w:val="0"/>
        <w:spacing w:before="120" w:beforeAutospacing="0" w:after="120" w:afterAutospacing="0" w:line="500" w:lineRule="exact"/>
        <w:ind w:firstLine="24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               联系电话：          </w:t>
      </w:r>
    </w:p>
    <w:p w14:paraId="3A3F2A0C">
      <w:pPr>
        <w:widowControl w:val="0"/>
        <w:spacing w:before="120" w:beforeAutospacing="0" w:after="120" w:afterAutospacing="0" w:line="0"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w:t>
      </w:r>
    </w:p>
    <w:p w14:paraId="68CB0468">
      <w:pPr>
        <w:widowControl w:val="0"/>
        <w:spacing w:before="120" w:beforeAutospacing="0" w:after="120" w:afterAutospacing="0" w:line="0" w:lineRule="atLeast"/>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签订日期：      年  月   日</w:t>
      </w:r>
    </w:p>
    <w:p w14:paraId="41CB84D7">
      <w:pPr>
        <w:pStyle w:val="36"/>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color w:val="auto"/>
        </w:rPr>
      </w:pPr>
      <w:r>
        <w:rPr>
          <w:rFonts w:hint="eastAsia" w:ascii="宋体" w:hAnsi="宋体" w:cs="宋体"/>
          <w:color w:val="auto"/>
        </w:rPr>
        <w:t xml:space="preserve">  </w:t>
      </w:r>
    </w:p>
    <w:p w14:paraId="327127D7">
      <w:pPr>
        <w:pageBreakBefore/>
        <w:spacing w:line="360" w:lineRule="auto"/>
        <w:jc w:val="center"/>
        <w:rPr>
          <w:rFonts w:ascii="黑体" w:hAnsi="Arial" w:eastAsia="黑体"/>
          <w:color w:val="auto"/>
          <w:sz w:val="44"/>
          <w:szCs w:val="44"/>
        </w:rPr>
      </w:pPr>
      <w:r>
        <w:rPr>
          <w:rFonts w:hint="eastAsia" w:ascii="黑体" w:hAnsi="Arial" w:eastAsia="黑体"/>
          <w:color w:val="auto"/>
          <w:sz w:val="44"/>
          <w:szCs w:val="44"/>
        </w:rPr>
        <w:t>第四章 项目需求</w:t>
      </w:r>
    </w:p>
    <w:p w14:paraId="419C286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eastAsia="宋体"/>
          <w:b w:val="0"/>
          <w:bCs w:val="0"/>
          <w:color w:val="auto"/>
          <w:sz w:val="24"/>
          <w:szCs w:val="20"/>
          <w:lang w:eastAsia="zh-CN"/>
        </w:rPr>
      </w:pPr>
      <w:bookmarkStart w:id="92" w:name="_Toc49090575"/>
      <w:bookmarkStart w:id="93" w:name="_Toc26554093"/>
      <w:r>
        <w:rPr>
          <w:rFonts w:hint="eastAsia"/>
          <w:b w:val="0"/>
          <w:bCs w:val="0"/>
          <w:color w:val="auto"/>
          <w:sz w:val="24"/>
          <w:szCs w:val="20"/>
          <w:lang w:val="en-US" w:eastAsia="zh-CN"/>
        </w:rPr>
        <w:t>一、</w:t>
      </w:r>
      <w:r>
        <w:rPr>
          <w:rFonts w:hint="eastAsia"/>
          <w:b w:val="0"/>
          <w:bCs w:val="0"/>
          <w:color w:val="auto"/>
          <w:sz w:val="24"/>
          <w:szCs w:val="20"/>
        </w:rPr>
        <w:t>项目属性：</w:t>
      </w:r>
      <w:r>
        <w:rPr>
          <w:rFonts w:hint="eastAsia"/>
          <w:b w:val="0"/>
          <w:bCs w:val="0"/>
          <w:color w:val="auto"/>
          <w:sz w:val="24"/>
          <w:szCs w:val="20"/>
          <w:lang w:eastAsia="zh-CN"/>
        </w:rPr>
        <w:t>货物</w:t>
      </w:r>
      <w:r>
        <w:rPr>
          <w:rFonts w:hint="eastAsia"/>
          <w:b w:val="0"/>
          <w:bCs w:val="0"/>
          <w:color w:val="auto"/>
          <w:sz w:val="24"/>
          <w:szCs w:val="20"/>
        </w:rPr>
        <w:t>类项目</w:t>
      </w:r>
      <w:bookmarkEnd w:id="92"/>
      <w:bookmarkEnd w:id="93"/>
      <w:r>
        <w:rPr>
          <w:rFonts w:hint="eastAsia"/>
          <w:b w:val="0"/>
          <w:bCs w:val="0"/>
          <w:color w:val="auto"/>
          <w:sz w:val="24"/>
          <w:szCs w:val="20"/>
          <w:lang w:eastAsia="zh-CN"/>
        </w:rPr>
        <w:t>，本项目所有包件均属于南北结对帮扶建设项目。</w:t>
      </w:r>
    </w:p>
    <w:p w14:paraId="6C3716F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outlineLvl w:val="9"/>
        <w:rPr>
          <w:rFonts w:hint="eastAsia" w:ascii="宋体" w:hAnsi="宋体" w:eastAsia="宋体" w:cs="宋体"/>
          <w:b w:val="0"/>
          <w:bCs w:val="0"/>
          <w:color w:val="000000"/>
          <w:kern w:val="44"/>
          <w:sz w:val="24"/>
          <w:szCs w:val="24"/>
          <w:lang w:eastAsia="zh-CN" w:bidi="ar"/>
        </w:rPr>
      </w:pPr>
      <w:r>
        <w:rPr>
          <w:rFonts w:hint="eastAsia"/>
          <w:b w:val="0"/>
          <w:bCs w:val="0"/>
          <w:color w:val="auto"/>
          <w:sz w:val="24"/>
          <w:szCs w:val="20"/>
          <w:lang w:val="en-US" w:eastAsia="zh-CN"/>
        </w:rPr>
        <w:t>二、</w:t>
      </w:r>
      <w:r>
        <w:rPr>
          <w:rFonts w:hint="eastAsia" w:ascii="宋体" w:hAnsi="宋体" w:eastAsia="宋体" w:cs="宋体"/>
          <w:b w:val="0"/>
          <w:bCs w:val="0"/>
          <w:color w:val="000000"/>
          <w:kern w:val="44"/>
          <w:sz w:val="24"/>
          <w:szCs w:val="24"/>
          <w:lang w:bidi="ar"/>
        </w:rPr>
        <w:t>采购需求</w:t>
      </w:r>
      <w:r>
        <w:rPr>
          <w:rFonts w:hint="eastAsia" w:ascii="宋体" w:hAnsi="宋体" w:cs="宋体"/>
          <w:b w:val="0"/>
          <w:bCs w:val="0"/>
          <w:color w:val="000000"/>
          <w:kern w:val="44"/>
          <w:sz w:val="24"/>
          <w:szCs w:val="24"/>
          <w:lang w:eastAsia="zh-CN" w:bidi="ar"/>
        </w:rPr>
        <w:t>及技术参数</w:t>
      </w:r>
    </w:p>
    <w:p w14:paraId="2893EED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2" w:firstLineChars="200"/>
        <w:jc w:val="left"/>
        <w:textAlignment w:val="auto"/>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采购包1：心电图机</w:t>
      </w:r>
    </w:p>
    <w:p w14:paraId="107A6FA5">
      <w:pPr>
        <w:pStyle w:val="2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b w:val="0"/>
          <w:bCs w:val="0"/>
          <w:lang w:val="en-US" w:eastAsia="zh-CN"/>
        </w:rPr>
      </w:pPr>
      <w:r>
        <w:rPr>
          <w:rFonts w:hint="eastAsia" w:ascii="宋体" w:hAnsi="宋体" w:eastAsia="宋体" w:cs="Times New Roman"/>
          <w:b w:val="0"/>
          <w:bCs w:val="0"/>
          <w:color w:val="auto"/>
          <w:sz w:val="24"/>
          <w:szCs w:val="24"/>
          <w:highlight w:val="none"/>
          <w:lang w:val="en-US" w:eastAsia="zh-CN" w:bidi="ar-SA"/>
        </w:rPr>
        <w:t>（一）</w:t>
      </w:r>
      <w:r>
        <w:rPr>
          <w:rFonts w:ascii="宋体" w:hAnsi="宋体" w:eastAsia="宋体" w:cs="宋体"/>
          <w:b w:val="0"/>
          <w:bCs w:val="0"/>
          <w:sz w:val="24"/>
          <w:szCs w:val="24"/>
        </w:rPr>
        <w:t>采购数量与单套配置</w:t>
      </w:r>
    </w:p>
    <w:p w14:paraId="4A76CF73">
      <w:pPr>
        <w:pStyle w:val="24"/>
        <w:keepNext w:val="0"/>
        <w:keepLines w:val="0"/>
        <w:pageBreakBefore w:val="0"/>
        <w:numPr>
          <w:ilvl w:val="0"/>
          <w:numId w:val="3"/>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采购数量:42套</w:t>
      </w:r>
    </w:p>
    <w:p w14:paraId="74EAA9CF">
      <w:pPr>
        <w:pStyle w:val="24"/>
        <w:keepNext w:val="0"/>
        <w:keepLines w:val="0"/>
        <w:pageBreakBefore w:val="0"/>
        <w:numPr>
          <w:ilvl w:val="0"/>
          <w:numId w:val="3"/>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单套配置清单：</w:t>
      </w:r>
    </w:p>
    <w:tbl>
      <w:tblPr>
        <w:tblStyle w:val="40"/>
        <w:tblW w:w="74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80"/>
        <w:gridCol w:w="2468"/>
        <w:gridCol w:w="1850"/>
        <w:gridCol w:w="2100"/>
      </w:tblGrid>
      <w:tr w14:paraId="4C2E4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3D8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2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BA6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配件名称</w:t>
            </w:r>
          </w:p>
        </w:tc>
        <w:tc>
          <w:tcPr>
            <w:tcW w:w="1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C0E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EC1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w:t>
            </w:r>
          </w:p>
        </w:tc>
      </w:tr>
      <w:tr w14:paraId="5CE26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828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7CA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平板电脑</w:t>
            </w:r>
          </w:p>
        </w:tc>
        <w:tc>
          <w:tcPr>
            <w:tcW w:w="1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BFA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0BD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2259B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C7E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2F6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心电放大器</w:t>
            </w:r>
          </w:p>
        </w:tc>
        <w:tc>
          <w:tcPr>
            <w:tcW w:w="1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88E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7D3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5CC7EF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2CA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2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6EB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蓝牙背夹</w:t>
            </w:r>
          </w:p>
        </w:tc>
        <w:tc>
          <w:tcPr>
            <w:tcW w:w="1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22D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F3A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4FD5D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98E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2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D29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导联线</w:t>
            </w:r>
          </w:p>
        </w:tc>
        <w:tc>
          <w:tcPr>
            <w:tcW w:w="1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C22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条</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66B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674FE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8A1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479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胶电极</w:t>
            </w:r>
          </w:p>
        </w:tc>
        <w:tc>
          <w:tcPr>
            <w:tcW w:w="1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382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9EB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24E09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2C9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2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9B8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胸电极</w:t>
            </w:r>
          </w:p>
        </w:tc>
        <w:tc>
          <w:tcPr>
            <w:tcW w:w="1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C6B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678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14:paraId="50F98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D83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2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693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移动台车</w:t>
            </w:r>
          </w:p>
        </w:tc>
        <w:tc>
          <w:tcPr>
            <w:tcW w:w="1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0A4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183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1FEC4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1CC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2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99B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充电线</w:t>
            </w:r>
          </w:p>
        </w:tc>
        <w:tc>
          <w:tcPr>
            <w:tcW w:w="1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3B3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9D8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bl>
    <w:p w14:paraId="410092A8">
      <w:pPr>
        <w:pStyle w:val="24"/>
        <w:keepNext w:val="0"/>
        <w:keepLines w:val="0"/>
        <w:pageBreakBefore w:val="0"/>
        <w:widowControl w:val="0"/>
        <w:numPr>
          <w:ilvl w:val="0"/>
          <w:numId w:val="0"/>
        </w:numPr>
        <w:kinsoku/>
        <w:wordWrap/>
        <w:overflowPunct/>
        <w:topLinePunct w:val="0"/>
        <w:autoSpaceDE/>
        <w:autoSpaceDN/>
        <w:bidi w:val="0"/>
        <w:adjustRightInd/>
        <w:snapToGrid/>
        <w:spacing w:before="361" w:beforeLines="100" w:after="361" w:afterLines="100"/>
        <w:ind w:firstLine="480" w:firstLineChars="200"/>
        <w:textAlignment w:val="auto"/>
        <w:rPr>
          <w:rFonts w:ascii="宋体" w:hAnsi="宋体" w:eastAsia="宋体" w:cs="宋体"/>
          <w:b w:val="0"/>
          <w:bCs/>
          <w:sz w:val="24"/>
          <w:szCs w:val="24"/>
        </w:rPr>
      </w:pPr>
      <w:r>
        <w:rPr>
          <w:rFonts w:hint="eastAsia" w:ascii="宋体" w:hAnsi="宋体" w:eastAsia="宋体" w:cs="宋体"/>
          <w:b w:val="0"/>
          <w:bCs/>
          <w:sz w:val="24"/>
          <w:szCs w:val="24"/>
          <w:lang w:eastAsia="zh-CN"/>
        </w:rPr>
        <w:t>（二）</w:t>
      </w:r>
      <w:r>
        <w:rPr>
          <w:rFonts w:ascii="宋体" w:hAnsi="宋体" w:eastAsia="宋体" w:cs="宋体"/>
          <w:b w:val="0"/>
          <w:bCs/>
          <w:sz w:val="24"/>
          <w:szCs w:val="24"/>
        </w:rPr>
        <w:t>主要技术参数</w:t>
      </w:r>
    </w:p>
    <w:tbl>
      <w:tblPr>
        <w:tblStyle w:val="40"/>
        <w:tblW w:w="9674" w:type="dxa"/>
        <w:tblInd w:w="42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83"/>
        <w:gridCol w:w="1817"/>
        <w:gridCol w:w="6974"/>
      </w:tblGrid>
      <w:tr w14:paraId="0B6D0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D89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1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3C0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参数名称</w:t>
            </w:r>
          </w:p>
        </w:tc>
        <w:tc>
          <w:tcPr>
            <w:tcW w:w="6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BAC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技术参数要求</w:t>
            </w:r>
          </w:p>
        </w:tc>
      </w:tr>
      <w:tr w14:paraId="6B602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F22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7E83C">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心电图输入</w:t>
            </w:r>
          </w:p>
        </w:tc>
        <w:tc>
          <w:tcPr>
            <w:tcW w:w="6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612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支持12导同步采集、同屏显示</w:t>
            </w:r>
          </w:p>
        </w:tc>
      </w:tr>
      <w:tr w14:paraId="6C8C8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5ED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8F4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A/D 转换精度</w:t>
            </w:r>
          </w:p>
        </w:tc>
        <w:tc>
          <w:tcPr>
            <w:tcW w:w="6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D04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不低于24bit</w:t>
            </w:r>
          </w:p>
        </w:tc>
      </w:tr>
      <w:tr w14:paraId="637A9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E6A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DF7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采样率</w:t>
            </w:r>
          </w:p>
        </w:tc>
        <w:tc>
          <w:tcPr>
            <w:tcW w:w="6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D80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≥32000次/s；幅度量化≤0.48μV/LSB</w:t>
            </w:r>
          </w:p>
        </w:tc>
      </w:tr>
      <w:tr w14:paraId="435805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204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A97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噪声水平</w:t>
            </w:r>
          </w:p>
        </w:tc>
        <w:tc>
          <w:tcPr>
            <w:tcW w:w="6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446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≤15μVp-p</w:t>
            </w:r>
          </w:p>
        </w:tc>
      </w:tr>
      <w:tr w14:paraId="26C7A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3A0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22A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输入阻抗</w:t>
            </w:r>
          </w:p>
        </w:tc>
        <w:tc>
          <w:tcPr>
            <w:tcW w:w="6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770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≥120MΩ</w:t>
            </w:r>
          </w:p>
        </w:tc>
      </w:tr>
      <w:tr w14:paraId="6C763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8C1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E22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输入回路电流</w:t>
            </w:r>
          </w:p>
        </w:tc>
        <w:tc>
          <w:tcPr>
            <w:tcW w:w="6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40A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≤0.1μA</w:t>
            </w:r>
          </w:p>
        </w:tc>
      </w:tr>
      <w:tr w14:paraId="4882E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0E1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0AC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时间常数</w:t>
            </w:r>
          </w:p>
        </w:tc>
        <w:tc>
          <w:tcPr>
            <w:tcW w:w="6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7E4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≥3.2s</w:t>
            </w:r>
          </w:p>
        </w:tc>
      </w:tr>
      <w:tr w14:paraId="1280D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4B0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488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定标电压</w:t>
            </w:r>
          </w:p>
        </w:tc>
        <w:tc>
          <w:tcPr>
            <w:tcW w:w="6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CAB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1mV±0.01mV</w:t>
            </w:r>
          </w:p>
        </w:tc>
      </w:tr>
      <w:tr w14:paraId="334AA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88D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273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耐极化电压</w:t>
            </w:r>
          </w:p>
        </w:tc>
        <w:tc>
          <w:tcPr>
            <w:tcW w:w="6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8C3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≥±980mV</w:t>
            </w:r>
          </w:p>
        </w:tc>
      </w:tr>
      <w:tr w14:paraId="11EB2D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C7A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767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灵敏度</w:t>
            </w:r>
          </w:p>
        </w:tc>
        <w:tc>
          <w:tcPr>
            <w:tcW w:w="6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9C6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5/10/20mm/mV 可选，增益误差≤±2%</w:t>
            </w:r>
          </w:p>
        </w:tc>
      </w:tr>
      <w:tr w14:paraId="17BC7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9F9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AA8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走纸速度</w:t>
            </w:r>
          </w:p>
        </w:tc>
        <w:tc>
          <w:tcPr>
            <w:tcW w:w="6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87F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12.5/25/50mm/s 可选，时间测量误差≤±5%</w:t>
            </w:r>
          </w:p>
        </w:tc>
      </w:tr>
      <w:tr w14:paraId="7789C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B4A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881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加做模式</w:t>
            </w:r>
          </w:p>
        </w:tc>
        <w:tc>
          <w:tcPr>
            <w:tcW w:w="6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7E9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具备心电图加做模式（正后壁、右室壁、右室后壁、常规12导）</w:t>
            </w:r>
          </w:p>
        </w:tc>
      </w:tr>
      <w:tr w14:paraId="593C5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0ED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257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波形预采</w:t>
            </w:r>
          </w:p>
        </w:tc>
        <w:tc>
          <w:tcPr>
            <w:tcW w:w="6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6CC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支持波形预采功能</w:t>
            </w:r>
          </w:p>
        </w:tc>
      </w:tr>
      <w:tr w14:paraId="3EF4C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69A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1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8EF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导联检测</w:t>
            </w:r>
          </w:p>
        </w:tc>
        <w:tc>
          <w:tcPr>
            <w:tcW w:w="6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58B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支持导联脱落提醒、自动导联接错提醒及导联纠正功能</w:t>
            </w:r>
          </w:p>
        </w:tc>
      </w:tr>
      <w:tr w14:paraId="3F53D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0F7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BBE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诊断结论接收</w:t>
            </w:r>
          </w:p>
        </w:tc>
        <w:tc>
          <w:tcPr>
            <w:tcW w:w="6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318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支持接收诊断结论功能，可将诊断后的心电报告下载至本机</w:t>
            </w:r>
          </w:p>
        </w:tc>
      </w:tr>
      <w:tr w14:paraId="1CFD1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6F2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22B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心电事件分析</w:t>
            </w:r>
          </w:p>
        </w:tc>
        <w:tc>
          <w:tcPr>
            <w:tcW w:w="6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098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支持心电事件分析功能</w:t>
            </w:r>
          </w:p>
        </w:tc>
      </w:tr>
      <w:tr w14:paraId="1EBBC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881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1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4C4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医嘱列表</w:t>
            </w:r>
          </w:p>
        </w:tc>
        <w:tc>
          <w:tcPr>
            <w:tcW w:w="6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3DA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具备待检查医嘱信息列表显示功能（Worklist）</w:t>
            </w:r>
          </w:p>
        </w:tc>
      </w:tr>
      <w:tr w14:paraId="245B59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B5F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FC2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登录模式</w:t>
            </w:r>
          </w:p>
        </w:tc>
        <w:tc>
          <w:tcPr>
            <w:tcW w:w="6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226D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支持用户名/工号+密码、扫二维码、急诊登录等多种登录模式</w:t>
            </w:r>
          </w:p>
        </w:tc>
      </w:tr>
      <w:tr w14:paraId="3A663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D40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1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3A2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网络对接</w:t>
            </w:r>
          </w:p>
        </w:tc>
        <w:tc>
          <w:tcPr>
            <w:tcW w:w="6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DF74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所投设备须免费开放接口，与采购人现有心电网络系统及区域心电系统无缝对接，数据可无缝传输且不影响现有系统运行，对接所需技术及费用由中标人承担</w:t>
            </w:r>
          </w:p>
        </w:tc>
      </w:tr>
      <w:tr w14:paraId="66EC1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97EF5">
            <w:pPr>
              <w:keepNext w:val="0"/>
              <w:keepLines w:val="0"/>
              <w:widowControl/>
              <w:suppressLineNumbers w:val="0"/>
              <w:jc w:val="center"/>
              <w:textAlignment w:val="center"/>
              <w:rPr>
                <w:rFonts w:hint="default" w:ascii="宋体" w:hAnsi="宋体" w:eastAsia="宋体" w:cs="宋体"/>
                <w:b/>
                <w:bCs/>
                <w:i w:val="0"/>
                <w:iCs w:val="0"/>
                <w:color w:val="000000"/>
                <w:kern w:val="0"/>
                <w:sz w:val="22"/>
                <w:szCs w:val="22"/>
                <w:highlight w:val="none"/>
                <w:u w:val="none"/>
                <w:lang w:val="en-US" w:eastAsia="zh-CN" w:bidi="ar"/>
              </w:rPr>
            </w:pPr>
            <w:r>
              <w:rPr>
                <w:rFonts w:hint="eastAsia" w:ascii="宋体" w:hAnsi="宋体" w:cs="宋体"/>
                <w:b/>
                <w:bCs/>
                <w:i w:val="0"/>
                <w:iCs w:val="0"/>
                <w:color w:val="000000"/>
                <w:kern w:val="0"/>
                <w:sz w:val="22"/>
                <w:szCs w:val="22"/>
                <w:highlight w:val="none"/>
                <w:u w:val="none"/>
                <w:lang w:val="en-US" w:eastAsia="zh-CN" w:bidi="ar"/>
              </w:rPr>
              <w:t>20</w:t>
            </w:r>
          </w:p>
        </w:tc>
        <w:tc>
          <w:tcPr>
            <w:tcW w:w="1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1D529">
            <w:pPr>
              <w:keepNext w:val="0"/>
              <w:keepLines w:val="0"/>
              <w:widowControl/>
              <w:suppressLineNumbers w:val="0"/>
              <w:jc w:val="center"/>
              <w:textAlignment w:val="center"/>
              <w:rPr>
                <w:rFonts w:hint="default" w:ascii="宋体" w:hAnsi="宋体" w:eastAsia="宋体" w:cs="宋体"/>
                <w:b/>
                <w:bCs/>
                <w:i w:val="0"/>
                <w:iCs w:val="0"/>
                <w:color w:val="000000"/>
                <w:kern w:val="0"/>
                <w:sz w:val="22"/>
                <w:szCs w:val="22"/>
                <w:highlight w:val="none"/>
                <w:u w:val="none"/>
                <w:lang w:val="en-US" w:eastAsia="zh-CN" w:bidi="ar"/>
              </w:rPr>
            </w:pPr>
            <w:r>
              <w:rPr>
                <w:rFonts w:hint="eastAsia" w:ascii="宋体" w:hAnsi="宋体" w:cs="宋体"/>
                <w:b/>
                <w:bCs/>
                <w:i w:val="0"/>
                <w:iCs w:val="0"/>
                <w:color w:val="000000"/>
                <w:kern w:val="0"/>
                <w:sz w:val="22"/>
                <w:szCs w:val="22"/>
                <w:highlight w:val="none"/>
                <w:u w:val="none"/>
                <w:lang w:val="en-US" w:eastAsia="zh-CN" w:bidi="ar"/>
              </w:rPr>
              <w:t>整机免费质保期</w:t>
            </w:r>
          </w:p>
        </w:tc>
        <w:tc>
          <w:tcPr>
            <w:tcW w:w="6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5BAFC">
            <w:pPr>
              <w:keepNext w:val="0"/>
              <w:keepLines w:val="0"/>
              <w:widowControl/>
              <w:suppressLineNumbers w:val="0"/>
              <w:jc w:val="left"/>
              <w:textAlignment w:val="center"/>
              <w:rPr>
                <w:rFonts w:hint="default" w:ascii="宋体" w:hAnsi="宋体" w:eastAsia="宋体" w:cs="宋体"/>
                <w:b/>
                <w:bCs/>
                <w:i w:val="0"/>
                <w:iCs w:val="0"/>
                <w:color w:val="000000"/>
                <w:kern w:val="0"/>
                <w:sz w:val="22"/>
                <w:szCs w:val="22"/>
                <w:highlight w:val="none"/>
                <w:u w:val="none"/>
                <w:lang w:val="en-US" w:eastAsia="zh-CN" w:bidi="ar"/>
              </w:rPr>
            </w:pPr>
            <w:r>
              <w:rPr>
                <w:rFonts w:hint="eastAsia" w:ascii="宋体" w:hAnsi="宋体" w:cs="宋体"/>
                <w:b/>
                <w:bCs/>
                <w:i w:val="0"/>
                <w:iCs w:val="0"/>
                <w:color w:val="000000"/>
                <w:kern w:val="0"/>
                <w:sz w:val="22"/>
                <w:szCs w:val="22"/>
                <w:highlight w:val="none"/>
                <w:u w:val="none"/>
                <w:lang w:val="en-US" w:eastAsia="zh-CN" w:bidi="ar"/>
              </w:rPr>
              <w:t>5年，质保期内提供7×24小时技术支持，接到报修后2小时内响应，24小时内到达现场，48小时内无法修复的须提供备用机，原厂终身维修，或支持开放数据端口配合第三方维修。（提供承诺函，格式自拟）</w:t>
            </w:r>
          </w:p>
        </w:tc>
      </w:tr>
    </w:tbl>
    <w:p w14:paraId="1D187CCB">
      <w:pPr>
        <w:pStyle w:val="24"/>
        <w:numPr>
          <w:ilvl w:val="0"/>
          <w:numId w:val="0"/>
        </w:numPr>
        <w:rPr>
          <w:rFonts w:hint="eastAsia" w:ascii="宋体" w:hAnsi="宋体" w:eastAsia="宋体" w:cs="宋体"/>
          <w:sz w:val="24"/>
          <w:szCs w:val="24"/>
          <w:highlight w:val="none"/>
          <w:lang w:val="en-US" w:eastAsia="zh-CN"/>
        </w:rPr>
      </w:pPr>
    </w:p>
    <w:p w14:paraId="610032D0">
      <w:pPr>
        <w:pStyle w:val="2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ascii="宋体" w:hAnsi="宋体" w:eastAsia="宋体" w:cs="宋体"/>
          <w:sz w:val="24"/>
          <w:szCs w:val="24"/>
          <w:highlight w:val="none"/>
        </w:rPr>
      </w:pPr>
      <w:r>
        <w:rPr>
          <w:rFonts w:ascii="宋体" w:hAnsi="宋体" w:eastAsia="宋体" w:cs="宋体"/>
          <w:sz w:val="24"/>
          <w:szCs w:val="24"/>
          <w:highlight w:val="none"/>
        </w:rPr>
        <w:t xml:space="preserve">★实质性符合性审查要求（不满足本采购包作无效投标处理）： </w:t>
      </w:r>
    </w:p>
    <w:p w14:paraId="66FD92B8">
      <w:pPr>
        <w:pStyle w:val="24"/>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482" w:firstLineChars="200"/>
        <w:textAlignment w:val="auto"/>
        <w:rPr>
          <w:rFonts w:ascii="宋体" w:hAnsi="宋体" w:eastAsia="宋体" w:cs="宋体"/>
          <w:sz w:val="24"/>
          <w:szCs w:val="24"/>
          <w:highlight w:val="none"/>
        </w:rPr>
      </w:pPr>
      <w:r>
        <w:rPr>
          <w:rFonts w:ascii="宋体" w:hAnsi="宋体" w:eastAsia="宋体" w:cs="宋体"/>
          <w:sz w:val="24"/>
          <w:szCs w:val="24"/>
          <w:highlight w:val="none"/>
        </w:rPr>
        <w:t>投标产品按照国家法规要求须取得医疗器械注册证的，投标文件须提供投标产品有效的《医疗器械注册证》（含附件/登记表），注册证型号须与投标产品保持一致；心电图机注册证适用范围须覆盖十二导联心电图采集功能。</w:t>
      </w:r>
    </w:p>
    <w:p w14:paraId="272F17B3">
      <w:pPr>
        <w:pStyle w:val="24"/>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2" w:firstLineChars="200"/>
        <w:textAlignment w:val="auto"/>
        <w:rPr>
          <w:rFonts w:ascii="宋体" w:hAnsi="宋体" w:eastAsia="宋体" w:cs="宋体"/>
          <w:sz w:val="24"/>
          <w:szCs w:val="24"/>
          <w:highlight w:val="none"/>
        </w:rPr>
      </w:pPr>
      <w:r>
        <w:rPr>
          <w:rFonts w:ascii="宋体" w:hAnsi="宋体" w:eastAsia="宋体" w:cs="宋体"/>
          <w:sz w:val="24"/>
          <w:szCs w:val="24"/>
          <w:highlight w:val="none"/>
        </w:rPr>
        <w:t xml:space="preserve">须提供与滨海县区域心电系统无缝对接的对接承诺书（格式自拟）。 </w:t>
      </w:r>
    </w:p>
    <w:p w14:paraId="190F1D97">
      <w:pPr>
        <w:pStyle w:val="2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2" w:firstLineChars="200"/>
        <w:textAlignment w:val="auto"/>
        <w:rPr>
          <w:rFonts w:hint="eastAsia" w:ascii="宋体" w:hAnsi="宋体" w:eastAsia="宋体" w:cs="宋体"/>
          <w:sz w:val="24"/>
          <w:szCs w:val="24"/>
          <w:highlight w:val="none"/>
          <w:lang w:val="en-US" w:eastAsia="zh-CN"/>
        </w:rPr>
      </w:pPr>
      <w:r>
        <w:rPr>
          <w:rFonts w:ascii="宋体" w:hAnsi="宋体" w:eastAsia="宋体" w:cs="宋体"/>
          <w:sz w:val="24"/>
          <w:szCs w:val="24"/>
          <w:highlight w:val="none"/>
        </w:rPr>
        <w:t>3.须提供整机质保服务承诺函（格式自拟），满足本包技术参数第20条全部质保、技术支持、备用机、维修相关要求</w:t>
      </w:r>
      <w:r>
        <w:rPr>
          <w:rFonts w:hint="eastAsia" w:ascii="宋体" w:hAnsi="宋体" w:eastAsia="宋体" w:cs="宋体"/>
          <w:sz w:val="24"/>
          <w:szCs w:val="24"/>
          <w:highlight w:val="none"/>
          <w:lang w:eastAsia="zh-CN"/>
        </w:rPr>
        <w:t>。</w:t>
      </w:r>
    </w:p>
    <w:p w14:paraId="50599F17">
      <w:pPr>
        <w:pStyle w:val="24"/>
        <w:numPr>
          <w:ilvl w:val="0"/>
          <w:numId w:val="0"/>
        </w:numPr>
        <w:rPr>
          <w:rFonts w:hint="eastAsia" w:ascii="宋体" w:hAnsi="宋体" w:eastAsia="宋体" w:cs="宋体"/>
          <w:sz w:val="24"/>
          <w:szCs w:val="24"/>
          <w:highlight w:val="none"/>
          <w:lang w:val="en-US" w:eastAsia="zh-CN"/>
        </w:rPr>
      </w:pPr>
    </w:p>
    <w:p w14:paraId="498B6A59">
      <w:pPr>
        <w:pStyle w:val="24"/>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b/>
          <w:bCs/>
          <w:color w:val="000000"/>
          <w:kern w:val="0"/>
          <w:sz w:val="24"/>
          <w:szCs w:val="24"/>
          <w:highlight w:val="none"/>
          <w:lang w:val="en-US" w:eastAsia="zh-CN" w:bidi="ar"/>
        </w:rPr>
        <w:t>采购包2：心电监护除颤一体机（8台）</w:t>
      </w:r>
    </w:p>
    <w:p w14:paraId="102285C9">
      <w:pPr>
        <w:pStyle w:val="24"/>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b/>
          <w:bCs/>
          <w:color w:val="000000"/>
          <w:kern w:val="0"/>
          <w:sz w:val="24"/>
          <w:szCs w:val="24"/>
          <w:highlight w:val="none"/>
          <w:lang w:val="en-US" w:eastAsia="zh-CN" w:bidi="ar"/>
        </w:rPr>
        <w:t>主要技术参数</w:t>
      </w:r>
    </w:p>
    <w:tbl>
      <w:tblPr>
        <w:tblStyle w:val="40"/>
        <w:tblW w:w="9741" w:type="dxa"/>
        <w:tblInd w:w="42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33"/>
        <w:gridCol w:w="2050"/>
        <w:gridCol w:w="6858"/>
      </w:tblGrid>
      <w:tr w14:paraId="0D934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1EE6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序号</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EC6F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参数名称</w:t>
            </w:r>
          </w:p>
        </w:tc>
        <w:tc>
          <w:tcPr>
            <w:tcW w:w="6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FAEC6">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技术参数要求</w:t>
            </w:r>
          </w:p>
        </w:tc>
      </w:tr>
      <w:tr w14:paraId="1D5F1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77CD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D78E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重量</w:t>
            </w:r>
          </w:p>
        </w:tc>
        <w:tc>
          <w:tcPr>
            <w:tcW w:w="6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170F8">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≤5.0kg（含电池）</w:t>
            </w:r>
          </w:p>
        </w:tc>
      </w:tr>
      <w:tr w14:paraId="78AE8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1C08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235A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显示屏</w:t>
            </w:r>
          </w:p>
        </w:tc>
        <w:tc>
          <w:tcPr>
            <w:tcW w:w="6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0F6EA">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彩色电容触摸屏≥8英寸，可显示≥5通道监护参数波形，支持手势操作、自动亮度调节</w:t>
            </w:r>
          </w:p>
        </w:tc>
      </w:tr>
      <w:tr w14:paraId="0012F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F2F7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307E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除颤模式</w:t>
            </w:r>
          </w:p>
        </w:tc>
        <w:tc>
          <w:tcPr>
            <w:tcW w:w="6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91E6C">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具备手动除颤</w:t>
            </w:r>
            <w:r>
              <w:rPr>
                <w:rFonts w:hint="eastAsia" w:ascii="宋体" w:hAnsi="宋体" w:cs="宋体"/>
                <w:i w:val="0"/>
                <w:iCs w:val="0"/>
                <w:color w:val="000000"/>
                <w:kern w:val="0"/>
                <w:sz w:val="22"/>
                <w:szCs w:val="22"/>
                <w:highlight w:val="none"/>
                <w:u w:val="none"/>
                <w:lang w:val="en-US" w:eastAsia="zh-CN" w:bidi="ar"/>
              </w:rPr>
              <w:t>、12导心电监护、呼吸监护、血氧监测、无创血压监测、</w:t>
            </w:r>
            <w:r>
              <w:rPr>
                <w:rFonts w:hint="eastAsia" w:ascii="宋体" w:hAnsi="宋体" w:eastAsia="宋体" w:cs="宋体"/>
                <w:i w:val="0"/>
                <w:iCs w:val="0"/>
                <w:color w:val="000000"/>
                <w:kern w:val="0"/>
                <w:sz w:val="22"/>
                <w:szCs w:val="22"/>
                <w:highlight w:val="none"/>
                <w:u w:val="none"/>
                <w:lang w:val="en-US" w:eastAsia="zh-CN" w:bidi="ar"/>
              </w:rPr>
              <w:t>自动体外除颤（AED）功能</w:t>
            </w:r>
            <w:r>
              <w:rPr>
                <w:rFonts w:hint="eastAsia" w:ascii="宋体" w:hAnsi="宋体" w:cs="宋体"/>
                <w:i w:val="0"/>
                <w:iCs w:val="0"/>
                <w:color w:val="000000"/>
                <w:kern w:val="0"/>
                <w:sz w:val="22"/>
                <w:szCs w:val="22"/>
                <w:highlight w:val="none"/>
                <w:u w:val="none"/>
                <w:lang w:val="en-US" w:eastAsia="zh-CN" w:bidi="ar"/>
              </w:rPr>
              <w:t>，体外起搏功能，</w:t>
            </w:r>
            <w:r>
              <w:rPr>
                <w:rFonts w:hint="eastAsia" w:ascii="宋体" w:hAnsi="宋体" w:eastAsia="宋体" w:cs="宋体"/>
                <w:i w:val="0"/>
                <w:iCs w:val="0"/>
                <w:color w:val="000000"/>
                <w:kern w:val="0"/>
                <w:sz w:val="22"/>
                <w:szCs w:val="22"/>
                <w:highlight w:val="none"/>
                <w:u w:val="none"/>
                <w:lang w:val="en-US" w:eastAsia="zh-CN" w:bidi="ar"/>
              </w:rPr>
              <w:t>AED 功能适用于 29天以上人群</w:t>
            </w:r>
          </w:p>
        </w:tc>
      </w:tr>
      <w:tr w14:paraId="707788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E114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13AD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最大能量</w:t>
            </w:r>
          </w:p>
        </w:tc>
        <w:tc>
          <w:tcPr>
            <w:tcW w:w="6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F3A19">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手动除颤</w:t>
            </w:r>
            <w:r>
              <w:rPr>
                <w:rFonts w:hint="eastAsia" w:ascii="宋体" w:hAnsi="宋体" w:cs="宋体"/>
                <w:i w:val="0"/>
                <w:iCs w:val="0"/>
                <w:color w:val="000000"/>
                <w:kern w:val="0"/>
                <w:sz w:val="22"/>
                <w:szCs w:val="22"/>
                <w:highlight w:val="none"/>
                <w:u w:val="none"/>
                <w:lang w:val="en-US" w:eastAsia="zh-CN" w:bidi="ar"/>
              </w:rPr>
              <w:t>（同步/非同步）</w:t>
            </w:r>
            <w:r>
              <w:rPr>
                <w:rFonts w:hint="eastAsia" w:ascii="宋体" w:hAnsi="宋体" w:eastAsia="宋体" w:cs="宋体"/>
                <w:i w:val="0"/>
                <w:iCs w:val="0"/>
                <w:color w:val="000000"/>
                <w:kern w:val="0"/>
                <w:sz w:val="22"/>
                <w:szCs w:val="22"/>
                <w:highlight w:val="none"/>
                <w:u w:val="none"/>
                <w:lang w:val="en-US" w:eastAsia="zh-CN" w:bidi="ar"/>
              </w:rPr>
              <w:t>最大能量可达360J</w:t>
            </w:r>
          </w:p>
        </w:tc>
      </w:tr>
      <w:tr w14:paraId="0BA0D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7219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3ECB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电极板</w:t>
            </w:r>
          </w:p>
        </w:tc>
        <w:tc>
          <w:tcPr>
            <w:tcW w:w="6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24276">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体外除颤电极板</w:t>
            </w:r>
            <w:r>
              <w:rPr>
                <w:rFonts w:hint="eastAsia" w:ascii="宋体" w:hAnsi="宋体" w:cs="宋体"/>
                <w:i w:val="0"/>
                <w:iCs w:val="0"/>
                <w:color w:val="000000"/>
                <w:kern w:val="0"/>
                <w:sz w:val="22"/>
                <w:szCs w:val="22"/>
                <w:highlight w:val="none"/>
                <w:u w:val="none"/>
                <w:lang w:val="en-US" w:eastAsia="zh-CN" w:bidi="ar"/>
              </w:rPr>
              <w:t>同时支持成人和小儿，</w:t>
            </w:r>
            <w:r>
              <w:rPr>
                <w:rFonts w:hint="eastAsia" w:ascii="宋体" w:hAnsi="宋体" w:eastAsia="宋体" w:cs="宋体"/>
                <w:i w:val="0"/>
                <w:iCs w:val="0"/>
                <w:color w:val="000000"/>
                <w:kern w:val="0"/>
                <w:sz w:val="22"/>
                <w:szCs w:val="22"/>
                <w:highlight w:val="none"/>
                <w:u w:val="none"/>
                <w:lang w:val="en-US" w:eastAsia="zh-CN" w:bidi="ar"/>
              </w:rPr>
              <w:t>一体化设计，支持快速切换；支持能量选择，充电、放电三步操作，满足单人除颤</w:t>
            </w:r>
          </w:p>
        </w:tc>
      </w:tr>
      <w:tr w14:paraId="4FCE0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84A8D">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6</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8E94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AED语音提示</w:t>
            </w:r>
          </w:p>
        </w:tc>
        <w:tc>
          <w:tcPr>
            <w:tcW w:w="6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B274D">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AED除颤功能提供中文语音和中文提醒；抢救过程支持自动录音，记录时长≥8小时</w:t>
            </w:r>
          </w:p>
        </w:tc>
      </w:tr>
      <w:tr w14:paraId="577A2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4270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kern w:val="0"/>
                <w:sz w:val="22"/>
                <w:szCs w:val="22"/>
                <w:highlight w:val="none"/>
                <w:u w:val="none"/>
                <w:lang w:val="en-US" w:eastAsia="zh-CN" w:bidi="ar"/>
              </w:rPr>
              <w:t>7</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13B9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开机与充电速度</w:t>
            </w:r>
          </w:p>
        </w:tc>
        <w:tc>
          <w:tcPr>
            <w:tcW w:w="6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ACD6D">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开机时间≤2s；充电至200J≤4s</w:t>
            </w:r>
          </w:p>
        </w:tc>
      </w:tr>
      <w:tr w14:paraId="2A410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AEAE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8</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54B7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体外起搏</w:t>
            </w:r>
          </w:p>
        </w:tc>
        <w:tc>
          <w:tcPr>
            <w:tcW w:w="6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05DEA">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配体外起搏功能，分为固定和按需两种模式，具备降速起搏功能</w:t>
            </w:r>
          </w:p>
        </w:tc>
      </w:tr>
      <w:tr w14:paraId="477B0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0E74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9</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807B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CPR辅助</w:t>
            </w:r>
          </w:p>
        </w:tc>
        <w:tc>
          <w:tcPr>
            <w:tcW w:w="6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5D7B2">
            <w:pPr>
              <w:keepNext w:val="0"/>
              <w:keepLines w:val="0"/>
              <w:widowControl/>
              <w:suppressLineNumbers w:val="0"/>
              <w:jc w:val="left"/>
              <w:textAlignment w:val="center"/>
              <w:rPr>
                <w:rFonts w:hint="default"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可选配CPR 辅助功能；CPR 传感器设计符合2020AHA指南，提供即时按压反馈，设备界面提供按压深度、频率实时参数显示</w:t>
            </w:r>
          </w:p>
        </w:tc>
      </w:tr>
      <w:tr w14:paraId="31C5D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8EA7C">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10</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DFDB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抢救报告</w:t>
            </w:r>
          </w:p>
        </w:tc>
        <w:tc>
          <w:tcPr>
            <w:tcW w:w="6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A1AE7">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抢救结束后自动生成抢救报告；急救数据分析系统提供抢救数据复盘、分析工具</w:t>
            </w:r>
          </w:p>
        </w:tc>
      </w:tr>
      <w:tr w14:paraId="6887A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CE5A6">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11</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B264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监护参数</w:t>
            </w:r>
          </w:p>
        </w:tc>
        <w:tc>
          <w:tcPr>
            <w:tcW w:w="6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35078">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监护参数适用于成人、小儿和新生儿，并通过国家三类注册</w:t>
            </w:r>
          </w:p>
        </w:tc>
      </w:tr>
      <w:tr w14:paraId="773B2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984DD">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12</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0B62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网络通信</w:t>
            </w:r>
          </w:p>
        </w:tc>
        <w:tc>
          <w:tcPr>
            <w:tcW w:w="6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8E0E1">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支持IHE HL7 协议，满足院前院内急救系统的联网通信</w:t>
            </w:r>
          </w:p>
        </w:tc>
      </w:tr>
      <w:tr w14:paraId="0FC91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4B227">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13</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13C6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自动自检</w:t>
            </w:r>
          </w:p>
        </w:tc>
        <w:tc>
          <w:tcPr>
            <w:tcW w:w="6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22351">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关机状态下支持每天定时自动运行自检（含监护模块和治疗模块），支持定期自动大能量自检（最大放电能量）</w:t>
            </w:r>
          </w:p>
        </w:tc>
      </w:tr>
      <w:tr w14:paraId="6125F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78932">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rPr>
            </w:pPr>
            <w:r>
              <w:rPr>
                <w:rFonts w:hint="eastAsia" w:ascii="宋体" w:hAnsi="宋体" w:cs="宋体"/>
                <w:i w:val="0"/>
                <w:iCs w:val="0"/>
                <w:color w:val="000000"/>
                <w:kern w:val="0"/>
                <w:sz w:val="22"/>
                <w:szCs w:val="22"/>
                <w:highlight w:val="none"/>
                <w:u w:val="none"/>
                <w:lang w:val="en-US" w:eastAsia="zh-CN" w:bidi="ar"/>
              </w:rPr>
              <w:t>14</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B957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电池性能</w:t>
            </w:r>
          </w:p>
        </w:tc>
        <w:tc>
          <w:tcPr>
            <w:tcW w:w="6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47A65">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标配锂电池1块，可支持200J除颤≥300 次；正常工作时间不小于 3小时</w:t>
            </w:r>
          </w:p>
        </w:tc>
      </w:tr>
      <w:tr w14:paraId="6D3078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D9E75">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rPr>
            </w:pPr>
            <w:r>
              <w:rPr>
                <w:rFonts w:hint="eastAsia" w:ascii="宋体" w:hAnsi="宋体" w:cs="宋体"/>
                <w:i w:val="0"/>
                <w:iCs w:val="0"/>
                <w:color w:val="000000"/>
                <w:kern w:val="0"/>
                <w:sz w:val="22"/>
                <w:szCs w:val="22"/>
                <w:highlight w:val="none"/>
                <w:u w:val="none"/>
                <w:lang w:val="en-US" w:eastAsia="zh-CN" w:bidi="ar"/>
              </w:rPr>
              <w:t>15</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F6E3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抗跌落</w:t>
            </w:r>
          </w:p>
        </w:tc>
        <w:tc>
          <w:tcPr>
            <w:tcW w:w="6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3B182">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满足救护车标准 EN1789 中 6.3.4.3 跌落试验要求，可承受 0.75 米跌落冲击</w:t>
            </w:r>
          </w:p>
        </w:tc>
      </w:tr>
      <w:tr w14:paraId="7893E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686C5">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16</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A3C61">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质保期要求</w:t>
            </w:r>
          </w:p>
        </w:tc>
        <w:tc>
          <w:tcPr>
            <w:tcW w:w="6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542CC">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质保期5</w:t>
            </w:r>
            <w:r>
              <w:rPr>
                <w:rFonts w:hint="eastAsia" w:ascii="宋体" w:hAnsi="宋体" w:eastAsia="宋体" w:cs="宋体"/>
                <w:i w:val="0"/>
                <w:iCs w:val="0"/>
                <w:color w:val="000000"/>
                <w:kern w:val="0"/>
                <w:sz w:val="22"/>
                <w:szCs w:val="22"/>
                <w:highlight w:val="none"/>
                <w:u w:val="none"/>
                <w:lang w:val="en-US" w:eastAsia="zh-CN" w:bidi="ar"/>
              </w:rPr>
              <w:t>年，质保期满后，无需强制购买年度维保，可提供单次维修服务，原厂终身维修或支持开放数据端口配合第三方维修（提供承诺函，格式自拟)</w:t>
            </w:r>
          </w:p>
        </w:tc>
      </w:tr>
    </w:tbl>
    <w:p w14:paraId="4BFF987B">
      <w:pPr>
        <w:pStyle w:val="24"/>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kern w:val="0"/>
          <w:sz w:val="24"/>
          <w:szCs w:val="24"/>
          <w:highlight w:val="none"/>
          <w:lang w:val="en-US" w:eastAsia="zh-CN" w:bidi="ar"/>
        </w:rPr>
      </w:pPr>
    </w:p>
    <w:p w14:paraId="3556B9F4">
      <w:pPr>
        <w:pStyle w:val="24"/>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eastAsia="宋体" w:cs="宋体"/>
          <w:sz w:val="24"/>
          <w:szCs w:val="24"/>
          <w:highlight w:val="none"/>
        </w:rPr>
      </w:pPr>
      <w:r>
        <w:rPr>
          <w:rFonts w:ascii="宋体" w:hAnsi="宋体" w:eastAsia="宋体" w:cs="宋体"/>
          <w:sz w:val="24"/>
          <w:szCs w:val="24"/>
          <w:highlight w:val="none"/>
        </w:rPr>
        <w:t xml:space="preserve">★实质性符合性审查要求（不满足本采购包作无效投标处理）： </w:t>
      </w:r>
    </w:p>
    <w:p w14:paraId="77A99399">
      <w:pPr>
        <w:pStyle w:val="24"/>
        <w:keepNext w:val="0"/>
        <w:keepLines w:val="0"/>
        <w:pageBreakBefore w:val="0"/>
        <w:widowControl w:val="0"/>
        <w:numPr>
          <w:ilvl w:val="0"/>
          <w:numId w:val="5"/>
        </w:numPr>
        <w:kinsoku/>
        <w:wordWrap/>
        <w:overflowPunct/>
        <w:topLinePunct w:val="0"/>
        <w:autoSpaceDE/>
        <w:autoSpaceDN/>
        <w:bidi w:val="0"/>
        <w:adjustRightInd/>
        <w:snapToGrid/>
        <w:spacing w:line="360" w:lineRule="auto"/>
        <w:ind w:firstLine="482" w:firstLineChars="200"/>
        <w:textAlignment w:val="auto"/>
        <w:rPr>
          <w:rFonts w:ascii="宋体" w:hAnsi="宋体" w:eastAsia="宋体" w:cs="宋体"/>
          <w:sz w:val="24"/>
          <w:szCs w:val="24"/>
          <w:highlight w:val="none"/>
        </w:rPr>
      </w:pPr>
      <w:r>
        <w:rPr>
          <w:rFonts w:ascii="宋体" w:hAnsi="宋体" w:eastAsia="宋体" w:cs="宋体"/>
          <w:sz w:val="24"/>
          <w:szCs w:val="24"/>
          <w:highlight w:val="none"/>
        </w:rPr>
        <w:t>投标产品按照国家法规要求须取得医疗器械注册证的，投标文件须提供投标产品有效的《医疗器械注册证》（含附件/登记表），注册证型号须与投标产品保持一致。</w:t>
      </w:r>
    </w:p>
    <w:p w14:paraId="22446913">
      <w:pPr>
        <w:pStyle w:val="2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kern w:val="0"/>
          <w:sz w:val="24"/>
          <w:szCs w:val="24"/>
          <w:lang w:val="en-US" w:eastAsia="zh-CN" w:bidi="ar"/>
        </w:rPr>
      </w:pPr>
      <w:r>
        <w:rPr>
          <w:rFonts w:ascii="宋体" w:hAnsi="宋体" w:eastAsia="宋体" w:cs="宋体"/>
          <w:sz w:val="24"/>
          <w:szCs w:val="24"/>
          <w:highlight w:val="none"/>
        </w:rPr>
        <w:t>2.须提供质保服务承诺函（格式自拟），满足本包技术参数第16条</w:t>
      </w:r>
      <w:r>
        <w:rPr>
          <w:rFonts w:ascii="宋体" w:hAnsi="宋体" w:eastAsia="宋体" w:cs="宋体"/>
          <w:sz w:val="24"/>
          <w:szCs w:val="24"/>
        </w:rPr>
        <w:t>质保及维修相关全部要求。</w:t>
      </w:r>
    </w:p>
    <w:p w14:paraId="5384580A">
      <w:pPr>
        <w:pStyle w:val="24"/>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kern w:val="0"/>
          <w:sz w:val="24"/>
          <w:szCs w:val="24"/>
          <w:lang w:val="en-US" w:eastAsia="zh-CN" w:bidi="ar"/>
        </w:rPr>
      </w:pPr>
    </w:p>
    <w:p w14:paraId="31635810">
      <w:pPr>
        <w:pStyle w:val="24"/>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采购包3：呼吸机（4台）</w:t>
      </w:r>
    </w:p>
    <w:p w14:paraId="1ECA850B">
      <w:pPr>
        <w:pStyle w:val="24"/>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eastAsia="宋体" w:cs="宋体"/>
          <w:sz w:val="24"/>
          <w:szCs w:val="24"/>
        </w:rPr>
      </w:pPr>
      <w:r>
        <w:rPr>
          <w:rFonts w:ascii="宋体" w:hAnsi="宋体" w:eastAsia="宋体" w:cs="宋体"/>
          <w:sz w:val="24"/>
          <w:szCs w:val="24"/>
        </w:rPr>
        <w:t>主要技术参数</w:t>
      </w:r>
    </w:p>
    <w:tbl>
      <w:tblPr>
        <w:tblStyle w:val="40"/>
        <w:tblW w:w="9724" w:type="dxa"/>
        <w:tblInd w:w="44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16"/>
        <w:gridCol w:w="1550"/>
        <w:gridCol w:w="7558"/>
      </w:tblGrid>
      <w:tr w14:paraId="69AB4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8C3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B3A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参数名称</w:t>
            </w:r>
          </w:p>
        </w:tc>
        <w:tc>
          <w:tcPr>
            <w:tcW w:w="7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6C8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技术参数要求</w:t>
            </w:r>
          </w:p>
        </w:tc>
      </w:tr>
      <w:tr w14:paraId="14107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35B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378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适用人群</w:t>
            </w:r>
          </w:p>
        </w:tc>
        <w:tc>
          <w:tcPr>
            <w:tcW w:w="7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919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适用于成人、小儿和婴幼儿患者通气辅助及呼吸支持</w:t>
            </w:r>
          </w:p>
        </w:tc>
      </w:tr>
      <w:tr w14:paraId="0DD7F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8AA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CCC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驱动方式</w:t>
            </w:r>
          </w:p>
        </w:tc>
        <w:tc>
          <w:tcPr>
            <w:tcW w:w="7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5F9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整机为电动电控设计，涡轮驱动产生空气气源</w:t>
            </w:r>
          </w:p>
        </w:tc>
      </w:tr>
      <w:tr w14:paraId="07EB5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DFB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5D0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使用年限</w:t>
            </w:r>
          </w:p>
        </w:tc>
        <w:tc>
          <w:tcPr>
            <w:tcW w:w="7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76A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主机设计使用年限≥10 年</w:t>
            </w:r>
          </w:p>
        </w:tc>
      </w:tr>
      <w:tr w14:paraId="0B705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B17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822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氧气气源</w:t>
            </w:r>
          </w:p>
        </w:tc>
        <w:tc>
          <w:tcPr>
            <w:tcW w:w="7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5C9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支持高压氧气气源和低压氧气气源两种方式</w:t>
            </w:r>
          </w:p>
        </w:tc>
      </w:tr>
      <w:tr w14:paraId="6578A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A05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77F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电池续航</w:t>
            </w:r>
          </w:p>
        </w:tc>
        <w:tc>
          <w:tcPr>
            <w:tcW w:w="7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375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电池续航时间≥10 小时；具备关机状态下电量显示功能</w:t>
            </w:r>
          </w:p>
        </w:tc>
      </w:tr>
      <w:tr w14:paraId="44BFA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7DD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066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主机重量</w:t>
            </w:r>
          </w:p>
        </w:tc>
        <w:tc>
          <w:tcPr>
            <w:tcW w:w="7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9AA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≤5.5kg</w:t>
            </w:r>
          </w:p>
        </w:tc>
      </w:tr>
      <w:tr w14:paraId="7C93E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E4038">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7</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8E734">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氧传感器</w:t>
            </w:r>
          </w:p>
        </w:tc>
        <w:tc>
          <w:tcPr>
            <w:tcW w:w="7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B1119">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配备无消耗氧传感器，无需校准和更换耗材</w:t>
            </w:r>
          </w:p>
        </w:tc>
      </w:tr>
      <w:tr w14:paraId="293C25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180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8</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182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显示屏</w:t>
            </w:r>
          </w:p>
        </w:tc>
        <w:tc>
          <w:tcPr>
            <w:tcW w:w="7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D7F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≥7英寸彩色电容触摸控制屏，可同时显示波形和监测参数</w:t>
            </w:r>
          </w:p>
        </w:tc>
      </w:tr>
      <w:tr w14:paraId="50E70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A51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9</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36C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氧耗工具</w:t>
            </w:r>
          </w:p>
        </w:tc>
        <w:tc>
          <w:tcPr>
            <w:tcW w:w="7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F02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可在主机屏幕显示当前耗氧量、氧气预估可用剩余时间</w:t>
            </w:r>
          </w:p>
        </w:tc>
      </w:tr>
      <w:tr w14:paraId="6BB5E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BAA43">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10</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306AB">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标配模式</w:t>
            </w:r>
          </w:p>
        </w:tc>
        <w:tc>
          <w:tcPr>
            <w:tcW w:w="7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88964">
            <w:pPr>
              <w:keepNext w:val="0"/>
              <w:keepLines w:val="0"/>
              <w:widowControl/>
              <w:suppressLineNumbers w:val="0"/>
              <w:jc w:val="left"/>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须标配：控制/辅助通气模式A/C和同步间歇指令通气SIMV；持续气道正压 /压力支持通气CPAP/PSV、双水平气道正压通气、压力调节容量控制通气压力调节容量控制-同步间歇指令通气模式、心肺复苏通气模式</w:t>
            </w:r>
          </w:p>
        </w:tc>
      </w:tr>
      <w:tr w14:paraId="78A53D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F17E9">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11</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CE6CB">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高级模式</w:t>
            </w:r>
          </w:p>
        </w:tc>
        <w:tc>
          <w:tcPr>
            <w:tcW w:w="7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2C4F4">
            <w:pPr>
              <w:keepNext w:val="0"/>
              <w:keepLines w:val="0"/>
              <w:widowControl/>
              <w:suppressLineNumbers w:val="0"/>
              <w:jc w:val="left"/>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容量支持通气VS、气道压力释放通气APRV；自适应分钟通气</w:t>
            </w:r>
          </w:p>
        </w:tc>
      </w:tr>
      <w:tr w14:paraId="59917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EE874">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12</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523CC">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无创与氧疗模式</w:t>
            </w:r>
          </w:p>
        </w:tc>
        <w:tc>
          <w:tcPr>
            <w:tcW w:w="7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7E46D">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配备无创通气模式和氧疗模式</w:t>
            </w:r>
          </w:p>
        </w:tc>
      </w:tr>
      <w:tr w14:paraId="111C7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05FB6">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13</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AF15E">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吸气峰流速</w:t>
            </w:r>
          </w:p>
        </w:tc>
        <w:tc>
          <w:tcPr>
            <w:tcW w:w="7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43849">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≥210L/min</w:t>
            </w:r>
          </w:p>
        </w:tc>
      </w:tr>
      <w:tr w14:paraId="0C3D7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959EE">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14</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CE6C7">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潮气量/呼吸频率</w:t>
            </w:r>
          </w:p>
        </w:tc>
        <w:tc>
          <w:tcPr>
            <w:tcW w:w="7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DE0F1">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潮气量20ml～4000ml；呼吸频率 1～100次/min</w:t>
            </w:r>
          </w:p>
        </w:tc>
      </w:tr>
      <w:tr w14:paraId="64D06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75C44">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15</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2BAA0">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氧疗流量</w:t>
            </w:r>
          </w:p>
        </w:tc>
        <w:tc>
          <w:tcPr>
            <w:tcW w:w="7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85799">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2～80L/min</w:t>
            </w:r>
          </w:p>
        </w:tc>
      </w:tr>
      <w:tr w14:paraId="6EA8E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6C764">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16</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AE0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趋势与日志</w:t>
            </w:r>
          </w:p>
        </w:tc>
        <w:tc>
          <w:tcPr>
            <w:tcW w:w="7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D2AF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支持显示≥72小时全部监测参数趋势图/表分析；≥6000 条报警和操作日志记录；具备截屏U盘导出功能，可缓存≥50张屏幕文件</w:t>
            </w:r>
          </w:p>
        </w:tc>
      </w:tr>
      <w:tr w14:paraId="61B0C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925F7">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17</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1E609">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质保期要求</w:t>
            </w:r>
          </w:p>
        </w:tc>
        <w:tc>
          <w:tcPr>
            <w:tcW w:w="7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D38B6">
            <w:pPr>
              <w:keepNext w:val="0"/>
              <w:keepLines w:val="0"/>
              <w:widowControl/>
              <w:suppressLineNumbers w:val="0"/>
              <w:jc w:val="left"/>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质保期5年，</w:t>
            </w:r>
            <w:r>
              <w:rPr>
                <w:rFonts w:hint="eastAsia" w:ascii="宋体" w:hAnsi="宋体" w:eastAsia="宋体" w:cs="宋体"/>
                <w:i w:val="0"/>
                <w:iCs w:val="0"/>
                <w:color w:val="000000"/>
                <w:kern w:val="0"/>
                <w:sz w:val="22"/>
                <w:szCs w:val="22"/>
                <w:highlight w:val="none"/>
                <w:u w:val="none"/>
                <w:lang w:val="en-US" w:eastAsia="zh-CN" w:bidi="ar"/>
              </w:rPr>
              <w:t>质保期满后，无需强制购买年度维保，可提供单次维修服务，原厂终身维修或支持开放数据端口配合第三方维修（提供承诺函，格式自拟)</w:t>
            </w:r>
          </w:p>
        </w:tc>
      </w:tr>
    </w:tbl>
    <w:p w14:paraId="729FEA56">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ascii="宋体" w:hAnsi="宋体" w:eastAsia="宋体" w:cs="宋体"/>
          <w:b/>
          <w:bCs/>
          <w:sz w:val="24"/>
          <w:szCs w:val="24"/>
          <w:highlight w:val="none"/>
        </w:rPr>
      </w:pPr>
      <w:r>
        <w:rPr>
          <w:rFonts w:ascii="宋体" w:hAnsi="宋体" w:eastAsia="宋体" w:cs="宋体"/>
          <w:b/>
          <w:bCs/>
          <w:sz w:val="24"/>
          <w:szCs w:val="24"/>
          <w:highlight w:val="none"/>
        </w:rPr>
        <w:t>★实质性符合性审查要求（不满足本采购包作无效投标处理）：</w:t>
      </w:r>
    </w:p>
    <w:p w14:paraId="151DD6E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600" w:leftChars="0"/>
        <w:jc w:val="both"/>
        <w:textAlignment w:val="auto"/>
        <w:rPr>
          <w:rFonts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1.</w:t>
      </w:r>
      <w:r>
        <w:rPr>
          <w:rFonts w:ascii="宋体" w:hAnsi="宋体" w:eastAsia="宋体" w:cs="宋体"/>
          <w:b/>
          <w:bCs/>
          <w:sz w:val="24"/>
          <w:szCs w:val="24"/>
          <w:highlight w:val="none"/>
        </w:rPr>
        <w:t>投标产品按照国家法规要求须取得医疗器械注册证的，投标文件须提供投标产品有效的《医疗器械注册证》（含附件/登记表），注册证型号须与投标产品保持一致。</w:t>
      </w:r>
    </w:p>
    <w:p w14:paraId="05C8A15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600" w:leftChars="0"/>
        <w:jc w:val="both"/>
        <w:textAlignment w:val="auto"/>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b/>
          <w:bCs/>
          <w:sz w:val="24"/>
          <w:szCs w:val="24"/>
          <w:highlight w:val="none"/>
          <w:lang w:val="en-US" w:eastAsia="zh-CN"/>
        </w:rPr>
        <w:t>2.</w:t>
      </w:r>
      <w:r>
        <w:rPr>
          <w:rFonts w:ascii="宋体" w:hAnsi="宋体" w:eastAsia="宋体" w:cs="宋体"/>
          <w:b/>
          <w:bCs/>
          <w:sz w:val="24"/>
          <w:szCs w:val="24"/>
          <w:highlight w:val="none"/>
        </w:rPr>
        <w:t>须提供质保服务承诺函（格式自拟），满足本包技术参数第17条质保及维修相关全部要求。</w:t>
      </w:r>
    </w:p>
    <w:p w14:paraId="08CB606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default" w:ascii="宋体" w:hAnsi="宋体" w:eastAsia="宋体" w:cs="宋体"/>
          <w:b/>
          <w:bCs/>
          <w:color w:val="000000"/>
          <w:kern w:val="0"/>
          <w:sz w:val="24"/>
          <w:szCs w:val="24"/>
          <w:highlight w:val="none"/>
          <w:lang w:val="en-US" w:eastAsia="zh-CN" w:bidi="ar"/>
        </w:rPr>
      </w:pPr>
      <w:r>
        <w:rPr>
          <w:rFonts w:hint="eastAsia" w:ascii="宋体" w:hAnsi="宋体" w:eastAsia="宋体" w:cs="宋体"/>
          <w:b/>
          <w:bCs/>
          <w:color w:val="000000"/>
          <w:kern w:val="0"/>
          <w:sz w:val="24"/>
          <w:szCs w:val="24"/>
          <w:highlight w:val="none"/>
          <w:lang w:val="en-US" w:eastAsia="zh-CN" w:bidi="ar"/>
        </w:rPr>
        <w:t>采购包4：电动担架车（5台）</w:t>
      </w:r>
    </w:p>
    <w:p w14:paraId="01D692FB">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ascii="宋体" w:hAnsi="宋体" w:eastAsia="宋体" w:cs="宋体"/>
          <w:b/>
          <w:sz w:val="24"/>
          <w:szCs w:val="24"/>
          <w:highlight w:val="none"/>
          <w:lang w:val="en-US" w:eastAsia="zh-CN" w:bidi="ar-SA"/>
        </w:rPr>
      </w:pPr>
      <w:r>
        <w:rPr>
          <w:rFonts w:ascii="宋体" w:hAnsi="宋体" w:eastAsia="宋体" w:cs="宋体"/>
          <w:b/>
          <w:sz w:val="24"/>
          <w:szCs w:val="24"/>
          <w:highlight w:val="none"/>
          <w:lang w:val="en-US" w:eastAsia="zh-CN" w:bidi="ar-SA"/>
        </w:rPr>
        <w:t>主要技术参数</w:t>
      </w:r>
    </w:p>
    <w:tbl>
      <w:tblPr>
        <w:tblStyle w:val="40"/>
        <w:tblW w:w="9708" w:type="dxa"/>
        <w:tblInd w:w="42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0"/>
        <w:gridCol w:w="1567"/>
        <w:gridCol w:w="7491"/>
      </w:tblGrid>
      <w:tr w14:paraId="626077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C0C0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序号</w:t>
            </w:r>
          </w:p>
        </w:tc>
        <w:tc>
          <w:tcPr>
            <w:tcW w:w="1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A4EB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参数名称</w:t>
            </w:r>
          </w:p>
        </w:tc>
        <w:tc>
          <w:tcPr>
            <w:tcW w:w="7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AE53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技术参数要求</w:t>
            </w:r>
          </w:p>
        </w:tc>
      </w:tr>
      <w:tr w14:paraId="70362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C94E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892D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担架类型</w:t>
            </w:r>
          </w:p>
        </w:tc>
        <w:tc>
          <w:tcPr>
            <w:tcW w:w="7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5E4E6">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电控上车担架；具备车载充电和适配器双电源充电功能</w:t>
            </w:r>
          </w:p>
        </w:tc>
      </w:tr>
      <w:tr w14:paraId="08A53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172C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kern w:val="0"/>
                <w:sz w:val="22"/>
                <w:szCs w:val="22"/>
                <w:highlight w:val="none"/>
                <w:u w:val="none"/>
                <w:lang w:val="en-US" w:eastAsia="zh-CN" w:bidi="ar"/>
              </w:rPr>
              <w:t>2</w:t>
            </w:r>
          </w:p>
        </w:tc>
        <w:tc>
          <w:tcPr>
            <w:tcW w:w="1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7BA3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高位尺寸</w:t>
            </w:r>
          </w:p>
        </w:tc>
        <w:tc>
          <w:tcPr>
            <w:tcW w:w="7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D2B32">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≥1900×580×1090mm（长×宽×高）</w:t>
            </w:r>
          </w:p>
        </w:tc>
      </w:tr>
      <w:tr w14:paraId="447BA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7D78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kern w:val="0"/>
                <w:sz w:val="22"/>
                <w:szCs w:val="22"/>
                <w:highlight w:val="none"/>
                <w:u w:val="none"/>
                <w:lang w:val="en-US" w:eastAsia="zh-CN" w:bidi="ar"/>
              </w:rPr>
              <w:t>3</w:t>
            </w:r>
          </w:p>
        </w:tc>
        <w:tc>
          <w:tcPr>
            <w:tcW w:w="1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2F09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低位尺寸</w:t>
            </w:r>
          </w:p>
        </w:tc>
        <w:tc>
          <w:tcPr>
            <w:tcW w:w="7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2229B">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≥1900×580×370mm（长×宽×高）</w:t>
            </w:r>
          </w:p>
        </w:tc>
      </w:tr>
      <w:tr w14:paraId="12B3D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7B1D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kern w:val="0"/>
                <w:sz w:val="22"/>
                <w:szCs w:val="22"/>
                <w:highlight w:val="none"/>
                <w:u w:val="none"/>
                <w:lang w:val="en-US" w:eastAsia="zh-CN" w:bidi="ar"/>
              </w:rPr>
              <w:t>4</w:t>
            </w:r>
          </w:p>
        </w:tc>
        <w:tc>
          <w:tcPr>
            <w:tcW w:w="1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1F71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车轮直径</w:t>
            </w:r>
          </w:p>
        </w:tc>
        <w:tc>
          <w:tcPr>
            <w:tcW w:w="7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A4D15">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≥150mm</w:t>
            </w:r>
          </w:p>
        </w:tc>
      </w:tr>
      <w:tr w14:paraId="79AE0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B36F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kern w:val="0"/>
                <w:sz w:val="22"/>
                <w:szCs w:val="22"/>
                <w:highlight w:val="none"/>
                <w:u w:val="none"/>
                <w:lang w:val="en-US" w:eastAsia="zh-CN" w:bidi="ar"/>
              </w:rPr>
              <w:t>5</w:t>
            </w:r>
          </w:p>
        </w:tc>
        <w:tc>
          <w:tcPr>
            <w:tcW w:w="1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059E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承重与自重</w:t>
            </w:r>
          </w:p>
        </w:tc>
        <w:tc>
          <w:tcPr>
            <w:tcW w:w="7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9F223">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承重≥180kg；自重≤75kg</w:t>
            </w:r>
          </w:p>
        </w:tc>
      </w:tr>
      <w:tr w14:paraId="612ED7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E7B5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kern w:val="0"/>
                <w:sz w:val="22"/>
                <w:szCs w:val="22"/>
                <w:highlight w:val="none"/>
                <w:u w:val="none"/>
                <w:lang w:val="en-US" w:eastAsia="zh-CN" w:bidi="ar"/>
              </w:rPr>
              <w:t>6</w:t>
            </w:r>
          </w:p>
        </w:tc>
        <w:tc>
          <w:tcPr>
            <w:tcW w:w="1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DC4D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驱动升降</w:t>
            </w:r>
          </w:p>
        </w:tc>
        <w:tc>
          <w:tcPr>
            <w:tcW w:w="7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AF1A6">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电力驱动升降，匀速升降，任意高度停留时缓冲减震，避免患者二次伤害</w:t>
            </w:r>
          </w:p>
        </w:tc>
      </w:tr>
      <w:tr w14:paraId="5599C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FA4F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kern w:val="0"/>
                <w:sz w:val="22"/>
                <w:szCs w:val="22"/>
                <w:highlight w:val="none"/>
                <w:u w:val="none"/>
                <w:lang w:val="en-US" w:eastAsia="zh-CN" w:bidi="ar"/>
              </w:rPr>
              <w:t>7</w:t>
            </w:r>
          </w:p>
        </w:tc>
        <w:tc>
          <w:tcPr>
            <w:tcW w:w="1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381C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升降次数</w:t>
            </w:r>
          </w:p>
        </w:tc>
        <w:tc>
          <w:tcPr>
            <w:tcW w:w="7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EBAD7">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升降次数：空载≥350次，承载≥100次</w:t>
            </w:r>
          </w:p>
        </w:tc>
      </w:tr>
      <w:tr w14:paraId="6E40EC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715C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8</w:t>
            </w:r>
          </w:p>
        </w:tc>
        <w:tc>
          <w:tcPr>
            <w:tcW w:w="1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DFEB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操控方式</w:t>
            </w:r>
          </w:p>
        </w:tc>
        <w:tc>
          <w:tcPr>
            <w:tcW w:w="7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92BCD">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传感器触键，无需外力操作其他开关；按钮板带电量显示；升降过程中有箭头提示</w:t>
            </w:r>
          </w:p>
        </w:tc>
      </w:tr>
      <w:tr w14:paraId="49C26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0B09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9</w:t>
            </w:r>
          </w:p>
        </w:tc>
        <w:tc>
          <w:tcPr>
            <w:tcW w:w="1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E286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手动泄压</w:t>
            </w:r>
          </w:p>
        </w:tc>
        <w:tc>
          <w:tcPr>
            <w:tcW w:w="7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F1DA9">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配备手动泄压装置</w:t>
            </w:r>
          </w:p>
        </w:tc>
      </w:tr>
      <w:tr w14:paraId="6515E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8A39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r>
              <w:rPr>
                <w:rFonts w:hint="eastAsia" w:ascii="宋体" w:hAnsi="宋体" w:cs="宋体"/>
                <w:i w:val="0"/>
                <w:iCs w:val="0"/>
                <w:color w:val="000000"/>
                <w:kern w:val="0"/>
                <w:sz w:val="22"/>
                <w:szCs w:val="22"/>
                <w:highlight w:val="none"/>
                <w:u w:val="none"/>
                <w:lang w:val="en-US" w:eastAsia="zh-CN" w:bidi="ar"/>
              </w:rPr>
              <w:t>0</w:t>
            </w:r>
          </w:p>
        </w:tc>
        <w:tc>
          <w:tcPr>
            <w:tcW w:w="1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A4F1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装载面板</w:t>
            </w:r>
          </w:p>
        </w:tc>
        <w:tc>
          <w:tcPr>
            <w:tcW w:w="7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BB72E">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配有装载转运设备的面板</w:t>
            </w:r>
          </w:p>
        </w:tc>
      </w:tr>
      <w:tr w14:paraId="64D24B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E270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r>
              <w:rPr>
                <w:rFonts w:hint="eastAsia" w:ascii="宋体" w:hAnsi="宋体" w:cs="宋体"/>
                <w:i w:val="0"/>
                <w:iCs w:val="0"/>
                <w:color w:val="000000"/>
                <w:kern w:val="0"/>
                <w:sz w:val="22"/>
                <w:szCs w:val="22"/>
                <w:highlight w:val="none"/>
                <w:u w:val="none"/>
                <w:lang w:val="en-US" w:eastAsia="zh-CN" w:bidi="ar"/>
              </w:rPr>
              <w:t>1</w:t>
            </w:r>
          </w:p>
        </w:tc>
        <w:tc>
          <w:tcPr>
            <w:tcW w:w="1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FAE9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轮子解锁</w:t>
            </w:r>
          </w:p>
        </w:tc>
        <w:tc>
          <w:tcPr>
            <w:tcW w:w="7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FDD75">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轮子具备解锁装置，解锁后可侧向移动、旋转移动，便于狭小空间转运</w:t>
            </w:r>
          </w:p>
        </w:tc>
      </w:tr>
      <w:tr w14:paraId="7983A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A9CD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r>
              <w:rPr>
                <w:rFonts w:hint="eastAsia" w:ascii="宋体" w:hAnsi="宋体" w:cs="宋体"/>
                <w:i w:val="0"/>
                <w:iCs w:val="0"/>
                <w:color w:val="000000"/>
                <w:kern w:val="0"/>
                <w:sz w:val="22"/>
                <w:szCs w:val="22"/>
                <w:highlight w:val="none"/>
                <w:u w:val="none"/>
                <w:lang w:val="en-US" w:eastAsia="zh-CN" w:bidi="ar"/>
              </w:rPr>
              <w:t>2</w:t>
            </w:r>
          </w:p>
        </w:tc>
        <w:tc>
          <w:tcPr>
            <w:tcW w:w="1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5855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警示灯</w:t>
            </w:r>
          </w:p>
        </w:tc>
        <w:tc>
          <w:tcPr>
            <w:tcW w:w="7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A04C8">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配有警示灯，能见度低环境下提高安全性</w:t>
            </w:r>
          </w:p>
        </w:tc>
      </w:tr>
      <w:tr w14:paraId="6D6C49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3108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r>
              <w:rPr>
                <w:rFonts w:hint="eastAsia" w:ascii="宋体" w:hAnsi="宋体" w:cs="宋体"/>
                <w:i w:val="0"/>
                <w:iCs w:val="0"/>
                <w:color w:val="000000"/>
                <w:kern w:val="0"/>
                <w:sz w:val="22"/>
                <w:szCs w:val="22"/>
                <w:highlight w:val="none"/>
                <w:u w:val="none"/>
                <w:lang w:val="en-US" w:eastAsia="zh-CN" w:bidi="ar"/>
              </w:rPr>
              <w:t>3</w:t>
            </w:r>
          </w:p>
        </w:tc>
        <w:tc>
          <w:tcPr>
            <w:tcW w:w="1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B116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电池规格</w:t>
            </w:r>
          </w:p>
        </w:tc>
        <w:tc>
          <w:tcPr>
            <w:tcW w:w="7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6BEF3">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锂电池；工作电源 DC≥25.55V/8.6AH；车载充电和适配器双电源充电，保障用电续航</w:t>
            </w:r>
          </w:p>
        </w:tc>
      </w:tr>
      <w:tr w14:paraId="1C535C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2BDDC">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14</w:t>
            </w:r>
          </w:p>
        </w:tc>
        <w:tc>
          <w:tcPr>
            <w:tcW w:w="1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CCDDE">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质保期要求</w:t>
            </w:r>
          </w:p>
        </w:tc>
        <w:tc>
          <w:tcPr>
            <w:tcW w:w="7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51322">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质保期5年，</w:t>
            </w:r>
            <w:r>
              <w:rPr>
                <w:rFonts w:hint="eastAsia" w:ascii="宋体" w:hAnsi="宋体" w:eastAsia="宋体" w:cs="宋体"/>
                <w:i w:val="0"/>
                <w:iCs w:val="0"/>
                <w:color w:val="000000"/>
                <w:kern w:val="0"/>
                <w:sz w:val="22"/>
                <w:szCs w:val="22"/>
                <w:highlight w:val="none"/>
                <w:u w:val="none"/>
                <w:lang w:val="en-US" w:eastAsia="zh-CN" w:bidi="ar"/>
              </w:rPr>
              <w:t>质保期满后，无需强制购买年度维保，可提供单次维修服务，原厂终身维修或支持开放数据端口配合第三方维修（提供承诺函，格式自拟)</w:t>
            </w:r>
          </w:p>
        </w:tc>
      </w:tr>
    </w:tbl>
    <w:p w14:paraId="6FD0F4B4">
      <w:pPr>
        <w:keepNext w:val="0"/>
        <w:keepLines w:val="0"/>
        <w:widowControl/>
        <w:suppressLineNumbers w:val="0"/>
        <w:jc w:val="left"/>
        <w:rPr>
          <w:rFonts w:ascii="宋体" w:hAnsi="宋体" w:eastAsia="宋体" w:cs="宋体"/>
          <w:kern w:val="0"/>
          <w:sz w:val="24"/>
          <w:szCs w:val="24"/>
          <w:highlight w:val="none"/>
          <w:lang w:val="en-US" w:eastAsia="zh-CN" w:bidi="ar"/>
        </w:rPr>
      </w:pPr>
    </w:p>
    <w:p w14:paraId="5CC220CC">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ascii="宋体" w:hAnsi="宋体" w:eastAsia="宋体" w:cs="宋体"/>
          <w:b/>
          <w:bCs/>
          <w:kern w:val="0"/>
          <w:sz w:val="24"/>
          <w:szCs w:val="24"/>
          <w:lang w:val="en-US" w:eastAsia="zh-CN" w:bidi="ar"/>
        </w:rPr>
      </w:pPr>
      <w:r>
        <w:rPr>
          <w:rFonts w:ascii="宋体" w:hAnsi="宋体" w:eastAsia="宋体" w:cs="宋体"/>
          <w:b/>
          <w:bCs/>
          <w:kern w:val="0"/>
          <w:sz w:val="24"/>
          <w:szCs w:val="24"/>
          <w:lang w:val="en-US" w:eastAsia="zh-CN" w:bidi="ar"/>
        </w:rPr>
        <w:t xml:space="preserve">★实质性符合性审查要求（不满足本采购包作无效投标处理）： </w:t>
      </w:r>
    </w:p>
    <w:p w14:paraId="601DFDAE">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b/>
          <w:bCs/>
        </w:rPr>
      </w:pPr>
      <w:r>
        <w:rPr>
          <w:rFonts w:ascii="宋体" w:hAnsi="宋体" w:eastAsia="宋体" w:cs="宋体"/>
          <w:b/>
          <w:bCs/>
          <w:kern w:val="0"/>
          <w:sz w:val="24"/>
          <w:szCs w:val="24"/>
          <w:lang w:val="en-US" w:eastAsia="zh-CN" w:bidi="ar"/>
        </w:rPr>
        <w:t>1.投标产品按照国家法规要求须取得医疗器械注册证的，投标文件须提供投标产品有效的《医疗器械注册证》（含附件/登记表），注册证型号须与投标产品保持一致。</w:t>
      </w:r>
    </w:p>
    <w:p w14:paraId="176DACC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sz w:val="24"/>
          <w:szCs w:val="24"/>
          <w:lang w:val="en-US" w:eastAsia="zh-CN"/>
        </w:rPr>
        <w:t>2.</w:t>
      </w:r>
      <w:r>
        <w:rPr>
          <w:rFonts w:ascii="宋体" w:hAnsi="宋体" w:eastAsia="宋体" w:cs="宋体"/>
          <w:b/>
          <w:bCs/>
          <w:sz w:val="24"/>
          <w:szCs w:val="24"/>
        </w:rPr>
        <w:t>须提供质保服务承诺函（格式自拟），满足本包技术参数第1</w:t>
      </w:r>
      <w:r>
        <w:rPr>
          <w:rFonts w:hint="eastAsia" w:ascii="宋体" w:hAnsi="宋体" w:eastAsia="宋体" w:cs="宋体"/>
          <w:b/>
          <w:bCs/>
          <w:sz w:val="24"/>
          <w:szCs w:val="24"/>
          <w:lang w:val="en-US" w:eastAsia="zh-CN"/>
        </w:rPr>
        <w:t>4</w:t>
      </w:r>
      <w:r>
        <w:rPr>
          <w:rFonts w:ascii="宋体" w:hAnsi="宋体" w:eastAsia="宋体" w:cs="宋体"/>
          <w:b/>
          <w:bCs/>
          <w:sz w:val="24"/>
          <w:szCs w:val="24"/>
        </w:rPr>
        <w:t>条质保及维修相关全部要求。</w:t>
      </w:r>
    </w:p>
    <w:p w14:paraId="77E06431">
      <w:pPr>
        <w:spacing w:line="0" w:lineRule="atLeast"/>
        <w:jc w:val="center"/>
        <w:rPr>
          <w:rFonts w:ascii="宋体" w:hAnsi="宋体" w:eastAsia="宋体" w:cs="宋体"/>
          <w:b/>
          <w:bCs/>
          <w:sz w:val="24"/>
        </w:rPr>
      </w:pPr>
      <w:r>
        <w:rPr>
          <w:rFonts w:hint="eastAsia" w:ascii="宋体" w:hAnsi="宋体" w:eastAsia="宋体" w:cs="宋体"/>
          <w:b/>
          <w:bCs/>
          <w:sz w:val="24"/>
        </w:rPr>
        <w:t>采购标的对应的中小企业划分标准所属行业一览表</w:t>
      </w:r>
    </w:p>
    <w:p w14:paraId="65388F73">
      <w:pPr>
        <w:pStyle w:val="38"/>
      </w:pPr>
    </w:p>
    <w:tbl>
      <w:tblPr>
        <w:tblStyle w:val="40"/>
        <w:tblW w:w="8426" w:type="dxa"/>
        <w:jc w:val="center"/>
        <w:tblCellSpacing w:w="0" w:type="dxa"/>
        <w:tblLayout w:type="fixed"/>
        <w:tblCellMar>
          <w:top w:w="0" w:type="dxa"/>
          <w:left w:w="108" w:type="dxa"/>
          <w:bottom w:w="0" w:type="dxa"/>
          <w:right w:w="108" w:type="dxa"/>
        </w:tblCellMar>
      </w:tblPr>
      <w:tblGrid>
        <w:gridCol w:w="972"/>
        <w:gridCol w:w="3669"/>
        <w:gridCol w:w="3785"/>
      </w:tblGrid>
      <w:tr w14:paraId="7ED366AB">
        <w:tblPrEx>
          <w:tblCellMar>
            <w:top w:w="0" w:type="dxa"/>
            <w:left w:w="108" w:type="dxa"/>
            <w:bottom w:w="0" w:type="dxa"/>
            <w:right w:w="108" w:type="dxa"/>
          </w:tblCellMar>
        </w:tblPrEx>
        <w:trPr>
          <w:trHeight w:val="437" w:hRule="atLeast"/>
          <w:tblCellSpacing w:w="0" w:type="dxa"/>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8769F">
            <w:pPr>
              <w:pStyle w:val="36"/>
              <w:spacing w:beforeAutospacing="0" w:afterAutospacing="0" w:line="0" w:lineRule="atLeast"/>
              <w:jc w:val="center"/>
              <w:rPr>
                <w:rFonts w:ascii="宋体" w:hAnsi="宋体" w:eastAsia="宋体" w:cs="宋体"/>
                <w:sz w:val="21"/>
                <w:szCs w:val="21"/>
              </w:rPr>
            </w:pPr>
            <w:r>
              <w:rPr>
                <w:rFonts w:hint="eastAsia" w:ascii="宋体" w:hAnsi="宋体" w:eastAsia="宋体" w:cs="宋体"/>
                <w:sz w:val="21"/>
                <w:szCs w:val="21"/>
              </w:rPr>
              <w:t>序号</w:t>
            </w:r>
          </w:p>
        </w:tc>
        <w:tc>
          <w:tcPr>
            <w:tcW w:w="3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30689">
            <w:pPr>
              <w:pStyle w:val="36"/>
              <w:spacing w:beforeAutospacing="0" w:afterAutospacing="0" w:line="0" w:lineRule="atLeast"/>
              <w:ind w:firstLine="480"/>
              <w:jc w:val="center"/>
              <w:rPr>
                <w:rFonts w:ascii="宋体" w:hAnsi="宋体" w:eastAsia="宋体" w:cs="宋体"/>
                <w:sz w:val="21"/>
                <w:szCs w:val="21"/>
              </w:rPr>
            </w:pPr>
            <w:r>
              <w:rPr>
                <w:rFonts w:hint="eastAsia" w:ascii="宋体" w:hAnsi="宋体" w:eastAsia="宋体" w:cs="宋体"/>
                <w:sz w:val="21"/>
                <w:szCs w:val="21"/>
              </w:rPr>
              <w:t>采购标的</w:t>
            </w:r>
          </w:p>
        </w:tc>
        <w:tc>
          <w:tcPr>
            <w:tcW w:w="3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4E55B">
            <w:pPr>
              <w:pStyle w:val="36"/>
              <w:spacing w:beforeAutospacing="0" w:afterAutospacing="0" w:line="0" w:lineRule="atLeast"/>
              <w:jc w:val="center"/>
              <w:rPr>
                <w:rFonts w:ascii="宋体" w:hAnsi="宋体" w:eastAsia="宋体" w:cs="宋体"/>
                <w:sz w:val="21"/>
                <w:szCs w:val="21"/>
              </w:rPr>
            </w:pPr>
            <w:r>
              <w:rPr>
                <w:rFonts w:hint="eastAsia" w:ascii="宋体" w:hAnsi="宋体" w:eastAsia="宋体" w:cs="宋体"/>
                <w:sz w:val="21"/>
                <w:szCs w:val="21"/>
              </w:rPr>
              <w:t>对应中小企业划分标准所属行业</w:t>
            </w:r>
          </w:p>
        </w:tc>
      </w:tr>
      <w:tr w14:paraId="1C1CC0D1">
        <w:tblPrEx>
          <w:tblCellMar>
            <w:top w:w="0" w:type="dxa"/>
            <w:left w:w="108" w:type="dxa"/>
            <w:bottom w:w="0" w:type="dxa"/>
            <w:right w:w="108" w:type="dxa"/>
          </w:tblCellMar>
        </w:tblPrEx>
        <w:trPr>
          <w:trHeight w:val="784" w:hRule="atLeast"/>
          <w:tblCellSpacing w:w="0" w:type="dxa"/>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687D3">
            <w:pPr>
              <w:pStyle w:val="36"/>
              <w:spacing w:beforeAutospacing="0" w:afterAutospacing="0" w:line="0" w:lineRule="atLeast"/>
              <w:jc w:val="center"/>
              <w:rPr>
                <w:rFonts w:ascii="宋体" w:hAnsi="宋体" w:eastAsia="宋体" w:cs="宋体"/>
              </w:rPr>
            </w:pPr>
            <w:r>
              <w:rPr>
                <w:rFonts w:hint="eastAsia" w:ascii="宋体" w:hAnsi="宋体" w:eastAsia="宋体" w:cs="宋体"/>
              </w:rPr>
              <w:t>1</w:t>
            </w:r>
          </w:p>
        </w:tc>
        <w:tc>
          <w:tcPr>
            <w:tcW w:w="3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9F753">
            <w:pPr>
              <w:pStyle w:val="36"/>
              <w:spacing w:beforeAutospacing="0" w:afterAutospacing="0" w:line="0" w:lineRule="atLeast"/>
              <w:jc w:val="both"/>
              <w:rPr>
                <w:rFonts w:hint="eastAsia" w:ascii="宋体" w:hAnsi="宋体" w:eastAsia="宋体" w:cs="宋体"/>
                <w:lang w:eastAsia="zh-CN"/>
              </w:rPr>
            </w:pPr>
            <w:r>
              <w:rPr>
                <w:rFonts w:hint="eastAsia"/>
                <w:color w:val="auto"/>
                <w:sz w:val="24"/>
                <w:szCs w:val="20"/>
                <w:u w:val="none"/>
                <w:lang w:eastAsia="zh-CN"/>
              </w:rPr>
              <w:t>滨海县人民医院医共体心电图机等医疗设备采购项目</w:t>
            </w:r>
          </w:p>
        </w:tc>
        <w:tc>
          <w:tcPr>
            <w:tcW w:w="3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410C4">
            <w:pPr>
              <w:pStyle w:val="36"/>
              <w:spacing w:beforeAutospacing="0" w:afterAutospacing="0" w:line="0" w:lineRule="atLeast"/>
              <w:jc w:val="center"/>
              <w:rPr>
                <w:rFonts w:hint="default" w:ascii="宋体" w:hAnsi="宋体" w:eastAsia="宋体" w:cs="宋体"/>
                <w:lang w:val="en-US" w:eastAsia="zh-CN"/>
              </w:rPr>
            </w:pPr>
            <w:r>
              <w:rPr>
                <w:rFonts w:ascii="宋体" w:hAnsi="宋体" w:eastAsia="宋体" w:cs="宋体"/>
                <w:sz w:val="24"/>
                <w:szCs w:val="24"/>
              </w:rPr>
              <w:t>工业</w:t>
            </w:r>
          </w:p>
        </w:tc>
      </w:tr>
    </w:tbl>
    <w:p w14:paraId="790BAC48">
      <w:pPr>
        <w:spacing w:line="360" w:lineRule="auto"/>
        <w:ind w:firstLine="482"/>
        <w:rPr>
          <w:rFonts w:hint="eastAsia" w:ascii="宋体" w:hAnsi="宋体" w:cs="宋体"/>
          <w:color w:val="auto"/>
          <w:sz w:val="24"/>
          <w:szCs w:val="24"/>
          <w:lang w:val="en-US" w:eastAsia="zh-CN"/>
        </w:rPr>
      </w:pPr>
    </w:p>
    <w:p w14:paraId="3D63855B">
      <w:pPr>
        <w:pageBreakBefore/>
        <w:spacing w:before="50" w:line="360" w:lineRule="auto"/>
        <w:jc w:val="center"/>
        <w:rPr>
          <w:rFonts w:ascii="黑体" w:hAnsi="Arial" w:eastAsia="黑体"/>
          <w:color w:val="auto"/>
          <w:sz w:val="44"/>
          <w:szCs w:val="44"/>
        </w:rPr>
      </w:pPr>
      <w:bookmarkStart w:id="94" w:name="OLE_LINK15"/>
      <w:r>
        <w:rPr>
          <w:rFonts w:hint="eastAsia" w:ascii="黑体" w:hAnsi="Arial" w:eastAsia="黑体"/>
          <w:color w:val="auto"/>
          <w:sz w:val="44"/>
          <w:szCs w:val="44"/>
        </w:rPr>
        <w:t>第五章</w:t>
      </w:r>
      <w:r>
        <w:rPr>
          <w:rFonts w:hint="eastAsia" w:ascii="黑体" w:hAnsi="Arial" w:eastAsia="黑体"/>
          <w:color w:val="auto"/>
          <w:sz w:val="44"/>
          <w:szCs w:val="44"/>
          <w:lang w:val="en-US" w:eastAsia="zh-CN"/>
        </w:rPr>
        <w:t xml:space="preserve"> </w:t>
      </w:r>
      <w:r>
        <w:rPr>
          <w:rFonts w:hint="eastAsia" w:ascii="黑体" w:hAnsi="Arial" w:eastAsia="黑体"/>
          <w:color w:val="auto"/>
          <w:sz w:val="44"/>
          <w:szCs w:val="44"/>
        </w:rPr>
        <w:t>评标方法与评标标准</w:t>
      </w:r>
    </w:p>
    <w:bookmarkEnd w:id="94"/>
    <w:p w14:paraId="2EB29781">
      <w:pPr>
        <w:keepNext w:val="0"/>
        <w:keepLines w:val="0"/>
        <w:pageBreakBefore w:val="0"/>
        <w:kinsoku/>
        <w:wordWrap/>
        <w:overflowPunct/>
        <w:topLinePunct w:val="0"/>
        <w:autoSpaceDE/>
        <w:autoSpaceDN/>
        <w:bidi w:val="0"/>
        <w:adjustRightInd/>
        <w:spacing w:line="500" w:lineRule="exact"/>
        <w:ind w:firstLine="477"/>
        <w:textAlignment w:val="auto"/>
        <w:rPr>
          <w:rFonts w:ascii="宋体"/>
          <w:b/>
          <w:bCs/>
          <w:color w:val="auto"/>
          <w:szCs w:val="21"/>
        </w:rPr>
      </w:pPr>
      <w:r>
        <w:rPr>
          <w:rFonts w:hint="eastAsia" w:ascii="宋体" w:hAnsi="宋体"/>
          <w:b/>
          <w:color w:val="auto"/>
          <w:sz w:val="24"/>
          <w:szCs w:val="24"/>
        </w:rPr>
        <w:t>一、</w:t>
      </w:r>
      <w:r>
        <w:rPr>
          <w:rFonts w:hint="eastAsia" w:ascii="宋体" w:hAnsi="宋体"/>
          <w:b/>
          <w:bCs/>
          <w:color w:val="auto"/>
          <w:szCs w:val="21"/>
        </w:rPr>
        <w:t>定标原则</w:t>
      </w:r>
    </w:p>
    <w:p w14:paraId="677E1C5C">
      <w:pPr>
        <w:keepNext w:val="0"/>
        <w:keepLines w:val="0"/>
        <w:pageBreakBefore w:val="0"/>
        <w:kinsoku/>
        <w:wordWrap/>
        <w:overflowPunct/>
        <w:topLinePunct w:val="0"/>
        <w:autoSpaceDE/>
        <w:autoSpaceDN/>
        <w:bidi w:val="0"/>
        <w:adjustRightInd/>
        <w:spacing w:line="500" w:lineRule="exact"/>
        <w:ind w:firstLine="477"/>
        <w:textAlignment w:val="auto"/>
        <w:rPr>
          <w:rFonts w:hint="eastAsia" w:ascii="宋体" w:hAnsi="宋体" w:eastAsia="宋体" w:cs="Arial"/>
          <w:color w:val="auto"/>
          <w:sz w:val="24"/>
          <w:szCs w:val="24"/>
        </w:rPr>
      </w:pPr>
      <w:bookmarkStart w:id="95" w:name="OLE_LINK21"/>
      <w:r>
        <w:rPr>
          <w:rFonts w:hint="eastAsia" w:ascii="宋体" w:hAnsi="宋体"/>
          <w:color w:val="auto"/>
          <w:sz w:val="24"/>
        </w:rPr>
        <w:t>本次评标采用</w:t>
      </w:r>
      <w:r>
        <w:rPr>
          <w:rFonts w:hint="eastAsia" w:ascii="Calibri" w:hAnsi="Calibri"/>
          <w:color w:val="auto"/>
          <w:sz w:val="24"/>
          <w:u w:val="single"/>
        </w:rPr>
        <w:t>最低</w:t>
      </w:r>
      <w:r>
        <w:rPr>
          <w:rFonts w:hint="eastAsia" w:ascii="Calibri" w:hAnsi="Calibri"/>
          <w:color w:val="auto"/>
          <w:sz w:val="24"/>
          <w:u w:val="single"/>
          <w:lang w:val="en-US" w:eastAsia="zh-CN"/>
        </w:rPr>
        <w:t>评标</w:t>
      </w:r>
      <w:r>
        <w:rPr>
          <w:rFonts w:hint="eastAsia" w:ascii="Calibri" w:hAnsi="Calibri"/>
          <w:color w:val="auto"/>
          <w:sz w:val="24"/>
          <w:u w:val="single"/>
        </w:rPr>
        <w:t>价法</w:t>
      </w:r>
      <w:r>
        <w:rPr>
          <w:rFonts w:hint="eastAsia" w:ascii="宋体" w:hAnsi="宋体"/>
          <w:color w:val="auto"/>
          <w:sz w:val="24"/>
        </w:rPr>
        <w:t>。</w:t>
      </w:r>
      <w:r>
        <w:rPr>
          <w:rFonts w:hint="eastAsia" w:ascii="宋体" w:hAnsi="宋体" w:eastAsia="宋体" w:cs="Arial"/>
          <w:color w:val="auto"/>
          <w:sz w:val="24"/>
          <w:szCs w:val="24"/>
        </w:rPr>
        <w:t>最低评标价法，是指以价格为主要因素确定中标候选人的评标方法，即在全部满足招标文件实质性要求前提下，依据统一的价格要素评定最低报价，以提出最低报价的投标人作为中标候选人或者中标人的评标方法。本项目选取1名中标候选人。</w:t>
      </w:r>
    </w:p>
    <w:p w14:paraId="6FC204A9">
      <w:pPr>
        <w:keepNext w:val="0"/>
        <w:keepLines w:val="0"/>
        <w:pageBreakBefore w:val="0"/>
        <w:widowControl/>
        <w:kinsoku/>
        <w:wordWrap/>
        <w:overflowPunct/>
        <w:topLinePunct w:val="0"/>
        <w:autoSpaceDE/>
        <w:autoSpaceDN/>
        <w:bidi w:val="0"/>
        <w:adjustRightInd/>
        <w:spacing w:line="500" w:lineRule="exact"/>
        <w:ind w:firstLine="480"/>
        <w:jc w:val="left"/>
        <w:textAlignment w:val="auto"/>
        <w:rPr>
          <w:rFonts w:ascii="宋体" w:hAnsi="宋体" w:cs="宋体"/>
          <w:color w:val="auto"/>
          <w:sz w:val="24"/>
          <w:szCs w:val="20"/>
        </w:rPr>
      </w:pPr>
      <w:r>
        <w:rPr>
          <w:rFonts w:hint="eastAsia" w:ascii="宋体" w:hAnsi="宋体" w:cs="宋体"/>
          <w:b/>
          <w:bCs/>
          <w:color w:val="auto"/>
          <w:sz w:val="24"/>
          <w:szCs w:val="20"/>
        </w:rPr>
        <w:t>政府采购政策功能落实</w:t>
      </w:r>
    </w:p>
    <w:p w14:paraId="2A137C36">
      <w:pPr>
        <w:keepNext w:val="0"/>
        <w:keepLines w:val="0"/>
        <w:pageBreakBefore w:val="0"/>
        <w:kinsoku/>
        <w:wordWrap/>
        <w:overflowPunct/>
        <w:topLinePunct w:val="0"/>
        <w:autoSpaceDE/>
        <w:autoSpaceDN/>
        <w:bidi w:val="0"/>
        <w:adjustRightInd/>
        <w:snapToGrid w:val="0"/>
        <w:spacing w:line="500" w:lineRule="exact"/>
        <w:ind w:firstLine="480" w:firstLineChars="200"/>
        <w:textAlignment w:val="auto"/>
        <w:rPr>
          <w:rFonts w:ascii="宋体" w:hAnsi="宋体" w:cs="宋体"/>
          <w:color w:val="auto"/>
          <w:sz w:val="24"/>
          <w:szCs w:val="20"/>
        </w:rPr>
      </w:pPr>
      <w:r>
        <w:rPr>
          <w:rFonts w:hint="eastAsia" w:ascii="宋体" w:hAnsi="宋体" w:cs="宋体"/>
          <w:color w:val="auto"/>
          <w:sz w:val="24"/>
          <w:szCs w:val="20"/>
        </w:rPr>
        <w:t>1、小微型企业价格扣除</w:t>
      </w:r>
    </w:p>
    <w:p w14:paraId="7A8548C3">
      <w:pPr>
        <w:keepNext w:val="0"/>
        <w:keepLines w:val="0"/>
        <w:pageBreakBefore w:val="0"/>
        <w:kinsoku/>
        <w:wordWrap/>
        <w:overflowPunct/>
        <w:topLinePunct w:val="0"/>
        <w:autoSpaceDE/>
        <w:autoSpaceDN/>
        <w:bidi w:val="0"/>
        <w:adjustRightInd/>
        <w:snapToGrid w:val="0"/>
        <w:spacing w:line="500" w:lineRule="exact"/>
        <w:ind w:firstLine="480" w:firstLineChars="200"/>
        <w:textAlignment w:val="auto"/>
        <w:rPr>
          <w:rFonts w:ascii="宋体" w:hAnsi="宋体" w:cs="宋体"/>
          <w:color w:val="auto"/>
          <w:sz w:val="24"/>
          <w:szCs w:val="20"/>
        </w:rPr>
      </w:pPr>
      <w:r>
        <w:rPr>
          <w:rFonts w:hint="eastAsia" w:ascii="宋体" w:hAnsi="宋体" w:cs="宋体"/>
          <w:color w:val="auto"/>
          <w:sz w:val="24"/>
          <w:szCs w:val="20"/>
        </w:rPr>
        <w:t>（1）本项目</w:t>
      </w:r>
      <w:r>
        <w:rPr>
          <w:rFonts w:hint="eastAsia" w:ascii="宋体" w:hAnsi="宋体" w:cs="宋体"/>
          <w:color w:val="auto"/>
          <w:sz w:val="24"/>
          <w:szCs w:val="20"/>
          <w:lang w:eastAsia="zh-CN"/>
        </w:rPr>
        <w:t>非</w:t>
      </w:r>
      <w:r>
        <w:rPr>
          <w:rFonts w:hint="eastAsia" w:ascii="宋体" w:hAnsi="宋体" w:cs="宋体"/>
          <w:color w:val="auto"/>
          <w:sz w:val="24"/>
          <w:szCs w:val="20"/>
        </w:rPr>
        <w:t>专门面向中小企业采购，对符合规定的小型和微型企业报价给予20%的扣除价格，用扣除后的价格参与评审。</w:t>
      </w:r>
    </w:p>
    <w:p w14:paraId="3C7FF92C">
      <w:pPr>
        <w:keepNext w:val="0"/>
        <w:keepLines w:val="0"/>
        <w:pageBreakBefore w:val="0"/>
        <w:kinsoku/>
        <w:wordWrap/>
        <w:overflowPunct/>
        <w:topLinePunct w:val="0"/>
        <w:autoSpaceDE/>
        <w:autoSpaceDN/>
        <w:bidi w:val="0"/>
        <w:adjustRightInd/>
        <w:snapToGrid w:val="0"/>
        <w:spacing w:line="500" w:lineRule="exact"/>
        <w:ind w:firstLine="480" w:firstLineChars="200"/>
        <w:textAlignment w:val="auto"/>
        <w:rPr>
          <w:rFonts w:ascii="宋体" w:hAnsi="宋体" w:cs="宋体"/>
          <w:color w:val="auto"/>
          <w:sz w:val="24"/>
          <w:szCs w:val="20"/>
        </w:rPr>
      </w:pPr>
      <w:r>
        <w:rPr>
          <w:rFonts w:hint="eastAsia" w:ascii="宋体" w:hAnsi="宋体" w:cs="宋体"/>
          <w:color w:val="auto"/>
          <w:sz w:val="24"/>
          <w:szCs w:val="20"/>
        </w:rPr>
        <w:t>（2）供应商需按照采购文件的要求提供相应的《小微企业声明函》。</w:t>
      </w:r>
    </w:p>
    <w:p w14:paraId="47072602">
      <w:pPr>
        <w:keepNext w:val="0"/>
        <w:keepLines w:val="0"/>
        <w:pageBreakBefore w:val="0"/>
        <w:kinsoku/>
        <w:wordWrap/>
        <w:overflowPunct/>
        <w:topLinePunct w:val="0"/>
        <w:autoSpaceDE/>
        <w:autoSpaceDN/>
        <w:bidi w:val="0"/>
        <w:adjustRightInd/>
        <w:snapToGrid w:val="0"/>
        <w:spacing w:line="500" w:lineRule="exact"/>
        <w:ind w:firstLine="480" w:firstLineChars="200"/>
        <w:textAlignment w:val="auto"/>
        <w:rPr>
          <w:rFonts w:ascii="宋体" w:hAnsi="宋体" w:cs="宋体"/>
          <w:color w:val="auto"/>
          <w:sz w:val="24"/>
          <w:szCs w:val="20"/>
        </w:rPr>
      </w:pPr>
      <w:r>
        <w:rPr>
          <w:rFonts w:hint="eastAsia" w:ascii="宋体" w:hAnsi="宋体" w:cs="宋体"/>
          <w:color w:val="auto"/>
          <w:sz w:val="24"/>
          <w:szCs w:val="20"/>
        </w:rPr>
        <w:t>（3）企业标准请参照《关于印发中小企业划型标准规定的通知》（工信部联企业[2011]300号）文件规定自行填写。</w:t>
      </w:r>
    </w:p>
    <w:p w14:paraId="6E52FF3C">
      <w:pPr>
        <w:keepNext w:val="0"/>
        <w:keepLines w:val="0"/>
        <w:pageBreakBefore w:val="0"/>
        <w:kinsoku/>
        <w:wordWrap/>
        <w:overflowPunct/>
        <w:topLinePunct w:val="0"/>
        <w:autoSpaceDE/>
        <w:autoSpaceDN/>
        <w:bidi w:val="0"/>
        <w:adjustRightInd/>
        <w:snapToGrid w:val="0"/>
        <w:spacing w:line="500" w:lineRule="exact"/>
        <w:ind w:firstLine="480" w:firstLineChars="200"/>
        <w:textAlignment w:val="auto"/>
        <w:rPr>
          <w:rFonts w:ascii="宋体" w:hAnsi="宋体" w:cs="宋体"/>
          <w:color w:val="auto"/>
          <w:sz w:val="24"/>
          <w:szCs w:val="20"/>
        </w:rPr>
      </w:pPr>
      <w:r>
        <w:rPr>
          <w:rFonts w:hint="eastAsia" w:ascii="宋体" w:hAnsi="宋体" w:cs="宋体"/>
          <w:color w:val="auto"/>
          <w:sz w:val="24"/>
          <w:szCs w:val="20"/>
        </w:rPr>
        <w:t>2、残疾人福利单位价格扣除</w:t>
      </w:r>
    </w:p>
    <w:p w14:paraId="27F5AF9E">
      <w:pPr>
        <w:keepNext w:val="0"/>
        <w:keepLines w:val="0"/>
        <w:pageBreakBefore w:val="0"/>
        <w:kinsoku/>
        <w:wordWrap/>
        <w:overflowPunct/>
        <w:topLinePunct w:val="0"/>
        <w:autoSpaceDE/>
        <w:autoSpaceDN/>
        <w:bidi w:val="0"/>
        <w:adjustRightInd/>
        <w:snapToGrid w:val="0"/>
        <w:spacing w:line="500" w:lineRule="exact"/>
        <w:ind w:firstLine="480" w:firstLineChars="200"/>
        <w:textAlignment w:val="auto"/>
        <w:rPr>
          <w:rFonts w:ascii="宋体" w:hAnsi="宋体" w:cs="宋体"/>
          <w:color w:val="auto"/>
          <w:sz w:val="24"/>
          <w:szCs w:val="20"/>
        </w:rPr>
      </w:pPr>
      <w:r>
        <w:rPr>
          <w:rFonts w:hint="eastAsia" w:ascii="宋体" w:hAnsi="宋体" w:cs="宋体"/>
          <w:color w:val="auto"/>
          <w:sz w:val="24"/>
          <w:szCs w:val="20"/>
        </w:rPr>
        <w:t>（1）本项目对残疾人福利性单位视同小型、微型企业，给予20%的价格扣除。</w:t>
      </w:r>
    </w:p>
    <w:p w14:paraId="5CD19444">
      <w:pPr>
        <w:keepNext w:val="0"/>
        <w:keepLines w:val="0"/>
        <w:pageBreakBefore w:val="0"/>
        <w:kinsoku/>
        <w:wordWrap/>
        <w:overflowPunct/>
        <w:topLinePunct w:val="0"/>
        <w:autoSpaceDE/>
        <w:autoSpaceDN/>
        <w:bidi w:val="0"/>
        <w:adjustRightInd/>
        <w:snapToGrid w:val="0"/>
        <w:spacing w:line="500" w:lineRule="exact"/>
        <w:ind w:firstLine="480" w:firstLineChars="200"/>
        <w:textAlignment w:val="auto"/>
        <w:rPr>
          <w:rFonts w:ascii="宋体" w:hAnsi="宋体" w:cs="宋体"/>
          <w:color w:val="auto"/>
          <w:sz w:val="24"/>
          <w:szCs w:val="20"/>
        </w:rPr>
      </w:pPr>
      <w:r>
        <w:rPr>
          <w:rFonts w:hint="eastAsia" w:ascii="宋体" w:hAnsi="宋体" w:cs="宋体"/>
          <w:color w:val="auto"/>
          <w:sz w:val="24"/>
          <w:szCs w:val="20"/>
        </w:rPr>
        <w:t>（2）残疾人福利单位需按照采购文件的要求提供《残疾人福利性单位声明函》。</w:t>
      </w:r>
    </w:p>
    <w:p w14:paraId="11A79F7D">
      <w:pPr>
        <w:keepNext w:val="0"/>
        <w:keepLines w:val="0"/>
        <w:pageBreakBefore w:val="0"/>
        <w:kinsoku/>
        <w:wordWrap/>
        <w:overflowPunct/>
        <w:topLinePunct w:val="0"/>
        <w:autoSpaceDE/>
        <w:autoSpaceDN/>
        <w:bidi w:val="0"/>
        <w:adjustRightInd/>
        <w:snapToGrid w:val="0"/>
        <w:spacing w:line="500" w:lineRule="exact"/>
        <w:ind w:firstLine="480" w:firstLineChars="200"/>
        <w:textAlignment w:val="auto"/>
        <w:rPr>
          <w:rFonts w:ascii="宋体" w:hAnsi="宋体" w:cs="宋体"/>
          <w:color w:val="auto"/>
          <w:sz w:val="24"/>
          <w:szCs w:val="20"/>
        </w:rPr>
      </w:pPr>
      <w:r>
        <w:rPr>
          <w:rFonts w:hint="eastAsia" w:ascii="宋体" w:hAnsi="宋体" w:cs="宋体"/>
          <w:color w:val="auto"/>
          <w:sz w:val="24"/>
          <w:szCs w:val="20"/>
        </w:rPr>
        <w:t>（3）残疾人福利单位标准请参照《关于促进残疾人就业政府采购政策的通知》（财库〔2017〕141号）。</w:t>
      </w:r>
    </w:p>
    <w:p w14:paraId="4A85C53B">
      <w:pPr>
        <w:keepNext w:val="0"/>
        <w:keepLines w:val="0"/>
        <w:pageBreakBefore w:val="0"/>
        <w:kinsoku/>
        <w:wordWrap/>
        <w:overflowPunct/>
        <w:topLinePunct w:val="0"/>
        <w:autoSpaceDE/>
        <w:autoSpaceDN/>
        <w:bidi w:val="0"/>
        <w:adjustRightInd/>
        <w:snapToGrid w:val="0"/>
        <w:spacing w:line="500" w:lineRule="exact"/>
        <w:ind w:firstLine="480" w:firstLineChars="200"/>
        <w:textAlignment w:val="auto"/>
        <w:rPr>
          <w:rFonts w:ascii="宋体" w:hAnsi="宋体" w:cs="宋体"/>
          <w:color w:val="auto"/>
          <w:sz w:val="24"/>
          <w:szCs w:val="20"/>
        </w:rPr>
      </w:pPr>
      <w:r>
        <w:rPr>
          <w:rFonts w:hint="eastAsia" w:ascii="宋体" w:hAnsi="宋体" w:cs="宋体"/>
          <w:color w:val="auto"/>
          <w:sz w:val="24"/>
          <w:szCs w:val="20"/>
        </w:rPr>
        <w:t>3、监狱和戒毒企业价格扣除</w:t>
      </w:r>
    </w:p>
    <w:p w14:paraId="69C32059">
      <w:pPr>
        <w:keepNext w:val="0"/>
        <w:keepLines w:val="0"/>
        <w:pageBreakBefore w:val="0"/>
        <w:kinsoku/>
        <w:wordWrap/>
        <w:overflowPunct/>
        <w:topLinePunct w:val="0"/>
        <w:autoSpaceDE/>
        <w:autoSpaceDN/>
        <w:bidi w:val="0"/>
        <w:adjustRightInd/>
        <w:snapToGrid w:val="0"/>
        <w:spacing w:line="500" w:lineRule="exact"/>
        <w:ind w:firstLine="480" w:firstLineChars="200"/>
        <w:textAlignment w:val="auto"/>
        <w:rPr>
          <w:rFonts w:ascii="宋体" w:hAnsi="宋体" w:cs="宋体"/>
          <w:color w:val="auto"/>
          <w:sz w:val="24"/>
          <w:szCs w:val="20"/>
        </w:rPr>
      </w:pPr>
      <w:r>
        <w:rPr>
          <w:rFonts w:hint="eastAsia" w:ascii="宋体" w:hAnsi="宋体" w:cs="宋体"/>
          <w:color w:val="auto"/>
          <w:sz w:val="24"/>
          <w:szCs w:val="20"/>
        </w:rPr>
        <w:t>（1）本项目对监狱和戒毒企业（简称监狱企业）视同小型、微型企业，给予20%的价格扣除。</w:t>
      </w:r>
    </w:p>
    <w:p w14:paraId="01BEF725">
      <w:pPr>
        <w:keepNext w:val="0"/>
        <w:keepLines w:val="0"/>
        <w:pageBreakBefore w:val="0"/>
        <w:kinsoku/>
        <w:wordWrap/>
        <w:overflowPunct/>
        <w:topLinePunct w:val="0"/>
        <w:autoSpaceDE/>
        <w:autoSpaceDN/>
        <w:bidi w:val="0"/>
        <w:adjustRightInd/>
        <w:snapToGrid w:val="0"/>
        <w:spacing w:line="500" w:lineRule="exact"/>
        <w:ind w:firstLine="480" w:firstLineChars="200"/>
        <w:textAlignment w:val="auto"/>
        <w:rPr>
          <w:rFonts w:ascii="宋体" w:hAnsi="宋体" w:cs="宋体"/>
          <w:color w:val="auto"/>
          <w:sz w:val="24"/>
          <w:szCs w:val="20"/>
        </w:rPr>
      </w:pPr>
      <w:r>
        <w:rPr>
          <w:rFonts w:hint="eastAsia" w:ascii="宋体" w:hAnsi="宋体" w:cs="宋体"/>
          <w:color w:val="auto"/>
          <w:sz w:val="24"/>
          <w:szCs w:val="20"/>
        </w:rPr>
        <w:t>（2）监狱企业参加政府采购活动时，需提供由省级以上监狱管理局、戒毒管理局(含新疆生产建设兵团)出具的属于监狱企业的证明文件。供应商如不提供上述证明文件，价格将不做相应扣除。</w:t>
      </w:r>
    </w:p>
    <w:p w14:paraId="40FC265F">
      <w:pPr>
        <w:keepNext w:val="0"/>
        <w:keepLines w:val="0"/>
        <w:pageBreakBefore w:val="0"/>
        <w:kinsoku/>
        <w:wordWrap/>
        <w:overflowPunct/>
        <w:topLinePunct w:val="0"/>
        <w:autoSpaceDE/>
        <w:autoSpaceDN/>
        <w:bidi w:val="0"/>
        <w:adjustRightInd/>
        <w:snapToGrid w:val="0"/>
        <w:spacing w:line="500" w:lineRule="exact"/>
        <w:ind w:firstLine="480" w:firstLineChars="200"/>
        <w:textAlignment w:val="auto"/>
        <w:rPr>
          <w:rFonts w:ascii="宋体" w:hAnsi="宋体" w:cs="宋体"/>
          <w:color w:val="auto"/>
          <w:sz w:val="24"/>
          <w:szCs w:val="20"/>
        </w:rPr>
      </w:pPr>
      <w:r>
        <w:rPr>
          <w:rFonts w:hint="eastAsia" w:ascii="宋体" w:hAnsi="宋体" w:cs="宋体"/>
          <w:color w:val="auto"/>
          <w:sz w:val="24"/>
          <w:szCs w:val="20"/>
        </w:rPr>
        <w:t>（3）监狱企业标准请参照《关于政府采购支持监狱企业发展有关问题的通知》（财库[2014]68号）。</w:t>
      </w:r>
    </w:p>
    <w:p w14:paraId="6F954064">
      <w:pPr>
        <w:keepNext w:val="0"/>
        <w:keepLines w:val="0"/>
        <w:pageBreakBefore w:val="0"/>
        <w:kinsoku/>
        <w:wordWrap/>
        <w:overflowPunct/>
        <w:topLinePunct w:val="0"/>
        <w:autoSpaceDE/>
        <w:autoSpaceDN/>
        <w:bidi w:val="0"/>
        <w:adjustRightInd/>
        <w:snapToGrid w:val="0"/>
        <w:spacing w:line="500" w:lineRule="exact"/>
        <w:ind w:firstLine="480" w:firstLineChars="200"/>
        <w:textAlignment w:val="auto"/>
        <w:rPr>
          <w:rFonts w:ascii="宋体" w:hAnsi="宋体" w:cs="宋体"/>
          <w:color w:val="auto"/>
          <w:sz w:val="24"/>
          <w:szCs w:val="20"/>
        </w:rPr>
      </w:pPr>
      <w:r>
        <w:rPr>
          <w:rFonts w:hint="eastAsia" w:ascii="宋体" w:hAnsi="宋体" w:cs="宋体"/>
          <w:color w:val="auto"/>
          <w:sz w:val="24"/>
          <w:szCs w:val="20"/>
        </w:rPr>
        <w:t>4、残疾人福利单位、监狱企业属于小型、微型企业的，不重复享受政策。</w:t>
      </w:r>
    </w:p>
    <w:p w14:paraId="736E1931">
      <w:pPr>
        <w:keepNext w:val="0"/>
        <w:keepLines w:val="0"/>
        <w:pageBreakBefore w:val="0"/>
        <w:kinsoku/>
        <w:wordWrap/>
        <w:overflowPunct/>
        <w:topLinePunct w:val="0"/>
        <w:autoSpaceDE/>
        <w:autoSpaceDN/>
        <w:bidi w:val="0"/>
        <w:adjustRightInd/>
        <w:snapToGrid w:val="0"/>
        <w:spacing w:line="500" w:lineRule="exact"/>
        <w:ind w:firstLine="480" w:firstLineChars="200"/>
        <w:textAlignment w:val="auto"/>
        <w:rPr>
          <w:rFonts w:ascii="宋体" w:hAnsi="宋体" w:cs="宋体"/>
          <w:color w:val="auto"/>
          <w:sz w:val="24"/>
          <w:szCs w:val="20"/>
        </w:rPr>
      </w:pPr>
      <w:r>
        <w:rPr>
          <w:rFonts w:hint="eastAsia" w:ascii="宋体" w:hAnsi="宋体" w:cs="宋体"/>
          <w:color w:val="auto"/>
          <w:sz w:val="24"/>
          <w:szCs w:val="20"/>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2763DC18">
      <w:pPr>
        <w:keepNext w:val="0"/>
        <w:keepLines w:val="0"/>
        <w:pageBreakBefore w:val="0"/>
        <w:kinsoku/>
        <w:wordWrap/>
        <w:overflowPunct/>
        <w:topLinePunct w:val="0"/>
        <w:autoSpaceDE/>
        <w:autoSpaceDN/>
        <w:bidi w:val="0"/>
        <w:adjustRightInd/>
        <w:snapToGrid w:val="0"/>
        <w:spacing w:line="500" w:lineRule="exact"/>
        <w:ind w:firstLine="480" w:firstLineChars="200"/>
        <w:textAlignment w:val="auto"/>
        <w:rPr>
          <w:rFonts w:ascii="宋体" w:hAnsi="宋体" w:cs="宋体"/>
          <w:color w:val="auto"/>
          <w:sz w:val="24"/>
          <w:szCs w:val="20"/>
        </w:rPr>
      </w:pPr>
      <w:r>
        <w:rPr>
          <w:rFonts w:hint="eastAsia" w:ascii="宋体" w:hAnsi="宋体" w:cs="宋体"/>
          <w:color w:val="auto"/>
          <w:sz w:val="24"/>
          <w:szCs w:val="20"/>
        </w:rPr>
        <w:t>6、联合体各方均为小型、微型企业（残疾人福利单位、监狱企业）的，联合体享受20%的价格扣除。</w:t>
      </w:r>
    </w:p>
    <w:p w14:paraId="6DDC4E9E">
      <w:pPr>
        <w:keepNext w:val="0"/>
        <w:keepLines w:val="0"/>
        <w:pageBreakBefore w:val="0"/>
        <w:kinsoku/>
        <w:wordWrap/>
        <w:overflowPunct/>
        <w:topLinePunct w:val="0"/>
        <w:autoSpaceDE/>
        <w:autoSpaceDN/>
        <w:bidi w:val="0"/>
        <w:adjustRightInd/>
        <w:snapToGrid w:val="0"/>
        <w:spacing w:line="500" w:lineRule="exact"/>
        <w:ind w:firstLine="480" w:firstLineChars="200"/>
        <w:textAlignment w:val="auto"/>
        <w:rPr>
          <w:rFonts w:ascii="宋体" w:hAnsi="宋体" w:cs="宋体"/>
          <w:color w:val="auto"/>
          <w:sz w:val="24"/>
          <w:szCs w:val="20"/>
        </w:rPr>
      </w:pPr>
      <w:r>
        <w:rPr>
          <w:rFonts w:hint="eastAsia" w:ascii="宋体" w:hAnsi="宋体" w:cs="宋体"/>
          <w:color w:val="auto"/>
          <w:sz w:val="24"/>
          <w:szCs w:val="20"/>
          <w:lang w:val="en-US" w:eastAsia="zh-CN"/>
        </w:rPr>
        <w:t>7</w:t>
      </w:r>
      <w:r>
        <w:rPr>
          <w:rFonts w:hint="eastAsia" w:ascii="宋体" w:hAnsi="宋体" w:cs="宋体"/>
          <w:color w:val="auto"/>
          <w:sz w:val="24"/>
          <w:szCs w:val="20"/>
        </w:rPr>
        <w:t>、供应商对于投标产品的商品包装、快递包装应按照《关于印发《商品包装政府采购需求标准（试行）》、《快递包装政府采购需求标准（试行）》的通知》（财办库〔2020〕123号）执行。</w:t>
      </w:r>
    </w:p>
    <w:p w14:paraId="65DDA56B">
      <w:pPr>
        <w:keepNext w:val="0"/>
        <w:keepLines w:val="0"/>
        <w:pageBreakBefore w:val="0"/>
        <w:kinsoku/>
        <w:wordWrap/>
        <w:overflowPunct/>
        <w:topLinePunct w:val="0"/>
        <w:autoSpaceDE/>
        <w:autoSpaceDN/>
        <w:bidi w:val="0"/>
        <w:adjustRightInd/>
        <w:snapToGrid w:val="0"/>
        <w:spacing w:line="500" w:lineRule="exact"/>
        <w:ind w:firstLine="480" w:firstLineChars="200"/>
        <w:textAlignment w:val="auto"/>
        <w:rPr>
          <w:rFonts w:ascii="宋体" w:hAnsi="宋体" w:cs="宋体"/>
          <w:color w:val="auto"/>
          <w:sz w:val="24"/>
          <w:szCs w:val="20"/>
        </w:rPr>
      </w:pPr>
      <w:r>
        <w:rPr>
          <w:rFonts w:hint="eastAsia" w:ascii="宋体" w:hAnsi="宋体" w:cs="宋体"/>
          <w:color w:val="auto"/>
          <w:sz w:val="24"/>
          <w:szCs w:val="20"/>
          <w:lang w:val="en-US" w:eastAsia="zh-CN"/>
        </w:rPr>
        <w:t>8</w:t>
      </w:r>
      <w:r>
        <w:rPr>
          <w:rFonts w:hint="eastAsia" w:ascii="宋体" w:hAnsi="宋体" w:cs="宋体"/>
          <w:color w:val="auto"/>
          <w:sz w:val="24"/>
          <w:szCs w:val="20"/>
        </w:rPr>
        <w:t>、本文件中若涉及到数据中心采购，应按照《&lt;绿色数据中心政府采购需求标准（试行）&gt;的通知》（财库〔2023〕7号）执行。</w:t>
      </w:r>
    </w:p>
    <w:bookmarkEnd w:id="95"/>
    <w:p w14:paraId="3B33E026">
      <w:pPr>
        <w:pStyle w:val="2"/>
        <w:pageBreakBefore/>
        <w:spacing w:line="579" w:lineRule="auto"/>
        <w:jc w:val="center"/>
        <w:rPr>
          <w:rFonts w:ascii="黑体" w:hAnsi="Arial" w:eastAsia="黑体"/>
          <w:b w:val="0"/>
          <w:bCs w:val="0"/>
          <w:color w:val="auto"/>
        </w:rPr>
      </w:pPr>
      <w:r>
        <w:rPr>
          <w:rFonts w:hint="eastAsia" w:ascii="黑体" w:hAnsi="Arial" w:eastAsia="黑体"/>
          <w:b w:val="0"/>
          <w:bCs w:val="0"/>
          <w:color w:val="auto"/>
        </w:rPr>
        <w:t>第六章  投标文件格式</w:t>
      </w:r>
    </w:p>
    <w:p w14:paraId="2B543FF6">
      <w:pPr>
        <w:jc w:val="center"/>
        <w:rPr>
          <w:rFonts w:ascii="宋体" w:hAnsi="宋体"/>
          <w:b/>
          <w:color w:val="auto"/>
          <w:sz w:val="72"/>
        </w:rPr>
      </w:pPr>
      <w:bookmarkStart w:id="96" w:name="_Hlt26955039"/>
      <w:bookmarkEnd w:id="96"/>
      <w:bookmarkStart w:id="97" w:name="_Hlt26671244"/>
      <w:bookmarkEnd w:id="97"/>
    </w:p>
    <w:p w14:paraId="2DE78999">
      <w:pPr>
        <w:jc w:val="center"/>
        <w:rPr>
          <w:rFonts w:ascii="宋体" w:hAnsi="宋体"/>
          <w:b/>
          <w:color w:val="auto"/>
          <w:sz w:val="72"/>
        </w:rPr>
      </w:pPr>
      <w:r>
        <w:rPr>
          <w:rFonts w:hint="eastAsia" w:ascii="宋体" w:hAnsi="宋体"/>
          <w:b/>
          <w:color w:val="auto"/>
          <w:sz w:val="72"/>
        </w:rPr>
        <w:t>投  标  文  件</w:t>
      </w:r>
    </w:p>
    <w:p w14:paraId="03CC7C14">
      <w:pPr>
        <w:jc w:val="center"/>
        <w:rPr>
          <w:rFonts w:ascii="宋体" w:hAnsi="宋体"/>
          <w:b/>
          <w:color w:val="auto"/>
          <w:sz w:val="72"/>
        </w:rPr>
      </w:pPr>
      <w:r>
        <w:rPr>
          <w:rFonts w:hint="eastAsia" w:ascii="黑体" w:hAnsi="黑体" w:eastAsia="黑体"/>
          <w:b/>
          <w:color w:val="auto"/>
          <w:sz w:val="36"/>
        </w:rPr>
        <w:t>（正或副本）</w:t>
      </w:r>
    </w:p>
    <w:p w14:paraId="53D61032">
      <w:pPr>
        <w:jc w:val="center"/>
        <w:rPr>
          <w:rFonts w:ascii="宋体" w:hAnsi="宋体"/>
          <w:b/>
          <w:color w:val="auto"/>
          <w:sz w:val="72"/>
        </w:rPr>
      </w:pPr>
    </w:p>
    <w:p w14:paraId="125EB3F3">
      <w:pPr>
        <w:jc w:val="center"/>
        <w:rPr>
          <w:rFonts w:ascii="宋体" w:hAnsi="宋体"/>
          <w:b/>
          <w:color w:val="auto"/>
          <w:sz w:val="36"/>
        </w:rPr>
      </w:pPr>
    </w:p>
    <w:p w14:paraId="36F6BFF3">
      <w:pPr>
        <w:jc w:val="center"/>
        <w:rPr>
          <w:rFonts w:ascii="宋体" w:hAnsi="宋体"/>
          <w:b/>
          <w:color w:val="auto"/>
          <w:sz w:val="36"/>
        </w:rPr>
      </w:pPr>
    </w:p>
    <w:p w14:paraId="2B665651">
      <w:pPr>
        <w:jc w:val="center"/>
        <w:rPr>
          <w:rFonts w:ascii="宋体" w:hAnsi="宋体"/>
          <w:b/>
          <w:color w:val="auto"/>
          <w:sz w:val="36"/>
        </w:rPr>
      </w:pPr>
    </w:p>
    <w:p w14:paraId="207538D5">
      <w:pPr>
        <w:ind w:firstLine="1084"/>
        <w:rPr>
          <w:rFonts w:ascii="宋体" w:hAnsi="宋体"/>
          <w:b/>
          <w:color w:val="auto"/>
          <w:sz w:val="36"/>
        </w:rPr>
      </w:pPr>
      <w:r>
        <w:rPr>
          <w:rFonts w:hint="eastAsia" w:ascii="宋体" w:hAnsi="宋体"/>
          <w:b/>
          <w:color w:val="auto"/>
          <w:sz w:val="36"/>
        </w:rPr>
        <w:t>项 目 名 称：</w:t>
      </w:r>
    </w:p>
    <w:p w14:paraId="6ACAF52E">
      <w:pPr>
        <w:ind w:firstLine="1084"/>
        <w:rPr>
          <w:rFonts w:ascii="宋体" w:hAnsi="宋体"/>
          <w:b/>
          <w:color w:val="auto"/>
          <w:sz w:val="36"/>
          <w:u w:val="single"/>
        </w:rPr>
      </w:pPr>
      <w:r>
        <w:rPr>
          <w:rFonts w:hint="eastAsia" w:ascii="宋体" w:hAnsi="宋体"/>
          <w:b/>
          <w:color w:val="auto"/>
          <w:sz w:val="36"/>
        </w:rPr>
        <w:t>招 标 编 号：</w:t>
      </w:r>
    </w:p>
    <w:p w14:paraId="43C08741">
      <w:pPr>
        <w:rPr>
          <w:rFonts w:ascii="宋体" w:hAnsi="宋体"/>
          <w:b/>
          <w:color w:val="auto"/>
          <w:sz w:val="36"/>
          <w:u w:val="single"/>
        </w:rPr>
      </w:pPr>
      <w:r>
        <w:rPr>
          <w:rFonts w:hint="eastAsia" w:ascii="宋体" w:hAnsi="宋体"/>
          <w:b/>
          <w:color w:val="auto"/>
          <w:sz w:val="36"/>
        </w:rPr>
        <w:t xml:space="preserve">      供应商名称 ：</w:t>
      </w:r>
      <w:r>
        <w:rPr>
          <w:rFonts w:hint="eastAsia"/>
          <w:b/>
          <w:color w:val="auto"/>
          <w:sz w:val="36"/>
          <w:szCs w:val="36"/>
          <w:u w:val="single"/>
        </w:rPr>
        <w:t>（加盖CA电子公章）</w:t>
      </w:r>
    </w:p>
    <w:p w14:paraId="617951A0">
      <w:pPr>
        <w:rPr>
          <w:rFonts w:ascii="宋体" w:hAnsi="宋体"/>
          <w:b/>
          <w:color w:val="auto"/>
          <w:sz w:val="36"/>
        </w:rPr>
      </w:pPr>
      <w:r>
        <w:rPr>
          <w:rFonts w:hint="eastAsia" w:ascii="宋体" w:hAnsi="宋体"/>
          <w:b/>
          <w:color w:val="auto"/>
          <w:sz w:val="36"/>
        </w:rPr>
        <w:t xml:space="preserve">      日      期 ：</w:t>
      </w:r>
    </w:p>
    <w:p w14:paraId="5B918AD9">
      <w:pPr>
        <w:spacing w:line="440" w:lineRule="exact"/>
        <w:jc w:val="center"/>
        <w:rPr>
          <w:rFonts w:ascii="宋体" w:hAnsi="宋体"/>
          <w:b/>
          <w:bCs/>
          <w:color w:val="auto"/>
          <w:sz w:val="32"/>
          <w:szCs w:val="32"/>
        </w:rPr>
      </w:pPr>
    </w:p>
    <w:p w14:paraId="149C2F62">
      <w:pPr>
        <w:spacing w:line="440" w:lineRule="exact"/>
        <w:ind w:firstLine="480"/>
        <w:rPr>
          <w:rFonts w:ascii="宋体" w:hAnsi="宋体"/>
          <w:color w:val="auto"/>
          <w:sz w:val="24"/>
        </w:rPr>
      </w:pPr>
    </w:p>
    <w:p w14:paraId="5EE00BE6">
      <w:pPr>
        <w:spacing w:line="440" w:lineRule="exact"/>
        <w:ind w:firstLine="480"/>
        <w:rPr>
          <w:rFonts w:ascii="宋体" w:hAnsi="宋体"/>
          <w:color w:val="auto"/>
          <w:sz w:val="24"/>
        </w:rPr>
      </w:pPr>
    </w:p>
    <w:p w14:paraId="7FE9B312">
      <w:pPr>
        <w:spacing w:line="440" w:lineRule="exact"/>
        <w:jc w:val="center"/>
        <w:rPr>
          <w:rFonts w:ascii="宋体"/>
          <w:b/>
          <w:bCs/>
          <w:color w:val="auto"/>
          <w:sz w:val="36"/>
          <w:szCs w:val="36"/>
        </w:rPr>
      </w:pPr>
      <w:r>
        <w:rPr>
          <w:rFonts w:ascii="宋体" w:hAnsi="宋体"/>
          <w:color w:val="auto"/>
          <w:sz w:val="24"/>
        </w:rPr>
        <w:br w:type="page" w:clear="all"/>
      </w:r>
      <w:r>
        <w:rPr>
          <w:rFonts w:hint="eastAsia" w:ascii="宋体" w:hAnsi="宋体"/>
          <w:b/>
          <w:bCs/>
          <w:color w:val="auto"/>
          <w:sz w:val="36"/>
          <w:szCs w:val="36"/>
        </w:rPr>
        <w:t>投标主要文件目录</w:t>
      </w:r>
    </w:p>
    <w:p w14:paraId="1F45E174">
      <w:pPr>
        <w:ind w:firstLine="480"/>
        <w:rPr>
          <w:rFonts w:ascii="宋体"/>
          <w:color w:val="auto"/>
          <w:sz w:val="24"/>
        </w:rPr>
      </w:pPr>
    </w:p>
    <w:p w14:paraId="225C9957">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一、法人或者其他组织的营业执照等证明文件，自然人的身份证明</w:t>
      </w:r>
    </w:p>
    <w:p w14:paraId="1B3E8C13">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二、上一年度的财务状况报表（至少提供资产负债表、利润表、现金流量表，供应商成立不满一年无需提供）</w:t>
      </w:r>
    </w:p>
    <w:p w14:paraId="079779AB">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三、具备履行合同所必需的设备和专业技术能力的书面声明</w:t>
      </w:r>
    </w:p>
    <w:p w14:paraId="07B8BED6">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四、依法缴纳税收和社会保障资金的相关材料（提供提交投标文件截止时间前一年内至少一个月依法缴纳税收及缴纳社会保障资金的证明材料。供应商依法享受缓缴、免缴税收、社会保障资金的提供证明材料）</w:t>
      </w:r>
    </w:p>
    <w:p w14:paraId="39EFF8B1">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五、参加政府采购活动前 3 年内在经营活动中没有重大违法记录的书面声明</w:t>
      </w:r>
    </w:p>
    <w:p w14:paraId="7251B4F1">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六、单位负责人为同一人或者存在直接控股、</w:t>
      </w:r>
      <w:r>
        <w:rPr>
          <w:rFonts w:hint="eastAsia" w:asciiTheme="minorEastAsia" w:hAnsiTheme="minorEastAsia" w:eastAsiaTheme="minorEastAsia" w:cstheme="minorEastAsia"/>
          <w:b w:val="0"/>
          <w:bCs w:val="0"/>
          <w:color w:val="auto"/>
          <w:sz w:val="24"/>
          <w:szCs w:val="24"/>
          <w:highlight w:val="none"/>
          <w:lang w:eastAsia="zh-CN"/>
        </w:rPr>
        <w:t>管理</w:t>
      </w:r>
      <w:r>
        <w:rPr>
          <w:rFonts w:hint="eastAsia" w:asciiTheme="minorEastAsia" w:hAnsiTheme="minorEastAsia" w:eastAsiaTheme="minorEastAsia" w:cstheme="minorEastAsia"/>
          <w:b w:val="0"/>
          <w:bCs w:val="0"/>
          <w:color w:val="auto"/>
          <w:sz w:val="24"/>
          <w:szCs w:val="24"/>
          <w:highlight w:val="none"/>
        </w:rPr>
        <w:t>关系的不同供应商，不得参加同一合同项下的政府采购活动证明文件</w:t>
      </w:r>
    </w:p>
    <w:p w14:paraId="3CFC4A09">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七</w:t>
      </w:r>
      <w:r>
        <w:rPr>
          <w:rFonts w:hint="eastAsia" w:asciiTheme="minorEastAsia" w:hAnsiTheme="minorEastAsia" w:eastAsiaTheme="minorEastAsia" w:cstheme="minorEastAsia"/>
          <w:b w:val="0"/>
          <w:bCs w:val="0"/>
          <w:color w:val="auto"/>
          <w:sz w:val="24"/>
          <w:szCs w:val="24"/>
          <w:highlight w:val="none"/>
        </w:rPr>
        <w:t>、特定资格要求的证明文件（如果本项目设置特定资格要求，则需要提供）</w:t>
      </w:r>
    </w:p>
    <w:p w14:paraId="6E3FEA6E">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八</w:t>
      </w:r>
      <w:r>
        <w:rPr>
          <w:rFonts w:hint="eastAsia" w:asciiTheme="minorEastAsia" w:hAnsiTheme="minorEastAsia" w:eastAsiaTheme="minorEastAsia" w:cstheme="minorEastAsia"/>
          <w:b w:val="0"/>
          <w:bCs w:val="0"/>
          <w:color w:val="auto"/>
          <w:sz w:val="24"/>
          <w:szCs w:val="24"/>
          <w:highlight w:val="none"/>
        </w:rPr>
        <w:t>、法人授权书</w:t>
      </w:r>
    </w:p>
    <w:p w14:paraId="7DA3F884">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九</w:t>
      </w:r>
      <w:r>
        <w:rPr>
          <w:rFonts w:hint="eastAsia" w:asciiTheme="minorEastAsia" w:hAnsiTheme="minorEastAsia" w:eastAsiaTheme="minorEastAsia" w:cstheme="minorEastAsia"/>
          <w:b w:val="0"/>
          <w:bCs w:val="0"/>
          <w:color w:val="auto"/>
          <w:sz w:val="24"/>
          <w:szCs w:val="24"/>
          <w:highlight w:val="none"/>
        </w:rPr>
        <w:t>、投标函</w:t>
      </w:r>
    </w:p>
    <w:p w14:paraId="2543AA98">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十、中小微企业声明函</w:t>
      </w:r>
    </w:p>
    <w:p w14:paraId="33167E88">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十</w:t>
      </w:r>
      <w:r>
        <w:rPr>
          <w:rFonts w:hint="eastAsia" w:asciiTheme="minorEastAsia" w:hAnsiTheme="minorEastAsia" w:eastAsiaTheme="minorEastAsia" w:cstheme="minorEastAsia"/>
          <w:b w:val="0"/>
          <w:bCs w:val="0"/>
          <w:color w:val="auto"/>
          <w:sz w:val="24"/>
          <w:szCs w:val="24"/>
          <w:highlight w:val="none"/>
          <w:lang w:val="en-US" w:eastAsia="zh-CN"/>
        </w:rPr>
        <w:t>一</w:t>
      </w:r>
      <w:r>
        <w:rPr>
          <w:rFonts w:hint="eastAsia" w:asciiTheme="minorEastAsia" w:hAnsiTheme="minorEastAsia" w:eastAsiaTheme="minorEastAsia" w:cstheme="minorEastAsia"/>
          <w:b w:val="0"/>
          <w:bCs w:val="0"/>
          <w:color w:val="auto"/>
          <w:sz w:val="24"/>
          <w:szCs w:val="24"/>
          <w:highlight w:val="none"/>
        </w:rPr>
        <w:t>、残疾人福利性单位声明函</w:t>
      </w:r>
    </w:p>
    <w:p w14:paraId="7F47A44D">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十二、关于符合本国产品标准的声明函</w:t>
      </w:r>
    </w:p>
    <w:p w14:paraId="7F516D47">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十</w:t>
      </w:r>
      <w:r>
        <w:rPr>
          <w:rFonts w:hint="eastAsia" w:asciiTheme="minorEastAsia" w:hAnsiTheme="minorEastAsia" w:eastAsiaTheme="minorEastAsia" w:cstheme="minorEastAsia"/>
          <w:b w:val="0"/>
          <w:bCs w:val="0"/>
          <w:color w:val="auto"/>
          <w:sz w:val="24"/>
          <w:szCs w:val="24"/>
          <w:highlight w:val="none"/>
          <w:lang w:val="en-US" w:eastAsia="zh-CN"/>
        </w:rPr>
        <w:t>三</w:t>
      </w:r>
      <w:r>
        <w:rPr>
          <w:rFonts w:hint="eastAsia" w:asciiTheme="minorEastAsia" w:hAnsiTheme="minorEastAsia" w:eastAsiaTheme="minorEastAsia" w:cstheme="minorEastAsia"/>
          <w:b w:val="0"/>
          <w:bCs w:val="0"/>
          <w:color w:val="auto"/>
          <w:sz w:val="24"/>
          <w:szCs w:val="24"/>
          <w:highlight w:val="none"/>
        </w:rPr>
        <w:t>、</w:t>
      </w:r>
      <w:r>
        <w:rPr>
          <w:rFonts w:hint="eastAsia" w:asciiTheme="minorEastAsia" w:hAnsiTheme="minorEastAsia" w:eastAsiaTheme="minorEastAsia" w:cstheme="minorEastAsia"/>
          <w:b w:val="0"/>
          <w:bCs w:val="0"/>
          <w:iCs/>
          <w:color w:val="auto"/>
          <w:sz w:val="24"/>
          <w:szCs w:val="24"/>
          <w:highlight w:val="none"/>
          <w:u w:val="none"/>
        </w:rPr>
        <w:t>技术要求响应及偏离表</w:t>
      </w:r>
    </w:p>
    <w:p w14:paraId="3DB2B43A">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十四、</w:t>
      </w:r>
      <w:r>
        <w:rPr>
          <w:rFonts w:hint="eastAsia" w:asciiTheme="minorEastAsia" w:hAnsiTheme="minorEastAsia" w:eastAsiaTheme="minorEastAsia" w:cstheme="minorEastAsia"/>
          <w:b w:val="0"/>
          <w:bCs w:val="0"/>
          <w:color w:val="auto"/>
          <w:sz w:val="24"/>
          <w:szCs w:val="24"/>
          <w:highlight w:val="none"/>
        </w:rPr>
        <w:t>商务要求响应及偏离表</w:t>
      </w:r>
    </w:p>
    <w:p w14:paraId="65C3E4BD">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十</w:t>
      </w:r>
      <w:r>
        <w:rPr>
          <w:rFonts w:hint="eastAsia" w:asciiTheme="minorEastAsia" w:hAnsiTheme="minorEastAsia" w:eastAsiaTheme="minorEastAsia" w:cstheme="minorEastAsia"/>
          <w:b w:val="0"/>
          <w:bCs w:val="0"/>
          <w:color w:val="auto"/>
          <w:sz w:val="24"/>
          <w:szCs w:val="24"/>
          <w:highlight w:val="none"/>
          <w:lang w:val="en-US" w:eastAsia="zh-CN"/>
        </w:rPr>
        <w:t>五</w:t>
      </w:r>
      <w:r>
        <w:rPr>
          <w:rFonts w:hint="eastAsia" w:asciiTheme="minorEastAsia" w:hAnsiTheme="minorEastAsia" w:eastAsiaTheme="minorEastAsia" w:cstheme="minorEastAsia"/>
          <w:b w:val="0"/>
          <w:bCs w:val="0"/>
          <w:color w:val="auto"/>
          <w:sz w:val="24"/>
          <w:szCs w:val="24"/>
          <w:highlight w:val="none"/>
        </w:rPr>
        <w:t>、开标一览表</w:t>
      </w:r>
    </w:p>
    <w:p w14:paraId="5B9E8EB5">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十</w:t>
      </w:r>
      <w:r>
        <w:rPr>
          <w:rFonts w:hint="eastAsia" w:asciiTheme="minorEastAsia" w:hAnsiTheme="minorEastAsia" w:eastAsiaTheme="minorEastAsia" w:cstheme="minorEastAsia"/>
          <w:b w:val="0"/>
          <w:bCs w:val="0"/>
          <w:color w:val="auto"/>
          <w:sz w:val="24"/>
          <w:szCs w:val="24"/>
          <w:highlight w:val="none"/>
          <w:lang w:val="en-US" w:eastAsia="zh-CN"/>
        </w:rPr>
        <w:t>六</w:t>
      </w:r>
      <w:r>
        <w:rPr>
          <w:rFonts w:hint="eastAsia" w:asciiTheme="minorEastAsia" w:hAnsiTheme="minorEastAsia" w:eastAsiaTheme="minorEastAsia" w:cstheme="minorEastAsia"/>
          <w:b w:val="0"/>
          <w:bCs w:val="0"/>
          <w:color w:val="auto"/>
          <w:sz w:val="24"/>
          <w:szCs w:val="24"/>
          <w:highlight w:val="none"/>
        </w:rPr>
        <w:t>、盐城市政府采购事前信用承诺书</w:t>
      </w:r>
    </w:p>
    <w:p w14:paraId="48811AD4">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十</w:t>
      </w:r>
      <w:r>
        <w:rPr>
          <w:rFonts w:hint="eastAsia" w:asciiTheme="minorEastAsia" w:hAnsiTheme="minorEastAsia" w:eastAsiaTheme="minorEastAsia" w:cstheme="minorEastAsia"/>
          <w:b w:val="0"/>
          <w:bCs w:val="0"/>
          <w:color w:val="auto"/>
          <w:sz w:val="24"/>
          <w:szCs w:val="24"/>
          <w:highlight w:val="none"/>
          <w:lang w:val="en-US" w:eastAsia="zh-CN"/>
        </w:rPr>
        <w:t>七</w:t>
      </w:r>
      <w:r>
        <w:rPr>
          <w:rFonts w:hint="eastAsia" w:asciiTheme="minorEastAsia" w:hAnsiTheme="minorEastAsia" w:eastAsiaTheme="minorEastAsia" w:cstheme="minorEastAsia"/>
          <w:b w:val="0"/>
          <w:bCs w:val="0"/>
          <w:color w:val="auto"/>
          <w:sz w:val="24"/>
          <w:szCs w:val="24"/>
          <w:highlight w:val="none"/>
        </w:rPr>
        <w:t>、其他材料（如有）</w:t>
      </w:r>
    </w:p>
    <w:p w14:paraId="5A95F2C8">
      <w:pPr>
        <w:jc w:val="center"/>
        <w:rPr>
          <w:color w:val="auto"/>
        </w:rPr>
      </w:pPr>
    </w:p>
    <w:p w14:paraId="1C580764">
      <w:pPr>
        <w:pStyle w:val="201"/>
        <w:ind w:firstLine="560"/>
        <w:jc w:val="both"/>
        <w:rPr>
          <w:i/>
          <w:color w:val="auto"/>
          <w:sz w:val="30"/>
        </w:rPr>
      </w:pPr>
      <w:r>
        <w:rPr>
          <w:color w:val="auto"/>
        </w:rPr>
        <w:br w:type="page" w:clear="all"/>
      </w:r>
      <w:r>
        <w:rPr>
          <w:rFonts w:hint="eastAsia" w:ascii="黑体" w:hAnsi="黑体" w:eastAsia="黑体" w:cs="黑体"/>
          <w:i/>
          <w:color w:val="auto"/>
          <w:sz w:val="30"/>
          <w:u w:val="single"/>
        </w:rPr>
        <w:t>一、法人或者其他组织的营业执照等证明文件，自然人的身份证明</w:t>
      </w:r>
    </w:p>
    <w:p w14:paraId="6C4500B3">
      <w:pPr>
        <w:pStyle w:val="205"/>
        <w:spacing w:beforeAutospacing="0" w:afterAutospacing="0" w:line="500" w:lineRule="exact"/>
        <w:ind w:firstLine="600" w:firstLineChars="200"/>
        <w:jc w:val="both"/>
        <w:outlineLvl w:val="1"/>
        <w:rPr>
          <w:rFonts w:hint="eastAsia" w:ascii="黑体" w:hAnsi="黑体" w:eastAsia="黑体" w:cs="黑体"/>
          <w:i/>
          <w:color w:val="auto"/>
          <w:sz w:val="30"/>
          <w:szCs w:val="30"/>
          <w:u w:val="single"/>
        </w:rPr>
      </w:pPr>
    </w:p>
    <w:p w14:paraId="4A6A0F9B">
      <w:pPr>
        <w:pStyle w:val="205"/>
        <w:spacing w:beforeAutospacing="0" w:afterAutospacing="0" w:line="500" w:lineRule="exact"/>
        <w:ind w:firstLine="600" w:firstLineChars="200"/>
        <w:jc w:val="both"/>
        <w:outlineLvl w:val="1"/>
        <w:rPr>
          <w:rFonts w:ascii="黑体" w:hAnsi="黑体" w:eastAsia="黑体" w:cs="黑体"/>
          <w:i/>
          <w:color w:val="auto"/>
          <w:sz w:val="30"/>
          <w:szCs w:val="30"/>
          <w:u w:val="single"/>
        </w:rPr>
      </w:pPr>
      <w:r>
        <w:rPr>
          <w:rFonts w:hint="eastAsia" w:ascii="黑体" w:hAnsi="黑体" w:eastAsia="黑体" w:cs="黑体"/>
          <w:i/>
          <w:color w:val="auto"/>
          <w:sz w:val="30"/>
          <w:szCs w:val="30"/>
          <w:u w:val="single"/>
        </w:rPr>
        <w:t>二、上一年度的财务状况报表</w:t>
      </w:r>
    </w:p>
    <w:p w14:paraId="45B279EB">
      <w:pPr>
        <w:pStyle w:val="206"/>
        <w:spacing w:beforeAutospacing="0" w:afterAutospacing="0" w:line="360" w:lineRule="auto"/>
        <w:ind w:firstLine="480"/>
        <w:jc w:val="both"/>
        <w:rPr>
          <w:color w:val="auto"/>
        </w:rPr>
      </w:pPr>
      <w:r>
        <w:rPr>
          <w:rFonts w:hint="eastAsia"/>
          <w:color w:val="auto"/>
        </w:rPr>
        <w:t>（</w:t>
      </w:r>
      <w:r>
        <w:rPr>
          <w:rFonts w:hint="eastAsia" w:ascii="宋体" w:hAnsi="宋体" w:cs="宋体"/>
          <w:color w:val="auto"/>
        </w:rPr>
        <w:t>至少提供资产负债表、利润表、现金流量表，供应商成立不满一年不需提供。</w:t>
      </w:r>
      <w:r>
        <w:rPr>
          <w:rFonts w:hint="eastAsia"/>
          <w:color w:val="auto"/>
        </w:rPr>
        <w:t>）</w:t>
      </w:r>
    </w:p>
    <w:p w14:paraId="18CA65D6">
      <w:pPr>
        <w:pStyle w:val="207"/>
        <w:spacing w:line="400" w:lineRule="exact"/>
        <w:ind w:firstLine="480"/>
        <w:jc w:val="center"/>
        <w:rPr>
          <w:color w:val="auto"/>
          <w:sz w:val="24"/>
          <w:szCs w:val="21"/>
        </w:rPr>
      </w:pPr>
    </w:p>
    <w:p w14:paraId="314922D7">
      <w:pPr>
        <w:pStyle w:val="205"/>
        <w:spacing w:beforeAutospacing="0" w:afterAutospacing="0" w:line="500" w:lineRule="exact"/>
        <w:ind w:firstLine="600" w:firstLineChars="200"/>
        <w:jc w:val="both"/>
        <w:outlineLvl w:val="1"/>
        <w:rPr>
          <w:rFonts w:ascii="黑体" w:hAnsi="黑体" w:eastAsia="黑体" w:cs="黑体"/>
          <w:i/>
          <w:color w:val="auto"/>
          <w:sz w:val="30"/>
          <w:szCs w:val="30"/>
          <w:u w:val="single"/>
        </w:rPr>
      </w:pPr>
      <w:r>
        <w:rPr>
          <w:rFonts w:hint="eastAsia" w:ascii="黑体" w:hAnsi="黑体" w:eastAsia="黑体" w:cs="黑体"/>
          <w:i/>
          <w:color w:val="auto"/>
          <w:sz w:val="30"/>
          <w:szCs w:val="30"/>
          <w:u w:val="single"/>
        </w:rPr>
        <w:t>三、具备履行合同所必需的设备和专业技术能力的书面声明</w:t>
      </w:r>
    </w:p>
    <w:p w14:paraId="027106D8">
      <w:pPr>
        <w:pStyle w:val="205"/>
        <w:spacing w:beforeAutospacing="0" w:afterAutospacing="0" w:line="500" w:lineRule="exact"/>
        <w:ind w:firstLine="480"/>
        <w:jc w:val="both"/>
        <w:rPr>
          <w:color w:val="auto"/>
        </w:rPr>
      </w:pPr>
      <w:r>
        <w:rPr>
          <w:rFonts w:hint="eastAsia"/>
          <w:color w:val="auto"/>
        </w:rPr>
        <w:t>我单位郑重声明：我单位具备履行本项采购合同所必需的设备和专业技术能力，为履行本项采购合同我公司具备如下主要设备和主要专业技术能力：</w:t>
      </w:r>
    </w:p>
    <w:p w14:paraId="749DB0E2">
      <w:pPr>
        <w:pStyle w:val="205"/>
        <w:spacing w:beforeAutospacing="0" w:afterAutospacing="0" w:line="500" w:lineRule="exact"/>
        <w:ind w:firstLine="480"/>
        <w:jc w:val="both"/>
        <w:rPr>
          <w:color w:val="auto"/>
        </w:rPr>
      </w:pPr>
      <w:r>
        <w:rPr>
          <w:rFonts w:hint="eastAsia"/>
          <w:color w:val="auto"/>
        </w:rPr>
        <w:t>主要设备有：</w:t>
      </w:r>
      <w:r>
        <w:rPr>
          <w:rFonts w:hint="eastAsia"/>
          <w:color w:val="auto"/>
          <w:u w:val="single"/>
        </w:rPr>
        <w:t xml:space="preserve">            </w:t>
      </w:r>
      <w:r>
        <w:rPr>
          <w:rFonts w:hint="eastAsia"/>
          <w:color w:val="auto"/>
        </w:rPr>
        <w:t>。</w:t>
      </w:r>
    </w:p>
    <w:p w14:paraId="2B677B04">
      <w:pPr>
        <w:pStyle w:val="205"/>
        <w:spacing w:beforeAutospacing="0" w:afterAutospacing="0" w:line="500" w:lineRule="exact"/>
        <w:ind w:firstLine="480"/>
        <w:jc w:val="both"/>
        <w:rPr>
          <w:color w:val="auto"/>
        </w:rPr>
      </w:pPr>
      <w:r>
        <w:rPr>
          <w:rFonts w:hint="eastAsia"/>
          <w:color w:val="auto"/>
        </w:rPr>
        <w:t>主要专业技术能力有：</w:t>
      </w:r>
      <w:r>
        <w:rPr>
          <w:rFonts w:hint="eastAsia"/>
          <w:color w:val="auto"/>
          <w:u w:val="single"/>
        </w:rPr>
        <w:t xml:space="preserve">   </w:t>
      </w:r>
      <w:r>
        <w:rPr>
          <w:rFonts w:hint="eastAsia"/>
          <w:color w:val="auto"/>
        </w:rPr>
        <w:t>。</w:t>
      </w:r>
    </w:p>
    <w:p w14:paraId="55B4E023">
      <w:pPr>
        <w:jc w:val="both"/>
        <w:rPr>
          <w:rFonts w:hint="eastAsia" w:ascii="黑体" w:hAnsi="黑体" w:eastAsia="黑体" w:cs="黑体"/>
          <w:i/>
          <w:color w:val="auto"/>
          <w:sz w:val="30"/>
          <w:szCs w:val="30"/>
          <w:u w:val="single"/>
        </w:rPr>
      </w:pPr>
    </w:p>
    <w:p w14:paraId="59C38EFA">
      <w:pPr>
        <w:ind w:firstLine="600" w:firstLineChars="200"/>
        <w:jc w:val="both"/>
        <w:rPr>
          <w:rFonts w:ascii="黑体" w:hAnsi="黑体" w:eastAsia="黑体" w:cs="黑体"/>
          <w:iCs/>
          <w:color w:val="auto"/>
          <w:sz w:val="30"/>
          <w:szCs w:val="30"/>
          <w:u w:val="single"/>
        </w:rPr>
      </w:pPr>
      <w:r>
        <w:rPr>
          <w:rFonts w:hint="eastAsia" w:ascii="黑体" w:hAnsi="黑体" w:eastAsia="黑体" w:cs="黑体"/>
          <w:i/>
          <w:color w:val="auto"/>
          <w:sz w:val="30"/>
          <w:szCs w:val="30"/>
          <w:u w:val="single"/>
        </w:rPr>
        <w:t>四、依法缴纳税收和社会保障资金的相关材料</w:t>
      </w:r>
    </w:p>
    <w:p w14:paraId="7EF296B4">
      <w:pPr>
        <w:pStyle w:val="205"/>
        <w:spacing w:beforeAutospacing="0" w:afterAutospacing="0" w:line="440" w:lineRule="exact"/>
        <w:ind w:firstLine="480"/>
        <w:jc w:val="both"/>
        <w:rPr>
          <w:color w:val="auto"/>
          <w:szCs w:val="24"/>
        </w:rPr>
      </w:pPr>
      <w:r>
        <w:rPr>
          <w:rFonts w:hint="eastAsia"/>
          <w:color w:val="auto"/>
          <w:szCs w:val="24"/>
        </w:rPr>
        <w:t>提供提交投标文件截止时间前一年内至少一个月依法缴纳税收及缴纳社会保障资金的证明材料。供应商依法享受缓缴、免缴税收、社会保障资金的提供证明材料。</w:t>
      </w:r>
    </w:p>
    <w:p w14:paraId="0B0408F2">
      <w:pPr>
        <w:ind w:firstLine="440"/>
        <w:rPr>
          <w:color w:val="auto"/>
        </w:rPr>
      </w:pPr>
    </w:p>
    <w:p w14:paraId="3330C064">
      <w:pPr>
        <w:pStyle w:val="205"/>
        <w:spacing w:beforeAutospacing="0" w:afterAutospacing="0" w:line="500" w:lineRule="exact"/>
        <w:ind w:firstLine="640" w:firstLineChars="200"/>
        <w:jc w:val="left"/>
        <w:outlineLvl w:val="1"/>
        <w:rPr>
          <w:rFonts w:hint="eastAsia" w:ascii="黑体" w:hAnsi="宋体" w:eastAsia="黑体" w:cs="黑体"/>
          <w:i/>
          <w:color w:val="000000"/>
          <w:kern w:val="0"/>
          <w:sz w:val="32"/>
          <w:szCs w:val="32"/>
          <w:highlight w:val="none"/>
          <w:u w:val="single"/>
          <w:lang w:val="en-US" w:eastAsia="zh-CN" w:bidi="ar-SA"/>
        </w:rPr>
      </w:pPr>
      <w:r>
        <w:rPr>
          <w:rFonts w:hint="eastAsia" w:ascii="黑体" w:hAnsi="宋体" w:eastAsia="黑体" w:cs="黑体"/>
          <w:i/>
          <w:color w:val="000000"/>
          <w:kern w:val="0"/>
          <w:sz w:val="32"/>
          <w:szCs w:val="32"/>
          <w:highlight w:val="none"/>
          <w:u w:val="single"/>
          <w:lang w:val="en-US" w:eastAsia="zh-CN" w:bidi="ar-SA"/>
        </w:rPr>
        <w:t>五、参加政府采购活动前 3 年内在经营活动中没有重大违法记录的书面声明</w:t>
      </w:r>
    </w:p>
    <w:p w14:paraId="47E27F7C">
      <w:pPr>
        <w:pStyle w:val="205"/>
        <w:spacing w:beforeAutospacing="0" w:afterAutospacing="0" w:line="500" w:lineRule="exact"/>
        <w:ind w:firstLine="3618"/>
        <w:jc w:val="both"/>
        <w:rPr>
          <w:b/>
          <w:color w:val="auto"/>
          <w:sz w:val="44"/>
          <w:szCs w:val="44"/>
        </w:rPr>
      </w:pPr>
    </w:p>
    <w:p w14:paraId="3AAF0C40">
      <w:pPr>
        <w:pStyle w:val="205"/>
        <w:spacing w:beforeAutospacing="0" w:afterAutospacing="0" w:line="500" w:lineRule="exact"/>
        <w:ind w:firstLine="3618"/>
        <w:jc w:val="both"/>
        <w:rPr>
          <w:color w:val="auto"/>
        </w:rPr>
      </w:pPr>
      <w:r>
        <w:rPr>
          <w:rFonts w:hint="eastAsia"/>
          <w:b/>
          <w:color w:val="auto"/>
          <w:sz w:val="44"/>
          <w:szCs w:val="44"/>
        </w:rPr>
        <w:t>声  明</w:t>
      </w:r>
    </w:p>
    <w:p w14:paraId="124B667A">
      <w:pPr>
        <w:pStyle w:val="205"/>
        <w:spacing w:beforeAutospacing="0" w:afterAutospacing="0" w:line="500" w:lineRule="exact"/>
        <w:ind w:firstLine="482"/>
        <w:jc w:val="both"/>
        <w:rPr>
          <w:color w:val="auto"/>
        </w:rPr>
      </w:pPr>
      <w:r>
        <w:rPr>
          <w:rFonts w:hint="eastAsia"/>
          <w:color w:val="auto"/>
        </w:rPr>
        <w:t>我单位郑重声明：参加本次政府采购活动前 3 年内，我单位在经营活动中</w:t>
      </w:r>
      <w:r>
        <w:rPr>
          <w:rFonts w:hint="eastAsia"/>
          <w:color w:val="auto"/>
          <w:szCs w:val="24"/>
        </w:rPr>
        <w:t>没有重大违法记录且</w:t>
      </w:r>
      <w:r>
        <w:rPr>
          <w:rFonts w:hint="eastAsia"/>
          <w:color w:val="auto"/>
        </w:rPr>
        <w:t>没有因违法经营受到刑事处罚或者责令停产停业、吊销许可证或者执照、较大数额罚款等行政处罚。</w:t>
      </w:r>
    </w:p>
    <w:p w14:paraId="1F97A030">
      <w:pPr>
        <w:pStyle w:val="205"/>
        <w:ind w:firstLine="480"/>
        <w:rPr>
          <w:color w:val="auto"/>
        </w:rPr>
      </w:pPr>
    </w:p>
    <w:p w14:paraId="68B4B1B8">
      <w:pPr>
        <w:pStyle w:val="205"/>
        <w:ind w:firstLine="480"/>
        <w:rPr>
          <w:color w:val="auto"/>
        </w:rPr>
      </w:pPr>
    </w:p>
    <w:p w14:paraId="4C11970F">
      <w:pPr>
        <w:pStyle w:val="205"/>
        <w:ind w:firstLine="480"/>
        <w:rPr>
          <w:color w:val="auto"/>
        </w:rPr>
      </w:pPr>
    </w:p>
    <w:p w14:paraId="38BD0657">
      <w:pPr>
        <w:pStyle w:val="205"/>
        <w:ind w:firstLine="480"/>
        <w:rPr>
          <w:color w:val="auto"/>
        </w:rPr>
      </w:pPr>
    </w:p>
    <w:p w14:paraId="611282AE">
      <w:pPr>
        <w:pStyle w:val="36"/>
        <w:spacing w:beforeAutospacing="0" w:afterAutospacing="0"/>
        <w:jc w:val="both"/>
        <w:rPr>
          <w:rFonts w:ascii="宋体" w:hAnsi="宋体" w:cs="宋体"/>
          <w:b/>
          <w:bCs/>
          <w:i/>
          <w:iCs/>
          <w:color w:val="auto"/>
          <w:sz w:val="30"/>
          <w:szCs w:val="30"/>
        </w:rPr>
      </w:pPr>
      <w:r>
        <w:rPr>
          <w:rFonts w:hint="eastAsia" w:ascii="宋体" w:hAnsi="宋体" w:cs="宋体"/>
          <w:b/>
          <w:bCs/>
          <w:i/>
          <w:iCs/>
          <w:color w:val="auto"/>
          <w:sz w:val="30"/>
          <w:szCs w:val="30"/>
          <w:u w:val="single"/>
        </w:rPr>
        <w:t>六、单位负责人为同一人或者存在直接控股、</w:t>
      </w:r>
      <w:r>
        <w:rPr>
          <w:rFonts w:hint="eastAsia" w:ascii="宋体" w:hAnsi="宋体" w:cs="宋体"/>
          <w:b/>
          <w:bCs/>
          <w:i/>
          <w:iCs/>
          <w:color w:val="auto"/>
          <w:sz w:val="30"/>
          <w:szCs w:val="30"/>
          <w:u w:val="single"/>
          <w:lang w:eastAsia="zh-CN"/>
        </w:rPr>
        <w:t>管理</w:t>
      </w:r>
      <w:r>
        <w:rPr>
          <w:rFonts w:hint="eastAsia" w:ascii="宋体" w:hAnsi="宋体" w:cs="宋体"/>
          <w:b/>
          <w:bCs/>
          <w:i/>
          <w:iCs/>
          <w:color w:val="auto"/>
          <w:sz w:val="30"/>
          <w:szCs w:val="30"/>
          <w:u w:val="single"/>
        </w:rPr>
        <w:t>关系的不同供应商，不得参加同一合同项下的政府采购活动证明文件</w:t>
      </w:r>
    </w:p>
    <w:p w14:paraId="35F85C25">
      <w:pPr>
        <w:pStyle w:val="36"/>
        <w:spacing w:beforeAutospacing="0" w:afterAutospacing="0" w:line="0" w:lineRule="atLeast"/>
        <w:ind w:firstLine="1680"/>
        <w:jc w:val="both"/>
        <w:rPr>
          <w:rFonts w:ascii="宋体" w:hAnsi="宋体" w:cs="宋体"/>
          <w:b/>
          <w:bCs/>
          <w:color w:val="auto"/>
          <w:sz w:val="44"/>
          <w:szCs w:val="44"/>
        </w:rPr>
      </w:pPr>
      <w:r>
        <w:rPr>
          <w:rFonts w:hint="eastAsia" w:ascii="宋体" w:hAnsi="宋体" w:cs="宋体"/>
          <w:color w:val="auto"/>
          <w:szCs w:val="24"/>
        </w:rPr>
        <w:t xml:space="preserve">       </w:t>
      </w:r>
      <w:r>
        <w:rPr>
          <w:rFonts w:hint="eastAsia" w:ascii="宋体" w:hAnsi="宋体" w:cs="宋体"/>
          <w:b/>
          <w:bCs/>
          <w:color w:val="auto"/>
          <w:sz w:val="44"/>
          <w:szCs w:val="44"/>
        </w:rPr>
        <w:t xml:space="preserve">   </w:t>
      </w:r>
    </w:p>
    <w:p w14:paraId="5329634C">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rPr>
      </w:pPr>
      <w:bookmarkStart w:id="98" w:name="OLE_LINK76"/>
      <w:r>
        <w:rPr>
          <w:rFonts w:hint="eastAsia" w:ascii="宋体" w:hAnsi="宋体" w:eastAsia="宋体" w:cs="宋体"/>
          <w:b/>
          <w:color w:val="000000"/>
          <w:sz w:val="36"/>
          <w:szCs w:val="36"/>
        </w:rPr>
        <w:t>声  明</w:t>
      </w:r>
    </w:p>
    <w:p w14:paraId="003B5FE2">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color w:val="000000"/>
          <w:sz w:val="24"/>
        </w:rPr>
      </w:pPr>
      <w:r>
        <w:rPr>
          <w:rFonts w:hint="eastAsia" w:ascii="宋体" w:hAnsi="宋体" w:eastAsia="宋体" w:cs="宋体"/>
          <w:color w:val="000000"/>
          <w:sz w:val="24"/>
        </w:rPr>
        <w:t>我单位不存在：单位负责人为同一人或者存在直接控股、管理关系的不同供应商，同时参加同一合同项下的政府采购活动。</w:t>
      </w:r>
    </w:p>
    <w:p w14:paraId="51D4BF33">
      <w:pPr>
        <w:pStyle w:val="24"/>
        <w:rPr>
          <w:rFonts w:hint="eastAsia" w:ascii="宋体" w:hAnsi="宋体" w:eastAsia="宋体" w:cs="宋体"/>
          <w:color w:val="000000"/>
          <w:sz w:val="24"/>
        </w:rPr>
      </w:pPr>
    </w:p>
    <w:bookmarkEnd w:id="98"/>
    <w:p w14:paraId="2C391B46">
      <w:pPr>
        <w:pStyle w:val="205"/>
        <w:spacing w:beforeAutospacing="0" w:afterAutospacing="0" w:line="500" w:lineRule="exact"/>
        <w:jc w:val="both"/>
        <w:outlineLvl w:val="1"/>
        <w:rPr>
          <w:rFonts w:ascii="黑体" w:hAnsi="黑体" w:eastAsia="黑体" w:cs="黑体"/>
          <w:i/>
          <w:color w:val="auto"/>
          <w:sz w:val="30"/>
          <w:szCs w:val="30"/>
          <w:u w:val="single"/>
        </w:rPr>
      </w:pPr>
      <w:r>
        <w:rPr>
          <w:rFonts w:hint="eastAsia"/>
          <w:b/>
          <w:bCs/>
          <w:i/>
          <w:iCs/>
          <w:color w:val="auto"/>
          <w:sz w:val="30"/>
          <w:szCs w:val="30"/>
          <w:u w:val="single"/>
        </w:rPr>
        <w:t>七、</w:t>
      </w:r>
      <w:r>
        <w:rPr>
          <w:rFonts w:hint="eastAsia" w:ascii="黑体" w:hAnsi="黑体" w:eastAsia="黑体" w:cs="黑体"/>
          <w:i/>
          <w:color w:val="auto"/>
          <w:sz w:val="30"/>
          <w:szCs w:val="30"/>
          <w:u w:val="single"/>
        </w:rPr>
        <w:t>特定资格要求的证明文件</w:t>
      </w:r>
    </w:p>
    <w:p w14:paraId="742BB3C4">
      <w:pPr>
        <w:pStyle w:val="205"/>
        <w:spacing w:beforeAutospacing="0" w:afterAutospacing="0" w:line="500" w:lineRule="exact"/>
        <w:ind w:firstLine="480"/>
        <w:jc w:val="both"/>
        <w:rPr>
          <w:color w:val="auto"/>
        </w:rPr>
      </w:pPr>
      <w:r>
        <w:rPr>
          <w:rFonts w:hint="eastAsia"/>
          <w:color w:val="auto"/>
        </w:rPr>
        <w:t>如果本项目申请人的特定资格要求中要求提供的，必须提供。</w:t>
      </w:r>
    </w:p>
    <w:p w14:paraId="308B6BD2">
      <w:pPr>
        <w:pStyle w:val="209"/>
        <w:spacing w:line="240" w:lineRule="auto"/>
        <w:ind w:firstLine="883"/>
        <w:rPr>
          <w:color w:val="auto"/>
        </w:rPr>
      </w:pPr>
    </w:p>
    <w:p w14:paraId="489933D6">
      <w:pPr>
        <w:ind w:firstLine="440"/>
        <w:rPr>
          <w:color w:val="auto"/>
        </w:rPr>
      </w:pPr>
    </w:p>
    <w:p w14:paraId="58B321B1">
      <w:pPr>
        <w:pStyle w:val="210"/>
        <w:ind w:firstLine="440"/>
        <w:rPr>
          <w:color w:val="auto"/>
        </w:rPr>
      </w:pPr>
    </w:p>
    <w:p w14:paraId="1D20A3A1">
      <w:pPr>
        <w:ind w:firstLine="440"/>
        <w:rPr>
          <w:color w:val="auto"/>
        </w:rPr>
      </w:pPr>
    </w:p>
    <w:p w14:paraId="2D7602C9">
      <w:pPr>
        <w:ind w:firstLine="440"/>
        <w:rPr>
          <w:color w:val="auto"/>
        </w:rPr>
      </w:pPr>
    </w:p>
    <w:p w14:paraId="0E43F4B9">
      <w:pPr>
        <w:rPr>
          <w:rFonts w:hint="eastAsia" w:eastAsia="宋体"/>
          <w:color w:val="auto"/>
          <w:lang w:eastAsia="zh-CN"/>
        </w:rPr>
      </w:pPr>
    </w:p>
    <w:p w14:paraId="648DDD9C">
      <w:pPr>
        <w:ind w:firstLine="440"/>
        <w:rPr>
          <w:color w:val="auto"/>
        </w:rPr>
      </w:pPr>
    </w:p>
    <w:p w14:paraId="7044C6C4">
      <w:pPr>
        <w:ind w:firstLine="440"/>
        <w:rPr>
          <w:color w:val="auto"/>
        </w:rPr>
      </w:pPr>
    </w:p>
    <w:p w14:paraId="3959CE71">
      <w:pPr>
        <w:ind w:firstLine="440"/>
        <w:rPr>
          <w:color w:val="auto"/>
        </w:rPr>
      </w:pPr>
    </w:p>
    <w:p w14:paraId="0A7BE4AA">
      <w:pPr>
        <w:ind w:firstLine="440"/>
        <w:rPr>
          <w:color w:val="auto"/>
        </w:rPr>
      </w:pPr>
    </w:p>
    <w:p w14:paraId="482101AA">
      <w:pPr>
        <w:ind w:firstLine="440"/>
        <w:rPr>
          <w:color w:val="auto"/>
        </w:rPr>
      </w:pPr>
    </w:p>
    <w:p w14:paraId="2C123B93">
      <w:pPr>
        <w:ind w:firstLine="440"/>
        <w:rPr>
          <w:color w:val="auto"/>
        </w:rPr>
      </w:pPr>
    </w:p>
    <w:p w14:paraId="542C021C">
      <w:pPr>
        <w:ind w:firstLine="440"/>
        <w:rPr>
          <w:color w:val="auto"/>
        </w:rPr>
      </w:pPr>
    </w:p>
    <w:p w14:paraId="0A0BA45A">
      <w:pPr>
        <w:ind w:firstLine="440"/>
        <w:rPr>
          <w:color w:val="auto"/>
        </w:rPr>
      </w:pPr>
    </w:p>
    <w:p w14:paraId="6D5D22BC">
      <w:pPr>
        <w:ind w:firstLine="440"/>
        <w:rPr>
          <w:color w:val="auto"/>
        </w:rPr>
      </w:pPr>
    </w:p>
    <w:p w14:paraId="35AA6054">
      <w:pPr>
        <w:ind w:firstLine="440"/>
        <w:rPr>
          <w:color w:val="auto"/>
        </w:rPr>
      </w:pPr>
    </w:p>
    <w:p w14:paraId="64A79E00">
      <w:pPr>
        <w:pStyle w:val="205"/>
        <w:ind w:firstLine="480"/>
        <w:rPr>
          <w:color w:val="auto"/>
        </w:rPr>
      </w:pPr>
    </w:p>
    <w:p w14:paraId="6ED97401">
      <w:pPr>
        <w:pStyle w:val="205"/>
        <w:ind w:firstLine="480"/>
        <w:rPr>
          <w:color w:val="auto"/>
        </w:rPr>
      </w:pPr>
    </w:p>
    <w:p w14:paraId="7320C4F3">
      <w:pPr>
        <w:pStyle w:val="205"/>
        <w:ind w:firstLine="480"/>
        <w:rPr>
          <w:color w:val="auto"/>
        </w:rPr>
      </w:pPr>
    </w:p>
    <w:p w14:paraId="230DEE79">
      <w:pPr>
        <w:ind w:firstLine="560"/>
        <w:rPr>
          <w:color w:val="auto"/>
        </w:rPr>
      </w:pPr>
      <w:r>
        <w:rPr>
          <w:rFonts w:hint="eastAsia"/>
          <w:color w:val="auto"/>
        </w:rPr>
        <w:br w:type="page" w:clear="all"/>
      </w:r>
    </w:p>
    <w:p w14:paraId="780AA2DD">
      <w:pPr>
        <w:pStyle w:val="205"/>
        <w:spacing w:beforeAutospacing="0" w:afterAutospacing="0" w:line="500" w:lineRule="exact"/>
        <w:jc w:val="center"/>
        <w:outlineLvl w:val="1"/>
        <w:rPr>
          <w:rFonts w:hint="default" w:ascii="黑体" w:hAnsi="黑体" w:eastAsia="黑体" w:cs="黑体"/>
          <w:i/>
          <w:color w:val="auto"/>
          <w:sz w:val="30"/>
          <w:szCs w:val="30"/>
          <w:u w:val="single"/>
          <w:lang w:val="en-US" w:eastAsia="zh-CN"/>
        </w:rPr>
      </w:pPr>
      <w:r>
        <w:rPr>
          <w:rFonts w:hint="eastAsia" w:ascii="黑体" w:hAnsi="黑体" w:eastAsia="黑体" w:cs="黑体"/>
          <w:i/>
          <w:color w:val="auto"/>
          <w:sz w:val="30"/>
          <w:szCs w:val="30"/>
          <w:u w:val="single"/>
          <w:lang w:val="en-US" w:eastAsia="zh-CN"/>
        </w:rPr>
        <w:t>八</w:t>
      </w:r>
      <w:r>
        <w:rPr>
          <w:rFonts w:hint="eastAsia" w:ascii="黑体" w:hAnsi="黑体" w:eastAsia="黑体" w:cs="黑体"/>
          <w:i/>
          <w:color w:val="auto"/>
          <w:sz w:val="30"/>
          <w:szCs w:val="30"/>
          <w:u w:val="single"/>
        </w:rPr>
        <w:t>、法人授权书</w:t>
      </w:r>
      <w:r>
        <w:rPr>
          <w:rFonts w:hint="eastAsia" w:ascii="黑体" w:hAnsi="黑体" w:eastAsia="黑体" w:cs="黑体"/>
          <w:i/>
          <w:color w:val="auto"/>
          <w:sz w:val="30"/>
          <w:szCs w:val="30"/>
          <w:u w:val="single"/>
          <w:lang w:eastAsia="zh-CN"/>
        </w:rPr>
        <w:t>（</w:t>
      </w:r>
      <w:r>
        <w:rPr>
          <w:rFonts w:hint="eastAsia" w:ascii="黑体" w:hAnsi="黑体" w:eastAsia="黑体" w:cs="黑体"/>
          <w:i/>
          <w:color w:val="auto"/>
          <w:sz w:val="30"/>
          <w:szCs w:val="30"/>
          <w:u w:val="single"/>
          <w:lang w:val="en-US" w:eastAsia="zh-CN"/>
        </w:rPr>
        <w:t>采购包    ）</w:t>
      </w:r>
    </w:p>
    <w:p w14:paraId="64B95294">
      <w:pPr>
        <w:pStyle w:val="205"/>
        <w:spacing w:line="360" w:lineRule="auto"/>
        <w:ind w:firstLine="482"/>
        <w:rPr>
          <w:color w:val="auto"/>
        </w:rPr>
      </w:pPr>
      <w:r>
        <w:rPr>
          <w:rFonts w:hint="eastAsia"/>
          <w:color w:val="auto"/>
        </w:rPr>
        <w:t>本授权书声明：____________（供应商名称）授权________________（被授权人的姓名）为我方就</w:t>
      </w:r>
      <w:r>
        <w:rPr>
          <w:rFonts w:hint="eastAsia"/>
          <w:color w:val="auto"/>
          <w:u w:val="single"/>
          <w:lang w:val="en-US" w:eastAsia="zh-CN"/>
        </w:rPr>
        <w:t xml:space="preserve">                     </w:t>
      </w:r>
      <w:r>
        <w:rPr>
          <w:rFonts w:hint="eastAsia"/>
          <w:color w:val="auto"/>
        </w:rPr>
        <w:t>号</w:t>
      </w:r>
      <w:r>
        <w:rPr>
          <w:rFonts w:hint="eastAsia"/>
          <w:color w:val="auto"/>
          <w:sz w:val="24"/>
          <w:szCs w:val="20"/>
          <w:u w:val="single"/>
          <w:lang w:val="en-US" w:eastAsia="zh-CN"/>
        </w:rPr>
        <w:t xml:space="preserve">                   </w:t>
      </w:r>
      <w:r>
        <w:rPr>
          <w:rFonts w:hint="eastAsia"/>
          <w:color w:val="auto"/>
        </w:rPr>
        <w:t>采购活动的合法代理人，以本单位名义全权处理一切与该项目采购有关的事务。</w:t>
      </w:r>
    </w:p>
    <w:p w14:paraId="3C8034B6">
      <w:pPr>
        <w:pStyle w:val="205"/>
        <w:spacing w:line="360" w:lineRule="auto"/>
        <w:ind w:firstLine="482"/>
        <w:rPr>
          <w:color w:val="auto"/>
        </w:rPr>
      </w:pPr>
      <w:r>
        <w:rPr>
          <w:rFonts w:hint="eastAsia"/>
          <w:color w:val="auto"/>
        </w:rPr>
        <w:t>本授权书于______年____月____日起生效，特此声明。</w:t>
      </w:r>
    </w:p>
    <w:p w14:paraId="2AFB2ED2">
      <w:pPr>
        <w:pStyle w:val="205"/>
        <w:spacing w:line="360" w:lineRule="auto"/>
        <w:ind w:firstLine="482"/>
        <w:rPr>
          <w:color w:val="auto"/>
        </w:rPr>
      </w:pPr>
      <w:r>
        <w:rPr>
          <w:rFonts w:hint="eastAsia"/>
          <w:color w:val="auto"/>
        </w:rPr>
        <w:t>被授权人身份证号码：</w:t>
      </w:r>
      <w:r>
        <w:rPr>
          <w:rFonts w:hint="eastAsia"/>
          <w:color w:val="auto"/>
          <w:u w:val="single"/>
        </w:rPr>
        <w:t xml:space="preserve">                 </w:t>
      </w:r>
      <w:r>
        <w:rPr>
          <w:rFonts w:hint="eastAsia"/>
          <w:color w:val="auto"/>
        </w:rPr>
        <w:t>             </w:t>
      </w:r>
    </w:p>
    <w:p w14:paraId="409B930F">
      <w:pPr>
        <w:pStyle w:val="205"/>
        <w:spacing w:line="360" w:lineRule="auto"/>
        <w:ind w:firstLine="482"/>
        <w:rPr>
          <w:color w:val="auto"/>
        </w:rPr>
      </w:pPr>
      <w:r>
        <w:rPr>
          <w:rFonts w:hint="eastAsia"/>
          <w:color w:val="auto"/>
        </w:rPr>
        <w:t>被授权人联系电话：</w:t>
      </w:r>
      <w:r>
        <w:rPr>
          <w:rFonts w:hint="eastAsia"/>
          <w:color w:val="auto"/>
          <w:u w:val="single"/>
        </w:rPr>
        <w:t xml:space="preserve">  （手机）              </w:t>
      </w:r>
      <w:r>
        <w:rPr>
          <w:rFonts w:hint="eastAsia"/>
          <w:color w:val="auto"/>
        </w:rPr>
        <w:t xml:space="preserve">                   </w:t>
      </w:r>
    </w:p>
    <w:p w14:paraId="1069ECD7">
      <w:pPr>
        <w:pStyle w:val="205"/>
        <w:spacing w:line="360" w:lineRule="auto"/>
        <w:ind w:firstLine="482"/>
        <w:rPr>
          <w:color w:val="auto"/>
        </w:rPr>
      </w:pPr>
      <w:r>
        <w:rPr>
          <w:rFonts w:hint="eastAsia"/>
          <w:color w:val="auto"/>
        </w:rPr>
        <w:t>授权单位名称：</w:t>
      </w:r>
      <w:r>
        <w:rPr>
          <w:rFonts w:hint="eastAsia"/>
          <w:color w:val="auto"/>
          <w:u w:val="single"/>
        </w:rPr>
        <w:t xml:space="preserve">（加盖CA电子公章）          </w:t>
      </w:r>
    </w:p>
    <w:p w14:paraId="3EC3492E">
      <w:pPr>
        <w:pStyle w:val="205"/>
        <w:spacing w:line="360" w:lineRule="auto"/>
        <w:ind w:firstLine="482"/>
        <w:rPr>
          <w:color w:val="auto"/>
        </w:rPr>
      </w:pPr>
      <w:r>
        <w:rPr>
          <w:rFonts w:hint="eastAsia"/>
          <w:color w:val="auto"/>
        </w:rPr>
        <w:t>单 位 地 址：</w:t>
      </w:r>
      <w:r>
        <w:rPr>
          <w:rFonts w:hint="eastAsia"/>
          <w:color w:val="auto"/>
          <w:u w:val="single"/>
        </w:rPr>
        <w:t xml:space="preserve">                      </w:t>
      </w:r>
      <w:r>
        <w:rPr>
          <w:rFonts w:hint="eastAsia"/>
          <w:color w:val="auto"/>
        </w:rPr>
        <w:t xml:space="preserve">          </w:t>
      </w:r>
    </w:p>
    <w:p w14:paraId="4A9293F6">
      <w:pPr>
        <w:pStyle w:val="205"/>
        <w:spacing w:line="360" w:lineRule="auto"/>
        <w:ind w:firstLine="482"/>
        <w:rPr>
          <w:color w:val="auto"/>
        </w:rPr>
      </w:pPr>
      <w:r>
        <w:rPr>
          <w:rFonts w:hint="eastAsia"/>
          <w:color w:val="auto"/>
        </w:rPr>
        <w:t>日       期：</w:t>
      </w:r>
      <w:r>
        <w:rPr>
          <w:rFonts w:hint="eastAsia"/>
          <w:color w:val="auto"/>
          <w:u w:val="single"/>
        </w:rPr>
        <w:t xml:space="preserve">                           </w:t>
      </w:r>
    </w:p>
    <w:p w14:paraId="3F855DCE">
      <w:pPr>
        <w:pStyle w:val="205"/>
        <w:jc w:val="both"/>
        <w:rPr>
          <w:color w:val="auto"/>
        </w:rPr>
      </w:pPr>
      <w:r>
        <w:rPr>
          <w:rFonts w:hint="eastAsia"/>
          <w:color w:val="auto"/>
        </w:rPr>
        <w:t>                            </w:t>
      </w:r>
    </w:p>
    <w:p w14:paraId="4E92F54B">
      <w:pPr>
        <w:ind w:firstLine="440"/>
        <w:rPr>
          <w:color w:val="auto"/>
        </w:rPr>
      </w:pPr>
    </w:p>
    <w:p w14:paraId="7B839A9A">
      <w:pPr>
        <w:ind w:firstLine="440"/>
        <w:rPr>
          <w:color w:val="auto"/>
        </w:rPr>
      </w:pPr>
    </w:p>
    <w:p w14:paraId="0E8FA7CC">
      <w:pPr>
        <w:ind w:firstLine="480"/>
        <w:jc w:val="center"/>
        <w:rPr>
          <w:color w:val="auto"/>
        </w:rPr>
      </w:pPr>
      <w:r>
        <w:rPr>
          <w:rFonts w:hint="eastAsia"/>
          <w:color w:val="auto"/>
          <w:sz w:val="24"/>
        </w:rPr>
        <w:br w:type="page" w:clear="all"/>
      </w:r>
      <w:r>
        <w:rPr>
          <w:rFonts w:hint="eastAsia" w:ascii="黑体" w:hAnsi="黑体" w:eastAsia="黑体" w:cs="黑体"/>
          <w:iCs/>
          <w:color w:val="auto"/>
          <w:sz w:val="30"/>
          <w:szCs w:val="30"/>
          <w:u w:val="single"/>
          <w:lang w:val="en-US" w:eastAsia="zh-CN"/>
        </w:rPr>
        <w:t>九</w:t>
      </w:r>
      <w:r>
        <w:rPr>
          <w:rFonts w:hint="eastAsia" w:ascii="黑体" w:hAnsi="黑体" w:eastAsia="黑体" w:cs="黑体"/>
          <w:iCs/>
          <w:color w:val="auto"/>
          <w:sz w:val="30"/>
          <w:szCs w:val="30"/>
          <w:u w:val="single"/>
        </w:rPr>
        <w:t>、投标函</w:t>
      </w:r>
      <w:r>
        <w:rPr>
          <w:rFonts w:hint="eastAsia" w:ascii="黑体" w:hAnsi="黑体" w:eastAsia="黑体" w:cs="黑体"/>
          <w:iCs/>
          <w:color w:val="auto"/>
          <w:sz w:val="30"/>
          <w:szCs w:val="30"/>
          <w:u w:val="single"/>
          <w:lang w:eastAsia="zh-CN"/>
        </w:rPr>
        <w:t>（</w:t>
      </w:r>
      <w:r>
        <w:rPr>
          <w:rFonts w:hint="eastAsia" w:ascii="黑体" w:hAnsi="黑体" w:eastAsia="黑体" w:cs="黑体"/>
          <w:iCs/>
          <w:color w:val="auto"/>
          <w:sz w:val="30"/>
          <w:szCs w:val="30"/>
          <w:u w:val="single"/>
          <w:lang w:val="en-US" w:eastAsia="zh-CN"/>
        </w:rPr>
        <w:t>采购包    ）</w:t>
      </w:r>
    </w:p>
    <w:p w14:paraId="5896EEA2">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color w:val="auto"/>
          <w:sz w:val="24"/>
          <w:szCs w:val="24"/>
        </w:rPr>
      </w:pPr>
      <w:r>
        <w:rPr>
          <w:rFonts w:hint="eastAsia"/>
          <w:color w:val="auto"/>
          <w:sz w:val="24"/>
          <w:szCs w:val="24"/>
        </w:rPr>
        <w:t>致：</w:t>
      </w:r>
      <w:r>
        <w:rPr>
          <w:rFonts w:hint="eastAsia"/>
          <w:color w:val="auto"/>
          <w:sz w:val="24"/>
          <w:szCs w:val="24"/>
          <w:u w:val="single"/>
        </w:rPr>
        <w:t>滨海县人民医院</w:t>
      </w:r>
    </w:p>
    <w:p w14:paraId="1B135772">
      <w:pPr>
        <w:widowControl w:val="0"/>
        <w:spacing w:beforeAutospacing="0" w:afterAutospacing="0" w:line="360" w:lineRule="auto"/>
        <w:ind w:firstLine="480"/>
        <w:jc w:val="left"/>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根据贵方的</w:t>
      </w:r>
      <w:r>
        <w:rPr>
          <w:rFonts w:hint="eastAsia" w:ascii="宋体" w:hAnsi="宋体" w:eastAsia="宋体" w:cs="宋体"/>
          <w:b/>
          <w:color w:val="000000"/>
          <w:sz w:val="36"/>
          <w:szCs w:val="36"/>
          <w:highlight w:val="none"/>
          <w:u w:val="single"/>
          <w:lang w:val="en-US" w:eastAsia="zh-CN"/>
        </w:rPr>
        <w:t xml:space="preserve">           </w:t>
      </w:r>
      <w:r>
        <w:rPr>
          <w:rFonts w:hint="eastAsia" w:ascii="宋体" w:hAnsi="宋体" w:eastAsia="宋体" w:cs="宋体"/>
          <w:color w:val="000000"/>
          <w:sz w:val="24"/>
          <w:highlight w:val="none"/>
          <w:lang w:val="en-US" w:eastAsia="zh-CN"/>
        </w:rPr>
        <w:t>号招标文件，正式授权下述签字人</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val="en-US" w:eastAsia="zh-CN"/>
        </w:rPr>
        <w:t>(姓名)代表我方</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val="en-US" w:eastAsia="zh-CN"/>
        </w:rPr>
        <w:t>（投标人的名称），全权处理本次项目投标的有关事宜。</w:t>
      </w:r>
    </w:p>
    <w:p w14:paraId="23E9B4FB">
      <w:pPr>
        <w:widowControl w:val="0"/>
        <w:spacing w:beforeAutospacing="0" w:afterAutospacing="0" w:line="360" w:lineRule="auto"/>
        <w:ind w:firstLine="480"/>
        <w:jc w:val="left"/>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据此函，__________签字人兹宣布同意如下：</w:t>
      </w:r>
    </w:p>
    <w:p w14:paraId="0A81676B">
      <w:pPr>
        <w:widowControl w:val="0"/>
        <w:spacing w:beforeAutospacing="0" w:afterAutospacing="0" w:line="360" w:lineRule="auto"/>
        <w:ind w:firstLine="480"/>
        <w:jc w:val="left"/>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1.按招标文件规定的各项要求，向买方提供所需货物（包含与货物相关的服务）。</w:t>
      </w:r>
    </w:p>
    <w:p w14:paraId="3753F5A6">
      <w:pPr>
        <w:widowControl w:val="0"/>
        <w:spacing w:beforeAutospacing="0" w:afterAutospacing="0" w:line="360" w:lineRule="auto"/>
        <w:ind w:firstLine="480"/>
        <w:jc w:val="left"/>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2.我们完全理解贵方不一定将合同授予最低报价的投标人。</w:t>
      </w:r>
    </w:p>
    <w:p w14:paraId="210F2725">
      <w:pPr>
        <w:widowControl w:val="0"/>
        <w:spacing w:beforeAutospacing="0" w:afterAutospacing="0" w:line="360" w:lineRule="auto"/>
        <w:ind w:firstLine="480"/>
        <w:jc w:val="left"/>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3.我们已详细审核全部招标文件及其有效补充文件，我们知道必须放弃提出含糊不清或误解问题的权利。</w:t>
      </w:r>
    </w:p>
    <w:p w14:paraId="72D5DD8D">
      <w:pPr>
        <w:widowControl w:val="0"/>
        <w:spacing w:beforeAutospacing="0" w:afterAutospacing="0" w:line="360" w:lineRule="auto"/>
        <w:ind w:firstLine="480"/>
        <w:jc w:val="left"/>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4.我们同意从规定的开标日期起遵循本投标文件，并在规定的投标有效期期满之前均具有约束力。</w:t>
      </w:r>
    </w:p>
    <w:p w14:paraId="20C8A4C5">
      <w:pPr>
        <w:widowControl w:val="0"/>
        <w:spacing w:beforeAutospacing="0" w:afterAutospacing="0" w:line="360" w:lineRule="auto"/>
        <w:ind w:firstLine="480"/>
        <w:jc w:val="left"/>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5.同意向贵方提供贵方可能另外要求的与投标有关的任何证据或资料，并保证我方已提供和将要提供的文件是真实的、准确的。</w:t>
      </w:r>
    </w:p>
    <w:p w14:paraId="1384845E">
      <w:pPr>
        <w:widowControl w:val="0"/>
        <w:spacing w:beforeAutospacing="0" w:afterAutospacing="0" w:line="360" w:lineRule="auto"/>
        <w:ind w:firstLine="480"/>
        <w:jc w:val="left"/>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6.一旦我方中标,我方将根据招标文件的规定，严格履行合同的责任和义务,并保证在招标文件规定的时间完成项目，交付买方验收、使用。</w:t>
      </w:r>
    </w:p>
    <w:p w14:paraId="0A8B7F05">
      <w:pPr>
        <w:widowControl w:val="0"/>
        <w:spacing w:beforeAutospacing="0" w:afterAutospacing="0" w:line="360" w:lineRule="auto"/>
        <w:ind w:left="425"/>
        <w:jc w:val="left"/>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7.与本投标有关的正式通讯地址为：</w:t>
      </w:r>
    </w:p>
    <w:p w14:paraId="37F072A6">
      <w:pPr>
        <w:widowControl w:val="0"/>
        <w:spacing w:beforeAutospacing="0" w:afterAutospacing="0" w:line="360" w:lineRule="auto"/>
        <w:ind w:left="420" w:firstLine="480"/>
        <w:jc w:val="left"/>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地          址：</w:t>
      </w:r>
    </w:p>
    <w:p w14:paraId="20B7A2D8">
      <w:pPr>
        <w:widowControl w:val="0"/>
        <w:spacing w:beforeAutospacing="0" w:afterAutospacing="0" w:line="360" w:lineRule="auto"/>
        <w:ind w:left="420" w:firstLine="480"/>
        <w:jc w:val="left"/>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邮          编：</w:t>
      </w:r>
    </w:p>
    <w:p w14:paraId="12DFAFE5">
      <w:pPr>
        <w:widowControl w:val="0"/>
        <w:spacing w:beforeAutospacing="0" w:afterAutospacing="0" w:line="360" w:lineRule="auto"/>
        <w:ind w:left="420" w:firstLine="480"/>
        <w:jc w:val="left"/>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电          话：</w:t>
      </w:r>
    </w:p>
    <w:p w14:paraId="4E97E270">
      <w:pPr>
        <w:widowControl w:val="0"/>
        <w:spacing w:beforeAutospacing="0" w:afterAutospacing="0" w:line="360" w:lineRule="auto"/>
        <w:ind w:left="420" w:firstLine="480"/>
        <w:jc w:val="left"/>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传          真：</w:t>
      </w:r>
    </w:p>
    <w:p w14:paraId="38074CE7">
      <w:pPr>
        <w:widowControl w:val="0"/>
        <w:spacing w:beforeAutospacing="0" w:afterAutospacing="0" w:line="360" w:lineRule="auto"/>
        <w:ind w:left="420" w:firstLine="480"/>
        <w:jc w:val="left"/>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投标人开户行：</w:t>
      </w:r>
    </w:p>
    <w:p w14:paraId="3FC0CE3F">
      <w:pPr>
        <w:widowControl w:val="0"/>
        <w:spacing w:beforeAutospacing="0" w:afterAutospacing="0" w:line="360" w:lineRule="auto"/>
        <w:ind w:left="420" w:firstLine="480"/>
        <w:jc w:val="left"/>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 xml:space="preserve">账          号： </w:t>
      </w:r>
    </w:p>
    <w:p w14:paraId="5AB67950">
      <w:pPr>
        <w:spacing w:line="360" w:lineRule="auto"/>
        <w:ind w:firstLine="650" w:firstLineChars="271"/>
        <w:rPr>
          <w:color w:val="auto"/>
          <w:sz w:val="24"/>
          <w:szCs w:val="24"/>
        </w:rPr>
      </w:pPr>
      <w:r>
        <w:rPr>
          <w:rFonts w:hint="eastAsia" w:ascii="宋体" w:hAnsi="宋体" w:eastAsia="宋体" w:cs="宋体"/>
          <w:color w:val="000000"/>
          <w:sz w:val="24"/>
          <w:highlight w:val="none"/>
          <w:lang w:val="en-US" w:eastAsia="zh-CN"/>
        </w:rPr>
        <w:t>日           期：________年____月____日</w:t>
      </w:r>
    </w:p>
    <w:p w14:paraId="6B4ADF96">
      <w:pPr>
        <w:spacing w:line="360" w:lineRule="auto"/>
        <w:ind w:firstLine="480"/>
        <w:rPr>
          <w:color w:val="auto"/>
          <w:sz w:val="24"/>
          <w:szCs w:val="24"/>
        </w:rPr>
      </w:pPr>
    </w:p>
    <w:p w14:paraId="072B8738">
      <w:pPr>
        <w:spacing w:line="360" w:lineRule="auto"/>
        <w:ind w:firstLine="440"/>
        <w:rPr>
          <w:color w:val="auto"/>
        </w:rPr>
      </w:pPr>
    </w:p>
    <w:p w14:paraId="6F3E693E">
      <w:pPr>
        <w:ind w:firstLine="440"/>
        <w:rPr>
          <w:color w:val="auto"/>
        </w:rPr>
      </w:pPr>
    </w:p>
    <w:p w14:paraId="4C08511D">
      <w:pPr>
        <w:ind w:firstLine="440"/>
        <w:rPr>
          <w:color w:val="auto"/>
        </w:rPr>
      </w:pPr>
    </w:p>
    <w:p w14:paraId="06066105">
      <w:pPr>
        <w:rPr>
          <w:color w:val="auto"/>
        </w:rPr>
      </w:pPr>
    </w:p>
    <w:p w14:paraId="50F36042">
      <w:pPr>
        <w:pStyle w:val="6"/>
        <w:ind w:firstLine="0"/>
        <w:rPr>
          <w:color w:val="auto"/>
        </w:rPr>
      </w:pPr>
    </w:p>
    <w:p w14:paraId="694CCEBB">
      <w:pPr>
        <w:rPr>
          <w:rFonts w:hint="eastAsia" w:ascii="黑体" w:hAnsi="黑体" w:eastAsia="黑体" w:cs="黑体"/>
          <w:iCs/>
          <w:color w:val="auto"/>
          <w:sz w:val="30"/>
          <w:szCs w:val="30"/>
          <w:u w:val="none"/>
        </w:rPr>
      </w:pPr>
      <w:r>
        <w:rPr>
          <w:rFonts w:hint="eastAsia" w:ascii="黑体" w:hAnsi="黑体" w:eastAsia="黑体" w:cs="黑体"/>
          <w:iCs/>
          <w:color w:val="auto"/>
          <w:sz w:val="30"/>
          <w:szCs w:val="30"/>
          <w:u w:val="none"/>
        </w:rPr>
        <w:br w:type="page"/>
      </w:r>
    </w:p>
    <w:p w14:paraId="40A083AE">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firstLine="240"/>
        <w:jc w:val="center"/>
      </w:pPr>
      <w:r>
        <w:rPr>
          <w:rFonts w:hint="eastAsia" w:ascii="黑体" w:hAnsi="宋体" w:eastAsia="黑体" w:cs="黑体"/>
          <w:b/>
          <w:color w:val="auto"/>
          <w:kern w:val="0"/>
          <w:sz w:val="32"/>
          <w:szCs w:val="32"/>
          <w:highlight w:val="none"/>
        </w:rPr>
        <w:t>十、中小微企业声明函（货物类项目）（采购包**）</w:t>
      </w:r>
    </w:p>
    <w:p w14:paraId="4EF62D59">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240"/>
        <w:jc w:val="center"/>
      </w:pPr>
      <w:r>
        <w:rPr>
          <w:bdr w:val="none" w:color="auto" w:sz="0" w:space="0"/>
        </w:rPr>
        <w:t> </w:t>
      </w:r>
    </w:p>
    <w:p w14:paraId="0D0454EA">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（单位名称）</w:t>
      </w:r>
      <w:r>
        <w:rPr>
          <w:rFonts w:hint="eastAsia" w:ascii="宋体" w:hAnsi="宋体" w:eastAsia="宋体" w:cs="宋体"/>
          <w:color w:val="000000"/>
          <w:sz w:val="24"/>
          <w:szCs w:val="24"/>
        </w:rPr>
        <w:t>采购编号为</w:t>
      </w:r>
      <w:r>
        <w:rPr>
          <w:rFonts w:hint="eastAsia" w:ascii="宋体" w:hAnsi="宋体" w:eastAsia="宋体" w:cs="宋体"/>
          <w:color w:val="000000"/>
          <w:sz w:val="24"/>
          <w:szCs w:val="24"/>
          <w:u w:val="single"/>
        </w:rPr>
        <w:t>（采购编号）</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项目（项目名称）（采购包号：**）的采购活动，提供的货物全部由符合政策要求的中小微企业制造。相关企业（含联合体中的中小微企业、签订采购包意向协议的中小微企业）的具体情况如下：</w:t>
      </w:r>
    </w:p>
    <w:p w14:paraId="6CE57603">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1.</w:t>
      </w:r>
      <w:r>
        <w:rPr>
          <w:rFonts w:hint="eastAsia" w:ascii="宋体" w:hAnsi="宋体" w:eastAsia="宋体" w:cs="宋体"/>
          <w:color w:val="000000"/>
          <w:sz w:val="24"/>
          <w:szCs w:val="24"/>
          <w:u w:val="single"/>
        </w:rPr>
        <w:t>（标的名称）</w:t>
      </w:r>
      <w:r>
        <w:rPr>
          <w:rFonts w:hint="eastAsia" w:ascii="宋体" w:hAnsi="宋体" w:eastAsia="宋体" w:cs="宋体"/>
          <w:i/>
          <w:iCs/>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（供应商填写招标文件中明确的所属行业）</w:t>
      </w:r>
      <w:r>
        <w:rPr>
          <w:rFonts w:hint="eastAsia" w:ascii="宋体" w:hAnsi="宋体" w:eastAsia="宋体" w:cs="宋体"/>
          <w:color w:val="000000"/>
          <w:sz w:val="24"/>
          <w:szCs w:val="24"/>
        </w:rPr>
        <w:t>行业；投标产品制造商为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万元，属于</w:t>
      </w:r>
      <w:r>
        <w:rPr>
          <w:rFonts w:hint="eastAsia" w:ascii="宋体" w:hAnsi="宋体" w:eastAsia="宋体" w:cs="宋体"/>
          <w:color w:val="000000"/>
          <w:sz w:val="24"/>
          <w:szCs w:val="24"/>
          <w:u w:val="single"/>
        </w:rPr>
        <w:t>（□中型企业 □小型企业 □微型企业）；</w:t>
      </w:r>
    </w:p>
    <w:p w14:paraId="0AFA21F5">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2.</w:t>
      </w:r>
      <w:r>
        <w:rPr>
          <w:rFonts w:hint="eastAsia" w:ascii="宋体" w:hAnsi="宋体" w:eastAsia="宋体" w:cs="宋体"/>
          <w:color w:val="000000"/>
          <w:sz w:val="24"/>
          <w:szCs w:val="24"/>
          <w:u w:val="single"/>
        </w:rPr>
        <w:t>（标的名称）</w:t>
      </w:r>
      <w:r>
        <w:rPr>
          <w:rFonts w:hint="eastAsia" w:ascii="宋体" w:hAnsi="宋体" w:eastAsia="宋体" w:cs="宋体"/>
          <w:i/>
          <w:iCs/>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（供应商填写招标文件中明确的所属行业）</w:t>
      </w:r>
      <w:r>
        <w:rPr>
          <w:rFonts w:hint="eastAsia" w:ascii="宋体" w:hAnsi="宋体" w:eastAsia="宋体" w:cs="宋体"/>
          <w:color w:val="000000"/>
          <w:sz w:val="24"/>
          <w:szCs w:val="24"/>
        </w:rPr>
        <w:t>行业；投标产品制造商为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万元，属于</w:t>
      </w:r>
      <w:r>
        <w:rPr>
          <w:rFonts w:hint="eastAsia" w:ascii="宋体" w:hAnsi="宋体" w:eastAsia="宋体" w:cs="宋体"/>
          <w:color w:val="000000"/>
          <w:sz w:val="24"/>
          <w:szCs w:val="24"/>
          <w:u w:val="single"/>
        </w:rPr>
        <w:t>（□中型企业 □小型企业 □微型企业）；</w:t>
      </w:r>
    </w:p>
    <w:p w14:paraId="5468D56C">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w:t>
      </w:r>
    </w:p>
    <w:p w14:paraId="280EB2BA">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以上企业，不属于大企业的分支机构，不存在控股股东为大企业的情形，也不存在与大企业的负责人为同一人的情形。</w:t>
      </w:r>
    </w:p>
    <w:p w14:paraId="44B1532E">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本企业对上述声明内容的真实性负责。如有虚假，将依法承担相应责任</w:t>
      </w:r>
    </w:p>
    <w:p w14:paraId="07269CCA">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right="720"/>
        <w:jc w:val="both"/>
      </w:pPr>
      <w:r>
        <w:t> </w:t>
      </w:r>
    </w:p>
    <w:p w14:paraId="1E522D30">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center"/>
      </w:pPr>
      <w:r>
        <w:rPr>
          <w:rFonts w:hint="eastAsia" w:ascii="宋体" w:hAnsi="宋体" w:eastAsia="宋体" w:cs="宋体"/>
          <w:color w:val="000000"/>
          <w:sz w:val="24"/>
          <w:szCs w:val="24"/>
        </w:rPr>
        <w:t>                                  企业名称（加盖CA电子公章）：</w:t>
      </w:r>
    </w:p>
    <w:p w14:paraId="275DC55E">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480" w:firstLine="4560"/>
        <w:jc w:val="both"/>
      </w:pPr>
      <w:r>
        <w:rPr>
          <w:rFonts w:hint="eastAsia" w:ascii="宋体" w:hAnsi="宋体" w:eastAsia="宋体" w:cs="宋体"/>
          <w:color w:val="000000"/>
          <w:sz w:val="24"/>
          <w:szCs w:val="24"/>
        </w:rPr>
        <w:t>日  期：___年____月____日</w:t>
      </w:r>
    </w:p>
    <w:p w14:paraId="16A4A4ED">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bdr w:val="none" w:color="auto" w:sz="0" w:space="0"/>
        </w:rPr>
        <w:t> </w:t>
      </w:r>
    </w:p>
    <w:p w14:paraId="28278046">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pPr>
      <w:r>
        <w:rPr>
          <w:rFonts w:hint="eastAsia" w:ascii="宋体" w:hAnsi="宋体" w:eastAsia="宋体" w:cs="宋体"/>
          <w:color w:val="000000"/>
          <w:sz w:val="24"/>
          <w:szCs w:val="24"/>
        </w:rPr>
        <w:t>备注：</w:t>
      </w:r>
    </w:p>
    <w:p w14:paraId="414CC85F">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pPr>
      <w:r>
        <w:rPr>
          <w:rFonts w:hint="eastAsia" w:ascii="宋体" w:hAnsi="宋体" w:eastAsia="宋体" w:cs="宋体"/>
          <w:color w:val="000000"/>
          <w:sz w:val="24"/>
          <w:szCs w:val="24"/>
        </w:rPr>
        <w:t>1.从业人员、营业收入、资产总额填报上一年度数据，无上一年度数据的新成立企业可不填报。</w:t>
      </w:r>
    </w:p>
    <w:p w14:paraId="0B27241D">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pPr>
      <w:r>
        <w:rPr>
          <w:rFonts w:hint="eastAsia" w:ascii="宋体" w:hAnsi="宋体" w:eastAsia="宋体" w:cs="宋体"/>
          <w:color w:val="000000"/>
          <w:sz w:val="24"/>
          <w:szCs w:val="24"/>
        </w:rPr>
        <w:t>2.专门面向中小微型企业采购的项目，供应商如不提供此声明函，则不能通过资格审查；非专门面向中小微型企业采购的项目，供应商如不提供此声明函，价格将不做相应扣除。</w:t>
      </w:r>
    </w:p>
    <w:p w14:paraId="76ABC4C6">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540" w:hanging="120"/>
        <w:jc w:val="both"/>
      </w:pPr>
      <w:r>
        <w:rPr>
          <w:rFonts w:hint="eastAsia" w:ascii="宋体" w:hAnsi="宋体" w:eastAsia="宋体" w:cs="宋体"/>
          <w:color w:val="000000"/>
          <w:sz w:val="24"/>
          <w:szCs w:val="24"/>
        </w:rPr>
        <w:t>3.供应商应对照《工业和信息化部、国家统计局、国家发展和改革委员会、</w:t>
      </w:r>
    </w:p>
    <w:p w14:paraId="1AF518FD">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hint="eastAsia" w:ascii="宋体" w:hAnsi="宋体" w:eastAsia="宋体" w:cs="宋体"/>
          <w:color w:val="000000"/>
          <w:sz w:val="24"/>
          <w:szCs w:val="24"/>
        </w:rPr>
        <w:t>财政部关于印发中小企业划型标准规定的通知》(工信部联企业〔2011〕300号)《国家统计局关于印发〈统计上大中小微型企业划分办法（2017）〉的通知》（国统字〔2017〕213号）的规定，自行勾选制造商的企业规模类型。</w:t>
      </w:r>
      <w:bookmarkStart w:id="99" w:name="_GoBack"/>
      <w:bookmarkEnd w:id="99"/>
    </w:p>
    <w:p w14:paraId="39E98117">
      <w:pPr>
        <w:spacing w:line="360" w:lineRule="auto"/>
        <w:ind w:firstLine="480"/>
        <w:rPr>
          <w:rFonts w:cs="黑体"/>
          <w:i/>
          <w:color w:val="auto"/>
          <w:sz w:val="32"/>
          <w:szCs w:val="32"/>
          <w:u w:val="single"/>
        </w:rPr>
      </w:pPr>
    </w:p>
    <w:p w14:paraId="727CC769">
      <w:pPr>
        <w:widowControl/>
        <w:spacing w:line="360" w:lineRule="auto"/>
        <w:rPr>
          <w:rFonts w:ascii="黑体" w:hAnsi="黑体" w:eastAsia="黑体" w:cs="黑体"/>
          <w:i/>
          <w:color w:val="auto"/>
          <w:sz w:val="32"/>
          <w:szCs w:val="32"/>
        </w:rPr>
      </w:pPr>
      <w:r>
        <w:rPr>
          <w:rFonts w:ascii="黑体" w:hAnsi="黑体" w:eastAsia="黑体" w:cs="黑体"/>
          <w:i/>
          <w:color w:val="auto"/>
          <w:sz w:val="32"/>
          <w:szCs w:val="32"/>
        </w:rPr>
        <w:br w:type="page" w:clear="all"/>
      </w:r>
    </w:p>
    <w:p w14:paraId="661E07BC">
      <w:pPr>
        <w:pStyle w:val="36"/>
        <w:spacing w:beforeAutospacing="0" w:afterAutospacing="0" w:line="0" w:lineRule="atLeast"/>
        <w:jc w:val="center"/>
        <w:rPr>
          <w:rFonts w:hint="eastAsia" w:ascii="黑体" w:hAnsi="宋体" w:eastAsia="黑体" w:cs="黑体"/>
          <w:b/>
          <w:color w:val="000000"/>
          <w:kern w:val="0"/>
          <w:sz w:val="32"/>
          <w:szCs w:val="32"/>
          <w:highlight w:val="none"/>
        </w:rPr>
      </w:pPr>
      <w:r>
        <w:rPr>
          <w:rFonts w:hint="eastAsia" w:ascii="黑体" w:hAnsi="黑体" w:eastAsia="黑体" w:cs="黑体"/>
          <w:iCs/>
          <w:color w:val="auto"/>
          <w:sz w:val="30"/>
          <w:szCs w:val="30"/>
          <w:u w:val="none"/>
        </w:rPr>
        <w:t>十</w:t>
      </w:r>
      <w:r>
        <w:rPr>
          <w:rFonts w:hint="eastAsia" w:ascii="黑体" w:hAnsi="黑体" w:eastAsia="黑体" w:cs="黑体"/>
          <w:iCs/>
          <w:color w:val="auto"/>
          <w:sz w:val="30"/>
          <w:szCs w:val="30"/>
          <w:u w:val="none"/>
          <w:lang w:val="en-US" w:eastAsia="zh-CN"/>
        </w:rPr>
        <w:t>一</w:t>
      </w:r>
      <w:r>
        <w:rPr>
          <w:rFonts w:hint="eastAsia" w:ascii="黑体" w:hAnsi="黑体" w:eastAsia="黑体" w:cs="黑体"/>
          <w:iCs/>
          <w:color w:val="auto"/>
          <w:sz w:val="30"/>
          <w:szCs w:val="30"/>
          <w:u w:val="none"/>
        </w:rPr>
        <w:t>、</w:t>
      </w:r>
      <w:r>
        <w:rPr>
          <w:rFonts w:hint="eastAsia" w:ascii="黑体" w:hAnsi="宋体" w:eastAsia="黑体" w:cs="黑体"/>
          <w:b/>
          <w:color w:val="000000"/>
          <w:kern w:val="0"/>
          <w:sz w:val="32"/>
          <w:szCs w:val="32"/>
          <w:highlight w:val="none"/>
        </w:rPr>
        <w:t>残疾人福利性单位声明函（货物类项目）（采购包**）</w:t>
      </w:r>
    </w:p>
    <w:p w14:paraId="664ECA54">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pPr>
      <w:r>
        <w:rPr>
          <w:bdr w:val="none" w:color="auto" w:sz="0" w:space="0"/>
        </w:rPr>
        <w:t> </w:t>
      </w:r>
    </w:p>
    <w:p w14:paraId="0504E5CF">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u w:val="single"/>
        </w:rPr>
        <w:t>（单位名称）</w:t>
      </w:r>
      <w:r>
        <w:rPr>
          <w:rFonts w:hint="eastAsia" w:ascii="宋体" w:hAnsi="宋体" w:eastAsia="宋体" w:cs="宋体"/>
          <w:color w:val="000000"/>
          <w:sz w:val="24"/>
          <w:szCs w:val="24"/>
        </w:rPr>
        <w:t>采购编号为</w:t>
      </w:r>
      <w:r>
        <w:rPr>
          <w:rFonts w:hint="eastAsia" w:ascii="宋体" w:hAnsi="宋体" w:eastAsia="宋体" w:cs="宋体"/>
          <w:color w:val="000000"/>
          <w:sz w:val="24"/>
          <w:szCs w:val="24"/>
          <w:u w:val="single"/>
        </w:rPr>
        <w:t>（采购编号）</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项目（项目名称）（采购包号：**）采购活动提供本单位制造的货物，或者提供其他残疾人福利性单位制造的货物（不包括使用非残疾人福利性单位注册商标的货物）。</w:t>
      </w:r>
    </w:p>
    <w:p w14:paraId="4443993A">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本单位对上述声明的真实性负责。如有虚假，将依法承担相应责任。</w:t>
      </w:r>
    </w:p>
    <w:p w14:paraId="5E045B61">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bdr w:val="none" w:color="auto" w:sz="0" w:space="0"/>
        </w:rPr>
        <w:t> </w:t>
      </w:r>
    </w:p>
    <w:p w14:paraId="59EBC6AF">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备注：</w:t>
      </w:r>
    </w:p>
    <w:p w14:paraId="367AC938">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1.专门面向中小微型企业采购的项目，供应商为残疾人福利性单位并提供本单位制造的货物，或者提供其他残疾人福利性单位制造的货物，必须提供此声明函，否则将不能通过资格审查。</w:t>
      </w:r>
    </w:p>
    <w:p w14:paraId="2AD9995B">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2. 非专门面向中小微型企业采购的项目，供应商如不提供此声明函，价格将不做相应扣除。</w:t>
      </w:r>
    </w:p>
    <w:p w14:paraId="7B3214F0">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3.中标/成交供应商为残疾人福利性单位的，此声明函将随中标/成交结果同时公告，接受社会监督。</w:t>
      </w:r>
    </w:p>
    <w:p w14:paraId="744A9CAB">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624"/>
        <w:jc w:val="both"/>
      </w:pPr>
      <w:r>
        <w:t> </w:t>
      </w:r>
    </w:p>
    <w:p w14:paraId="0684B7D7">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4864"/>
        </w:tabs>
        <w:spacing w:before="0" w:beforeAutospacing="0" w:after="0" w:afterAutospacing="0" w:line="360" w:lineRule="auto"/>
        <w:ind w:left="0" w:right="1559" w:firstLine="624"/>
        <w:jc w:val="center"/>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供应商全称（加盖CA电子公章）：</w:t>
      </w:r>
    </w:p>
    <w:p w14:paraId="4F09B48A">
      <w:pPr>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360" w:lineRule="auto"/>
        <w:ind w:right="1560" w:firstLine="480"/>
        <w:jc w:val="center"/>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sz w:val="24"/>
          <w:szCs w:val="24"/>
        </w:rPr>
        <w:t>                  日  期：___年____月____日</w:t>
      </w:r>
    </w:p>
    <w:p w14:paraId="6095EC64">
      <w:pPr>
        <w:widowControl w:val="0"/>
        <w:spacing w:beforeAutospacing="0" w:afterAutospacing="0" w:line="0" w:lineRule="atLeast"/>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141ED944">
      <w:pPr>
        <w:spacing w:line="360" w:lineRule="auto"/>
        <w:ind w:firstLine="480"/>
        <w:rPr>
          <w:color w:val="auto"/>
          <w:sz w:val="24"/>
          <w:szCs w:val="24"/>
        </w:rPr>
      </w:pPr>
      <w:r>
        <w:rPr>
          <w:rFonts w:hint="eastAsia"/>
          <w:color w:val="auto"/>
          <w:sz w:val="24"/>
          <w:szCs w:val="24"/>
        </w:rPr>
        <w:t> </w:t>
      </w:r>
    </w:p>
    <w:p w14:paraId="507D6D06">
      <w:pPr>
        <w:spacing w:line="360" w:lineRule="auto"/>
        <w:ind w:firstLine="480"/>
        <w:rPr>
          <w:color w:val="auto"/>
          <w:sz w:val="24"/>
          <w:szCs w:val="24"/>
        </w:rPr>
      </w:pPr>
    </w:p>
    <w:p w14:paraId="400599E1">
      <w:pPr>
        <w:spacing w:line="360" w:lineRule="auto"/>
        <w:ind w:firstLine="440"/>
        <w:rPr>
          <w:color w:val="auto"/>
        </w:rPr>
      </w:pPr>
    </w:p>
    <w:p w14:paraId="76915253">
      <w:pPr>
        <w:ind w:firstLine="440"/>
        <w:rPr>
          <w:color w:val="auto"/>
        </w:rPr>
      </w:pPr>
    </w:p>
    <w:p w14:paraId="418E5717">
      <w:pPr>
        <w:ind w:firstLine="440"/>
        <w:rPr>
          <w:color w:val="auto"/>
        </w:rPr>
      </w:pPr>
    </w:p>
    <w:p w14:paraId="68657EC9">
      <w:pPr>
        <w:ind w:firstLine="440"/>
        <w:rPr>
          <w:color w:val="auto"/>
        </w:rPr>
      </w:pPr>
    </w:p>
    <w:p w14:paraId="51A52786">
      <w:pPr>
        <w:ind w:firstLine="440"/>
        <w:rPr>
          <w:color w:val="auto"/>
        </w:rPr>
      </w:pPr>
    </w:p>
    <w:p w14:paraId="6CB24AC3">
      <w:pPr>
        <w:ind w:firstLine="440"/>
        <w:rPr>
          <w:color w:val="auto"/>
        </w:rPr>
      </w:pPr>
    </w:p>
    <w:p w14:paraId="48F7EB53">
      <w:pPr>
        <w:ind w:firstLine="440"/>
        <w:rPr>
          <w:color w:val="auto"/>
        </w:rPr>
      </w:pPr>
    </w:p>
    <w:p w14:paraId="0C64514F">
      <w:pPr>
        <w:ind w:firstLine="440"/>
        <w:rPr>
          <w:color w:val="auto"/>
        </w:rPr>
      </w:pPr>
    </w:p>
    <w:p w14:paraId="15DEBD14">
      <w:pPr>
        <w:ind w:firstLine="440"/>
        <w:rPr>
          <w:color w:val="auto"/>
        </w:rPr>
      </w:pPr>
    </w:p>
    <w:p w14:paraId="4C94C52E">
      <w:pPr>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0" w:right="0"/>
        <w:jc w:val="center"/>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32"/>
          <w:szCs w:val="32"/>
          <w:highlight w:val="none"/>
          <w:lang w:val="en-US" w:eastAsia="zh-CN"/>
        </w:rPr>
        <w:t>十</w:t>
      </w:r>
      <w:r>
        <w:rPr>
          <w:rFonts w:hint="eastAsia" w:ascii="宋体" w:hAnsi="宋体" w:cs="宋体"/>
          <w:b/>
          <w:bCs/>
          <w:color w:val="000000"/>
          <w:sz w:val="32"/>
          <w:szCs w:val="32"/>
          <w:highlight w:val="none"/>
          <w:lang w:val="en-US" w:eastAsia="zh-CN"/>
        </w:rPr>
        <w:t>二</w:t>
      </w:r>
      <w:r>
        <w:rPr>
          <w:rFonts w:hint="eastAsia" w:ascii="宋体" w:hAnsi="宋体" w:eastAsia="宋体" w:cs="宋体"/>
          <w:b/>
          <w:bCs/>
          <w:color w:val="000000"/>
          <w:sz w:val="32"/>
          <w:szCs w:val="32"/>
          <w:highlight w:val="none"/>
          <w:lang w:val="en-US" w:eastAsia="zh-CN"/>
        </w:rPr>
        <w:t>、 关于符合本国产品标准的声明函（采购包    ）</w:t>
      </w:r>
    </w:p>
    <w:p w14:paraId="51878C9D">
      <w:pPr>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0" w:firstLine="420"/>
        <w:jc w:val="both"/>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szCs w:val="24"/>
          <w:highlight w:val="none"/>
          <w:lang w:val="en-US" w:eastAsia="zh-CN"/>
        </w:rPr>
        <w:t> </w:t>
      </w:r>
    </w:p>
    <w:p w14:paraId="189BC352">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15" w:beforeAutospacing="0" w:after="15" w:afterAutospacing="0"/>
        <w:ind w:left="0" w:firstLine="420"/>
      </w:pPr>
      <w:r>
        <w:rPr>
          <w:bdr w:val="none" w:color="auto" w:sz="0" w:space="0"/>
          <w:shd w:val="clear" w:fill="FFFFFF"/>
        </w:rPr>
        <w:t> </w:t>
      </w:r>
    </w:p>
    <w:p w14:paraId="2BD39824">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pPr>
      <w:r>
        <w:rPr>
          <w:rFonts w:hint="eastAsia" w:ascii="宋体" w:hAnsi="宋体" w:eastAsia="宋体" w:cs="宋体"/>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5AE7E063">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1.</w:t>
      </w:r>
      <w:r>
        <w:rPr>
          <w:rFonts w:hint="eastAsia" w:ascii="宋体" w:hAnsi="宋体" w:eastAsia="宋体" w:cs="宋体"/>
          <w:color w:val="000000"/>
          <w:sz w:val="24"/>
          <w:szCs w:val="24"/>
          <w:u w:val="single"/>
          <w:shd w:val="clear" w:fill="FFFFFF"/>
        </w:rPr>
        <w:t>（产品名称1）</w:t>
      </w:r>
      <w:r>
        <w:rPr>
          <w:rFonts w:hint="eastAsia" w:ascii="宋体" w:hAnsi="宋体" w:eastAsia="宋体" w:cs="宋体"/>
          <w:color w:val="000000"/>
          <w:sz w:val="24"/>
          <w:szCs w:val="24"/>
          <w:shd w:val="clear" w:fill="FFFFFF"/>
          <w:vertAlign w:val="superscript"/>
        </w:rPr>
        <w:t>1</w:t>
      </w:r>
      <w:r>
        <w:rPr>
          <w:rFonts w:hint="eastAsia" w:ascii="宋体" w:hAnsi="宋体" w:eastAsia="宋体" w:cs="宋体"/>
          <w:color w:val="000000"/>
          <w:sz w:val="24"/>
          <w:szCs w:val="24"/>
          <w:shd w:val="clear" w:fill="FFFFFF"/>
        </w:rPr>
        <w:t>，生产厂为</w:t>
      </w:r>
      <w:r>
        <w:rPr>
          <w:rFonts w:hint="eastAsia" w:ascii="宋体" w:hAnsi="宋体" w:eastAsia="宋体" w:cs="宋体"/>
          <w:color w:val="000000"/>
          <w:sz w:val="24"/>
          <w:szCs w:val="24"/>
          <w:u w:val="single"/>
          <w:shd w:val="clear" w:fill="FFFFFF"/>
        </w:rPr>
        <w:t>（厂名）</w:t>
      </w:r>
      <w:r>
        <w:rPr>
          <w:rFonts w:hint="eastAsia" w:ascii="宋体" w:hAnsi="宋体" w:eastAsia="宋体" w:cs="宋体"/>
          <w:color w:val="000000"/>
          <w:sz w:val="24"/>
          <w:szCs w:val="24"/>
          <w:shd w:val="clear" w:fill="FFFFFF"/>
          <w:vertAlign w:val="superscript"/>
        </w:rPr>
        <w:t>2</w:t>
      </w:r>
      <w:r>
        <w:rPr>
          <w:rFonts w:hint="eastAsia" w:ascii="宋体" w:hAnsi="宋体" w:eastAsia="宋体" w:cs="宋体"/>
          <w:color w:val="000000"/>
          <w:sz w:val="24"/>
          <w:szCs w:val="24"/>
          <w:shd w:val="clear" w:fill="FFFFFF"/>
        </w:rPr>
        <w:t>，厂址为</w:t>
      </w:r>
      <w:r>
        <w:rPr>
          <w:rFonts w:hint="eastAsia" w:ascii="宋体" w:hAnsi="宋体" w:eastAsia="宋体" w:cs="宋体"/>
          <w:color w:val="000000"/>
          <w:sz w:val="24"/>
          <w:szCs w:val="24"/>
          <w:u w:val="single"/>
          <w:shd w:val="clear" w:fill="FFFFFF"/>
        </w:rPr>
        <w:t>（生产厂址）</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的中国境内生产的组件成本占比≥</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3</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4</w:t>
      </w:r>
      <w:r>
        <w:rPr>
          <w:rFonts w:hint="eastAsia" w:ascii="宋体" w:hAnsi="宋体" w:eastAsia="宋体" w:cs="宋体"/>
          <w:color w:val="000000"/>
          <w:sz w:val="24"/>
          <w:szCs w:val="24"/>
          <w:shd w:val="clear" w:fill="FFFFFF"/>
        </w:rPr>
        <w:t>在中国境内生产。</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5</w:t>
      </w:r>
      <w:r>
        <w:rPr>
          <w:rFonts w:hint="eastAsia" w:ascii="宋体" w:hAnsi="宋体" w:eastAsia="宋体" w:cs="宋体"/>
          <w:color w:val="000000"/>
          <w:sz w:val="24"/>
          <w:szCs w:val="24"/>
          <w:shd w:val="clear" w:fill="FFFFFF"/>
        </w:rPr>
        <w:t>在中国境内完成。</w:t>
      </w:r>
    </w:p>
    <w:p w14:paraId="240C62F3">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2.</w:t>
      </w:r>
      <w:r>
        <w:rPr>
          <w:rFonts w:hint="eastAsia" w:ascii="宋体" w:hAnsi="宋体" w:eastAsia="宋体" w:cs="宋体"/>
          <w:color w:val="000000"/>
          <w:sz w:val="24"/>
          <w:szCs w:val="24"/>
          <w:u w:val="single"/>
          <w:shd w:val="clear" w:fill="FFFFFF"/>
        </w:rPr>
        <w:t>（产品名称2）</w:t>
      </w:r>
      <w:r>
        <w:rPr>
          <w:rFonts w:hint="eastAsia" w:ascii="宋体" w:hAnsi="宋体" w:eastAsia="宋体" w:cs="宋体"/>
          <w:color w:val="000000"/>
          <w:sz w:val="24"/>
          <w:szCs w:val="24"/>
          <w:shd w:val="clear" w:fill="FFFFFF"/>
        </w:rPr>
        <w:t>，生产厂为</w:t>
      </w:r>
      <w:r>
        <w:rPr>
          <w:rFonts w:hint="eastAsia" w:ascii="宋体" w:hAnsi="宋体" w:eastAsia="宋体" w:cs="宋体"/>
          <w:color w:val="000000"/>
          <w:sz w:val="24"/>
          <w:szCs w:val="24"/>
          <w:u w:val="single"/>
          <w:shd w:val="clear" w:fill="FFFFFF"/>
        </w:rPr>
        <w:t>（厂名）</w:t>
      </w:r>
      <w:r>
        <w:rPr>
          <w:rFonts w:hint="eastAsia" w:ascii="宋体" w:hAnsi="宋体" w:eastAsia="宋体" w:cs="宋体"/>
          <w:color w:val="000000"/>
          <w:sz w:val="24"/>
          <w:szCs w:val="24"/>
          <w:shd w:val="clear" w:fill="FFFFFF"/>
        </w:rPr>
        <w:t>，厂址为</w:t>
      </w:r>
      <w:r>
        <w:rPr>
          <w:rFonts w:hint="eastAsia" w:ascii="宋体" w:hAnsi="宋体" w:eastAsia="宋体" w:cs="宋体"/>
          <w:color w:val="000000"/>
          <w:sz w:val="24"/>
          <w:szCs w:val="24"/>
          <w:u w:val="single"/>
          <w:shd w:val="clear" w:fill="FFFFFF"/>
        </w:rPr>
        <w:t>（生产厂址）</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的中国境内生产的组件成本占比≥</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在中国境内生产。</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在中国境内完成。</w:t>
      </w:r>
    </w:p>
    <w:p w14:paraId="466DDFD4">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w:t>
      </w:r>
    </w:p>
    <w:p w14:paraId="1380E177">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本公司（单位）对上述声明内容的真实性负责。如有虚假，愿承担相应法律责任。</w:t>
      </w:r>
    </w:p>
    <w:p w14:paraId="2C3AB2BB">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bdr w:val="none" w:color="auto" w:sz="0" w:space="0"/>
          <w:shd w:val="clear" w:fill="FFFFFF"/>
        </w:rPr>
        <w:t> </w:t>
      </w:r>
    </w:p>
    <w:p w14:paraId="6A2D733F">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jc w:val="right"/>
      </w:pPr>
      <w:r>
        <w:rPr>
          <w:rFonts w:hint="eastAsia" w:ascii="宋体" w:hAnsi="宋体" w:eastAsia="宋体" w:cs="宋体"/>
          <w:color w:val="000000"/>
          <w:sz w:val="24"/>
          <w:szCs w:val="24"/>
          <w:shd w:val="clear" w:fill="FFFFFF"/>
        </w:rPr>
        <w:t xml:space="preserve">   公司（单位）名称（加盖CA电子公章）：         </w:t>
      </w:r>
    </w:p>
    <w:p w14:paraId="62F09AB1">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jc w:val="center"/>
      </w:pPr>
      <w:r>
        <w:rPr>
          <w:rFonts w:hint="eastAsia" w:ascii="宋体" w:hAnsi="宋体" w:eastAsia="宋体" w:cs="宋体"/>
          <w:color w:val="000000"/>
          <w:sz w:val="24"/>
          <w:szCs w:val="24"/>
          <w:shd w:val="clear" w:fill="FFFFFF"/>
        </w:rPr>
        <w:t xml:space="preserve">           日期：      年   月   日         </w:t>
      </w:r>
    </w:p>
    <w:p w14:paraId="1A354C27">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bdr w:val="none" w:color="auto" w:sz="0" w:space="0"/>
          <w:shd w:val="clear" w:fill="FFFFFF"/>
        </w:rPr>
        <w:t> </w:t>
      </w:r>
    </w:p>
    <w:p w14:paraId="713C4A63">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bdr w:val="none" w:color="auto" w:sz="0" w:space="0"/>
          <w:shd w:val="clear" w:fill="FFFFFF"/>
        </w:rPr>
        <w:t> </w:t>
      </w:r>
    </w:p>
    <w:p w14:paraId="51235B5C">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rFonts w:hint="eastAsia" w:ascii="宋体" w:hAnsi="宋体" w:eastAsia="宋体" w:cs="宋体"/>
          <w:color w:val="000000"/>
          <w:sz w:val="24"/>
          <w:szCs w:val="24"/>
          <w:shd w:val="clear" w:fill="FFFFFF"/>
        </w:rPr>
        <w:t>_________________</w:t>
      </w:r>
    </w:p>
    <w:p w14:paraId="4ED3378D">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1.产品如有型号，请在“产品名称”栏一并填写。</w:t>
      </w:r>
    </w:p>
    <w:p w14:paraId="00CABD38">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2.生产厂名与厂址应与生产厂营业执照载明的相关信息保持一致。</w:t>
      </w:r>
    </w:p>
    <w:p w14:paraId="6E718E91">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3.该产品的中国境内生产的组件成本占比相关要求实施前，“规定比例”栏可不填，下同。</w:t>
      </w:r>
    </w:p>
    <w:p w14:paraId="76F7093D">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4.该产品的关键组件要求实施前，“关键组件”栏可不填，下同。</w:t>
      </w:r>
    </w:p>
    <w:p w14:paraId="08C0617D">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5.该产品的关键工序要求实施前，“关键工序”栏可不填，下同。</w:t>
      </w:r>
    </w:p>
    <w:p w14:paraId="2039D937">
      <w:pPr>
        <w:numPr>
          <w:ilvl w:val="0"/>
          <w:numId w:val="0"/>
        </w:numPr>
        <w:rPr>
          <w:rFonts w:ascii="Calibri" w:hAnsi="Calibri" w:eastAsia="宋体" w:cs="Times New Roman"/>
          <w:kern w:val="0"/>
          <w:sz w:val="24"/>
          <w:szCs w:val="24"/>
          <w:lang w:val="en-US" w:eastAsia="zh-CN" w:bidi="ar-SA"/>
        </w:rPr>
      </w:pPr>
      <w:r>
        <w:rPr>
          <w:rFonts w:hint="eastAsia" w:ascii="宋体" w:hAnsi="宋体" w:eastAsia="宋体" w:cs="宋体"/>
          <w:color w:val="000000"/>
          <w:sz w:val="24"/>
          <w:szCs w:val="24"/>
          <w:shd w:val="clear" w:fill="FFFFFF"/>
        </w:rPr>
        <w:t>6.《声明函》中标注“</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”的地方无需填写。</w:t>
      </w:r>
    </w:p>
    <w:p w14:paraId="1E13DB44">
      <w:pPr>
        <w:rPr>
          <w:rFonts w:hint="eastAsia" w:ascii="黑体" w:hAnsi="黑体" w:eastAsia="黑体" w:cs="黑体"/>
          <w:iCs/>
          <w:color w:val="auto"/>
          <w:sz w:val="30"/>
          <w:szCs w:val="30"/>
          <w:highlight w:val="none"/>
          <w:u w:val="none"/>
        </w:rPr>
      </w:pPr>
      <w:r>
        <w:rPr>
          <w:rFonts w:hint="eastAsia" w:ascii="黑体" w:hAnsi="黑体" w:eastAsia="黑体" w:cs="黑体"/>
          <w:iCs/>
          <w:color w:val="auto"/>
          <w:sz w:val="30"/>
          <w:szCs w:val="30"/>
          <w:highlight w:val="none"/>
          <w:u w:val="none"/>
        </w:rPr>
        <w:br w:type="page"/>
      </w:r>
    </w:p>
    <w:p w14:paraId="33A1E403">
      <w:pPr>
        <w:widowControl w:val="0"/>
        <w:spacing w:beforeAutospacing="0" w:afterAutospacing="0"/>
        <w:jc w:val="center"/>
        <w:rPr>
          <w:rFonts w:hint="eastAsia" w:ascii="宋体" w:hAnsi="宋体" w:eastAsia="宋体" w:cs="宋体"/>
          <w:sz w:val="24"/>
          <w:highlight w:val="none"/>
          <w:lang w:val="en-US" w:eastAsia="zh-CN"/>
        </w:rPr>
      </w:pPr>
      <w:r>
        <w:rPr>
          <w:rFonts w:hint="eastAsia" w:ascii="宋体" w:hAnsi="宋体" w:eastAsia="宋体" w:cs="宋体"/>
          <w:b/>
          <w:color w:val="000000"/>
          <w:sz w:val="32"/>
          <w:szCs w:val="32"/>
          <w:highlight w:val="none"/>
          <w:lang w:val="en-US" w:eastAsia="zh-CN"/>
        </w:rPr>
        <w:t>十三、投标分项报价表（采购包    ）</w:t>
      </w:r>
    </w:p>
    <w:tbl>
      <w:tblPr>
        <w:tblStyle w:val="40"/>
        <w:tblW w:w="0" w:type="auto"/>
        <w:jc w:val="center"/>
        <w:tblCellSpacing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546"/>
        <w:gridCol w:w="996"/>
        <w:gridCol w:w="905"/>
        <w:gridCol w:w="1298"/>
        <w:gridCol w:w="746"/>
        <w:gridCol w:w="918"/>
        <w:gridCol w:w="696"/>
        <w:gridCol w:w="1261"/>
        <w:gridCol w:w="1151"/>
      </w:tblGrid>
      <w:tr w14:paraId="437D4D7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44" w:hRule="atLeast"/>
          <w:tblCellSpacing w:w="0" w:type="dxa"/>
          <w:jc w:val="center"/>
        </w:trPr>
        <w:tc>
          <w:tcPr>
            <w:tcW w:w="546" w:type="dxa"/>
            <w:noWrap w:val="0"/>
            <w:vAlign w:val="center"/>
          </w:tcPr>
          <w:p w14:paraId="09F3E3FC">
            <w:pPr>
              <w:widowControl w:val="0"/>
              <w:spacing w:beforeAutospacing="0" w:afterAutospacing="0" w:line="0" w:lineRule="atLeast"/>
              <w:jc w:val="center"/>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序号</w:t>
            </w:r>
          </w:p>
        </w:tc>
        <w:tc>
          <w:tcPr>
            <w:tcW w:w="996" w:type="dxa"/>
            <w:noWrap w:val="0"/>
            <w:vAlign w:val="center"/>
          </w:tcPr>
          <w:p w14:paraId="359E0610">
            <w:pPr>
              <w:widowControl w:val="0"/>
              <w:spacing w:beforeAutospacing="0" w:afterAutospacing="0" w:line="0" w:lineRule="atLeast"/>
              <w:jc w:val="center"/>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1</w:t>
            </w:r>
          </w:p>
        </w:tc>
        <w:tc>
          <w:tcPr>
            <w:tcW w:w="905" w:type="dxa"/>
            <w:noWrap w:val="0"/>
            <w:vAlign w:val="center"/>
          </w:tcPr>
          <w:p w14:paraId="5CA56269">
            <w:pPr>
              <w:widowControl w:val="0"/>
              <w:spacing w:beforeAutospacing="0" w:afterAutospacing="0" w:line="0" w:lineRule="atLeast"/>
              <w:jc w:val="center"/>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2</w:t>
            </w:r>
          </w:p>
        </w:tc>
        <w:tc>
          <w:tcPr>
            <w:tcW w:w="1298" w:type="dxa"/>
            <w:noWrap w:val="0"/>
            <w:vAlign w:val="center"/>
          </w:tcPr>
          <w:p w14:paraId="563D0C8C">
            <w:pPr>
              <w:widowControl w:val="0"/>
              <w:spacing w:beforeAutospacing="0" w:afterAutospacing="0" w:line="0" w:lineRule="atLeast"/>
              <w:jc w:val="center"/>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3</w:t>
            </w:r>
          </w:p>
        </w:tc>
        <w:tc>
          <w:tcPr>
            <w:tcW w:w="746" w:type="dxa"/>
            <w:noWrap w:val="0"/>
            <w:vAlign w:val="center"/>
          </w:tcPr>
          <w:p w14:paraId="27A27E46">
            <w:pPr>
              <w:widowControl w:val="0"/>
              <w:spacing w:beforeAutospacing="0" w:afterAutospacing="0" w:line="0" w:lineRule="atLeast"/>
              <w:jc w:val="center"/>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4</w:t>
            </w:r>
          </w:p>
        </w:tc>
        <w:tc>
          <w:tcPr>
            <w:tcW w:w="918" w:type="dxa"/>
            <w:noWrap w:val="0"/>
            <w:vAlign w:val="center"/>
          </w:tcPr>
          <w:p w14:paraId="3F1FAC03">
            <w:pPr>
              <w:widowControl w:val="0"/>
              <w:spacing w:beforeAutospacing="0" w:afterAutospacing="0" w:line="0" w:lineRule="atLeast"/>
              <w:jc w:val="center"/>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5</w:t>
            </w:r>
          </w:p>
        </w:tc>
        <w:tc>
          <w:tcPr>
            <w:tcW w:w="696" w:type="dxa"/>
            <w:noWrap w:val="0"/>
            <w:vAlign w:val="center"/>
          </w:tcPr>
          <w:p w14:paraId="4E465C0C">
            <w:pPr>
              <w:widowControl w:val="0"/>
              <w:spacing w:beforeAutospacing="0" w:afterAutospacing="0" w:line="0" w:lineRule="atLeast"/>
              <w:jc w:val="center"/>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6</w:t>
            </w:r>
          </w:p>
        </w:tc>
        <w:tc>
          <w:tcPr>
            <w:tcW w:w="1261" w:type="dxa"/>
            <w:noWrap w:val="0"/>
            <w:vAlign w:val="center"/>
          </w:tcPr>
          <w:p w14:paraId="21B50285">
            <w:pPr>
              <w:widowControl w:val="0"/>
              <w:spacing w:beforeAutospacing="0" w:afterAutospacing="0" w:line="0" w:lineRule="atLeast"/>
              <w:jc w:val="center"/>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7</w:t>
            </w:r>
          </w:p>
        </w:tc>
        <w:tc>
          <w:tcPr>
            <w:tcW w:w="1151" w:type="dxa"/>
            <w:noWrap w:val="0"/>
            <w:vAlign w:val="center"/>
          </w:tcPr>
          <w:p w14:paraId="5DF80AFA">
            <w:pPr>
              <w:widowControl w:val="0"/>
              <w:spacing w:beforeAutospacing="0" w:afterAutospacing="0" w:line="0" w:lineRule="atLeast"/>
              <w:jc w:val="center"/>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8</w:t>
            </w:r>
          </w:p>
        </w:tc>
      </w:tr>
      <w:tr w14:paraId="7D7DD0F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94" w:hRule="atLeast"/>
          <w:tblCellSpacing w:w="0" w:type="dxa"/>
          <w:jc w:val="center"/>
        </w:trPr>
        <w:tc>
          <w:tcPr>
            <w:tcW w:w="546" w:type="dxa"/>
            <w:noWrap w:val="0"/>
            <w:vAlign w:val="center"/>
          </w:tcPr>
          <w:p w14:paraId="5B8C5498">
            <w:pPr>
              <w:widowControl w:val="0"/>
              <w:spacing w:beforeAutospacing="0" w:afterAutospacing="0" w:line="0" w:lineRule="atLeast"/>
              <w:jc w:val="center"/>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1</w:t>
            </w:r>
          </w:p>
        </w:tc>
        <w:tc>
          <w:tcPr>
            <w:tcW w:w="996" w:type="dxa"/>
            <w:noWrap w:val="0"/>
            <w:vAlign w:val="center"/>
          </w:tcPr>
          <w:p w14:paraId="25FCFBB1">
            <w:pPr>
              <w:widowControl w:val="0"/>
              <w:spacing w:beforeAutospacing="0" w:afterAutospacing="0" w:line="0" w:lineRule="atLeast"/>
              <w:jc w:val="center"/>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产品</w:t>
            </w:r>
          </w:p>
          <w:p w14:paraId="2C16C3F9">
            <w:pPr>
              <w:widowControl w:val="0"/>
              <w:spacing w:beforeAutospacing="0" w:afterAutospacing="0" w:line="0" w:lineRule="atLeast"/>
              <w:jc w:val="center"/>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名称</w:t>
            </w:r>
          </w:p>
        </w:tc>
        <w:tc>
          <w:tcPr>
            <w:tcW w:w="905" w:type="dxa"/>
            <w:noWrap w:val="0"/>
            <w:vAlign w:val="center"/>
          </w:tcPr>
          <w:p w14:paraId="053C469B">
            <w:pPr>
              <w:widowControl w:val="0"/>
              <w:spacing w:beforeAutospacing="0" w:afterAutospacing="0" w:line="0" w:lineRule="atLeast"/>
              <w:jc w:val="center"/>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品牌</w:t>
            </w:r>
          </w:p>
        </w:tc>
        <w:tc>
          <w:tcPr>
            <w:tcW w:w="1298" w:type="dxa"/>
            <w:noWrap w:val="0"/>
            <w:vAlign w:val="center"/>
          </w:tcPr>
          <w:p w14:paraId="221649F0">
            <w:pPr>
              <w:widowControl w:val="0"/>
              <w:spacing w:beforeAutospacing="0" w:afterAutospacing="0" w:line="0" w:lineRule="atLeast"/>
              <w:jc w:val="center"/>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规格</w:t>
            </w:r>
          </w:p>
          <w:p w14:paraId="084C31DF">
            <w:pPr>
              <w:widowControl w:val="0"/>
              <w:spacing w:beforeAutospacing="0" w:afterAutospacing="0" w:line="0" w:lineRule="atLeast"/>
              <w:jc w:val="center"/>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型号</w:t>
            </w:r>
          </w:p>
        </w:tc>
        <w:tc>
          <w:tcPr>
            <w:tcW w:w="746" w:type="dxa"/>
            <w:noWrap w:val="0"/>
            <w:vAlign w:val="center"/>
          </w:tcPr>
          <w:p w14:paraId="7573B641">
            <w:pPr>
              <w:widowControl w:val="0"/>
              <w:spacing w:beforeAutospacing="0" w:afterAutospacing="0" w:line="0" w:lineRule="atLeast"/>
              <w:jc w:val="center"/>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产地</w:t>
            </w:r>
          </w:p>
        </w:tc>
        <w:tc>
          <w:tcPr>
            <w:tcW w:w="918" w:type="dxa"/>
            <w:noWrap w:val="0"/>
            <w:vAlign w:val="center"/>
          </w:tcPr>
          <w:p w14:paraId="318243C3">
            <w:pPr>
              <w:widowControl w:val="0"/>
              <w:spacing w:beforeAutospacing="0" w:afterAutospacing="0" w:line="0" w:lineRule="atLeast"/>
              <w:jc w:val="center"/>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交付期</w:t>
            </w:r>
          </w:p>
        </w:tc>
        <w:tc>
          <w:tcPr>
            <w:tcW w:w="696" w:type="dxa"/>
            <w:noWrap w:val="0"/>
            <w:vAlign w:val="center"/>
          </w:tcPr>
          <w:p w14:paraId="66CA1892">
            <w:pPr>
              <w:widowControl w:val="0"/>
              <w:spacing w:beforeAutospacing="0" w:afterAutospacing="0" w:line="0" w:lineRule="atLeast"/>
              <w:jc w:val="center"/>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数量</w:t>
            </w:r>
          </w:p>
        </w:tc>
        <w:tc>
          <w:tcPr>
            <w:tcW w:w="1261" w:type="dxa"/>
            <w:noWrap w:val="0"/>
            <w:vAlign w:val="center"/>
          </w:tcPr>
          <w:p w14:paraId="564E7D1D">
            <w:pPr>
              <w:widowControl w:val="0"/>
              <w:spacing w:beforeAutospacing="0" w:afterAutospacing="0" w:line="0" w:lineRule="atLeast"/>
              <w:jc w:val="center"/>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分项单价</w:t>
            </w:r>
          </w:p>
        </w:tc>
        <w:tc>
          <w:tcPr>
            <w:tcW w:w="1151" w:type="dxa"/>
            <w:noWrap w:val="0"/>
            <w:vAlign w:val="center"/>
          </w:tcPr>
          <w:p w14:paraId="14BA3085">
            <w:pPr>
              <w:widowControl w:val="0"/>
              <w:spacing w:beforeAutospacing="0" w:afterAutospacing="0" w:line="0" w:lineRule="atLeast"/>
              <w:jc w:val="center"/>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分项总价</w:t>
            </w:r>
          </w:p>
        </w:tc>
      </w:tr>
      <w:tr w14:paraId="74EFBE1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696" w:hRule="atLeast"/>
          <w:tblCellSpacing w:w="0" w:type="dxa"/>
          <w:jc w:val="center"/>
        </w:trPr>
        <w:tc>
          <w:tcPr>
            <w:tcW w:w="546" w:type="dxa"/>
            <w:noWrap w:val="0"/>
            <w:vAlign w:val="center"/>
          </w:tcPr>
          <w:p w14:paraId="2BC17E3C">
            <w:pPr>
              <w:widowControl w:val="0"/>
              <w:spacing w:beforeAutospacing="0" w:afterAutospacing="0" w:line="0" w:lineRule="atLeast"/>
              <w:jc w:val="center"/>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2</w:t>
            </w:r>
          </w:p>
        </w:tc>
        <w:tc>
          <w:tcPr>
            <w:tcW w:w="996" w:type="dxa"/>
            <w:noWrap w:val="0"/>
            <w:vAlign w:val="center"/>
          </w:tcPr>
          <w:p w14:paraId="7CEEFFF5">
            <w:pPr>
              <w:widowControl w:val="0"/>
              <w:spacing w:beforeAutospacing="0" w:afterAutospacing="0" w:line="0" w:lineRule="atLeast"/>
              <w:jc w:val="both"/>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w:t>
            </w:r>
          </w:p>
        </w:tc>
        <w:tc>
          <w:tcPr>
            <w:tcW w:w="905" w:type="dxa"/>
            <w:noWrap w:val="0"/>
            <w:vAlign w:val="center"/>
          </w:tcPr>
          <w:p w14:paraId="7C836CA4">
            <w:pPr>
              <w:widowControl w:val="0"/>
              <w:spacing w:beforeAutospacing="0" w:afterAutospacing="0" w:line="0" w:lineRule="atLeast"/>
              <w:jc w:val="both"/>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w:t>
            </w:r>
          </w:p>
        </w:tc>
        <w:tc>
          <w:tcPr>
            <w:tcW w:w="1298" w:type="dxa"/>
            <w:noWrap w:val="0"/>
            <w:vAlign w:val="center"/>
          </w:tcPr>
          <w:p w14:paraId="37FDA416">
            <w:pPr>
              <w:widowControl w:val="0"/>
              <w:spacing w:beforeAutospacing="0" w:afterAutospacing="0" w:line="0" w:lineRule="atLeast"/>
              <w:jc w:val="both"/>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w:t>
            </w:r>
          </w:p>
        </w:tc>
        <w:tc>
          <w:tcPr>
            <w:tcW w:w="746" w:type="dxa"/>
            <w:noWrap w:val="0"/>
            <w:vAlign w:val="center"/>
          </w:tcPr>
          <w:p w14:paraId="1C019470">
            <w:pPr>
              <w:widowControl w:val="0"/>
              <w:spacing w:beforeAutospacing="0" w:afterAutospacing="0" w:line="0" w:lineRule="atLeast"/>
              <w:jc w:val="both"/>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w:t>
            </w:r>
          </w:p>
        </w:tc>
        <w:tc>
          <w:tcPr>
            <w:tcW w:w="918" w:type="dxa"/>
            <w:noWrap w:val="0"/>
            <w:vAlign w:val="center"/>
          </w:tcPr>
          <w:p w14:paraId="1895135F">
            <w:pPr>
              <w:widowControl w:val="0"/>
              <w:spacing w:beforeAutospacing="0" w:afterAutospacing="0" w:line="0" w:lineRule="atLeast"/>
              <w:jc w:val="both"/>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w:t>
            </w:r>
          </w:p>
        </w:tc>
        <w:tc>
          <w:tcPr>
            <w:tcW w:w="696" w:type="dxa"/>
            <w:noWrap w:val="0"/>
            <w:vAlign w:val="center"/>
          </w:tcPr>
          <w:p w14:paraId="4BFF0068">
            <w:pPr>
              <w:widowControl w:val="0"/>
              <w:spacing w:beforeAutospacing="0" w:afterAutospacing="0" w:line="0" w:lineRule="atLeast"/>
              <w:jc w:val="both"/>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w:t>
            </w:r>
          </w:p>
        </w:tc>
        <w:tc>
          <w:tcPr>
            <w:tcW w:w="1261" w:type="dxa"/>
            <w:noWrap w:val="0"/>
            <w:vAlign w:val="center"/>
          </w:tcPr>
          <w:p w14:paraId="7832C0E5">
            <w:pPr>
              <w:widowControl w:val="0"/>
              <w:spacing w:beforeAutospacing="0" w:afterAutospacing="0" w:line="0" w:lineRule="atLeast"/>
              <w:jc w:val="both"/>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w:t>
            </w:r>
          </w:p>
        </w:tc>
        <w:tc>
          <w:tcPr>
            <w:tcW w:w="1151" w:type="dxa"/>
            <w:noWrap w:val="0"/>
            <w:vAlign w:val="center"/>
          </w:tcPr>
          <w:p w14:paraId="7B783F00">
            <w:pPr>
              <w:widowControl w:val="0"/>
              <w:spacing w:beforeAutospacing="0" w:afterAutospacing="0" w:line="0" w:lineRule="atLeast"/>
              <w:jc w:val="both"/>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w:t>
            </w:r>
          </w:p>
        </w:tc>
      </w:tr>
      <w:tr w14:paraId="2F8824C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24" w:hRule="atLeast"/>
          <w:tblCellSpacing w:w="0" w:type="dxa"/>
          <w:jc w:val="center"/>
        </w:trPr>
        <w:tc>
          <w:tcPr>
            <w:tcW w:w="546" w:type="dxa"/>
            <w:noWrap w:val="0"/>
            <w:vAlign w:val="center"/>
          </w:tcPr>
          <w:p w14:paraId="2CC94122">
            <w:pPr>
              <w:widowControl w:val="0"/>
              <w:spacing w:beforeAutospacing="0" w:afterAutospacing="0" w:line="0" w:lineRule="atLeast"/>
              <w:jc w:val="center"/>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3</w:t>
            </w:r>
          </w:p>
        </w:tc>
        <w:tc>
          <w:tcPr>
            <w:tcW w:w="996" w:type="dxa"/>
            <w:noWrap w:val="0"/>
            <w:vAlign w:val="center"/>
          </w:tcPr>
          <w:p w14:paraId="2A25B622">
            <w:pPr>
              <w:widowControl w:val="0"/>
              <w:spacing w:beforeAutospacing="0" w:afterAutospacing="0" w:line="0" w:lineRule="atLeast"/>
              <w:jc w:val="both"/>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w:t>
            </w:r>
          </w:p>
        </w:tc>
        <w:tc>
          <w:tcPr>
            <w:tcW w:w="905" w:type="dxa"/>
            <w:noWrap w:val="0"/>
            <w:vAlign w:val="center"/>
          </w:tcPr>
          <w:p w14:paraId="21275C78">
            <w:pPr>
              <w:widowControl w:val="0"/>
              <w:spacing w:beforeAutospacing="0" w:afterAutospacing="0" w:line="0" w:lineRule="atLeast"/>
              <w:jc w:val="both"/>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w:t>
            </w:r>
          </w:p>
        </w:tc>
        <w:tc>
          <w:tcPr>
            <w:tcW w:w="1298" w:type="dxa"/>
            <w:noWrap w:val="0"/>
            <w:vAlign w:val="center"/>
          </w:tcPr>
          <w:p w14:paraId="5E03757C">
            <w:pPr>
              <w:widowControl w:val="0"/>
              <w:spacing w:beforeAutospacing="0" w:afterAutospacing="0" w:line="0" w:lineRule="atLeast"/>
              <w:jc w:val="both"/>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w:t>
            </w:r>
          </w:p>
        </w:tc>
        <w:tc>
          <w:tcPr>
            <w:tcW w:w="746" w:type="dxa"/>
            <w:noWrap w:val="0"/>
            <w:vAlign w:val="center"/>
          </w:tcPr>
          <w:p w14:paraId="17311831">
            <w:pPr>
              <w:widowControl w:val="0"/>
              <w:spacing w:beforeAutospacing="0" w:afterAutospacing="0" w:line="0" w:lineRule="atLeast"/>
              <w:jc w:val="both"/>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w:t>
            </w:r>
          </w:p>
        </w:tc>
        <w:tc>
          <w:tcPr>
            <w:tcW w:w="918" w:type="dxa"/>
            <w:noWrap w:val="0"/>
            <w:vAlign w:val="center"/>
          </w:tcPr>
          <w:p w14:paraId="4D89D2A4">
            <w:pPr>
              <w:widowControl w:val="0"/>
              <w:spacing w:beforeAutospacing="0" w:afterAutospacing="0" w:line="0" w:lineRule="atLeast"/>
              <w:jc w:val="both"/>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w:t>
            </w:r>
          </w:p>
        </w:tc>
        <w:tc>
          <w:tcPr>
            <w:tcW w:w="696" w:type="dxa"/>
            <w:noWrap w:val="0"/>
            <w:vAlign w:val="center"/>
          </w:tcPr>
          <w:p w14:paraId="0FB2DECB">
            <w:pPr>
              <w:widowControl w:val="0"/>
              <w:spacing w:beforeAutospacing="0" w:afterAutospacing="0" w:line="0" w:lineRule="atLeast"/>
              <w:jc w:val="both"/>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w:t>
            </w:r>
          </w:p>
        </w:tc>
        <w:tc>
          <w:tcPr>
            <w:tcW w:w="1261" w:type="dxa"/>
            <w:noWrap w:val="0"/>
            <w:vAlign w:val="center"/>
          </w:tcPr>
          <w:p w14:paraId="0F684FDD">
            <w:pPr>
              <w:widowControl w:val="0"/>
              <w:spacing w:beforeAutospacing="0" w:afterAutospacing="0" w:line="0" w:lineRule="atLeast"/>
              <w:jc w:val="both"/>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w:t>
            </w:r>
          </w:p>
        </w:tc>
        <w:tc>
          <w:tcPr>
            <w:tcW w:w="1151" w:type="dxa"/>
            <w:noWrap w:val="0"/>
            <w:vAlign w:val="center"/>
          </w:tcPr>
          <w:p w14:paraId="0867F92A">
            <w:pPr>
              <w:widowControl w:val="0"/>
              <w:spacing w:beforeAutospacing="0" w:afterAutospacing="0" w:line="0" w:lineRule="atLeast"/>
              <w:jc w:val="both"/>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w:t>
            </w:r>
          </w:p>
        </w:tc>
      </w:tr>
      <w:tr w14:paraId="1CF7D28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640" w:hRule="atLeast"/>
          <w:tblCellSpacing w:w="0" w:type="dxa"/>
          <w:jc w:val="center"/>
        </w:trPr>
        <w:tc>
          <w:tcPr>
            <w:tcW w:w="546" w:type="dxa"/>
            <w:noWrap w:val="0"/>
            <w:vAlign w:val="center"/>
          </w:tcPr>
          <w:p w14:paraId="322C85B8">
            <w:pPr>
              <w:widowControl w:val="0"/>
              <w:spacing w:beforeAutospacing="0" w:afterAutospacing="0" w:line="0" w:lineRule="atLeast"/>
              <w:jc w:val="center"/>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4</w:t>
            </w:r>
          </w:p>
        </w:tc>
        <w:tc>
          <w:tcPr>
            <w:tcW w:w="996" w:type="dxa"/>
            <w:noWrap w:val="0"/>
            <w:vAlign w:val="center"/>
          </w:tcPr>
          <w:p w14:paraId="17B71701">
            <w:pPr>
              <w:widowControl w:val="0"/>
              <w:spacing w:beforeAutospacing="0" w:afterAutospacing="0" w:line="0" w:lineRule="atLeast"/>
              <w:jc w:val="both"/>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w:t>
            </w:r>
          </w:p>
        </w:tc>
        <w:tc>
          <w:tcPr>
            <w:tcW w:w="905" w:type="dxa"/>
            <w:noWrap w:val="0"/>
            <w:vAlign w:val="center"/>
          </w:tcPr>
          <w:p w14:paraId="2F7DC540">
            <w:pPr>
              <w:widowControl w:val="0"/>
              <w:spacing w:beforeAutospacing="0" w:afterAutospacing="0" w:line="0" w:lineRule="atLeast"/>
              <w:jc w:val="both"/>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w:t>
            </w:r>
          </w:p>
        </w:tc>
        <w:tc>
          <w:tcPr>
            <w:tcW w:w="1298" w:type="dxa"/>
            <w:noWrap w:val="0"/>
            <w:vAlign w:val="center"/>
          </w:tcPr>
          <w:p w14:paraId="3935CC62">
            <w:pPr>
              <w:widowControl w:val="0"/>
              <w:spacing w:beforeAutospacing="0" w:afterAutospacing="0" w:line="0" w:lineRule="atLeast"/>
              <w:jc w:val="both"/>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w:t>
            </w:r>
          </w:p>
        </w:tc>
        <w:tc>
          <w:tcPr>
            <w:tcW w:w="746" w:type="dxa"/>
            <w:noWrap w:val="0"/>
            <w:vAlign w:val="center"/>
          </w:tcPr>
          <w:p w14:paraId="418F1A6D">
            <w:pPr>
              <w:widowControl w:val="0"/>
              <w:spacing w:beforeAutospacing="0" w:afterAutospacing="0" w:line="0" w:lineRule="atLeast"/>
              <w:jc w:val="both"/>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w:t>
            </w:r>
          </w:p>
        </w:tc>
        <w:tc>
          <w:tcPr>
            <w:tcW w:w="918" w:type="dxa"/>
            <w:noWrap w:val="0"/>
            <w:vAlign w:val="center"/>
          </w:tcPr>
          <w:p w14:paraId="0DBBBD73">
            <w:pPr>
              <w:widowControl w:val="0"/>
              <w:spacing w:beforeAutospacing="0" w:afterAutospacing="0" w:line="0" w:lineRule="atLeast"/>
              <w:jc w:val="both"/>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w:t>
            </w:r>
          </w:p>
        </w:tc>
        <w:tc>
          <w:tcPr>
            <w:tcW w:w="696" w:type="dxa"/>
            <w:noWrap w:val="0"/>
            <w:vAlign w:val="center"/>
          </w:tcPr>
          <w:p w14:paraId="136ED5E7">
            <w:pPr>
              <w:widowControl w:val="0"/>
              <w:spacing w:beforeAutospacing="0" w:afterAutospacing="0" w:line="0" w:lineRule="atLeast"/>
              <w:jc w:val="both"/>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w:t>
            </w:r>
          </w:p>
        </w:tc>
        <w:tc>
          <w:tcPr>
            <w:tcW w:w="1261" w:type="dxa"/>
            <w:noWrap w:val="0"/>
            <w:vAlign w:val="center"/>
          </w:tcPr>
          <w:p w14:paraId="561B9928">
            <w:pPr>
              <w:widowControl w:val="0"/>
              <w:spacing w:beforeAutospacing="0" w:afterAutospacing="0" w:line="0" w:lineRule="atLeast"/>
              <w:jc w:val="both"/>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w:t>
            </w:r>
          </w:p>
        </w:tc>
        <w:tc>
          <w:tcPr>
            <w:tcW w:w="1151" w:type="dxa"/>
            <w:noWrap w:val="0"/>
            <w:vAlign w:val="center"/>
          </w:tcPr>
          <w:p w14:paraId="35EAF230">
            <w:pPr>
              <w:widowControl w:val="0"/>
              <w:spacing w:beforeAutospacing="0" w:afterAutospacing="0" w:line="0" w:lineRule="atLeast"/>
              <w:jc w:val="both"/>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w:t>
            </w:r>
          </w:p>
        </w:tc>
      </w:tr>
      <w:tr w14:paraId="3964140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80" w:hRule="atLeast"/>
          <w:tblCellSpacing w:w="0" w:type="dxa"/>
          <w:jc w:val="center"/>
        </w:trPr>
        <w:tc>
          <w:tcPr>
            <w:tcW w:w="546" w:type="dxa"/>
            <w:noWrap w:val="0"/>
            <w:vAlign w:val="center"/>
          </w:tcPr>
          <w:p w14:paraId="765D8EC5">
            <w:pPr>
              <w:widowControl w:val="0"/>
              <w:spacing w:beforeAutospacing="0" w:afterAutospacing="0" w:line="0" w:lineRule="atLeast"/>
              <w:jc w:val="center"/>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w:t>
            </w:r>
          </w:p>
        </w:tc>
        <w:tc>
          <w:tcPr>
            <w:tcW w:w="996" w:type="dxa"/>
            <w:noWrap w:val="0"/>
            <w:vAlign w:val="center"/>
          </w:tcPr>
          <w:p w14:paraId="12600EA2">
            <w:pPr>
              <w:widowControl w:val="0"/>
              <w:spacing w:beforeAutospacing="0" w:afterAutospacing="0" w:line="0" w:lineRule="atLeast"/>
              <w:jc w:val="both"/>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w:t>
            </w:r>
          </w:p>
        </w:tc>
        <w:tc>
          <w:tcPr>
            <w:tcW w:w="905" w:type="dxa"/>
            <w:noWrap w:val="0"/>
            <w:vAlign w:val="center"/>
          </w:tcPr>
          <w:p w14:paraId="2FFD470D">
            <w:pPr>
              <w:widowControl w:val="0"/>
              <w:spacing w:beforeAutospacing="0" w:afterAutospacing="0" w:line="0" w:lineRule="atLeast"/>
              <w:jc w:val="both"/>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w:t>
            </w:r>
          </w:p>
        </w:tc>
        <w:tc>
          <w:tcPr>
            <w:tcW w:w="1298" w:type="dxa"/>
            <w:noWrap w:val="0"/>
            <w:vAlign w:val="center"/>
          </w:tcPr>
          <w:p w14:paraId="74C378B3">
            <w:pPr>
              <w:widowControl w:val="0"/>
              <w:spacing w:beforeAutospacing="0" w:afterAutospacing="0" w:line="0" w:lineRule="atLeast"/>
              <w:jc w:val="both"/>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w:t>
            </w:r>
          </w:p>
        </w:tc>
        <w:tc>
          <w:tcPr>
            <w:tcW w:w="746" w:type="dxa"/>
            <w:noWrap w:val="0"/>
            <w:vAlign w:val="center"/>
          </w:tcPr>
          <w:p w14:paraId="793DB1E1">
            <w:pPr>
              <w:widowControl w:val="0"/>
              <w:spacing w:beforeAutospacing="0" w:afterAutospacing="0" w:line="0" w:lineRule="atLeast"/>
              <w:jc w:val="both"/>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w:t>
            </w:r>
          </w:p>
        </w:tc>
        <w:tc>
          <w:tcPr>
            <w:tcW w:w="918" w:type="dxa"/>
            <w:noWrap w:val="0"/>
            <w:vAlign w:val="center"/>
          </w:tcPr>
          <w:p w14:paraId="3ACF125A">
            <w:pPr>
              <w:widowControl w:val="0"/>
              <w:spacing w:beforeAutospacing="0" w:afterAutospacing="0" w:line="0" w:lineRule="atLeast"/>
              <w:jc w:val="both"/>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w:t>
            </w:r>
          </w:p>
        </w:tc>
        <w:tc>
          <w:tcPr>
            <w:tcW w:w="696" w:type="dxa"/>
            <w:noWrap w:val="0"/>
            <w:vAlign w:val="center"/>
          </w:tcPr>
          <w:p w14:paraId="71FF9643">
            <w:pPr>
              <w:widowControl w:val="0"/>
              <w:spacing w:beforeAutospacing="0" w:afterAutospacing="0" w:line="0" w:lineRule="atLeast"/>
              <w:jc w:val="both"/>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w:t>
            </w:r>
          </w:p>
        </w:tc>
        <w:tc>
          <w:tcPr>
            <w:tcW w:w="1261" w:type="dxa"/>
            <w:noWrap w:val="0"/>
            <w:vAlign w:val="center"/>
          </w:tcPr>
          <w:p w14:paraId="5DB36519">
            <w:pPr>
              <w:widowControl w:val="0"/>
              <w:spacing w:beforeAutospacing="0" w:afterAutospacing="0" w:line="0" w:lineRule="atLeast"/>
              <w:jc w:val="both"/>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w:t>
            </w:r>
          </w:p>
        </w:tc>
        <w:tc>
          <w:tcPr>
            <w:tcW w:w="1151" w:type="dxa"/>
            <w:noWrap w:val="0"/>
            <w:vAlign w:val="center"/>
          </w:tcPr>
          <w:p w14:paraId="04593B16">
            <w:pPr>
              <w:widowControl w:val="0"/>
              <w:spacing w:beforeAutospacing="0" w:afterAutospacing="0" w:line="0" w:lineRule="atLeast"/>
              <w:jc w:val="both"/>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w:t>
            </w:r>
          </w:p>
        </w:tc>
      </w:tr>
      <w:tr w14:paraId="0975D1E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030" w:hRule="atLeast"/>
          <w:tblCellSpacing w:w="0" w:type="dxa"/>
          <w:jc w:val="center"/>
        </w:trPr>
        <w:tc>
          <w:tcPr>
            <w:tcW w:w="7366" w:type="dxa"/>
            <w:gridSpan w:val="8"/>
            <w:noWrap w:val="0"/>
            <w:vAlign w:val="center"/>
          </w:tcPr>
          <w:p w14:paraId="46AB1EF9">
            <w:pPr>
              <w:widowControl w:val="0"/>
              <w:spacing w:beforeAutospacing="0" w:afterAutospacing="0"/>
              <w:jc w:val="center"/>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投标总报价（人民币：元）</w:t>
            </w:r>
          </w:p>
        </w:tc>
        <w:tc>
          <w:tcPr>
            <w:tcW w:w="1151" w:type="dxa"/>
            <w:noWrap w:val="0"/>
            <w:vAlign w:val="center"/>
          </w:tcPr>
          <w:p w14:paraId="36FA26F1">
            <w:pPr>
              <w:widowControl w:val="0"/>
              <w:spacing w:beforeAutospacing="0" w:afterAutospacing="0"/>
              <w:jc w:val="both"/>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w:t>
            </w:r>
          </w:p>
        </w:tc>
      </w:tr>
      <w:tr w14:paraId="23EDA67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030" w:hRule="atLeast"/>
          <w:tblCellSpacing w:w="0" w:type="dxa"/>
          <w:jc w:val="center"/>
        </w:trPr>
        <w:tc>
          <w:tcPr>
            <w:tcW w:w="8517" w:type="dxa"/>
            <w:gridSpan w:val="9"/>
            <w:noWrap w:val="0"/>
            <w:vAlign w:val="center"/>
          </w:tcPr>
          <w:p w14:paraId="1D070457">
            <w:pPr>
              <w:widowControl w:val="0"/>
              <w:spacing w:beforeAutospacing="0" w:afterAutospacing="0"/>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szCs w:val="24"/>
                <w:highlight w:val="none"/>
                <w:lang w:val="en-US" w:eastAsia="zh-CN"/>
              </w:rPr>
              <w:t>本采购包中提供的符合本国产品标准的产品成本之和占该采购包提供的全部产品成本之和的比例为</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lang w:val="en-US" w:eastAsia="zh-CN"/>
              </w:rPr>
              <w:t>%。</w:t>
            </w:r>
          </w:p>
        </w:tc>
      </w:tr>
    </w:tbl>
    <w:p w14:paraId="17C5747B">
      <w:pPr>
        <w:widowControl w:val="0"/>
        <w:spacing w:beforeAutospacing="0" w:afterAutospacing="0"/>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备注：</w:t>
      </w:r>
    </w:p>
    <w:p w14:paraId="14648F0B">
      <w:pPr>
        <w:widowControl w:val="0"/>
        <w:numPr>
          <w:ilvl w:val="0"/>
          <w:numId w:val="6"/>
        </w:numPr>
        <w:spacing w:beforeAutospacing="0" w:afterAutospacing="0"/>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594DB6A4">
      <w:pPr>
        <w:widowControl w:val="0"/>
        <w:numPr>
          <w:ilvl w:val="0"/>
          <w:numId w:val="0"/>
        </w:numPr>
        <w:spacing w:beforeAutospacing="0" w:afterAutospacing="0"/>
        <w:jc w:val="both"/>
        <w:rPr>
          <w:rFonts w:hint="eastAsia" w:ascii="宋体" w:hAnsi="宋体" w:eastAsia="宋体" w:cs="宋体"/>
          <w:color w:val="000000"/>
          <w:sz w:val="24"/>
          <w:highlight w:val="none"/>
          <w:shd w:val="clear" w:color="auto" w:fill="auto"/>
          <w:lang w:val="en-US" w:eastAsia="zh-CN"/>
        </w:rPr>
      </w:pPr>
      <w:r>
        <w:rPr>
          <w:rFonts w:hint="eastAsia" w:ascii="宋体" w:hAnsi="宋体" w:eastAsia="宋体" w:cs="宋体"/>
          <w:color w:val="000000"/>
          <w:sz w:val="24"/>
          <w:highlight w:val="none"/>
          <w:lang w:val="en-US" w:eastAsia="zh-CN"/>
        </w:rPr>
        <w:t>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4"/>
          <w:highlight w:val="none"/>
          <w:lang w:val="en-US" w:eastAsia="zh-CN"/>
        </w:rPr>
        <w:t>投标分项报价表</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4"/>
          <w:highlight w:val="none"/>
          <w:shd w:val="clear" w:color="auto" w:fill="auto"/>
          <w:lang w:val="en-US" w:eastAsia="zh-CN"/>
        </w:rPr>
        <w:t>中“投标总报价”数额应当与“开标一览表”中“投标总报价”数额一致。</w:t>
      </w:r>
    </w:p>
    <w:p w14:paraId="07F50FE0">
      <w:pPr>
        <w:spacing w:line="400" w:lineRule="exact"/>
        <w:rPr>
          <w:rFonts w:hint="eastAsia" w:ascii="宋体" w:hAnsi="宋体" w:eastAsia="宋体" w:cs="宋体"/>
          <w:color w:val="000000"/>
          <w:sz w:val="21"/>
          <w:szCs w:val="20"/>
          <w:highlight w:val="none"/>
          <w:shd w:val="clear" w:color="auto" w:fill="auto"/>
        </w:rPr>
      </w:pPr>
      <w:r>
        <w:rPr>
          <w:rFonts w:hint="eastAsia" w:ascii="宋体" w:hAnsi="宋体" w:eastAsia="宋体" w:cs="宋体"/>
          <w:color w:val="000000"/>
          <w:sz w:val="24"/>
          <w:szCs w:val="24"/>
          <w:highlight w:val="none"/>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32C7A890">
      <w:pPr>
        <w:widowControl w:val="0"/>
        <w:spacing w:beforeAutospacing="0" w:afterAutospacing="0"/>
        <w:jc w:val="both"/>
        <w:rPr>
          <w:rFonts w:hint="eastAsia" w:ascii="宋体" w:hAnsi="宋体" w:eastAsia="宋体" w:cs="宋体"/>
          <w:sz w:val="24"/>
          <w:highlight w:val="none"/>
          <w:shd w:val="clear" w:color="auto" w:fill="auto"/>
          <w:lang w:val="en-US" w:eastAsia="zh-CN"/>
        </w:rPr>
      </w:pPr>
      <w:r>
        <w:rPr>
          <w:rFonts w:hint="eastAsia" w:ascii="宋体" w:hAnsi="宋体" w:eastAsia="宋体" w:cs="宋体"/>
          <w:sz w:val="24"/>
          <w:highlight w:val="none"/>
          <w:shd w:val="clear" w:color="auto" w:fill="auto"/>
          <w:lang w:val="en-US" w:eastAsia="zh-CN"/>
        </w:rPr>
        <w:t> </w:t>
      </w:r>
    </w:p>
    <w:p w14:paraId="1E81A5CF">
      <w:pPr>
        <w:rPr>
          <w:rFonts w:hint="eastAsia" w:ascii="黑体" w:hAnsi="黑体" w:eastAsia="黑体" w:cs="黑体"/>
          <w:iCs/>
          <w:color w:val="auto"/>
          <w:sz w:val="30"/>
          <w:szCs w:val="30"/>
          <w:highlight w:val="none"/>
          <w:u w:val="none"/>
        </w:rPr>
      </w:pPr>
      <w:r>
        <w:rPr>
          <w:rFonts w:hint="eastAsia" w:ascii="黑体" w:hAnsi="黑体" w:eastAsia="黑体" w:cs="黑体"/>
          <w:iCs/>
          <w:color w:val="auto"/>
          <w:sz w:val="30"/>
          <w:szCs w:val="30"/>
          <w:highlight w:val="none"/>
          <w:u w:val="none"/>
        </w:rPr>
        <w:br w:type="page"/>
      </w:r>
    </w:p>
    <w:p w14:paraId="35EC5071">
      <w:pPr>
        <w:ind w:firstLine="440"/>
        <w:jc w:val="center"/>
        <w:rPr>
          <w:iCs/>
          <w:color w:val="auto"/>
          <w:sz w:val="30"/>
          <w:szCs w:val="30"/>
          <w:highlight w:val="none"/>
          <w:u w:val="none"/>
        </w:rPr>
      </w:pPr>
      <w:r>
        <w:rPr>
          <w:rFonts w:hint="eastAsia" w:ascii="黑体" w:hAnsi="黑体" w:eastAsia="黑体" w:cs="黑体"/>
          <w:iCs/>
          <w:color w:val="auto"/>
          <w:sz w:val="30"/>
          <w:szCs w:val="30"/>
          <w:highlight w:val="none"/>
          <w:u w:val="none"/>
        </w:rPr>
        <w:t>十</w:t>
      </w:r>
      <w:r>
        <w:rPr>
          <w:rFonts w:hint="eastAsia" w:ascii="黑体" w:hAnsi="黑体" w:eastAsia="黑体" w:cs="黑体"/>
          <w:iCs/>
          <w:color w:val="auto"/>
          <w:sz w:val="30"/>
          <w:szCs w:val="30"/>
          <w:highlight w:val="none"/>
          <w:u w:val="none"/>
          <w:lang w:val="en-US" w:eastAsia="zh-CN"/>
        </w:rPr>
        <w:t>四</w:t>
      </w:r>
      <w:r>
        <w:rPr>
          <w:rFonts w:hint="eastAsia" w:ascii="黑体" w:hAnsi="黑体" w:eastAsia="黑体" w:cs="黑体"/>
          <w:iCs/>
          <w:color w:val="auto"/>
          <w:sz w:val="30"/>
          <w:szCs w:val="30"/>
          <w:highlight w:val="none"/>
          <w:u w:val="none"/>
        </w:rPr>
        <w:t>、技术要求响应及偏离表</w:t>
      </w:r>
      <w:r>
        <w:rPr>
          <w:rFonts w:hint="eastAsia" w:ascii="黑体" w:hAnsi="黑体" w:eastAsia="黑体" w:cs="黑体"/>
          <w:iCs/>
          <w:color w:val="auto"/>
          <w:sz w:val="30"/>
          <w:szCs w:val="30"/>
          <w:highlight w:val="none"/>
          <w:u w:val="none"/>
          <w:lang w:eastAsia="zh-CN"/>
        </w:rPr>
        <w:t>（</w:t>
      </w:r>
      <w:r>
        <w:rPr>
          <w:rFonts w:hint="eastAsia" w:ascii="黑体" w:hAnsi="黑体" w:eastAsia="黑体" w:cs="黑体"/>
          <w:iCs/>
          <w:color w:val="auto"/>
          <w:sz w:val="30"/>
          <w:szCs w:val="30"/>
          <w:highlight w:val="none"/>
          <w:u w:val="none"/>
          <w:lang w:val="en-US" w:eastAsia="zh-CN"/>
        </w:rPr>
        <w:t>采购包    ）</w:t>
      </w:r>
    </w:p>
    <w:tbl>
      <w:tblPr>
        <w:tblStyle w:val="40"/>
        <w:tblW w:w="9297" w:type="dxa"/>
        <w:jc w:val="center"/>
        <w:tblCellSpacing w:w="0" w:type="dxa"/>
        <w:tblLayout w:type="fixed"/>
        <w:tblCellMar>
          <w:top w:w="0" w:type="dxa"/>
          <w:left w:w="108" w:type="dxa"/>
          <w:bottom w:w="0" w:type="dxa"/>
          <w:right w:w="108" w:type="dxa"/>
        </w:tblCellMar>
      </w:tblPr>
      <w:tblGrid>
        <w:gridCol w:w="858"/>
        <w:gridCol w:w="2509"/>
        <w:gridCol w:w="2372"/>
        <w:gridCol w:w="1779"/>
        <w:gridCol w:w="1779"/>
      </w:tblGrid>
      <w:tr w14:paraId="56AFFEEF">
        <w:tblPrEx>
          <w:tblCellMar>
            <w:top w:w="0" w:type="dxa"/>
            <w:left w:w="108" w:type="dxa"/>
            <w:bottom w:w="0" w:type="dxa"/>
            <w:right w:w="108" w:type="dxa"/>
          </w:tblCellMar>
        </w:tblPrEx>
        <w:trPr>
          <w:trHeight w:val="90"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vAlign w:val="center"/>
          </w:tcPr>
          <w:p w14:paraId="1646711B">
            <w:pPr>
              <w:pStyle w:val="205"/>
              <w:spacing w:line="500" w:lineRule="exact"/>
              <w:jc w:val="center"/>
              <w:rPr>
                <w:color w:val="auto"/>
                <w:szCs w:val="24"/>
              </w:rPr>
            </w:pPr>
            <w:r>
              <w:rPr>
                <w:rFonts w:hint="eastAsia"/>
                <w:color w:val="auto"/>
                <w:szCs w:val="24"/>
              </w:rPr>
              <w:t>序号</w:t>
            </w:r>
          </w:p>
        </w:tc>
        <w:tc>
          <w:tcPr>
            <w:tcW w:w="2509" w:type="dxa"/>
            <w:tcBorders>
              <w:top w:val="single" w:color="000000" w:sz="4" w:space="0"/>
              <w:left w:val="single" w:color="000000" w:sz="4" w:space="0"/>
              <w:bottom w:val="single" w:color="000000" w:sz="4" w:space="0"/>
              <w:right w:val="single" w:color="000000" w:sz="4" w:space="0"/>
            </w:tcBorders>
            <w:vAlign w:val="center"/>
          </w:tcPr>
          <w:p w14:paraId="119D8396">
            <w:pPr>
              <w:pStyle w:val="36"/>
              <w:keepNext w:val="0"/>
              <w:keepLines w:val="0"/>
              <w:pageBreakBefore w:val="0"/>
              <w:kinsoku/>
              <w:wordWrap/>
              <w:overflowPunct/>
              <w:topLinePunct w:val="0"/>
              <w:autoSpaceDE/>
              <w:autoSpaceDN/>
              <w:bidi w:val="0"/>
              <w:adjustRightInd/>
              <w:snapToGrid/>
              <w:spacing w:beforeAutospacing="0" w:afterAutospacing="0" w:line="300" w:lineRule="exact"/>
              <w:jc w:val="center"/>
              <w:textAlignment w:val="auto"/>
              <w:rPr>
                <w:color w:val="auto"/>
                <w:szCs w:val="24"/>
              </w:rPr>
            </w:pPr>
            <w:r>
              <w:rPr>
                <w:rFonts w:hint="eastAsia" w:asciiTheme="minorEastAsia" w:hAnsiTheme="minorEastAsia" w:eastAsiaTheme="minorEastAsia" w:cstheme="minorEastAsia"/>
                <w:color w:val="000000"/>
                <w:sz w:val="21"/>
                <w:szCs w:val="21"/>
              </w:rPr>
              <w:t>招标文件要求</w:t>
            </w:r>
          </w:p>
        </w:tc>
        <w:tc>
          <w:tcPr>
            <w:tcW w:w="2372" w:type="dxa"/>
            <w:tcBorders>
              <w:top w:val="single" w:color="000000" w:sz="4" w:space="0"/>
              <w:left w:val="single" w:color="000000" w:sz="4" w:space="0"/>
              <w:bottom w:val="single" w:color="000000" w:sz="4" w:space="0"/>
              <w:right w:val="single" w:color="000000" w:sz="4" w:space="0"/>
            </w:tcBorders>
            <w:vAlign w:val="center"/>
          </w:tcPr>
          <w:p w14:paraId="491739C6">
            <w:pPr>
              <w:pStyle w:val="36"/>
              <w:keepNext w:val="0"/>
              <w:keepLines w:val="0"/>
              <w:pageBreakBefore w:val="0"/>
              <w:kinsoku/>
              <w:wordWrap/>
              <w:overflowPunct/>
              <w:topLinePunct w:val="0"/>
              <w:autoSpaceDE/>
              <w:autoSpaceDN/>
              <w:bidi w:val="0"/>
              <w:adjustRightInd/>
              <w:snapToGrid/>
              <w:spacing w:beforeAutospacing="0" w:afterAutospacing="0" w:line="300" w:lineRule="exact"/>
              <w:jc w:val="center"/>
              <w:textAlignment w:val="auto"/>
              <w:rPr>
                <w:color w:val="auto"/>
                <w:szCs w:val="24"/>
              </w:rPr>
            </w:pPr>
            <w:r>
              <w:rPr>
                <w:rFonts w:hint="eastAsia" w:asciiTheme="minorEastAsia" w:hAnsiTheme="minorEastAsia" w:eastAsiaTheme="minorEastAsia" w:cstheme="minorEastAsia"/>
                <w:color w:val="000000"/>
                <w:sz w:val="21"/>
                <w:szCs w:val="21"/>
              </w:rPr>
              <w:t>投标响应情况</w:t>
            </w:r>
          </w:p>
        </w:tc>
        <w:tc>
          <w:tcPr>
            <w:tcW w:w="1779" w:type="dxa"/>
            <w:tcBorders>
              <w:top w:val="single" w:color="000000" w:sz="4" w:space="0"/>
              <w:left w:val="single" w:color="000000" w:sz="4" w:space="0"/>
              <w:bottom w:val="single" w:color="000000" w:sz="4" w:space="0"/>
              <w:right w:val="single" w:color="000000" w:sz="4" w:space="0"/>
            </w:tcBorders>
            <w:vAlign w:val="center"/>
          </w:tcPr>
          <w:p w14:paraId="4240F734">
            <w:pPr>
              <w:pStyle w:val="36"/>
              <w:keepNext w:val="0"/>
              <w:keepLines w:val="0"/>
              <w:pageBreakBefore w:val="0"/>
              <w:kinsoku/>
              <w:wordWrap/>
              <w:overflowPunct/>
              <w:topLinePunct w:val="0"/>
              <w:autoSpaceDE/>
              <w:autoSpaceDN/>
              <w:bidi w:val="0"/>
              <w:adjustRightInd/>
              <w:snapToGrid/>
              <w:spacing w:beforeAutospacing="0" w:afterAutospacing="0" w:line="300" w:lineRule="exact"/>
              <w:jc w:val="center"/>
              <w:textAlignment w:val="auto"/>
              <w:rPr>
                <w:color w:val="auto"/>
                <w:szCs w:val="24"/>
              </w:rPr>
            </w:pPr>
            <w:r>
              <w:rPr>
                <w:rFonts w:hint="eastAsia" w:asciiTheme="minorEastAsia" w:hAnsiTheme="minorEastAsia" w:eastAsiaTheme="minorEastAsia" w:cstheme="minorEastAsia"/>
                <w:color w:val="000000"/>
                <w:sz w:val="21"/>
                <w:szCs w:val="21"/>
              </w:rPr>
              <w:t>正偏离、等同于或负偏离</w:t>
            </w:r>
          </w:p>
        </w:tc>
        <w:tc>
          <w:tcPr>
            <w:tcW w:w="1779" w:type="dxa"/>
            <w:tcBorders>
              <w:top w:val="single" w:color="000000" w:sz="4" w:space="0"/>
              <w:left w:val="single" w:color="000000" w:sz="4" w:space="0"/>
              <w:bottom w:val="single" w:color="000000" w:sz="4" w:space="0"/>
              <w:right w:val="single" w:color="000000" w:sz="4" w:space="0"/>
            </w:tcBorders>
            <w:vAlign w:val="center"/>
          </w:tcPr>
          <w:p w14:paraId="14DB1F08">
            <w:pPr>
              <w:pStyle w:val="36"/>
              <w:keepNext w:val="0"/>
              <w:keepLines w:val="0"/>
              <w:pageBreakBefore w:val="0"/>
              <w:kinsoku/>
              <w:wordWrap/>
              <w:overflowPunct/>
              <w:topLinePunct w:val="0"/>
              <w:autoSpaceDE/>
              <w:autoSpaceDN/>
              <w:bidi w:val="0"/>
              <w:adjustRightInd/>
              <w:snapToGrid/>
              <w:spacing w:beforeAutospacing="0" w:afterAutospacing="0" w:line="300" w:lineRule="exact"/>
              <w:jc w:val="center"/>
              <w:textAlignment w:val="auto"/>
              <w:rPr>
                <w:rFonts w:hint="eastAsia" w:eastAsia="宋体"/>
                <w:color w:val="auto"/>
                <w:szCs w:val="24"/>
                <w:lang w:eastAsia="zh-CN"/>
              </w:rPr>
            </w:pPr>
            <w:r>
              <w:rPr>
                <w:rFonts w:hint="eastAsia" w:asciiTheme="minorEastAsia" w:hAnsiTheme="minorEastAsia" w:eastAsiaTheme="minorEastAsia" w:cstheme="minorEastAsia"/>
                <w:color w:val="000000"/>
                <w:sz w:val="21"/>
                <w:szCs w:val="21"/>
              </w:rPr>
              <w:t>证明材料（如有）</w:t>
            </w:r>
          </w:p>
        </w:tc>
      </w:tr>
      <w:tr w14:paraId="6BD18551">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vAlign w:val="center"/>
          </w:tcPr>
          <w:p w14:paraId="74E1BFC7">
            <w:pPr>
              <w:pStyle w:val="205"/>
              <w:spacing w:line="500" w:lineRule="exact"/>
              <w:ind w:firstLine="480"/>
              <w:rPr>
                <w:color w:val="auto"/>
                <w:szCs w:val="24"/>
              </w:rPr>
            </w:pPr>
          </w:p>
        </w:tc>
        <w:tc>
          <w:tcPr>
            <w:tcW w:w="2509" w:type="dxa"/>
            <w:tcBorders>
              <w:top w:val="single" w:color="000000" w:sz="4" w:space="0"/>
              <w:left w:val="single" w:color="000000" w:sz="4" w:space="0"/>
              <w:bottom w:val="single" w:color="000000" w:sz="4" w:space="0"/>
              <w:right w:val="single" w:color="000000" w:sz="4" w:space="0"/>
            </w:tcBorders>
            <w:vAlign w:val="center"/>
          </w:tcPr>
          <w:p w14:paraId="4CF99B65">
            <w:pPr>
              <w:pStyle w:val="205"/>
              <w:spacing w:line="500" w:lineRule="exact"/>
              <w:ind w:firstLine="480"/>
              <w:rPr>
                <w:color w:val="auto"/>
                <w:szCs w:val="24"/>
              </w:rPr>
            </w:pPr>
          </w:p>
        </w:tc>
        <w:tc>
          <w:tcPr>
            <w:tcW w:w="2372" w:type="dxa"/>
            <w:tcBorders>
              <w:top w:val="single" w:color="000000" w:sz="4" w:space="0"/>
              <w:left w:val="single" w:color="000000" w:sz="4" w:space="0"/>
              <w:bottom w:val="single" w:color="000000" w:sz="4" w:space="0"/>
              <w:right w:val="single" w:color="000000" w:sz="4" w:space="0"/>
            </w:tcBorders>
            <w:vAlign w:val="center"/>
          </w:tcPr>
          <w:p w14:paraId="6BE21911">
            <w:pPr>
              <w:pStyle w:val="205"/>
              <w:spacing w:line="500" w:lineRule="exact"/>
              <w:ind w:firstLine="480"/>
              <w:rPr>
                <w:color w:val="auto"/>
                <w:szCs w:val="24"/>
              </w:rPr>
            </w:pPr>
          </w:p>
        </w:tc>
        <w:tc>
          <w:tcPr>
            <w:tcW w:w="1779" w:type="dxa"/>
            <w:tcBorders>
              <w:top w:val="single" w:color="000000" w:sz="4" w:space="0"/>
              <w:left w:val="single" w:color="000000" w:sz="4" w:space="0"/>
              <w:bottom w:val="single" w:color="000000" w:sz="4" w:space="0"/>
              <w:right w:val="single" w:color="000000" w:sz="4" w:space="0"/>
            </w:tcBorders>
            <w:vAlign w:val="center"/>
          </w:tcPr>
          <w:p w14:paraId="3592EACE">
            <w:pPr>
              <w:pStyle w:val="205"/>
              <w:spacing w:line="500" w:lineRule="exact"/>
              <w:ind w:firstLine="480"/>
              <w:rPr>
                <w:color w:val="auto"/>
                <w:szCs w:val="24"/>
              </w:rPr>
            </w:pPr>
          </w:p>
        </w:tc>
        <w:tc>
          <w:tcPr>
            <w:tcW w:w="1779" w:type="dxa"/>
            <w:tcBorders>
              <w:top w:val="single" w:color="000000" w:sz="4" w:space="0"/>
              <w:left w:val="single" w:color="000000" w:sz="4" w:space="0"/>
              <w:bottom w:val="single" w:color="000000" w:sz="4" w:space="0"/>
              <w:right w:val="single" w:color="000000" w:sz="4" w:space="0"/>
            </w:tcBorders>
            <w:vAlign w:val="center"/>
          </w:tcPr>
          <w:p w14:paraId="545F93E6">
            <w:pPr>
              <w:pStyle w:val="205"/>
              <w:spacing w:line="500" w:lineRule="exact"/>
              <w:ind w:firstLine="480"/>
              <w:rPr>
                <w:color w:val="auto"/>
                <w:szCs w:val="24"/>
              </w:rPr>
            </w:pPr>
          </w:p>
        </w:tc>
      </w:tr>
      <w:tr w14:paraId="5B0ECC82">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vAlign w:val="center"/>
          </w:tcPr>
          <w:p w14:paraId="4CEE2468">
            <w:pPr>
              <w:pStyle w:val="205"/>
              <w:spacing w:line="500" w:lineRule="exact"/>
              <w:ind w:firstLine="480"/>
              <w:rPr>
                <w:color w:val="auto"/>
                <w:szCs w:val="24"/>
              </w:rPr>
            </w:pPr>
          </w:p>
        </w:tc>
        <w:tc>
          <w:tcPr>
            <w:tcW w:w="2509" w:type="dxa"/>
            <w:tcBorders>
              <w:top w:val="single" w:color="000000" w:sz="4" w:space="0"/>
              <w:left w:val="single" w:color="000000" w:sz="4" w:space="0"/>
              <w:bottom w:val="single" w:color="000000" w:sz="4" w:space="0"/>
              <w:right w:val="single" w:color="000000" w:sz="4" w:space="0"/>
            </w:tcBorders>
            <w:vAlign w:val="center"/>
          </w:tcPr>
          <w:p w14:paraId="12540AF9">
            <w:pPr>
              <w:pStyle w:val="205"/>
              <w:spacing w:line="500" w:lineRule="exact"/>
              <w:ind w:firstLine="480"/>
              <w:rPr>
                <w:color w:val="auto"/>
                <w:szCs w:val="24"/>
              </w:rPr>
            </w:pPr>
          </w:p>
        </w:tc>
        <w:tc>
          <w:tcPr>
            <w:tcW w:w="2372" w:type="dxa"/>
            <w:tcBorders>
              <w:top w:val="single" w:color="000000" w:sz="4" w:space="0"/>
              <w:left w:val="single" w:color="000000" w:sz="4" w:space="0"/>
              <w:bottom w:val="single" w:color="000000" w:sz="4" w:space="0"/>
              <w:right w:val="single" w:color="000000" w:sz="4" w:space="0"/>
            </w:tcBorders>
            <w:vAlign w:val="center"/>
          </w:tcPr>
          <w:p w14:paraId="2735B981">
            <w:pPr>
              <w:pStyle w:val="205"/>
              <w:spacing w:line="500" w:lineRule="exact"/>
              <w:ind w:firstLine="480"/>
              <w:rPr>
                <w:color w:val="auto"/>
                <w:szCs w:val="24"/>
              </w:rPr>
            </w:pPr>
          </w:p>
        </w:tc>
        <w:tc>
          <w:tcPr>
            <w:tcW w:w="1779" w:type="dxa"/>
            <w:tcBorders>
              <w:top w:val="single" w:color="000000" w:sz="4" w:space="0"/>
              <w:left w:val="single" w:color="000000" w:sz="4" w:space="0"/>
              <w:bottom w:val="single" w:color="000000" w:sz="4" w:space="0"/>
              <w:right w:val="single" w:color="000000" w:sz="4" w:space="0"/>
            </w:tcBorders>
            <w:vAlign w:val="center"/>
          </w:tcPr>
          <w:p w14:paraId="02FE3011">
            <w:pPr>
              <w:pStyle w:val="205"/>
              <w:spacing w:line="500" w:lineRule="exact"/>
              <w:ind w:firstLine="480"/>
              <w:rPr>
                <w:color w:val="auto"/>
                <w:szCs w:val="24"/>
              </w:rPr>
            </w:pPr>
          </w:p>
        </w:tc>
        <w:tc>
          <w:tcPr>
            <w:tcW w:w="1779" w:type="dxa"/>
            <w:tcBorders>
              <w:top w:val="single" w:color="000000" w:sz="4" w:space="0"/>
              <w:left w:val="single" w:color="000000" w:sz="4" w:space="0"/>
              <w:bottom w:val="single" w:color="000000" w:sz="4" w:space="0"/>
              <w:right w:val="single" w:color="000000" w:sz="4" w:space="0"/>
            </w:tcBorders>
            <w:vAlign w:val="center"/>
          </w:tcPr>
          <w:p w14:paraId="61836683">
            <w:pPr>
              <w:pStyle w:val="205"/>
              <w:spacing w:line="500" w:lineRule="exact"/>
              <w:ind w:firstLine="480"/>
              <w:rPr>
                <w:color w:val="auto"/>
                <w:szCs w:val="24"/>
              </w:rPr>
            </w:pPr>
          </w:p>
        </w:tc>
      </w:tr>
      <w:tr w14:paraId="41DB4414">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vAlign w:val="center"/>
          </w:tcPr>
          <w:p w14:paraId="0A13F568">
            <w:pPr>
              <w:pStyle w:val="205"/>
              <w:spacing w:line="500" w:lineRule="exact"/>
              <w:ind w:firstLine="480"/>
              <w:jc w:val="center"/>
              <w:rPr>
                <w:color w:val="auto"/>
                <w:szCs w:val="24"/>
              </w:rPr>
            </w:pPr>
          </w:p>
        </w:tc>
        <w:tc>
          <w:tcPr>
            <w:tcW w:w="2509" w:type="dxa"/>
            <w:tcBorders>
              <w:top w:val="single" w:color="000000" w:sz="4" w:space="0"/>
              <w:left w:val="single" w:color="000000" w:sz="4" w:space="0"/>
              <w:bottom w:val="single" w:color="000000" w:sz="4" w:space="0"/>
              <w:right w:val="single" w:color="000000" w:sz="4" w:space="0"/>
            </w:tcBorders>
            <w:vAlign w:val="center"/>
          </w:tcPr>
          <w:p w14:paraId="3C4E9F53">
            <w:pPr>
              <w:pStyle w:val="205"/>
              <w:spacing w:line="500" w:lineRule="exact"/>
              <w:ind w:firstLine="480"/>
              <w:jc w:val="center"/>
              <w:rPr>
                <w:color w:val="auto"/>
                <w:szCs w:val="24"/>
              </w:rPr>
            </w:pPr>
          </w:p>
        </w:tc>
        <w:tc>
          <w:tcPr>
            <w:tcW w:w="2372" w:type="dxa"/>
            <w:tcBorders>
              <w:top w:val="single" w:color="000000" w:sz="4" w:space="0"/>
              <w:left w:val="single" w:color="000000" w:sz="4" w:space="0"/>
              <w:bottom w:val="single" w:color="000000" w:sz="4" w:space="0"/>
              <w:right w:val="single" w:color="000000" w:sz="4" w:space="0"/>
            </w:tcBorders>
            <w:vAlign w:val="center"/>
          </w:tcPr>
          <w:p w14:paraId="5B51BD31">
            <w:pPr>
              <w:pStyle w:val="205"/>
              <w:spacing w:line="500" w:lineRule="exact"/>
              <w:ind w:firstLine="480"/>
              <w:jc w:val="center"/>
              <w:rPr>
                <w:color w:val="auto"/>
                <w:szCs w:val="24"/>
              </w:rPr>
            </w:pPr>
          </w:p>
        </w:tc>
        <w:tc>
          <w:tcPr>
            <w:tcW w:w="1779" w:type="dxa"/>
            <w:tcBorders>
              <w:top w:val="single" w:color="000000" w:sz="4" w:space="0"/>
              <w:left w:val="single" w:color="000000" w:sz="4" w:space="0"/>
              <w:bottom w:val="single" w:color="000000" w:sz="4" w:space="0"/>
              <w:right w:val="single" w:color="000000" w:sz="4" w:space="0"/>
            </w:tcBorders>
            <w:vAlign w:val="center"/>
          </w:tcPr>
          <w:p w14:paraId="1142A96A">
            <w:pPr>
              <w:pStyle w:val="205"/>
              <w:spacing w:line="500" w:lineRule="exact"/>
              <w:ind w:firstLine="480"/>
              <w:jc w:val="center"/>
              <w:rPr>
                <w:color w:val="auto"/>
                <w:szCs w:val="24"/>
              </w:rPr>
            </w:pPr>
          </w:p>
        </w:tc>
        <w:tc>
          <w:tcPr>
            <w:tcW w:w="1779" w:type="dxa"/>
            <w:tcBorders>
              <w:top w:val="single" w:color="000000" w:sz="4" w:space="0"/>
              <w:left w:val="single" w:color="000000" w:sz="4" w:space="0"/>
              <w:bottom w:val="single" w:color="000000" w:sz="4" w:space="0"/>
              <w:right w:val="single" w:color="000000" w:sz="4" w:space="0"/>
            </w:tcBorders>
            <w:vAlign w:val="center"/>
          </w:tcPr>
          <w:p w14:paraId="4D824048">
            <w:pPr>
              <w:pStyle w:val="205"/>
              <w:spacing w:line="500" w:lineRule="exact"/>
              <w:ind w:firstLine="480"/>
              <w:jc w:val="center"/>
              <w:rPr>
                <w:color w:val="auto"/>
                <w:szCs w:val="24"/>
              </w:rPr>
            </w:pPr>
          </w:p>
        </w:tc>
      </w:tr>
      <w:tr w14:paraId="21EA015F">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vAlign w:val="center"/>
          </w:tcPr>
          <w:p w14:paraId="74C25265">
            <w:pPr>
              <w:pStyle w:val="205"/>
              <w:spacing w:line="500" w:lineRule="exact"/>
              <w:ind w:firstLine="480"/>
              <w:rPr>
                <w:color w:val="auto"/>
              </w:rPr>
            </w:pPr>
            <w:r>
              <w:rPr>
                <w:rFonts w:hint="eastAsia"/>
                <w:color w:val="auto"/>
              </w:rPr>
              <w:t> </w:t>
            </w:r>
          </w:p>
        </w:tc>
        <w:tc>
          <w:tcPr>
            <w:tcW w:w="2509" w:type="dxa"/>
            <w:tcBorders>
              <w:top w:val="single" w:color="000000" w:sz="4" w:space="0"/>
              <w:left w:val="single" w:color="000000" w:sz="4" w:space="0"/>
              <w:bottom w:val="single" w:color="000000" w:sz="4" w:space="0"/>
              <w:right w:val="single" w:color="000000" w:sz="4" w:space="0"/>
            </w:tcBorders>
            <w:vAlign w:val="center"/>
          </w:tcPr>
          <w:p w14:paraId="52B46BA7">
            <w:pPr>
              <w:pStyle w:val="205"/>
              <w:spacing w:line="500" w:lineRule="exact"/>
              <w:ind w:firstLine="480"/>
              <w:rPr>
                <w:color w:val="auto"/>
              </w:rPr>
            </w:pPr>
            <w:r>
              <w:rPr>
                <w:rFonts w:hint="eastAsia"/>
                <w:color w:val="auto"/>
              </w:rPr>
              <w:t> </w:t>
            </w:r>
          </w:p>
        </w:tc>
        <w:tc>
          <w:tcPr>
            <w:tcW w:w="2372" w:type="dxa"/>
            <w:tcBorders>
              <w:top w:val="single" w:color="000000" w:sz="4" w:space="0"/>
              <w:left w:val="single" w:color="000000" w:sz="4" w:space="0"/>
              <w:bottom w:val="single" w:color="000000" w:sz="4" w:space="0"/>
              <w:right w:val="single" w:color="000000" w:sz="4" w:space="0"/>
            </w:tcBorders>
            <w:vAlign w:val="center"/>
          </w:tcPr>
          <w:p w14:paraId="5B323FF5">
            <w:pPr>
              <w:pStyle w:val="205"/>
              <w:spacing w:line="500" w:lineRule="exact"/>
              <w:ind w:firstLine="480"/>
              <w:rPr>
                <w:color w:val="auto"/>
              </w:rPr>
            </w:pPr>
            <w:r>
              <w:rPr>
                <w:rFonts w:hint="eastAsia"/>
                <w:color w:val="auto"/>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2AE5F4D6">
            <w:pPr>
              <w:pStyle w:val="205"/>
              <w:spacing w:line="500" w:lineRule="exact"/>
              <w:ind w:firstLine="480"/>
              <w:rPr>
                <w:color w:val="auto"/>
              </w:rPr>
            </w:pPr>
            <w:r>
              <w:rPr>
                <w:rFonts w:hint="eastAsia"/>
                <w:color w:val="auto"/>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694C4AD2">
            <w:pPr>
              <w:pStyle w:val="205"/>
              <w:spacing w:line="500" w:lineRule="exact"/>
              <w:ind w:firstLine="480"/>
              <w:rPr>
                <w:color w:val="auto"/>
              </w:rPr>
            </w:pPr>
            <w:r>
              <w:rPr>
                <w:rFonts w:hint="eastAsia"/>
                <w:color w:val="auto"/>
              </w:rPr>
              <w:t> </w:t>
            </w:r>
          </w:p>
        </w:tc>
      </w:tr>
      <w:tr w14:paraId="128D2D8B">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vAlign w:val="center"/>
          </w:tcPr>
          <w:p w14:paraId="71567AEA">
            <w:pPr>
              <w:pStyle w:val="205"/>
              <w:spacing w:line="500" w:lineRule="exact"/>
              <w:ind w:firstLine="480"/>
              <w:rPr>
                <w:color w:val="auto"/>
              </w:rPr>
            </w:pPr>
            <w:r>
              <w:rPr>
                <w:rFonts w:hint="eastAsia"/>
                <w:color w:val="auto"/>
              </w:rPr>
              <w:t> </w:t>
            </w:r>
          </w:p>
        </w:tc>
        <w:tc>
          <w:tcPr>
            <w:tcW w:w="2509" w:type="dxa"/>
            <w:tcBorders>
              <w:top w:val="single" w:color="000000" w:sz="4" w:space="0"/>
              <w:left w:val="single" w:color="000000" w:sz="4" w:space="0"/>
              <w:bottom w:val="single" w:color="000000" w:sz="4" w:space="0"/>
              <w:right w:val="single" w:color="000000" w:sz="4" w:space="0"/>
            </w:tcBorders>
            <w:vAlign w:val="center"/>
          </w:tcPr>
          <w:p w14:paraId="4D0C920E">
            <w:pPr>
              <w:pStyle w:val="205"/>
              <w:spacing w:line="500" w:lineRule="exact"/>
              <w:ind w:firstLine="480"/>
              <w:rPr>
                <w:color w:val="auto"/>
              </w:rPr>
            </w:pPr>
            <w:r>
              <w:rPr>
                <w:rFonts w:hint="eastAsia"/>
                <w:color w:val="auto"/>
              </w:rPr>
              <w:t> </w:t>
            </w:r>
          </w:p>
        </w:tc>
        <w:tc>
          <w:tcPr>
            <w:tcW w:w="2372" w:type="dxa"/>
            <w:tcBorders>
              <w:top w:val="single" w:color="000000" w:sz="4" w:space="0"/>
              <w:left w:val="single" w:color="000000" w:sz="4" w:space="0"/>
              <w:bottom w:val="single" w:color="000000" w:sz="4" w:space="0"/>
              <w:right w:val="single" w:color="000000" w:sz="4" w:space="0"/>
            </w:tcBorders>
            <w:vAlign w:val="center"/>
          </w:tcPr>
          <w:p w14:paraId="56B1F841">
            <w:pPr>
              <w:pStyle w:val="205"/>
              <w:spacing w:line="500" w:lineRule="exact"/>
              <w:ind w:firstLine="480"/>
              <w:rPr>
                <w:color w:val="auto"/>
              </w:rPr>
            </w:pPr>
            <w:r>
              <w:rPr>
                <w:rFonts w:hint="eastAsia"/>
                <w:color w:val="auto"/>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3CD30965">
            <w:pPr>
              <w:pStyle w:val="205"/>
              <w:spacing w:line="500" w:lineRule="exact"/>
              <w:ind w:firstLine="480"/>
              <w:rPr>
                <w:color w:val="auto"/>
              </w:rPr>
            </w:pPr>
            <w:r>
              <w:rPr>
                <w:rFonts w:hint="eastAsia"/>
                <w:color w:val="auto"/>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7E0E0306">
            <w:pPr>
              <w:pStyle w:val="205"/>
              <w:spacing w:line="500" w:lineRule="exact"/>
              <w:ind w:firstLine="480"/>
              <w:rPr>
                <w:color w:val="auto"/>
              </w:rPr>
            </w:pPr>
            <w:r>
              <w:rPr>
                <w:rFonts w:hint="eastAsia"/>
                <w:color w:val="auto"/>
              </w:rPr>
              <w:t> </w:t>
            </w:r>
          </w:p>
        </w:tc>
      </w:tr>
      <w:tr w14:paraId="385815A4">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vAlign w:val="center"/>
          </w:tcPr>
          <w:p w14:paraId="68126B69">
            <w:pPr>
              <w:pStyle w:val="205"/>
              <w:spacing w:line="500" w:lineRule="exact"/>
              <w:ind w:firstLine="480"/>
              <w:rPr>
                <w:color w:val="auto"/>
              </w:rPr>
            </w:pPr>
            <w:r>
              <w:rPr>
                <w:rFonts w:hint="eastAsia"/>
                <w:color w:val="auto"/>
              </w:rPr>
              <w:t> </w:t>
            </w:r>
          </w:p>
        </w:tc>
        <w:tc>
          <w:tcPr>
            <w:tcW w:w="2509" w:type="dxa"/>
            <w:tcBorders>
              <w:top w:val="single" w:color="000000" w:sz="4" w:space="0"/>
              <w:left w:val="single" w:color="000000" w:sz="4" w:space="0"/>
              <w:bottom w:val="single" w:color="000000" w:sz="4" w:space="0"/>
              <w:right w:val="single" w:color="000000" w:sz="4" w:space="0"/>
            </w:tcBorders>
            <w:vAlign w:val="center"/>
          </w:tcPr>
          <w:p w14:paraId="210B0656">
            <w:pPr>
              <w:pStyle w:val="205"/>
              <w:spacing w:line="500" w:lineRule="exact"/>
              <w:ind w:firstLine="480"/>
              <w:rPr>
                <w:color w:val="auto"/>
              </w:rPr>
            </w:pPr>
            <w:r>
              <w:rPr>
                <w:rFonts w:hint="eastAsia"/>
                <w:color w:val="auto"/>
              </w:rPr>
              <w:t> </w:t>
            </w:r>
          </w:p>
        </w:tc>
        <w:tc>
          <w:tcPr>
            <w:tcW w:w="2372" w:type="dxa"/>
            <w:tcBorders>
              <w:top w:val="single" w:color="000000" w:sz="4" w:space="0"/>
              <w:left w:val="single" w:color="000000" w:sz="4" w:space="0"/>
              <w:bottom w:val="single" w:color="000000" w:sz="4" w:space="0"/>
              <w:right w:val="single" w:color="000000" w:sz="4" w:space="0"/>
            </w:tcBorders>
            <w:vAlign w:val="center"/>
          </w:tcPr>
          <w:p w14:paraId="28B7AEAF">
            <w:pPr>
              <w:pStyle w:val="205"/>
              <w:spacing w:line="500" w:lineRule="exact"/>
              <w:ind w:firstLine="480"/>
              <w:rPr>
                <w:color w:val="auto"/>
              </w:rPr>
            </w:pPr>
            <w:r>
              <w:rPr>
                <w:rFonts w:hint="eastAsia"/>
                <w:color w:val="auto"/>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4D50EB0F">
            <w:pPr>
              <w:pStyle w:val="205"/>
              <w:spacing w:line="500" w:lineRule="exact"/>
              <w:ind w:firstLine="480"/>
              <w:rPr>
                <w:color w:val="auto"/>
              </w:rPr>
            </w:pPr>
            <w:r>
              <w:rPr>
                <w:rFonts w:hint="eastAsia"/>
                <w:color w:val="auto"/>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70CD37DE">
            <w:pPr>
              <w:pStyle w:val="205"/>
              <w:spacing w:line="500" w:lineRule="exact"/>
              <w:ind w:firstLine="480"/>
              <w:rPr>
                <w:color w:val="auto"/>
              </w:rPr>
            </w:pPr>
            <w:r>
              <w:rPr>
                <w:rFonts w:hint="eastAsia"/>
                <w:color w:val="auto"/>
              </w:rPr>
              <w:t> </w:t>
            </w:r>
          </w:p>
        </w:tc>
      </w:tr>
      <w:tr w14:paraId="6773B8B1">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vAlign w:val="center"/>
          </w:tcPr>
          <w:p w14:paraId="0787B35C">
            <w:pPr>
              <w:pStyle w:val="205"/>
              <w:spacing w:line="500" w:lineRule="exact"/>
              <w:ind w:firstLine="480"/>
              <w:rPr>
                <w:color w:val="auto"/>
              </w:rPr>
            </w:pPr>
            <w:r>
              <w:rPr>
                <w:rFonts w:hint="eastAsia"/>
                <w:color w:val="auto"/>
              </w:rPr>
              <w:t> </w:t>
            </w:r>
          </w:p>
        </w:tc>
        <w:tc>
          <w:tcPr>
            <w:tcW w:w="2509" w:type="dxa"/>
            <w:tcBorders>
              <w:top w:val="single" w:color="000000" w:sz="4" w:space="0"/>
              <w:left w:val="single" w:color="000000" w:sz="4" w:space="0"/>
              <w:bottom w:val="single" w:color="000000" w:sz="4" w:space="0"/>
              <w:right w:val="single" w:color="000000" w:sz="4" w:space="0"/>
            </w:tcBorders>
            <w:vAlign w:val="center"/>
          </w:tcPr>
          <w:p w14:paraId="5D6FCAB5">
            <w:pPr>
              <w:pStyle w:val="205"/>
              <w:spacing w:line="500" w:lineRule="exact"/>
              <w:ind w:firstLine="480"/>
              <w:rPr>
                <w:color w:val="auto"/>
              </w:rPr>
            </w:pPr>
            <w:r>
              <w:rPr>
                <w:rFonts w:hint="eastAsia"/>
                <w:color w:val="auto"/>
              </w:rPr>
              <w:t> </w:t>
            </w:r>
          </w:p>
        </w:tc>
        <w:tc>
          <w:tcPr>
            <w:tcW w:w="2372" w:type="dxa"/>
            <w:tcBorders>
              <w:top w:val="single" w:color="000000" w:sz="4" w:space="0"/>
              <w:left w:val="single" w:color="000000" w:sz="4" w:space="0"/>
              <w:bottom w:val="single" w:color="000000" w:sz="4" w:space="0"/>
              <w:right w:val="single" w:color="000000" w:sz="4" w:space="0"/>
            </w:tcBorders>
            <w:vAlign w:val="center"/>
          </w:tcPr>
          <w:p w14:paraId="6927DB66">
            <w:pPr>
              <w:pStyle w:val="205"/>
              <w:spacing w:line="500" w:lineRule="exact"/>
              <w:ind w:firstLine="480"/>
              <w:rPr>
                <w:color w:val="auto"/>
              </w:rPr>
            </w:pPr>
            <w:r>
              <w:rPr>
                <w:rFonts w:hint="eastAsia"/>
                <w:color w:val="auto"/>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3F878324">
            <w:pPr>
              <w:pStyle w:val="205"/>
              <w:spacing w:line="500" w:lineRule="exact"/>
              <w:ind w:firstLine="480"/>
              <w:rPr>
                <w:color w:val="auto"/>
              </w:rPr>
            </w:pPr>
            <w:r>
              <w:rPr>
                <w:rFonts w:hint="eastAsia"/>
                <w:color w:val="auto"/>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44496AD4">
            <w:pPr>
              <w:pStyle w:val="205"/>
              <w:spacing w:line="500" w:lineRule="exact"/>
              <w:ind w:firstLine="480"/>
              <w:rPr>
                <w:color w:val="auto"/>
              </w:rPr>
            </w:pPr>
            <w:r>
              <w:rPr>
                <w:rFonts w:hint="eastAsia"/>
                <w:color w:val="auto"/>
              </w:rPr>
              <w:t> </w:t>
            </w:r>
          </w:p>
        </w:tc>
      </w:tr>
      <w:tr w14:paraId="1F4BD087">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vAlign w:val="center"/>
          </w:tcPr>
          <w:p w14:paraId="64FE6C75">
            <w:pPr>
              <w:pStyle w:val="205"/>
              <w:spacing w:line="500" w:lineRule="exact"/>
              <w:ind w:firstLine="480"/>
              <w:rPr>
                <w:color w:val="auto"/>
              </w:rPr>
            </w:pPr>
            <w:r>
              <w:rPr>
                <w:rFonts w:hint="eastAsia"/>
                <w:color w:val="auto"/>
              </w:rPr>
              <w:t> </w:t>
            </w:r>
          </w:p>
        </w:tc>
        <w:tc>
          <w:tcPr>
            <w:tcW w:w="2509" w:type="dxa"/>
            <w:tcBorders>
              <w:top w:val="single" w:color="000000" w:sz="4" w:space="0"/>
              <w:left w:val="single" w:color="000000" w:sz="4" w:space="0"/>
              <w:bottom w:val="single" w:color="000000" w:sz="4" w:space="0"/>
              <w:right w:val="single" w:color="000000" w:sz="4" w:space="0"/>
            </w:tcBorders>
            <w:vAlign w:val="center"/>
          </w:tcPr>
          <w:p w14:paraId="720DC330">
            <w:pPr>
              <w:pStyle w:val="205"/>
              <w:spacing w:line="500" w:lineRule="exact"/>
              <w:ind w:firstLine="480"/>
              <w:rPr>
                <w:color w:val="auto"/>
              </w:rPr>
            </w:pPr>
            <w:r>
              <w:rPr>
                <w:rFonts w:hint="eastAsia"/>
                <w:color w:val="auto"/>
              </w:rPr>
              <w:t>……</w:t>
            </w:r>
          </w:p>
        </w:tc>
        <w:tc>
          <w:tcPr>
            <w:tcW w:w="2372" w:type="dxa"/>
            <w:tcBorders>
              <w:top w:val="single" w:color="000000" w:sz="4" w:space="0"/>
              <w:left w:val="single" w:color="000000" w:sz="4" w:space="0"/>
              <w:bottom w:val="single" w:color="000000" w:sz="4" w:space="0"/>
              <w:right w:val="single" w:color="000000" w:sz="4" w:space="0"/>
            </w:tcBorders>
            <w:vAlign w:val="center"/>
          </w:tcPr>
          <w:p w14:paraId="3E1B6395">
            <w:pPr>
              <w:pStyle w:val="205"/>
              <w:spacing w:line="500" w:lineRule="exact"/>
              <w:ind w:firstLine="480"/>
              <w:rPr>
                <w:color w:val="auto"/>
              </w:rPr>
            </w:pPr>
            <w:r>
              <w:rPr>
                <w:rFonts w:hint="eastAsia"/>
                <w:color w:val="auto"/>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76DE65E4">
            <w:pPr>
              <w:pStyle w:val="205"/>
              <w:spacing w:line="500" w:lineRule="exact"/>
              <w:ind w:firstLine="480"/>
              <w:rPr>
                <w:color w:val="auto"/>
              </w:rPr>
            </w:pPr>
            <w:r>
              <w:rPr>
                <w:rFonts w:hint="eastAsia"/>
                <w:color w:val="auto"/>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7F95864B">
            <w:pPr>
              <w:pStyle w:val="205"/>
              <w:spacing w:line="500" w:lineRule="exact"/>
              <w:ind w:firstLine="480"/>
              <w:rPr>
                <w:color w:val="auto"/>
              </w:rPr>
            </w:pPr>
            <w:r>
              <w:rPr>
                <w:rFonts w:hint="eastAsia"/>
                <w:color w:val="auto"/>
              </w:rPr>
              <w:t> </w:t>
            </w:r>
          </w:p>
        </w:tc>
      </w:tr>
    </w:tbl>
    <w:p w14:paraId="73DD76D7">
      <w:pPr>
        <w:pStyle w:val="36"/>
        <w:spacing w:beforeAutospacing="0" w:afterAutospacing="0" w:line="360" w:lineRule="auto"/>
        <w:jc w:val="both"/>
        <w:rPr>
          <w:rFonts w:ascii="宋体" w:hAnsi="宋体" w:eastAsia="宋体" w:cs="宋体"/>
          <w:color w:val="000000"/>
        </w:rPr>
      </w:pPr>
      <w:r>
        <w:rPr>
          <w:rFonts w:hint="eastAsia" w:ascii="宋体" w:hAnsi="宋体" w:eastAsia="宋体" w:cs="宋体"/>
          <w:color w:val="000000"/>
        </w:rPr>
        <w:t>注：行数不够，可自行添加。</w:t>
      </w:r>
    </w:p>
    <w:p w14:paraId="06B85009">
      <w:pPr>
        <w:pStyle w:val="205"/>
        <w:ind w:firstLine="480"/>
        <w:rPr>
          <w:rFonts w:hint="eastAsia"/>
          <w:color w:val="auto"/>
        </w:rPr>
      </w:pPr>
    </w:p>
    <w:p w14:paraId="0ECA818F">
      <w:pPr>
        <w:pStyle w:val="205"/>
        <w:ind w:firstLine="480"/>
        <w:rPr>
          <w:color w:val="auto"/>
        </w:rPr>
      </w:pPr>
      <w:r>
        <w:rPr>
          <w:rFonts w:hint="eastAsia"/>
          <w:color w:val="auto"/>
        </w:rPr>
        <w:t> </w:t>
      </w:r>
    </w:p>
    <w:p w14:paraId="1388D9C6">
      <w:pPr>
        <w:ind w:firstLine="440"/>
        <w:rPr>
          <w:color w:val="auto"/>
        </w:rPr>
      </w:pPr>
    </w:p>
    <w:p w14:paraId="3A3A24B8">
      <w:pPr>
        <w:ind w:firstLine="440"/>
        <w:rPr>
          <w:color w:val="auto"/>
        </w:rPr>
      </w:pPr>
    </w:p>
    <w:p w14:paraId="5CCC50AA">
      <w:pPr>
        <w:ind w:firstLine="440"/>
        <w:rPr>
          <w:color w:val="auto"/>
        </w:rPr>
      </w:pPr>
    </w:p>
    <w:p w14:paraId="0088BA26">
      <w:pPr>
        <w:ind w:firstLine="440"/>
        <w:rPr>
          <w:color w:val="auto"/>
        </w:rPr>
      </w:pPr>
    </w:p>
    <w:p w14:paraId="3B8E664D">
      <w:pPr>
        <w:ind w:firstLine="440"/>
        <w:rPr>
          <w:color w:val="auto"/>
        </w:rPr>
      </w:pPr>
    </w:p>
    <w:p w14:paraId="47FE3C11">
      <w:pPr>
        <w:autoSpaceDE w:val="0"/>
        <w:autoSpaceDN w:val="0"/>
        <w:spacing w:line="360" w:lineRule="auto"/>
        <w:ind w:firstLine="3480" w:firstLineChars="1450"/>
        <w:jc w:val="center"/>
        <w:rPr>
          <w:rFonts w:hAnsi="宋体"/>
          <w:bCs/>
          <w:color w:val="auto"/>
          <w:sz w:val="24"/>
          <w:szCs w:val="24"/>
        </w:rPr>
      </w:pPr>
      <w:r>
        <w:rPr>
          <w:rFonts w:hint="eastAsia"/>
          <w:color w:val="auto"/>
          <w:sz w:val="24"/>
        </w:rPr>
        <w:br w:type="page" w:clear="all"/>
      </w:r>
    </w:p>
    <w:p w14:paraId="4A52AFDA">
      <w:pPr>
        <w:jc w:val="center"/>
        <w:rPr>
          <w:rFonts w:ascii="黑体" w:hAnsi="黑体" w:eastAsia="黑体" w:cs="黑体"/>
          <w:iCs/>
          <w:color w:val="auto"/>
          <w:sz w:val="30"/>
          <w:szCs w:val="30"/>
          <w:u w:val="single"/>
        </w:rPr>
      </w:pPr>
      <w:r>
        <w:rPr>
          <w:rFonts w:hint="eastAsia" w:ascii="黑体" w:hAnsi="宋体" w:eastAsia="黑体" w:cs="黑体"/>
          <w:b/>
          <w:color w:val="000000"/>
          <w:sz w:val="32"/>
          <w:szCs w:val="32"/>
          <w:highlight w:val="none"/>
          <w:lang w:val="en-US" w:eastAsia="zh-CN"/>
        </w:rPr>
        <w:t>十五、</w:t>
      </w:r>
      <w:r>
        <w:rPr>
          <w:rFonts w:hint="eastAsia" w:ascii="黑体" w:hAnsi="宋体" w:eastAsia="黑体" w:cs="黑体"/>
          <w:b/>
          <w:color w:val="000000"/>
          <w:sz w:val="32"/>
          <w:szCs w:val="32"/>
          <w:highlight w:val="none"/>
        </w:rPr>
        <w:t>商务要求响应及偏离表</w:t>
      </w:r>
      <w:r>
        <w:rPr>
          <w:rFonts w:hint="eastAsia" w:ascii="黑体" w:hAnsi="宋体" w:eastAsia="黑体" w:cs="黑体"/>
          <w:b/>
          <w:color w:val="000000"/>
          <w:sz w:val="32"/>
          <w:szCs w:val="32"/>
          <w:highlight w:val="none"/>
          <w:lang w:eastAsia="zh-CN"/>
        </w:rPr>
        <w:t>（</w:t>
      </w:r>
      <w:r>
        <w:rPr>
          <w:rFonts w:hint="eastAsia" w:ascii="黑体" w:hAnsi="宋体" w:eastAsia="黑体" w:cs="黑体"/>
          <w:b/>
          <w:color w:val="000000"/>
          <w:sz w:val="32"/>
          <w:szCs w:val="32"/>
          <w:highlight w:val="none"/>
          <w:lang w:val="en-US" w:eastAsia="zh-CN"/>
        </w:rPr>
        <w:t>采购包    ）</w:t>
      </w:r>
    </w:p>
    <w:tbl>
      <w:tblPr>
        <w:tblStyle w:val="40"/>
        <w:tblW w:w="102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0"/>
        <w:gridCol w:w="1680"/>
        <w:gridCol w:w="1785"/>
        <w:gridCol w:w="1118"/>
      </w:tblGrid>
      <w:tr w14:paraId="0AF58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6EBBD17B">
            <w:pPr>
              <w:pStyle w:val="205"/>
              <w:spacing w:line="500" w:lineRule="exact"/>
              <w:jc w:val="center"/>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auto"/>
                <w:sz w:val="24"/>
                <w:szCs w:val="24"/>
              </w:rPr>
              <w:t>序号</w:t>
            </w:r>
          </w:p>
        </w:tc>
        <w:tc>
          <w:tcPr>
            <w:tcW w:w="4990" w:type="dxa"/>
            <w:vAlign w:val="center"/>
          </w:tcPr>
          <w:p w14:paraId="4D1FB9AD">
            <w:pPr>
              <w:pStyle w:val="36"/>
              <w:keepNext w:val="0"/>
              <w:keepLines w:val="0"/>
              <w:pageBreakBefore w:val="0"/>
              <w:widowControl w:val="0"/>
              <w:kinsoku/>
              <w:wordWrap/>
              <w:overflowPunct/>
              <w:topLinePunct w:val="0"/>
              <w:autoSpaceDE/>
              <w:autoSpaceDN/>
              <w:bidi w:val="0"/>
              <w:adjustRightInd/>
              <w:snapToGrid/>
              <w:spacing w:beforeAutospacing="0" w:afterAutospacing="0" w:line="260" w:lineRule="exact"/>
              <w:jc w:val="center"/>
              <w:textAlignment w:val="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000000"/>
                <w:sz w:val="24"/>
                <w:szCs w:val="24"/>
              </w:rPr>
              <w:t>招标文件要求</w:t>
            </w:r>
          </w:p>
        </w:tc>
        <w:tc>
          <w:tcPr>
            <w:tcW w:w="1680" w:type="dxa"/>
            <w:vAlign w:val="center"/>
          </w:tcPr>
          <w:p w14:paraId="169196B8">
            <w:pPr>
              <w:pStyle w:val="36"/>
              <w:keepNext w:val="0"/>
              <w:keepLines w:val="0"/>
              <w:pageBreakBefore w:val="0"/>
              <w:widowControl w:val="0"/>
              <w:kinsoku/>
              <w:wordWrap/>
              <w:overflowPunct/>
              <w:topLinePunct w:val="0"/>
              <w:autoSpaceDE/>
              <w:autoSpaceDN/>
              <w:bidi w:val="0"/>
              <w:adjustRightInd/>
              <w:snapToGrid/>
              <w:spacing w:beforeAutospacing="0" w:afterAutospacing="0" w:line="260" w:lineRule="exact"/>
              <w:jc w:val="center"/>
              <w:textAlignment w:val="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000000"/>
                <w:sz w:val="24"/>
                <w:szCs w:val="24"/>
              </w:rPr>
              <w:t>投标响应情况</w:t>
            </w:r>
          </w:p>
        </w:tc>
        <w:tc>
          <w:tcPr>
            <w:tcW w:w="1785" w:type="dxa"/>
            <w:vAlign w:val="center"/>
          </w:tcPr>
          <w:p w14:paraId="4E2F83E6">
            <w:pPr>
              <w:pStyle w:val="36"/>
              <w:keepNext w:val="0"/>
              <w:keepLines w:val="0"/>
              <w:pageBreakBefore w:val="0"/>
              <w:widowControl w:val="0"/>
              <w:kinsoku/>
              <w:wordWrap/>
              <w:overflowPunct/>
              <w:topLinePunct w:val="0"/>
              <w:autoSpaceDE/>
              <w:autoSpaceDN/>
              <w:bidi w:val="0"/>
              <w:adjustRightInd/>
              <w:snapToGrid/>
              <w:spacing w:beforeAutospacing="0" w:afterAutospacing="0" w:line="260" w:lineRule="exact"/>
              <w:jc w:val="center"/>
              <w:textAlignment w:val="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000000"/>
                <w:sz w:val="24"/>
                <w:szCs w:val="24"/>
              </w:rPr>
              <w:t>正偏离、等同于或负偏离</w:t>
            </w:r>
          </w:p>
        </w:tc>
        <w:tc>
          <w:tcPr>
            <w:tcW w:w="1118" w:type="dxa"/>
            <w:vAlign w:val="center"/>
          </w:tcPr>
          <w:p w14:paraId="0CE94E62">
            <w:pPr>
              <w:pStyle w:val="36"/>
              <w:keepNext w:val="0"/>
              <w:keepLines w:val="0"/>
              <w:pageBreakBefore w:val="0"/>
              <w:widowControl w:val="0"/>
              <w:kinsoku/>
              <w:wordWrap/>
              <w:overflowPunct/>
              <w:topLinePunct w:val="0"/>
              <w:autoSpaceDE/>
              <w:autoSpaceDN/>
              <w:bidi w:val="0"/>
              <w:adjustRightInd/>
              <w:snapToGrid/>
              <w:spacing w:beforeAutospacing="0" w:afterAutospacing="0" w:line="260" w:lineRule="exact"/>
              <w:jc w:val="center"/>
              <w:textAlignment w:val="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000000"/>
                <w:sz w:val="24"/>
                <w:szCs w:val="24"/>
              </w:rPr>
              <w:t>证明材料（如有）</w:t>
            </w:r>
          </w:p>
        </w:tc>
      </w:tr>
      <w:tr w14:paraId="6C553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6AD07CF8">
            <w:pPr>
              <w:rPr>
                <w:rFonts w:hint="eastAsia" w:asciiTheme="minorEastAsia" w:hAnsiTheme="minorEastAsia" w:eastAsiaTheme="minorEastAsia" w:cstheme="minorEastAsia"/>
                <w:iCs/>
                <w:color w:val="auto"/>
                <w:sz w:val="24"/>
                <w:szCs w:val="24"/>
              </w:rPr>
            </w:pPr>
            <w:r>
              <w:rPr>
                <w:rFonts w:hint="eastAsia" w:asciiTheme="minorEastAsia" w:hAnsiTheme="minorEastAsia" w:eastAsiaTheme="minorEastAsia" w:cstheme="minorEastAsia"/>
                <w:iCs/>
                <w:color w:val="auto"/>
                <w:sz w:val="24"/>
                <w:szCs w:val="24"/>
              </w:rPr>
              <w:t>1</w:t>
            </w:r>
          </w:p>
        </w:tc>
        <w:tc>
          <w:tcPr>
            <w:tcW w:w="4990" w:type="dxa"/>
            <w:vAlign w:val="center"/>
          </w:tcPr>
          <w:p w14:paraId="5483FBC7">
            <w:pPr>
              <w:rPr>
                <w:rFonts w:hint="eastAsia" w:asciiTheme="minorEastAsia" w:hAnsiTheme="minorEastAsia" w:eastAsiaTheme="minorEastAsia" w:cstheme="minorEastAsia"/>
                <w:iCs/>
                <w:color w:val="auto"/>
                <w:sz w:val="24"/>
                <w:szCs w:val="24"/>
              </w:rPr>
            </w:pPr>
            <w:r>
              <w:rPr>
                <w:rFonts w:hint="eastAsia" w:ascii="宋体" w:hAnsi="宋体" w:eastAsia="宋体" w:cs="宋体"/>
                <w:color w:val="000000"/>
                <w:sz w:val="24"/>
                <w:szCs w:val="24"/>
                <w:highlight w:val="none"/>
                <w:lang w:val="en-US" w:eastAsia="zh-CN"/>
              </w:rPr>
              <w:t>交货期</w:t>
            </w:r>
            <w:r>
              <w:rPr>
                <w:rFonts w:hint="eastAsia" w:ascii="宋体" w:hAnsi="宋体" w:eastAsia="宋体" w:cs="宋体"/>
                <w:color w:val="000000"/>
                <w:sz w:val="24"/>
                <w:szCs w:val="24"/>
                <w:highlight w:val="none"/>
              </w:rPr>
              <w:t>：</w:t>
            </w:r>
            <w:r>
              <w:rPr>
                <w:rFonts w:hint="eastAsia" w:ascii="宋体" w:hAnsi="宋体" w:eastAsia="宋体" w:cs="宋体"/>
                <w:sz w:val="24"/>
                <w:szCs w:val="24"/>
                <w:highlight w:val="none"/>
              </w:rPr>
              <w:t>在合同签订后</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0日内完成</w:t>
            </w:r>
            <w:r>
              <w:rPr>
                <w:rFonts w:hint="eastAsia" w:ascii="宋体" w:hAnsi="宋体" w:eastAsia="宋体" w:cs="宋体"/>
                <w:sz w:val="24"/>
                <w:szCs w:val="24"/>
                <w:highlight w:val="none"/>
                <w:lang w:val="en-US" w:eastAsia="zh-CN"/>
              </w:rPr>
              <w:t>全部设备的</w:t>
            </w:r>
            <w:r>
              <w:rPr>
                <w:rFonts w:hint="eastAsia" w:ascii="宋体" w:hAnsi="宋体" w:eastAsia="宋体" w:cs="宋体"/>
                <w:sz w:val="24"/>
                <w:szCs w:val="24"/>
                <w:highlight w:val="none"/>
              </w:rPr>
              <w:t>交货、安装、调试及验收合格</w:t>
            </w:r>
          </w:p>
        </w:tc>
        <w:tc>
          <w:tcPr>
            <w:tcW w:w="1680" w:type="dxa"/>
            <w:vAlign w:val="center"/>
          </w:tcPr>
          <w:p w14:paraId="0A7CFF34">
            <w:pPr>
              <w:rPr>
                <w:rFonts w:hint="eastAsia" w:asciiTheme="minorEastAsia" w:hAnsiTheme="minorEastAsia" w:eastAsiaTheme="minorEastAsia" w:cstheme="minorEastAsia"/>
                <w:color w:val="auto"/>
                <w:sz w:val="24"/>
                <w:szCs w:val="24"/>
              </w:rPr>
            </w:pPr>
          </w:p>
        </w:tc>
        <w:tc>
          <w:tcPr>
            <w:tcW w:w="1785" w:type="dxa"/>
            <w:vAlign w:val="center"/>
          </w:tcPr>
          <w:p w14:paraId="21E73CD4">
            <w:pPr>
              <w:rPr>
                <w:rFonts w:hint="eastAsia" w:asciiTheme="minorEastAsia" w:hAnsiTheme="minorEastAsia" w:eastAsiaTheme="minorEastAsia" w:cstheme="minorEastAsia"/>
                <w:color w:val="auto"/>
                <w:sz w:val="24"/>
                <w:szCs w:val="24"/>
              </w:rPr>
            </w:pPr>
          </w:p>
        </w:tc>
        <w:tc>
          <w:tcPr>
            <w:tcW w:w="1118" w:type="dxa"/>
            <w:vAlign w:val="center"/>
          </w:tcPr>
          <w:p w14:paraId="1C099825">
            <w:pPr>
              <w:rPr>
                <w:rFonts w:hint="eastAsia" w:asciiTheme="minorEastAsia" w:hAnsiTheme="minorEastAsia" w:eastAsiaTheme="minorEastAsia" w:cstheme="minorEastAsia"/>
                <w:color w:val="auto"/>
                <w:sz w:val="24"/>
                <w:szCs w:val="24"/>
              </w:rPr>
            </w:pPr>
          </w:p>
        </w:tc>
      </w:tr>
      <w:tr w14:paraId="7E23D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647A1ADD">
            <w:pPr>
              <w:rPr>
                <w:rFonts w:hint="eastAsia" w:asciiTheme="minorEastAsia" w:hAnsiTheme="minorEastAsia" w:eastAsiaTheme="minorEastAsia" w:cstheme="minorEastAsia"/>
                <w:iCs/>
                <w:color w:val="auto"/>
                <w:sz w:val="24"/>
                <w:szCs w:val="24"/>
                <w:lang w:val="en-US" w:eastAsia="zh-CN"/>
              </w:rPr>
            </w:pPr>
            <w:r>
              <w:rPr>
                <w:rFonts w:hint="eastAsia" w:asciiTheme="minorEastAsia" w:hAnsiTheme="minorEastAsia" w:eastAsiaTheme="minorEastAsia" w:cstheme="minorEastAsia"/>
                <w:iCs/>
                <w:color w:val="auto"/>
                <w:sz w:val="24"/>
                <w:szCs w:val="24"/>
                <w:lang w:val="en-US" w:eastAsia="zh-CN"/>
              </w:rPr>
              <w:t>2</w:t>
            </w:r>
          </w:p>
        </w:tc>
        <w:tc>
          <w:tcPr>
            <w:tcW w:w="4990" w:type="dxa"/>
            <w:vAlign w:val="center"/>
          </w:tcPr>
          <w:p w14:paraId="0F20DCD7">
            <w:pPr>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免费质保期：5年</w:t>
            </w:r>
          </w:p>
        </w:tc>
        <w:tc>
          <w:tcPr>
            <w:tcW w:w="1680" w:type="dxa"/>
            <w:vAlign w:val="center"/>
          </w:tcPr>
          <w:p w14:paraId="3D28A106">
            <w:pPr>
              <w:rPr>
                <w:rFonts w:hint="eastAsia" w:asciiTheme="minorEastAsia" w:hAnsiTheme="minorEastAsia" w:eastAsiaTheme="minorEastAsia" w:cstheme="minorEastAsia"/>
                <w:color w:val="auto"/>
                <w:sz w:val="24"/>
                <w:szCs w:val="24"/>
              </w:rPr>
            </w:pPr>
          </w:p>
        </w:tc>
        <w:tc>
          <w:tcPr>
            <w:tcW w:w="1785" w:type="dxa"/>
            <w:vAlign w:val="center"/>
          </w:tcPr>
          <w:p w14:paraId="5AE85A13">
            <w:pPr>
              <w:rPr>
                <w:rFonts w:hint="eastAsia" w:asciiTheme="minorEastAsia" w:hAnsiTheme="minorEastAsia" w:eastAsiaTheme="minorEastAsia" w:cstheme="minorEastAsia"/>
                <w:color w:val="auto"/>
                <w:sz w:val="24"/>
                <w:szCs w:val="24"/>
              </w:rPr>
            </w:pPr>
          </w:p>
        </w:tc>
        <w:tc>
          <w:tcPr>
            <w:tcW w:w="1118" w:type="dxa"/>
            <w:vAlign w:val="center"/>
          </w:tcPr>
          <w:p w14:paraId="022122F9">
            <w:pPr>
              <w:rPr>
                <w:rFonts w:hint="eastAsia" w:asciiTheme="minorEastAsia" w:hAnsiTheme="minorEastAsia" w:eastAsiaTheme="minorEastAsia" w:cstheme="minorEastAsia"/>
                <w:color w:val="auto"/>
                <w:sz w:val="24"/>
                <w:szCs w:val="24"/>
              </w:rPr>
            </w:pPr>
          </w:p>
        </w:tc>
      </w:tr>
      <w:tr w14:paraId="11E43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08DFCF71">
            <w:pPr>
              <w:rPr>
                <w:rFonts w:hint="eastAsia" w:asciiTheme="minorEastAsia" w:hAnsiTheme="minorEastAsia" w:eastAsiaTheme="minorEastAsia" w:cstheme="minorEastAsia"/>
                <w:iCs/>
                <w:color w:val="auto"/>
                <w:sz w:val="24"/>
                <w:szCs w:val="24"/>
                <w:lang w:val="en-US" w:eastAsia="zh-CN"/>
              </w:rPr>
            </w:pPr>
            <w:r>
              <w:rPr>
                <w:rFonts w:hint="eastAsia" w:asciiTheme="minorEastAsia" w:hAnsiTheme="minorEastAsia" w:eastAsiaTheme="minorEastAsia" w:cstheme="minorEastAsia"/>
                <w:iCs/>
                <w:color w:val="auto"/>
                <w:sz w:val="24"/>
                <w:szCs w:val="24"/>
                <w:lang w:val="en-US" w:eastAsia="zh-CN"/>
              </w:rPr>
              <w:t>3</w:t>
            </w:r>
          </w:p>
        </w:tc>
        <w:tc>
          <w:tcPr>
            <w:tcW w:w="4990" w:type="dxa"/>
            <w:vAlign w:val="center"/>
          </w:tcPr>
          <w:p w14:paraId="14037DE2">
            <w:pP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sz w:val="24"/>
                <w:szCs w:val="24"/>
              </w:rPr>
              <w:t>服务标准：合格</w:t>
            </w:r>
          </w:p>
        </w:tc>
        <w:tc>
          <w:tcPr>
            <w:tcW w:w="1680" w:type="dxa"/>
            <w:vAlign w:val="center"/>
          </w:tcPr>
          <w:p w14:paraId="6D14B0F2">
            <w:pPr>
              <w:rPr>
                <w:rFonts w:hint="eastAsia" w:asciiTheme="minorEastAsia" w:hAnsiTheme="minorEastAsia" w:eastAsiaTheme="minorEastAsia" w:cstheme="minorEastAsia"/>
                <w:color w:val="auto"/>
                <w:sz w:val="24"/>
                <w:szCs w:val="24"/>
              </w:rPr>
            </w:pPr>
          </w:p>
        </w:tc>
        <w:tc>
          <w:tcPr>
            <w:tcW w:w="1785" w:type="dxa"/>
            <w:vAlign w:val="center"/>
          </w:tcPr>
          <w:p w14:paraId="1988C7A2">
            <w:pPr>
              <w:rPr>
                <w:rFonts w:hint="eastAsia" w:asciiTheme="minorEastAsia" w:hAnsiTheme="minorEastAsia" w:eastAsiaTheme="minorEastAsia" w:cstheme="minorEastAsia"/>
                <w:color w:val="auto"/>
                <w:sz w:val="24"/>
                <w:szCs w:val="24"/>
              </w:rPr>
            </w:pPr>
          </w:p>
        </w:tc>
        <w:tc>
          <w:tcPr>
            <w:tcW w:w="1118" w:type="dxa"/>
            <w:vAlign w:val="center"/>
          </w:tcPr>
          <w:p w14:paraId="4EE5C9C4">
            <w:pPr>
              <w:rPr>
                <w:rFonts w:hint="eastAsia" w:asciiTheme="minorEastAsia" w:hAnsiTheme="minorEastAsia" w:eastAsiaTheme="minorEastAsia" w:cstheme="minorEastAsia"/>
                <w:color w:val="auto"/>
                <w:sz w:val="24"/>
                <w:szCs w:val="24"/>
              </w:rPr>
            </w:pPr>
          </w:p>
        </w:tc>
      </w:tr>
      <w:tr w14:paraId="3D56D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09CAE8AA">
            <w:pPr>
              <w:rPr>
                <w:rFonts w:hint="eastAsia" w:asciiTheme="minorEastAsia" w:hAnsiTheme="minorEastAsia" w:eastAsiaTheme="minorEastAsia" w:cstheme="minorEastAsia"/>
                <w:iCs/>
                <w:color w:val="auto"/>
                <w:sz w:val="24"/>
                <w:szCs w:val="24"/>
                <w:lang w:eastAsia="zh-CN"/>
              </w:rPr>
            </w:pPr>
            <w:r>
              <w:rPr>
                <w:rFonts w:hint="eastAsia" w:asciiTheme="minorEastAsia" w:hAnsiTheme="minorEastAsia" w:eastAsiaTheme="minorEastAsia" w:cstheme="minorEastAsia"/>
                <w:iCs/>
                <w:color w:val="auto"/>
                <w:sz w:val="24"/>
                <w:szCs w:val="24"/>
                <w:lang w:val="en-US" w:eastAsia="zh-CN"/>
              </w:rPr>
              <w:t>4</w:t>
            </w:r>
          </w:p>
        </w:tc>
        <w:tc>
          <w:tcPr>
            <w:tcW w:w="4990" w:type="dxa"/>
            <w:vAlign w:val="center"/>
          </w:tcPr>
          <w:p w14:paraId="0C68C8E0">
            <w:pPr>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合同款项的支付方式及进度安排</w:t>
            </w:r>
          </w:p>
          <w:p w14:paraId="123E4681">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Times New Roman"/>
                <w:color w:val="auto"/>
                <w:sz w:val="24"/>
                <w:szCs w:val="22"/>
                <w:highlight w:val="none"/>
                <w:lang w:val="en-US" w:eastAsia="zh-CN" w:bidi="ar-SA"/>
              </w:rPr>
            </w:pPr>
            <w:r>
              <w:rPr>
                <w:rFonts w:hint="eastAsia" w:ascii="宋体" w:hAnsi="宋体" w:cs="Times New Roman"/>
                <w:color w:val="auto"/>
                <w:sz w:val="24"/>
                <w:szCs w:val="22"/>
                <w:highlight w:val="none"/>
                <w:lang w:val="en-US" w:eastAsia="zh-CN" w:bidi="ar-SA"/>
              </w:rPr>
              <w:t>2.</w:t>
            </w:r>
            <w:r>
              <w:rPr>
                <w:rFonts w:hint="eastAsia" w:ascii="宋体" w:hAnsi="宋体" w:eastAsia="宋体" w:cs="宋体"/>
                <w:color w:val="auto"/>
                <w:sz w:val="24"/>
                <w:szCs w:val="24"/>
                <w:highlight w:val="none"/>
              </w:rPr>
              <w:t>合同预付款比例为合同金额的30%，合同签订后，甲方在收到发票后10个工作日内将预付款支付到合同约定的乙方账户（乙方须提供合同总价30%的即兑即付</w:t>
            </w:r>
            <w:r>
              <w:rPr>
                <w:rFonts w:hint="eastAsia" w:ascii="宋体" w:hAnsi="宋体" w:eastAsia="宋体" w:cs="宋体"/>
                <w:color w:val="auto"/>
                <w:sz w:val="24"/>
                <w:szCs w:val="24"/>
                <w:highlight w:val="none"/>
                <w:lang w:val="en-US" w:eastAsia="zh-CN"/>
              </w:rPr>
              <w:t>预付款</w:t>
            </w:r>
            <w:r>
              <w:rPr>
                <w:rFonts w:hint="eastAsia" w:ascii="宋体" w:hAnsi="宋体" w:eastAsia="宋体" w:cs="宋体"/>
                <w:color w:val="auto"/>
                <w:sz w:val="24"/>
                <w:szCs w:val="24"/>
                <w:highlight w:val="none"/>
              </w:rPr>
              <w:t>银行保函）。签订合同</w:t>
            </w:r>
            <w:r>
              <w:rPr>
                <w:rFonts w:hint="eastAsia" w:ascii="宋体" w:hAnsi="宋体" w:eastAsia="宋体" w:cs="宋体"/>
                <w:color w:val="auto"/>
                <w:sz w:val="24"/>
                <w:szCs w:val="24"/>
                <w:highlight w:val="none"/>
                <w:u w:val="none"/>
              </w:rPr>
              <w:t>时，乙方书面明确表示无需预付款的，甲方可不支付预付款。</w:t>
            </w:r>
          </w:p>
          <w:p w14:paraId="32C67460">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jc w:val="both"/>
              <w:textAlignment w:val="auto"/>
              <w:rPr>
                <w:rFonts w:hint="default" w:ascii="宋体" w:hAnsi="宋体" w:eastAsia="宋体" w:cs="Times New Roman"/>
                <w:color w:val="auto"/>
                <w:sz w:val="24"/>
                <w:szCs w:val="22"/>
                <w:highlight w:val="none"/>
                <w:lang w:val="en-US" w:eastAsia="zh-CN" w:bidi="ar-SA"/>
              </w:rPr>
            </w:pPr>
            <w:r>
              <w:rPr>
                <w:rFonts w:hint="eastAsia" w:ascii="宋体" w:hAnsi="宋体" w:cs="Times New Roman"/>
                <w:color w:val="auto"/>
                <w:sz w:val="24"/>
                <w:szCs w:val="22"/>
                <w:highlight w:val="none"/>
                <w:lang w:val="en-US" w:eastAsia="zh-CN" w:bidi="ar-SA"/>
              </w:rPr>
              <w:t>3.</w:t>
            </w:r>
            <w:r>
              <w:rPr>
                <w:rFonts w:hint="eastAsia" w:ascii="宋体" w:hAnsi="宋体" w:eastAsia="宋体" w:cs="宋体"/>
                <w:color w:val="000000"/>
                <w:sz w:val="24"/>
                <w:szCs w:val="24"/>
                <w:highlight w:val="none"/>
                <w:lang w:val="en-US" w:eastAsia="zh-CN" w:bidi="ar-SA"/>
              </w:rPr>
              <w:t>项目验收合格后付至合同金额的</w:t>
            </w:r>
            <w:r>
              <w:rPr>
                <w:rFonts w:hint="eastAsia" w:ascii="宋体" w:hAnsi="宋体" w:eastAsia="宋体" w:cs="宋体"/>
                <w:color w:val="auto"/>
                <w:sz w:val="24"/>
                <w:szCs w:val="24"/>
                <w:highlight w:val="none"/>
                <w:lang w:val="en-US" w:eastAsia="zh-CN" w:bidi="ar-SA"/>
              </w:rPr>
              <w:t>80%</w:t>
            </w:r>
            <w:r>
              <w:rPr>
                <w:rFonts w:hint="eastAsia" w:ascii="宋体" w:hAnsi="宋体" w:eastAsia="宋体" w:cs="宋体"/>
                <w:color w:val="000000"/>
                <w:sz w:val="24"/>
                <w:szCs w:val="24"/>
                <w:highlight w:val="none"/>
                <w:lang w:val="en-US" w:eastAsia="zh-CN" w:bidi="ar-SA"/>
              </w:rPr>
              <w:t>，质保期结束后付至合同金额的100%</w:t>
            </w:r>
            <w:r>
              <w:rPr>
                <w:rFonts w:hint="eastAsia" w:ascii="宋体" w:hAnsi="宋体" w:eastAsia="宋体" w:cs="宋体"/>
                <w:color w:val="auto"/>
                <w:sz w:val="24"/>
                <w:szCs w:val="24"/>
                <w:highlight w:val="none"/>
                <w:lang w:val="en-US" w:eastAsia="zh-CN" w:bidi="ar-SA"/>
              </w:rPr>
              <w:t>。</w:t>
            </w:r>
          </w:p>
          <w:p w14:paraId="1EFAF617">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iCs/>
                <w:color w:val="auto"/>
                <w:sz w:val="24"/>
                <w:szCs w:val="24"/>
              </w:rPr>
            </w:pPr>
            <w:r>
              <w:rPr>
                <w:rFonts w:hint="eastAsia" w:ascii="宋体" w:hAnsi="宋体" w:eastAsia="宋体" w:cs="Times New Roman"/>
                <w:color w:val="auto"/>
                <w:sz w:val="24"/>
                <w:szCs w:val="22"/>
                <w:highlight w:val="none"/>
                <w:lang w:val="en-US" w:eastAsia="zh-CN" w:bidi="ar-SA"/>
              </w:rPr>
              <w:t>注：乙方在甲方支付预付款前，必须提供同等金额的预付款银行保函，以确保甲方的资金安全。该保函必须是无条件即付即兑的银行保函，保函有效期为签订合同后12个月，</w:t>
            </w:r>
            <w:r>
              <w:rPr>
                <w:rFonts w:hint="eastAsia" w:ascii="宋体" w:hAnsi="宋体" w:eastAsia="宋体" w:cs="宋体"/>
                <w:color w:val="auto"/>
                <w:kern w:val="0"/>
                <w:sz w:val="24"/>
                <w:szCs w:val="32"/>
                <w:highlight w:val="none"/>
                <w:lang w:val="en-US" w:eastAsia="zh-CN" w:bidi="ar-SA"/>
              </w:rPr>
              <w:t>保函开具行必须为采购人认可的国有商业银行，且须完全符合甲方要求</w:t>
            </w:r>
            <w:r>
              <w:rPr>
                <w:rFonts w:hint="eastAsia" w:ascii="宋体" w:hAnsi="宋体" w:eastAsia="宋体" w:cs="Times New Roman"/>
                <w:color w:val="auto"/>
                <w:sz w:val="24"/>
                <w:szCs w:val="22"/>
                <w:highlight w:val="none"/>
                <w:lang w:val="en-US" w:eastAsia="zh-CN" w:bidi="ar-SA"/>
              </w:rPr>
              <w:t>。如乙方未按上述要求在签订合同前15日内提供银行保函，则视为乙方无条件放弃预付款，付款方式仍按照合同第五条款第8.2点中的付款方式执行。</w:t>
            </w:r>
          </w:p>
        </w:tc>
        <w:tc>
          <w:tcPr>
            <w:tcW w:w="1680" w:type="dxa"/>
            <w:vAlign w:val="center"/>
          </w:tcPr>
          <w:p w14:paraId="32AA50D5">
            <w:pPr>
              <w:rPr>
                <w:rFonts w:hint="eastAsia" w:asciiTheme="minorEastAsia" w:hAnsiTheme="minorEastAsia" w:eastAsiaTheme="minorEastAsia" w:cstheme="minorEastAsia"/>
                <w:iCs/>
                <w:color w:val="auto"/>
                <w:sz w:val="24"/>
                <w:szCs w:val="24"/>
              </w:rPr>
            </w:pPr>
          </w:p>
        </w:tc>
        <w:tc>
          <w:tcPr>
            <w:tcW w:w="1785" w:type="dxa"/>
            <w:vAlign w:val="center"/>
          </w:tcPr>
          <w:p w14:paraId="167D013C">
            <w:pPr>
              <w:rPr>
                <w:rFonts w:hint="eastAsia" w:asciiTheme="minorEastAsia" w:hAnsiTheme="minorEastAsia" w:eastAsiaTheme="minorEastAsia" w:cstheme="minorEastAsia"/>
                <w:iCs/>
                <w:color w:val="auto"/>
                <w:sz w:val="24"/>
                <w:szCs w:val="24"/>
              </w:rPr>
            </w:pPr>
          </w:p>
        </w:tc>
        <w:tc>
          <w:tcPr>
            <w:tcW w:w="1118" w:type="dxa"/>
            <w:vAlign w:val="center"/>
          </w:tcPr>
          <w:p w14:paraId="2FC2B1C8">
            <w:pPr>
              <w:rPr>
                <w:rFonts w:hint="eastAsia" w:asciiTheme="minorEastAsia" w:hAnsiTheme="minorEastAsia" w:eastAsiaTheme="minorEastAsia" w:cstheme="minorEastAsia"/>
                <w:iCs/>
                <w:color w:val="auto"/>
                <w:sz w:val="24"/>
                <w:szCs w:val="24"/>
              </w:rPr>
            </w:pPr>
          </w:p>
        </w:tc>
      </w:tr>
      <w:tr w14:paraId="1AEB9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646" w:type="dxa"/>
            <w:vAlign w:val="center"/>
          </w:tcPr>
          <w:p w14:paraId="3487E79A">
            <w:pPr>
              <w:rPr>
                <w:rFonts w:hint="eastAsia" w:asciiTheme="minorEastAsia" w:hAnsiTheme="minorEastAsia" w:eastAsiaTheme="minorEastAsia" w:cstheme="minorEastAsia"/>
                <w:color w:val="000000"/>
                <w:kern w:val="0"/>
                <w:sz w:val="24"/>
                <w:szCs w:val="24"/>
                <w:lang w:val="en-US" w:eastAsia="zh-CN" w:bidi="ar-SA"/>
              </w:rPr>
            </w:pPr>
            <w:r>
              <w:rPr>
                <w:rFonts w:hint="eastAsia" w:asciiTheme="minorEastAsia" w:hAnsiTheme="minorEastAsia" w:eastAsiaTheme="minorEastAsia" w:cstheme="minorEastAsia"/>
                <w:color w:val="000000"/>
                <w:kern w:val="0"/>
                <w:sz w:val="24"/>
                <w:szCs w:val="24"/>
                <w:lang w:val="en-US" w:eastAsia="zh-CN" w:bidi="ar-SA"/>
              </w:rPr>
              <w:t>5</w:t>
            </w:r>
          </w:p>
        </w:tc>
        <w:tc>
          <w:tcPr>
            <w:tcW w:w="4990" w:type="dxa"/>
            <w:vAlign w:val="center"/>
          </w:tcPr>
          <w:p w14:paraId="032CC9F0">
            <w:pPr>
              <w:rPr>
                <w:rFonts w:hint="eastAsia" w:asciiTheme="minorEastAsia" w:hAnsiTheme="minorEastAsia" w:eastAsiaTheme="minorEastAsia" w:cstheme="minorEastAsia"/>
                <w:color w:val="000000"/>
                <w:kern w:val="0"/>
                <w:sz w:val="24"/>
                <w:szCs w:val="24"/>
                <w:lang w:val="en-US" w:eastAsia="zh-CN" w:bidi="ar-SA"/>
              </w:rPr>
            </w:pPr>
            <w:r>
              <w:rPr>
                <w:rFonts w:hint="eastAsia" w:asciiTheme="minorEastAsia" w:hAnsiTheme="minorEastAsia" w:eastAsiaTheme="minorEastAsia" w:cstheme="minorEastAsia"/>
                <w:color w:val="000000"/>
                <w:kern w:val="0"/>
                <w:sz w:val="24"/>
                <w:szCs w:val="24"/>
                <w:lang w:val="en-US" w:eastAsia="zh-CN" w:bidi="ar-SA"/>
              </w:rPr>
              <w:t>投标报价不得超过所投采购包对应的最高限价</w:t>
            </w:r>
          </w:p>
        </w:tc>
        <w:tc>
          <w:tcPr>
            <w:tcW w:w="1680" w:type="dxa"/>
            <w:vAlign w:val="center"/>
          </w:tcPr>
          <w:p w14:paraId="1D3FF82D">
            <w:pPr>
              <w:rPr>
                <w:rFonts w:hint="eastAsia" w:asciiTheme="minorEastAsia" w:hAnsiTheme="minorEastAsia" w:eastAsiaTheme="minorEastAsia" w:cstheme="minorEastAsia"/>
                <w:color w:val="auto"/>
                <w:sz w:val="24"/>
                <w:szCs w:val="24"/>
              </w:rPr>
            </w:pPr>
          </w:p>
        </w:tc>
        <w:tc>
          <w:tcPr>
            <w:tcW w:w="1785" w:type="dxa"/>
            <w:vAlign w:val="center"/>
          </w:tcPr>
          <w:p w14:paraId="484AB1F2">
            <w:pPr>
              <w:rPr>
                <w:rFonts w:hint="eastAsia" w:asciiTheme="minorEastAsia" w:hAnsiTheme="minorEastAsia" w:eastAsiaTheme="minorEastAsia" w:cstheme="minorEastAsia"/>
                <w:color w:val="auto"/>
                <w:sz w:val="24"/>
                <w:szCs w:val="24"/>
              </w:rPr>
            </w:pPr>
          </w:p>
        </w:tc>
        <w:tc>
          <w:tcPr>
            <w:tcW w:w="1118" w:type="dxa"/>
            <w:vAlign w:val="center"/>
          </w:tcPr>
          <w:p w14:paraId="61A5A23C">
            <w:pPr>
              <w:rPr>
                <w:rFonts w:hint="eastAsia" w:asciiTheme="minorEastAsia" w:hAnsiTheme="minorEastAsia" w:eastAsiaTheme="minorEastAsia" w:cstheme="minorEastAsia"/>
                <w:color w:val="auto"/>
                <w:sz w:val="24"/>
                <w:szCs w:val="24"/>
              </w:rPr>
            </w:pPr>
          </w:p>
        </w:tc>
      </w:tr>
      <w:tr w14:paraId="124A9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46" w:type="dxa"/>
            <w:vAlign w:val="center"/>
          </w:tcPr>
          <w:p w14:paraId="54798AC9">
            <w:pP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6</w:t>
            </w:r>
          </w:p>
        </w:tc>
        <w:tc>
          <w:tcPr>
            <w:tcW w:w="4990" w:type="dxa"/>
            <w:vAlign w:val="center"/>
          </w:tcPr>
          <w:p w14:paraId="2F9905AE">
            <w:pPr>
              <w:snapToGrid w:val="0"/>
              <w:spacing w:line="590" w:lineRule="atLeast"/>
              <w:rPr>
                <w:rFonts w:hint="eastAsia" w:asciiTheme="minorEastAsia" w:hAnsiTheme="minorEastAsia" w:eastAsiaTheme="minorEastAsia" w:cstheme="minorEastAsia"/>
                <w:iCs/>
                <w:color w:val="auto"/>
                <w:sz w:val="24"/>
                <w:szCs w:val="24"/>
              </w:rPr>
            </w:pPr>
            <w:r>
              <w:rPr>
                <w:rFonts w:hint="eastAsia" w:asciiTheme="minorEastAsia" w:hAnsiTheme="minorEastAsia" w:eastAsiaTheme="minorEastAsia" w:cstheme="minorEastAsia"/>
                <w:sz w:val="24"/>
                <w:szCs w:val="24"/>
              </w:rPr>
              <w:t>投标有效期90日历天</w:t>
            </w:r>
          </w:p>
        </w:tc>
        <w:tc>
          <w:tcPr>
            <w:tcW w:w="1680" w:type="dxa"/>
            <w:vAlign w:val="center"/>
          </w:tcPr>
          <w:p w14:paraId="7653E6D9">
            <w:pPr>
              <w:rPr>
                <w:rFonts w:hint="eastAsia" w:asciiTheme="minorEastAsia" w:hAnsiTheme="minorEastAsia" w:eastAsiaTheme="minorEastAsia" w:cstheme="minorEastAsia"/>
                <w:color w:val="auto"/>
                <w:sz w:val="24"/>
                <w:szCs w:val="24"/>
              </w:rPr>
            </w:pPr>
          </w:p>
        </w:tc>
        <w:tc>
          <w:tcPr>
            <w:tcW w:w="1785" w:type="dxa"/>
            <w:vAlign w:val="center"/>
          </w:tcPr>
          <w:p w14:paraId="270D125F">
            <w:pPr>
              <w:rPr>
                <w:rFonts w:hint="eastAsia" w:asciiTheme="minorEastAsia" w:hAnsiTheme="minorEastAsia" w:eastAsiaTheme="minorEastAsia" w:cstheme="minorEastAsia"/>
                <w:color w:val="auto"/>
                <w:sz w:val="24"/>
                <w:szCs w:val="24"/>
              </w:rPr>
            </w:pPr>
          </w:p>
        </w:tc>
        <w:tc>
          <w:tcPr>
            <w:tcW w:w="1118" w:type="dxa"/>
            <w:vAlign w:val="center"/>
          </w:tcPr>
          <w:p w14:paraId="7EA641FB">
            <w:pPr>
              <w:rPr>
                <w:rFonts w:hint="eastAsia" w:asciiTheme="minorEastAsia" w:hAnsiTheme="minorEastAsia" w:eastAsiaTheme="minorEastAsia" w:cstheme="minorEastAsia"/>
                <w:color w:val="auto"/>
                <w:sz w:val="24"/>
                <w:szCs w:val="24"/>
              </w:rPr>
            </w:pPr>
          </w:p>
        </w:tc>
      </w:tr>
      <w:tr w14:paraId="70B0C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vAlign w:val="center"/>
          </w:tcPr>
          <w:p w14:paraId="24D5584F">
            <w:pPr>
              <w:rPr>
                <w:rFonts w:hint="eastAsia" w:asciiTheme="minorEastAsia" w:hAnsiTheme="minorEastAsia" w:eastAsiaTheme="minorEastAsia" w:cstheme="minorEastAsia"/>
                <w:color w:val="auto"/>
                <w:sz w:val="24"/>
                <w:szCs w:val="24"/>
              </w:rPr>
            </w:pPr>
          </w:p>
        </w:tc>
        <w:tc>
          <w:tcPr>
            <w:tcW w:w="4990" w:type="dxa"/>
            <w:vAlign w:val="center"/>
          </w:tcPr>
          <w:p w14:paraId="3D0BC877">
            <w:pPr>
              <w:snapToGrid w:val="0"/>
              <w:spacing w:line="590" w:lineRule="atLeast"/>
              <w:rPr>
                <w:rFonts w:hint="eastAsia" w:asciiTheme="minorEastAsia" w:hAnsiTheme="minorEastAsia" w:eastAsiaTheme="minorEastAsia" w:cstheme="minorEastAsia"/>
                <w:iCs/>
                <w:color w:val="auto"/>
                <w:sz w:val="24"/>
                <w:szCs w:val="24"/>
              </w:rPr>
            </w:pPr>
          </w:p>
        </w:tc>
        <w:tc>
          <w:tcPr>
            <w:tcW w:w="1680" w:type="dxa"/>
            <w:vAlign w:val="center"/>
          </w:tcPr>
          <w:p w14:paraId="4E8A8423">
            <w:pPr>
              <w:rPr>
                <w:rFonts w:hint="eastAsia" w:asciiTheme="minorEastAsia" w:hAnsiTheme="minorEastAsia" w:eastAsiaTheme="minorEastAsia" w:cstheme="minorEastAsia"/>
                <w:color w:val="auto"/>
                <w:sz w:val="24"/>
                <w:szCs w:val="24"/>
              </w:rPr>
            </w:pPr>
          </w:p>
        </w:tc>
        <w:tc>
          <w:tcPr>
            <w:tcW w:w="1785" w:type="dxa"/>
            <w:vAlign w:val="center"/>
          </w:tcPr>
          <w:p w14:paraId="05A7A277">
            <w:pPr>
              <w:rPr>
                <w:rFonts w:hint="eastAsia" w:asciiTheme="minorEastAsia" w:hAnsiTheme="minorEastAsia" w:eastAsiaTheme="minorEastAsia" w:cstheme="minorEastAsia"/>
                <w:color w:val="auto"/>
                <w:sz w:val="24"/>
                <w:szCs w:val="24"/>
              </w:rPr>
            </w:pPr>
          </w:p>
        </w:tc>
        <w:tc>
          <w:tcPr>
            <w:tcW w:w="1118" w:type="dxa"/>
            <w:vAlign w:val="center"/>
          </w:tcPr>
          <w:p w14:paraId="2EF0AC5B">
            <w:pPr>
              <w:rPr>
                <w:rFonts w:hint="eastAsia" w:asciiTheme="minorEastAsia" w:hAnsiTheme="minorEastAsia" w:eastAsiaTheme="minorEastAsia" w:cstheme="minorEastAsia"/>
                <w:color w:val="auto"/>
                <w:sz w:val="24"/>
                <w:szCs w:val="24"/>
              </w:rPr>
            </w:pPr>
          </w:p>
        </w:tc>
      </w:tr>
    </w:tbl>
    <w:p w14:paraId="240C7B1B">
      <w:pPr>
        <w:autoSpaceDE w:val="0"/>
        <w:autoSpaceDN w:val="0"/>
        <w:ind w:firstLine="210"/>
        <w:rPr>
          <w:rFonts w:cs="宋体"/>
          <w:color w:val="auto"/>
          <w:szCs w:val="28"/>
          <w:lang w:val="zh-CN"/>
        </w:rPr>
      </w:pPr>
    </w:p>
    <w:p w14:paraId="50F81991">
      <w:pPr>
        <w:autoSpaceDE w:val="0"/>
        <w:autoSpaceDN w:val="0"/>
        <w:ind w:firstLine="210"/>
        <w:rPr>
          <w:rFonts w:cs="宋体"/>
          <w:color w:val="auto"/>
          <w:szCs w:val="28"/>
          <w:lang w:val="zh-CN"/>
        </w:rPr>
      </w:pPr>
      <w:r>
        <w:rPr>
          <w:rFonts w:hint="eastAsia" w:cs="宋体"/>
          <w:color w:val="auto"/>
          <w:szCs w:val="28"/>
          <w:lang w:val="zh-CN"/>
        </w:rPr>
        <w:t>注：</w:t>
      </w:r>
      <w:r>
        <w:rPr>
          <w:rFonts w:hint="eastAsia" w:ascii="宋体" w:hAnsi="宋体" w:eastAsia="宋体" w:cs="宋体"/>
          <w:color w:val="000000"/>
          <w:highlight w:val="none"/>
        </w:rPr>
        <w:t>行数不够，可自行添加</w:t>
      </w:r>
      <w:r>
        <w:rPr>
          <w:rFonts w:hint="eastAsia" w:cs="宋体"/>
          <w:color w:val="auto"/>
          <w:szCs w:val="28"/>
          <w:lang w:val="zh-CN"/>
        </w:rPr>
        <w:t>。</w:t>
      </w:r>
    </w:p>
    <w:p w14:paraId="3588E009">
      <w:pPr>
        <w:autoSpaceDE w:val="0"/>
        <w:autoSpaceDN w:val="0"/>
        <w:ind w:firstLine="210"/>
        <w:rPr>
          <w:rFonts w:cs="宋体"/>
          <w:color w:val="auto"/>
          <w:szCs w:val="28"/>
          <w:lang w:val="zh-CN"/>
        </w:rPr>
      </w:pPr>
    </w:p>
    <w:p w14:paraId="0F30003F">
      <w:pPr>
        <w:autoSpaceDE w:val="0"/>
        <w:autoSpaceDN w:val="0"/>
        <w:spacing w:line="360" w:lineRule="auto"/>
        <w:ind w:firstLine="5160" w:firstLineChars="2150"/>
        <w:rPr>
          <w:rFonts w:hAnsi="宋体"/>
          <w:bCs/>
          <w:color w:val="auto"/>
          <w:sz w:val="24"/>
          <w:szCs w:val="24"/>
        </w:rPr>
      </w:pPr>
      <w:r>
        <w:rPr>
          <w:rFonts w:hint="eastAsia" w:hAnsi="宋体"/>
          <w:bCs/>
          <w:color w:val="auto"/>
          <w:sz w:val="24"/>
          <w:szCs w:val="24"/>
        </w:rPr>
        <w:t>投标人（加盖CA电子签章）：</w:t>
      </w:r>
    </w:p>
    <w:p w14:paraId="0D93F0CF">
      <w:pPr>
        <w:autoSpaceDE w:val="0"/>
        <w:autoSpaceDN w:val="0"/>
        <w:spacing w:line="360" w:lineRule="auto"/>
        <w:ind w:firstLine="5160" w:firstLineChars="2150"/>
        <w:rPr>
          <w:rFonts w:hAnsi="宋体"/>
          <w:bCs/>
          <w:color w:val="auto"/>
          <w:sz w:val="24"/>
          <w:szCs w:val="24"/>
        </w:rPr>
      </w:pPr>
      <w:r>
        <w:rPr>
          <w:rFonts w:hint="eastAsia" w:hAnsi="宋体"/>
          <w:bCs/>
          <w:color w:val="auto"/>
          <w:sz w:val="24"/>
          <w:szCs w:val="24"/>
        </w:rPr>
        <w:t>日期：   年  月   日</w:t>
      </w:r>
    </w:p>
    <w:p w14:paraId="397A0B8A">
      <w:pPr>
        <w:rPr>
          <w:rFonts w:hint="eastAsia" w:ascii="黑体" w:hAnsi="黑体" w:eastAsia="黑体" w:cs="黑体"/>
          <w:color w:val="auto"/>
          <w:sz w:val="30"/>
          <w:szCs w:val="30"/>
          <w:u w:val="single"/>
        </w:rPr>
      </w:pPr>
    </w:p>
    <w:p w14:paraId="6502D383">
      <w:pPr>
        <w:spacing w:line="360" w:lineRule="auto"/>
        <w:jc w:val="center"/>
        <w:rPr>
          <w:rFonts w:ascii="黑体" w:hAnsi="黑体" w:eastAsia="黑体" w:cs="黑体"/>
          <w:color w:val="auto"/>
          <w:sz w:val="30"/>
          <w:szCs w:val="30"/>
          <w:u w:val="single"/>
        </w:rPr>
      </w:pPr>
      <w:r>
        <w:rPr>
          <w:rFonts w:hint="eastAsia" w:ascii="黑体" w:hAnsi="黑体" w:eastAsia="黑体" w:cs="黑体"/>
          <w:color w:val="auto"/>
          <w:sz w:val="30"/>
          <w:szCs w:val="30"/>
          <w:u w:val="single"/>
        </w:rPr>
        <w:t>十</w:t>
      </w:r>
      <w:r>
        <w:rPr>
          <w:rFonts w:hint="eastAsia" w:ascii="黑体" w:hAnsi="黑体" w:eastAsia="黑体" w:cs="黑体"/>
          <w:color w:val="auto"/>
          <w:sz w:val="30"/>
          <w:szCs w:val="30"/>
          <w:u w:val="single"/>
          <w:lang w:val="en-US" w:eastAsia="zh-CN"/>
        </w:rPr>
        <w:t>六</w:t>
      </w:r>
      <w:r>
        <w:rPr>
          <w:rFonts w:hint="eastAsia" w:ascii="黑体" w:hAnsi="黑体" w:eastAsia="黑体" w:cs="黑体"/>
          <w:color w:val="auto"/>
          <w:sz w:val="30"/>
          <w:szCs w:val="30"/>
          <w:u w:val="single"/>
        </w:rPr>
        <w:t>、</w:t>
      </w:r>
      <w:r>
        <w:rPr>
          <w:rFonts w:hint="eastAsia" w:ascii="黑体" w:hAnsi="黑体" w:eastAsia="黑体" w:cs="黑体"/>
          <w:color w:val="auto"/>
          <w:sz w:val="30"/>
          <w:szCs w:val="30"/>
          <w:u w:val="single"/>
          <w:lang w:val="en-US" w:eastAsia="zh-CN"/>
        </w:rPr>
        <w:t>开标一览</w:t>
      </w:r>
      <w:r>
        <w:rPr>
          <w:rFonts w:hint="eastAsia" w:ascii="黑体" w:hAnsi="黑体" w:eastAsia="黑体" w:cs="黑体"/>
          <w:color w:val="auto"/>
          <w:sz w:val="30"/>
          <w:szCs w:val="30"/>
          <w:u w:val="single"/>
        </w:rPr>
        <w:t>表</w:t>
      </w:r>
      <w:r>
        <w:rPr>
          <w:rFonts w:hint="eastAsia" w:ascii="黑体" w:hAnsi="黑体" w:eastAsia="黑体" w:cs="黑体"/>
          <w:iCs/>
          <w:color w:val="auto"/>
          <w:sz w:val="30"/>
          <w:szCs w:val="30"/>
          <w:u w:val="single"/>
          <w:lang w:eastAsia="zh-CN"/>
        </w:rPr>
        <w:t>（</w:t>
      </w:r>
      <w:r>
        <w:rPr>
          <w:rFonts w:hint="eastAsia" w:ascii="黑体" w:hAnsi="黑体" w:eastAsia="黑体" w:cs="黑体"/>
          <w:iCs/>
          <w:color w:val="auto"/>
          <w:sz w:val="30"/>
          <w:szCs w:val="30"/>
          <w:u w:val="single"/>
          <w:lang w:val="en-US" w:eastAsia="zh-CN"/>
        </w:rPr>
        <w:t>采购包    ）</w:t>
      </w:r>
    </w:p>
    <w:p w14:paraId="5B6D00F7">
      <w:pPr>
        <w:widowControl w:val="0"/>
        <w:spacing w:beforeAutospacing="0" w:afterAutospacing="0"/>
        <w:ind w:firstLine="480"/>
        <w:jc w:val="both"/>
        <w:rPr>
          <w:rFonts w:hint="eastAsia" w:ascii="宋体" w:hAnsi="宋体" w:eastAsia="宋体" w:cs="宋体"/>
          <w:color w:val="000000"/>
          <w:sz w:val="24"/>
          <w:szCs w:val="24"/>
          <w:highlight w:val="none"/>
          <w:lang w:val="en-US" w:eastAsia="zh-CN" w:bidi="ar-SA"/>
        </w:rPr>
      </w:pP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3285"/>
        <w:gridCol w:w="2076"/>
        <w:gridCol w:w="4494"/>
      </w:tblGrid>
      <w:tr w14:paraId="6AA37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35" w:hRule="atLeast"/>
        </w:trPr>
        <w:tc>
          <w:tcPr>
            <w:tcW w:w="3285" w:type="dxa"/>
            <w:vAlign w:val="center"/>
          </w:tcPr>
          <w:p w14:paraId="432DB4C5">
            <w:pPr>
              <w:widowControl w:val="0"/>
              <w:spacing w:beforeAutospacing="0" w:afterAutospacing="0"/>
              <w:jc w:val="center"/>
              <w:rPr>
                <w:rFonts w:hint="default" w:ascii="宋体" w:hAnsi="宋体" w:eastAsia="宋体" w:cs="宋体"/>
                <w:color w:val="000000"/>
                <w:sz w:val="24"/>
                <w:highlight w:val="none"/>
                <w:vertAlign w:val="baseline"/>
                <w:lang w:val="en-US" w:eastAsia="zh-CN"/>
              </w:rPr>
            </w:pPr>
            <w:r>
              <w:rPr>
                <w:rFonts w:hint="eastAsia" w:ascii="宋体" w:hAnsi="宋体" w:cs="宋体"/>
                <w:color w:val="000000"/>
                <w:sz w:val="24"/>
                <w:highlight w:val="none"/>
                <w:vertAlign w:val="baseline"/>
                <w:lang w:val="en-US" w:eastAsia="zh-CN"/>
              </w:rPr>
              <w:t>项目名称</w:t>
            </w:r>
          </w:p>
        </w:tc>
        <w:tc>
          <w:tcPr>
            <w:tcW w:w="2076" w:type="dxa"/>
            <w:vAlign w:val="center"/>
          </w:tcPr>
          <w:p w14:paraId="4686E038">
            <w:pPr>
              <w:widowControl w:val="0"/>
              <w:spacing w:beforeAutospacing="0" w:afterAutospacing="0"/>
              <w:jc w:val="center"/>
              <w:rPr>
                <w:rFonts w:hint="eastAsia" w:ascii="宋体" w:hAnsi="宋体" w:eastAsia="宋体" w:cs="宋体"/>
                <w:color w:val="000000"/>
                <w:sz w:val="24"/>
                <w:highlight w:val="none"/>
                <w:vertAlign w:val="baseline"/>
                <w:lang w:val="en-US" w:eastAsia="zh-CN"/>
              </w:rPr>
            </w:pPr>
            <w:r>
              <w:rPr>
                <w:rFonts w:ascii="宋体" w:hAnsi="宋体" w:eastAsia="宋体" w:cs="宋体"/>
                <w:sz w:val="24"/>
                <w:szCs w:val="24"/>
              </w:rPr>
              <w:t>项目内容</w:t>
            </w:r>
          </w:p>
        </w:tc>
        <w:tc>
          <w:tcPr>
            <w:tcW w:w="4494" w:type="dxa"/>
            <w:vAlign w:val="center"/>
          </w:tcPr>
          <w:p w14:paraId="7E2217A7">
            <w:pPr>
              <w:pStyle w:val="36"/>
              <w:keepNext w:val="0"/>
              <w:keepLines w:val="0"/>
              <w:widowControl/>
              <w:suppressLineNumbers w:val="0"/>
              <w:jc w:val="center"/>
              <w:rPr>
                <w:rFonts w:hint="default" w:ascii="宋体" w:hAnsi="宋体" w:eastAsia="宋体" w:cs="宋体"/>
                <w:color w:val="000000"/>
                <w:sz w:val="24"/>
                <w:highlight w:val="none"/>
                <w:vertAlign w:val="baseline"/>
                <w:lang w:val="en-US" w:eastAsia="zh-CN"/>
              </w:rPr>
            </w:pPr>
            <w:r>
              <w:rPr>
                <w:rFonts w:hint="eastAsia" w:ascii="宋体" w:hAnsi="宋体" w:cs="宋体"/>
                <w:color w:val="000000"/>
                <w:sz w:val="24"/>
                <w:highlight w:val="none"/>
                <w:vertAlign w:val="baseline"/>
                <w:lang w:val="en-US" w:eastAsia="zh-CN"/>
              </w:rPr>
              <w:t>报价</w:t>
            </w:r>
            <w:bookmarkStart w:id="100" w:name="_GoBack"/>
            <w:bookmarkEnd w:id="100"/>
          </w:p>
        </w:tc>
      </w:tr>
      <w:tr w14:paraId="6892F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668" w:hRule="atLeast"/>
        </w:trPr>
        <w:tc>
          <w:tcPr>
            <w:tcW w:w="3285" w:type="dxa"/>
            <w:vAlign w:val="center"/>
          </w:tcPr>
          <w:p w14:paraId="62316E00">
            <w:pPr>
              <w:widowControl w:val="0"/>
              <w:spacing w:beforeAutospacing="0" w:afterAutospacing="0"/>
              <w:jc w:val="center"/>
              <w:rPr>
                <w:rFonts w:hint="eastAsia" w:ascii="宋体" w:hAnsi="宋体" w:eastAsia="宋体" w:cs="宋体"/>
                <w:color w:val="000000"/>
                <w:sz w:val="24"/>
                <w:highlight w:val="none"/>
                <w:vertAlign w:val="baseline"/>
                <w:lang w:val="en-US" w:eastAsia="zh-CN"/>
              </w:rPr>
            </w:pPr>
            <w:r>
              <w:rPr>
                <w:rFonts w:hint="eastAsia" w:ascii="宋体" w:hAnsi="宋体" w:eastAsia="宋体" w:cs="宋体"/>
                <w:color w:val="000000"/>
                <w:sz w:val="24"/>
                <w:highlight w:val="none"/>
                <w:vertAlign w:val="baseline"/>
                <w:lang w:val="en-US" w:eastAsia="zh-CN"/>
              </w:rPr>
              <w:t>滨海县人民医院医共体心电图机等医疗设备采购项目</w:t>
            </w:r>
          </w:p>
        </w:tc>
        <w:tc>
          <w:tcPr>
            <w:tcW w:w="2076" w:type="dxa"/>
            <w:vAlign w:val="center"/>
          </w:tcPr>
          <w:p w14:paraId="1740E1AD">
            <w:pPr>
              <w:widowControl w:val="0"/>
              <w:spacing w:beforeAutospacing="0" w:afterAutospacing="0"/>
              <w:jc w:val="center"/>
              <w:rPr>
                <w:rFonts w:hint="eastAsia" w:ascii="宋体" w:hAnsi="宋体" w:eastAsia="宋体" w:cs="宋体"/>
                <w:color w:val="000000"/>
                <w:sz w:val="24"/>
                <w:highlight w:val="none"/>
                <w:vertAlign w:val="baseline"/>
                <w:lang w:val="en-US" w:eastAsia="zh-CN"/>
              </w:rPr>
            </w:pPr>
            <w:r>
              <w:rPr>
                <w:rFonts w:ascii="宋体" w:hAnsi="宋体" w:eastAsia="宋体" w:cs="宋体"/>
                <w:sz w:val="24"/>
                <w:szCs w:val="24"/>
              </w:rPr>
              <w:t>详见投标文件</w:t>
            </w:r>
          </w:p>
        </w:tc>
        <w:tc>
          <w:tcPr>
            <w:tcW w:w="4494" w:type="dxa"/>
            <w:vAlign w:val="center"/>
          </w:tcPr>
          <w:p w14:paraId="7671967D">
            <w:pPr>
              <w:widowControl w:val="0"/>
              <w:spacing w:beforeAutospacing="0" w:afterAutospacing="0"/>
              <w:jc w:val="both"/>
              <w:rPr>
                <w:rFonts w:hint="eastAsia" w:ascii="宋体" w:hAnsi="宋体" w:eastAsia="宋体" w:cs="宋体"/>
                <w:color w:val="000000"/>
                <w:sz w:val="24"/>
                <w:highlight w:val="none"/>
                <w:vertAlign w:val="baseline"/>
                <w:lang w:val="en-US" w:eastAsia="zh-CN"/>
              </w:rPr>
            </w:pPr>
            <w:r>
              <w:t>总价（小写）</w:t>
            </w:r>
          </w:p>
        </w:tc>
      </w:tr>
      <w:tr w14:paraId="1F327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778" w:hRule="atLeast"/>
        </w:trPr>
        <w:tc>
          <w:tcPr>
            <w:tcW w:w="9855" w:type="dxa"/>
            <w:gridSpan w:val="3"/>
            <w:vAlign w:val="center"/>
          </w:tcPr>
          <w:p w14:paraId="757F8EB3">
            <w:pPr>
              <w:widowControl w:val="0"/>
              <w:spacing w:beforeAutospacing="0" w:afterAutospacing="0"/>
              <w:jc w:val="both"/>
              <w:rPr>
                <w:rFonts w:hint="eastAsia" w:ascii="宋体" w:hAnsi="宋体" w:eastAsia="宋体" w:cs="宋体"/>
                <w:color w:val="000000"/>
                <w:sz w:val="24"/>
                <w:highlight w:val="none"/>
                <w:vertAlign w:val="baseline"/>
                <w:lang w:val="en-US" w:eastAsia="zh-CN"/>
              </w:rPr>
            </w:pPr>
            <w:r>
              <w:rPr>
                <w:rFonts w:ascii="宋体" w:hAnsi="宋体" w:eastAsia="宋体" w:cs="宋体"/>
                <w:sz w:val="24"/>
                <w:szCs w:val="24"/>
              </w:rPr>
              <w:t>总价（大写）：</w:t>
            </w:r>
          </w:p>
        </w:tc>
      </w:tr>
    </w:tbl>
    <w:p w14:paraId="05CB083D">
      <w:pPr>
        <w:widowControl w:val="0"/>
        <w:spacing w:beforeAutospacing="0" w:afterAutospacing="0"/>
        <w:ind w:firstLine="480"/>
        <w:jc w:val="both"/>
        <w:rPr>
          <w:rFonts w:hint="eastAsia" w:ascii="宋体" w:hAnsi="宋体" w:eastAsia="宋体" w:cs="宋体"/>
          <w:color w:val="000000"/>
          <w:sz w:val="24"/>
          <w:highlight w:val="none"/>
          <w:lang w:val="en-US" w:eastAsia="zh-CN"/>
        </w:rPr>
      </w:pPr>
    </w:p>
    <w:p w14:paraId="278CAE2C">
      <w:pPr>
        <w:widowControl w:val="0"/>
        <w:spacing w:beforeAutospacing="0" w:afterAutospacing="0"/>
        <w:ind w:firstLine="480"/>
        <w:jc w:val="both"/>
        <w:rPr>
          <w:rFonts w:hint="eastAsia" w:ascii="宋体" w:hAnsi="宋体" w:eastAsia="宋体" w:cs="宋体"/>
          <w:color w:val="000000"/>
          <w:sz w:val="24"/>
          <w:highlight w:val="none"/>
          <w:lang w:val="en-US" w:eastAsia="zh-CN"/>
        </w:rPr>
      </w:pPr>
    </w:p>
    <w:p w14:paraId="5BCED565">
      <w:pPr>
        <w:widowControl w:val="0"/>
        <w:spacing w:beforeAutospacing="0" w:afterAutospacing="0"/>
        <w:ind w:firstLine="480"/>
        <w:jc w:val="both"/>
        <w:rPr>
          <w:rFonts w:hint="eastAsia" w:ascii="宋体" w:hAnsi="宋体" w:eastAsia="宋体" w:cs="宋体"/>
          <w:color w:val="000000"/>
          <w:sz w:val="24"/>
          <w:highlight w:val="none"/>
          <w:lang w:val="en-US" w:eastAsia="zh-CN"/>
        </w:rPr>
      </w:pPr>
    </w:p>
    <w:p w14:paraId="59553D8A">
      <w:pPr>
        <w:pStyle w:val="24"/>
        <w:rPr>
          <w:rFonts w:hint="eastAsia"/>
        </w:rPr>
      </w:pPr>
    </w:p>
    <w:p w14:paraId="09E55B39">
      <w:pPr>
        <w:pStyle w:val="24"/>
        <w:rPr>
          <w:rFonts w:hint="eastAsia"/>
        </w:rPr>
      </w:pPr>
    </w:p>
    <w:p w14:paraId="066F086F">
      <w:pPr>
        <w:spacing w:line="360" w:lineRule="auto"/>
        <w:ind w:firstLine="440"/>
        <w:jc w:val="right"/>
        <w:rPr>
          <w:rFonts w:hint="eastAsia" w:ascii="新宋体" w:hAnsi="新宋体" w:eastAsia="新宋体" w:cs="新宋体"/>
          <w:b w:val="0"/>
          <w:bCs w:val="0"/>
          <w:color w:val="auto"/>
          <w:sz w:val="28"/>
          <w:szCs w:val="28"/>
          <w:lang w:val="en-US" w:eastAsia="zh-CN"/>
        </w:rPr>
      </w:pPr>
      <w:r>
        <w:rPr>
          <w:rFonts w:hint="eastAsia" w:ascii="新宋体" w:hAnsi="新宋体" w:eastAsia="新宋体" w:cs="新宋体"/>
          <w:b w:val="0"/>
          <w:bCs w:val="0"/>
          <w:color w:val="auto"/>
          <w:sz w:val="28"/>
          <w:szCs w:val="28"/>
        </w:rPr>
        <w:t>投标人</w:t>
      </w:r>
      <w:r>
        <w:rPr>
          <w:rFonts w:hint="eastAsia" w:ascii="新宋体" w:hAnsi="新宋体" w:eastAsia="新宋体" w:cs="新宋体"/>
          <w:b w:val="0"/>
          <w:bCs w:val="0"/>
          <w:color w:val="auto"/>
          <w:sz w:val="28"/>
          <w:szCs w:val="28"/>
          <w:lang w:val="en-US" w:eastAsia="zh-CN"/>
        </w:rPr>
        <w:t>公章（电子签章）：</w:t>
      </w:r>
    </w:p>
    <w:p w14:paraId="319167C2">
      <w:pPr>
        <w:pStyle w:val="24"/>
        <w:jc w:val="right"/>
        <w:rPr>
          <w:rFonts w:hint="eastAsia" w:ascii="新宋体" w:hAnsi="新宋体" w:eastAsia="新宋体" w:cs="新宋体"/>
          <w:b w:val="0"/>
          <w:bCs w:val="0"/>
          <w:color w:val="auto"/>
          <w:sz w:val="28"/>
          <w:szCs w:val="28"/>
          <w:lang w:val="en-US" w:eastAsia="zh-CN"/>
        </w:rPr>
      </w:pPr>
    </w:p>
    <w:p w14:paraId="657C8B39">
      <w:pPr>
        <w:pStyle w:val="24"/>
        <w:jc w:val="right"/>
        <w:rPr>
          <w:rFonts w:hint="eastAsia" w:ascii="新宋体" w:hAnsi="新宋体" w:eastAsia="新宋体" w:cs="新宋体"/>
          <w:b w:val="0"/>
          <w:bCs w:val="0"/>
          <w:color w:val="auto"/>
          <w:sz w:val="28"/>
          <w:szCs w:val="28"/>
          <w:lang w:val="en-US" w:eastAsia="zh-CN"/>
        </w:rPr>
      </w:pPr>
      <w:r>
        <w:rPr>
          <w:rFonts w:hint="eastAsia" w:ascii="新宋体" w:hAnsi="新宋体" w:eastAsia="新宋体" w:cs="新宋体"/>
          <w:b w:val="0"/>
          <w:bCs w:val="0"/>
          <w:color w:val="auto"/>
          <w:sz w:val="28"/>
          <w:szCs w:val="28"/>
          <w:lang w:val="en-US" w:eastAsia="zh-CN"/>
        </w:rPr>
        <w:t>日期：     年      月     日</w:t>
      </w:r>
    </w:p>
    <w:p w14:paraId="456900FC">
      <w:pPr>
        <w:spacing w:line="360" w:lineRule="auto"/>
        <w:ind w:firstLine="440"/>
        <w:jc w:val="left"/>
        <w:rPr>
          <w:rFonts w:hint="eastAsia" w:ascii="宋体" w:hAnsi="宋体" w:cs="黑体"/>
          <w:b w:val="0"/>
          <w:bCs w:val="0"/>
          <w:color w:val="auto"/>
          <w:sz w:val="28"/>
          <w:szCs w:val="28"/>
        </w:rPr>
      </w:pPr>
    </w:p>
    <w:p w14:paraId="6CF647A9">
      <w:pPr>
        <w:spacing w:line="360" w:lineRule="auto"/>
        <w:ind w:firstLine="440"/>
        <w:jc w:val="left"/>
        <w:rPr>
          <w:rFonts w:hint="eastAsia" w:ascii="宋体" w:hAnsi="宋体" w:cs="黑体"/>
          <w:color w:val="auto"/>
          <w:sz w:val="24"/>
          <w:szCs w:val="24"/>
        </w:rPr>
      </w:pPr>
    </w:p>
    <w:p w14:paraId="1B3C95B4">
      <w:pPr>
        <w:spacing w:line="360" w:lineRule="auto"/>
        <w:ind w:firstLine="440"/>
        <w:jc w:val="left"/>
        <w:rPr>
          <w:rFonts w:ascii="黑体" w:hAnsi="黑体" w:eastAsia="黑体" w:cs="黑体"/>
          <w:color w:val="auto"/>
          <w:sz w:val="32"/>
          <w:szCs w:val="32"/>
        </w:rPr>
      </w:pPr>
    </w:p>
    <w:p w14:paraId="5B4AF499">
      <w:pPr>
        <w:pStyle w:val="24"/>
      </w:pPr>
    </w:p>
    <w:p w14:paraId="3B7EDC61">
      <w:pPr>
        <w:ind w:firstLine="440"/>
        <w:jc w:val="center"/>
        <w:rPr>
          <w:rFonts w:ascii="黑体" w:hAnsi="黑体" w:eastAsia="黑体" w:cs="黑体"/>
          <w:i/>
          <w:color w:val="auto"/>
          <w:sz w:val="32"/>
          <w:szCs w:val="32"/>
          <w:u w:val="single"/>
        </w:rPr>
      </w:pPr>
    </w:p>
    <w:p w14:paraId="31B7FCBE">
      <w:pPr>
        <w:ind w:firstLine="2560" w:firstLineChars="800"/>
        <w:rPr>
          <w:rFonts w:ascii="黑体" w:hAnsi="黑体" w:eastAsia="黑体" w:cs="黑体"/>
          <w:i/>
          <w:color w:val="auto"/>
          <w:sz w:val="32"/>
          <w:szCs w:val="32"/>
          <w:u w:val="single"/>
        </w:rPr>
      </w:pPr>
    </w:p>
    <w:p w14:paraId="7B8A032C">
      <w:pPr>
        <w:rPr>
          <w:rFonts w:hint="eastAsia" w:ascii="黑体" w:hAnsi="黑体" w:eastAsia="黑体" w:cs="黑体"/>
          <w:iCs/>
          <w:color w:val="auto"/>
          <w:sz w:val="30"/>
          <w:szCs w:val="30"/>
          <w:u w:val="single"/>
        </w:rPr>
      </w:pPr>
      <w:r>
        <w:rPr>
          <w:rFonts w:hint="eastAsia" w:ascii="黑体" w:hAnsi="黑体" w:eastAsia="黑体" w:cs="黑体"/>
          <w:iCs/>
          <w:color w:val="auto"/>
          <w:sz w:val="30"/>
          <w:szCs w:val="30"/>
          <w:u w:val="single"/>
        </w:rPr>
        <w:br w:type="page"/>
      </w:r>
    </w:p>
    <w:p w14:paraId="4A29AC6E">
      <w:pPr>
        <w:keepNext w:val="0"/>
        <w:keepLines w:val="0"/>
        <w:pageBreakBefore w:val="0"/>
        <w:widowControl w:val="0"/>
        <w:kinsoku/>
        <w:wordWrap/>
        <w:overflowPunct/>
        <w:topLinePunct w:val="0"/>
        <w:autoSpaceDE/>
        <w:autoSpaceDN/>
        <w:bidi w:val="0"/>
        <w:adjustRightInd/>
        <w:snapToGrid/>
        <w:spacing w:after="361" w:afterLines="100"/>
        <w:ind w:firstLine="2100" w:firstLineChars="700"/>
        <w:textAlignment w:val="auto"/>
        <w:rPr>
          <w:rFonts w:ascii="黑体" w:hAnsi="黑体" w:eastAsia="黑体" w:cs="黑体"/>
          <w:iCs/>
          <w:color w:val="auto"/>
          <w:sz w:val="30"/>
          <w:szCs w:val="30"/>
          <w:u w:val="none"/>
        </w:rPr>
      </w:pPr>
      <w:r>
        <w:rPr>
          <w:rFonts w:hint="eastAsia" w:ascii="黑体" w:hAnsi="黑体" w:eastAsia="黑体" w:cs="黑体"/>
          <w:iCs/>
          <w:color w:val="auto"/>
          <w:sz w:val="30"/>
          <w:szCs w:val="30"/>
          <w:u w:val="none"/>
        </w:rPr>
        <w:t>十</w:t>
      </w:r>
      <w:r>
        <w:rPr>
          <w:rFonts w:hint="eastAsia" w:ascii="黑体" w:hAnsi="黑体" w:eastAsia="黑体" w:cs="黑体"/>
          <w:iCs/>
          <w:color w:val="auto"/>
          <w:sz w:val="30"/>
          <w:szCs w:val="30"/>
          <w:u w:val="none"/>
          <w:lang w:val="en-US" w:eastAsia="zh-CN"/>
        </w:rPr>
        <w:t>七</w:t>
      </w:r>
      <w:r>
        <w:rPr>
          <w:rFonts w:hint="eastAsia" w:ascii="黑体" w:hAnsi="黑体" w:eastAsia="黑体" w:cs="黑体"/>
          <w:iCs/>
          <w:color w:val="auto"/>
          <w:sz w:val="30"/>
          <w:szCs w:val="30"/>
          <w:u w:val="none"/>
        </w:rPr>
        <w:t>、盐城市政府采购事前信用承诺书</w:t>
      </w:r>
      <w:r>
        <w:rPr>
          <w:rFonts w:hint="eastAsia" w:ascii="黑体" w:hAnsi="黑体" w:eastAsia="黑体" w:cs="黑体"/>
          <w:iCs/>
          <w:color w:val="auto"/>
          <w:sz w:val="30"/>
          <w:szCs w:val="30"/>
          <w:u w:val="none"/>
          <w:lang w:eastAsia="zh-CN"/>
        </w:rPr>
        <w:t>（</w:t>
      </w:r>
      <w:r>
        <w:rPr>
          <w:rFonts w:hint="eastAsia" w:ascii="黑体" w:hAnsi="黑体" w:eastAsia="黑体" w:cs="黑体"/>
          <w:iCs/>
          <w:color w:val="auto"/>
          <w:sz w:val="30"/>
          <w:szCs w:val="30"/>
          <w:u w:val="none"/>
          <w:lang w:val="en-US" w:eastAsia="zh-CN"/>
        </w:rPr>
        <w:t>采购包    ）</w:t>
      </w:r>
    </w:p>
    <w:p w14:paraId="12823193">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ascii="宋体" w:hAnsi="宋体"/>
          <w:color w:val="auto"/>
          <w:sz w:val="24"/>
        </w:rPr>
      </w:pPr>
      <w:r>
        <w:rPr>
          <w:rFonts w:hint="eastAsia" w:ascii="宋体" w:hAnsi="宋体"/>
          <w:color w:val="auto"/>
          <w:sz w:val="24"/>
        </w:rPr>
        <w:t>为营造我市公开、公平、公正、诚实守信的政府采购交易环境，树立诚信守法的供应商形象，本人代表本单位作出以下承诺：</w:t>
      </w:r>
    </w:p>
    <w:p w14:paraId="622CA267">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ascii="宋体" w:hAnsi="宋体"/>
          <w:color w:val="auto"/>
          <w:sz w:val="24"/>
        </w:rPr>
      </w:pPr>
      <w:r>
        <w:rPr>
          <w:rFonts w:hint="eastAsia" w:ascii="宋体" w:hAnsi="宋体"/>
          <w:color w:val="auto"/>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26F2D416">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ascii="宋体" w:hAnsi="宋体"/>
          <w:color w:val="auto"/>
          <w:sz w:val="24"/>
        </w:rPr>
      </w:pPr>
      <w:r>
        <w:rPr>
          <w:rFonts w:hint="eastAsia" w:ascii="宋体" w:hAnsi="宋体"/>
          <w:color w:val="auto"/>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52D18F5">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ascii="宋体" w:hAnsi="宋体"/>
          <w:color w:val="auto"/>
          <w:sz w:val="24"/>
        </w:rPr>
      </w:pPr>
      <w:r>
        <w:rPr>
          <w:rFonts w:hint="eastAsia" w:ascii="宋体" w:hAnsi="宋体"/>
          <w:color w:val="auto"/>
          <w:sz w:val="24"/>
        </w:rPr>
        <w:t xml:space="preserve">   （三）严格依照国家和省、市关于政府采购的法律、法规、规章、规范性文件，参加政府采购投标活动；积极履行社会责任，促进廉政建设； </w:t>
      </w:r>
    </w:p>
    <w:p w14:paraId="1ECD7960">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ascii="宋体" w:hAnsi="宋体"/>
          <w:color w:val="auto"/>
          <w:sz w:val="24"/>
        </w:rPr>
      </w:pPr>
      <w:r>
        <w:rPr>
          <w:rFonts w:hint="eastAsia" w:ascii="宋体" w:hAnsi="宋体"/>
          <w:color w:val="auto"/>
          <w:sz w:val="24"/>
        </w:rPr>
        <w:t>   （四）严格遵守即时信息公示规定，及时维护和更新盐城市政府采购网中与本单位相关的信息；</w:t>
      </w:r>
    </w:p>
    <w:p w14:paraId="42EFB156">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ascii="宋体" w:hAnsi="宋体"/>
          <w:color w:val="auto"/>
          <w:sz w:val="24"/>
        </w:rPr>
      </w:pPr>
      <w:r>
        <w:rPr>
          <w:rFonts w:hint="eastAsia" w:ascii="宋体" w:hAnsi="宋体"/>
          <w:color w:val="auto"/>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49D3A46B">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ascii="宋体" w:hAnsi="宋体"/>
          <w:color w:val="auto"/>
          <w:sz w:val="24"/>
        </w:rPr>
      </w:pPr>
      <w:r>
        <w:rPr>
          <w:rFonts w:hint="eastAsia" w:ascii="宋体" w:hAnsi="宋体"/>
          <w:color w:val="auto"/>
          <w:sz w:val="24"/>
        </w:rPr>
        <w:t>   （六）自觉接受政府、行业组织、社会公众、新闻舆论的监督；</w:t>
      </w:r>
    </w:p>
    <w:p w14:paraId="742E963D">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ascii="宋体" w:hAnsi="宋体"/>
          <w:color w:val="auto"/>
          <w:sz w:val="24"/>
        </w:rPr>
      </w:pPr>
      <w:r>
        <w:rPr>
          <w:rFonts w:hint="eastAsia" w:ascii="宋体" w:hAnsi="宋体"/>
          <w:color w:val="auto"/>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4C4B4F3E">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ascii="宋体" w:hAnsi="宋体"/>
          <w:color w:val="auto"/>
          <w:sz w:val="24"/>
        </w:rPr>
      </w:pPr>
      <w:r>
        <w:rPr>
          <w:rFonts w:hint="eastAsia" w:ascii="宋体" w:hAnsi="宋体"/>
          <w:color w:val="auto"/>
          <w:sz w:val="24"/>
        </w:rPr>
        <w:t>   （八）本人已认真阅读了上述承诺，并向本单位员工作了宣传教育。</w:t>
      </w:r>
    </w:p>
    <w:p w14:paraId="62BA0C19">
      <w:pPr>
        <w:widowControl/>
        <w:spacing w:line="360" w:lineRule="auto"/>
        <w:jc w:val="left"/>
        <w:rPr>
          <w:rFonts w:ascii="宋体" w:hAnsi="宋体"/>
          <w:color w:val="auto"/>
          <w:sz w:val="24"/>
        </w:rPr>
      </w:pPr>
    </w:p>
    <w:p w14:paraId="7C13DA48">
      <w:pPr>
        <w:widowControl/>
        <w:spacing w:line="360" w:lineRule="auto"/>
        <w:jc w:val="center"/>
        <w:rPr>
          <w:rFonts w:ascii="宋体" w:hAnsi="宋体"/>
          <w:color w:val="auto"/>
          <w:sz w:val="24"/>
        </w:rPr>
      </w:pPr>
      <w:r>
        <w:rPr>
          <w:rFonts w:hint="eastAsia" w:ascii="宋体" w:hAnsi="宋体"/>
          <w:color w:val="auto"/>
          <w:sz w:val="24"/>
        </w:rPr>
        <w:t xml:space="preserve">                 法定代表人签名或盖章：</w:t>
      </w:r>
    </w:p>
    <w:p w14:paraId="43A4866F">
      <w:pPr>
        <w:widowControl/>
        <w:spacing w:line="360" w:lineRule="auto"/>
        <w:jc w:val="center"/>
        <w:rPr>
          <w:rFonts w:ascii="宋体" w:hAnsi="宋体"/>
          <w:color w:val="auto"/>
          <w:sz w:val="24"/>
        </w:rPr>
      </w:pPr>
      <w:r>
        <w:rPr>
          <w:rFonts w:hint="eastAsia" w:ascii="宋体" w:hAnsi="宋体"/>
          <w:color w:val="auto"/>
          <w:sz w:val="24"/>
        </w:rPr>
        <w:t xml:space="preserve">                   单位名称（盖章）：</w:t>
      </w:r>
    </w:p>
    <w:p w14:paraId="554DEE5E">
      <w:pPr>
        <w:widowControl/>
        <w:spacing w:line="360" w:lineRule="auto"/>
        <w:jc w:val="center"/>
        <w:rPr>
          <w:rFonts w:hint="eastAsia" w:ascii="黑体" w:cs="黑体"/>
          <w:i/>
          <w:color w:val="auto"/>
          <w:sz w:val="30"/>
          <w:szCs w:val="30"/>
          <w:u w:val="single"/>
        </w:rPr>
      </w:pPr>
      <w:r>
        <w:rPr>
          <w:rFonts w:hint="eastAsia" w:ascii="宋体" w:hAnsi="宋体"/>
          <w:color w:val="auto"/>
          <w:sz w:val="24"/>
        </w:rPr>
        <w:t xml:space="preserve">                      年    月    日</w:t>
      </w:r>
    </w:p>
    <w:p w14:paraId="0A17A776">
      <w:pPr>
        <w:pStyle w:val="4"/>
        <w:ind w:firstLine="3300" w:firstLineChars="1100"/>
        <w:rPr>
          <w:rFonts w:hint="eastAsia" w:ascii="黑体" w:cs="黑体"/>
          <w:i/>
          <w:color w:val="auto"/>
          <w:sz w:val="30"/>
          <w:szCs w:val="30"/>
          <w:u w:val="single"/>
        </w:rPr>
      </w:pPr>
    </w:p>
    <w:p w14:paraId="0434E4DF">
      <w:pPr>
        <w:rPr>
          <w:rFonts w:hint="eastAsia" w:ascii="黑体" w:cs="黑体"/>
          <w:i/>
          <w:color w:val="auto"/>
          <w:sz w:val="30"/>
          <w:szCs w:val="30"/>
          <w:u w:val="single"/>
        </w:rPr>
      </w:pPr>
      <w:r>
        <w:rPr>
          <w:rFonts w:hint="eastAsia" w:ascii="黑体" w:cs="黑体"/>
          <w:i/>
          <w:color w:val="auto"/>
          <w:sz w:val="30"/>
          <w:szCs w:val="30"/>
          <w:u w:val="single"/>
        </w:rPr>
        <w:br w:type="page"/>
      </w:r>
    </w:p>
    <w:p w14:paraId="6A833709">
      <w:pPr>
        <w:pStyle w:val="4"/>
        <w:ind w:firstLine="3300" w:firstLineChars="1100"/>
        <w:rPr>
          <w:i/>
          <w:color w:val="auto"/>
          <w:sz w:val="30"/>
          <w:szCs w:val="30"/>
        </w:rPr>
      </w:pPr>
      <w:r>
        <w:rPr>
          <w:rFonts w:hint="eastAsia" w:ascii="黑体" w:cs="黑体"/>
          <w:i/>
          <w:color w:val="auto"/>
          <w:sz w:val="30"/>
          <w:szCs w:val="30"/>
          <w:u w:val="single"/>
        </w:rPr>
        <w:t>十</w:t>
      </w:r>
      <w:r>
        <w:rPr>
          <w:rFonts w:hint="eastAsia" w:ascii="黑体" w:cs="黑体"/>
          <w:i/>
          <w:color w:val="auto"/>
          <w:sz w:val="30"/>
          <w:szCs w:val="30"/>
          <w:u w:val="single"/>
          <w:lang w:val="en-US" w:eastAsia="zh-CN"/>
        </w:rPr>
        <w:t>八</w:t>
      </w:r>
      <w:r>
        <w:rPr>
          <w:rFonts w:hint="eastAsia" w:ascii="黑体" w:cs="黑体"/>
          <w:i/>
          <w:color w:val="auto"/>
          <w:sz w:val="30"/>
          <w:szCs w:val="30"/>
          <w:u w:val="single"/>
        </w:rPr>
        <w:t>、其他材料（如有）</w:t>
      </w:r>
    </w:p>
    <w:p w14:paraId="2100D5C3">
      <w:pPr>
        <w:pStyle w:val="6"/>
        <w:rPr>
          <w:color w:val="auto"/>
        </w:rPr>
      </w:pPr>
    </w:p>
    <w:p w14:paraId="3B9CE500">
      <w:pPr>
        <w:pStyle w:val="6"/>
        <w:rPr>
          <w:color w:val="auto"/>
        </w:rPr>
      </w:pPr>
    </w:p>
    <w:p w14:paraId="55379A21">
      <w:pPr>
        <w:pStyle w:val="6"/>
        <w:rPr>
          <w:color w:val="auto"/>
        </w:rPr>
      </w:pPr>
    </w:p>
    <w:p w14:paraId="54565836">
      <w:pPr>
        <w:pStyle w:val="6"/>
        <w:rPr>
          <w:color w:val="auto"/>
        </w:rPr>
      </w:pPr>
    </w:p>
    <w:p w14:paraId="319637AF">
      <w:pPr>
        <w:pStyle w:val="6"/>
        <w:rPr>
          <w:color w:val="auto"/>
        </w:rPr>
      </w:pPr>
    </w:p>
    <w:p w14:paraId="4BF6E330">
      <w:pPr>
        <w:pStyle w:val="6"/>
        <w:rPr>
          <w:color w:val="auto"/>
        </w:rPr>
      </w:pPr>
    </w:p>
    <w:p w14:paraId="7D90E550">
      <w:pPr>
        <w:pStyle w:val="6"/>
        <w:rPr>
          <w:color w:val="auto"/>
        </w:rPr>
      </w:pPr>
    </w:p>
    <w:p w14:paraId="74469711">
      <w:pPr>
        <w:pStyle w:val="6"/>
        <w:rPr>
          <w:color w:val="auto"/>
        </w:rPr>
      </w:pPr>
    </w:p>
    <w:p w14:paraId="0CDFE448">
      <w:pPr>
        <w:pStyle w:val="6"/>
        <w:rPr>
          <w:color w:val="auto"/>
        </w:rPr>
      </w:pPr>
    </w:p>
    <w:p w14:paraId="3724D8C0">
      <w:pPr>
        <w:pStyle w:val="6"/>
        <w:rPr>
          <w:color w:val="auto"/>
        </w:rPr>
      </w:pPr>
    </w:p>
    <w:p w14:paraId="1ED7996E">
      <w:pPr>
        <w:pStyle w:val="6"/>
        <w:rPr>
          <w:color w:val="auto"/>
        </w:rPr>
      </w:pPr>
    </w:p>
    <w:p w14:paraId="1CDA97B2">
      <w:pPr>
        <w:pStyle w:val="6"/>
        <w:rPr>
          <w:color w:val="auto"/>
        </w:rPr>
      </w:pPr>
    </w:p>
    <w:p w14:paraId="06171891">
      <w:pPr>
        <w:pStyle w:val="6"/>
        <w:rPr>
          <w:color w:val="auto"/>
        </w:rPr>
      </w:pPr>
    </w:p>
    <w:p w14:paraId="327B03CF">
      <w:pPr>
        <w:pStyle w:val="6"/>
        <w:rPr>
          <w:color w:val="auto"/>
        </w:rPr>
      </w:pPr>
    </w:p>
    <w:p w14:paraId="23A708FE">
      <w:pPr>
        <w:pStyle w:val="6"/>
        <w:rPr>
          <w:color w:val="auto"/>
        </w:rPr>
      </w:pPr>
    </w:p>
    <w:p w14:paraId="1CC81EFE">
      <w:pPr>
        <w:pStyle w:val="6"/>
        <w:rPr>
          <w:color w:val="auto"/>
        </w:rPr>
      </w:pPr>
    </w:p>
    <w:p w14:paraId="2459A1D5">
      <w:pPr>
        <w:pStyle w:val="6"/>
        <w:rPr>
          <w:color w:val="auto"/>
        </w:rPr>
      </w:pPr>
    </w:p>
    <w:p w14:paraId="6CDDAB49">
      <w:pPr>
        <w:pStyle w:val="6"/>
        <w:rPr>
          <w:color w:val="auto"/>
        </w:rPr>
      </w:pPr>
    </w:p>
    <w:p w14:paraId="2F80594E">
      <w:pPr>
        <w:pStyle w:val="6"/>
        <w:rPr>
          <w:color w:val="auto"/>
        </w:rPr>
      </w:pPr>
    </w:p>
    <w:p w14:paraId="42C3BE45">
      <w:pPr>
        <w:pStyle w:val="6"/>
        <w:rPr>
          <w:color w:val="auto"/>
        </w:rPr>
      </w:pPr>
    </w:p>
    <w:p w14:paraId="70DE48DB">
      <w:pPr>
        <w:pStyle w:val="6"/>
        <w:rPr>
          <w:color w:val="auto"/>
        </w:rPr>
      </w:pPr>
    </w:p>
    <w:p w14:paraId="3132FEBE">
      <w:pPr>
        <w:pStyle w:val="6"/>
        <w:rPr>
          <w:color w:val="auto"/>
        </w:rPr>
      </w:pPr>
    </w:p>
    <w:p w14:paraId="53C57520">
      <w:pPr>
        <w:pStyle w:val="6"/>
        <w:rPr>
          <w:color w:val="auto"/>
        </w:rPr>
      </w:pPr>
    </w:p>
    <w:p w14:paraId="5F1D8765">
      <w:pPr>
        <w:pStyle w:val="6"/>
        <w:rPr>
          <w:color w:val="auto"/>
        </w:rPr>
      </w:pPr>
    </w:p>
    <w:p w14:paraId="6C879C96">
      <w:pPr>
        <w:pStyle w:val="6"/>
        <w:rPr>
          <w:color w:val="auto"/>
        </w:rPr>
      </w:pPr>
    </w:p>
    <w:p w14:paraId="5AA40AE8">
      <w:pPr>
        <w:pStyle w:val="6"/>
        <w:rPr>
          <w:color w:val="auto"/>
        </w:rPr>
      </w:pPr>
    </w:p>
    <w:p w14:paraId="1B53F338">
      <w:pPr>
        <w:pStyle w:val="6"/>
        <w:rPr>
          <w:color w:val="auto"/>
        </w:rPr>
      </w:pPr>
    </w:p>
    <w:p w14:paraId="2846C6EC">
      <w:pPr>
        <w:pStyle w:val="6"/>
        <w:rPr>
          <w:color w:val="auto"/>
        </w:rPr>
      </w:pPr>
    </w:p>
    <w:p w14:paraId="63E57CE2">
      <w:pPr>
        <w:pStyle w:val="6"/>
        <w:rPr>
          <w:color w:val="auto"/>
        </w:rPr>
      </w:pPr>
    </w:p>
    <w:p w14:paraId="0F088C34">
      <w:pPr>
        <w:pStyle w:val="6"/>
        <w:rPr>
          <w:color w:val="auto"/>
        </w:rPr>
      </w:pPr>
    </w:p>
    <w:p w14:paraId="18ED52D8">
      <w:pPr>
        <w:pStyle w:val="6"/>
        <w:rPr>
          <w:color w:val="auto"/>
        </w:rPr>
      </w:pPr>
    </w:p>
    <w:p w14:paraId="6DA3A63D">
      <w:pPr>
        <w:pStyle w:val="6"/>
        <w:rPr>
          <w:color w:val="auto"/>
        </w:rPr>
      </w:pPr>
    </w:p>
    <w:p w14:paraId="33F2DFC4">
      <w:pPr>
        <w:pStyle w:val="6"/>
        <w:rPr>
          <w:color w:val="auto"/>
        </w:rPr>
      </w:pPr>
    </w:p>
    <w:p w14:paraId="39074017">
      <w:pPr>
        <w:pStyle w:val="6"/>
        <w:rPr>
          <w:color w:val="auto"/>
        </w:rPr>
      </w:pPr>
    </w:p>
    <w:p w14:paraId="09F477C5">
      <w:pPr>
        <w:pStyle w:val="6"/>
        <w:rPr>
          <w:color w:val="auto"/>
        </w:rPr>
      </w:pPr>
    </w:p>
    <w:p w14:paraId="07A6B33E">
      <w:pPr>
        <w:pStyle w:val="6"/>
        <w:rPr>
          <w:color w:val="auto"/>
        </w:rPr>
      </w:pPr>
    </w:p>
    <w:p w14:paraId="45AE8976">
      <w:pPr>
        <w:pStyle w:val="6"/>
        <w:rPr>
          <w:color w:val="auto"/>
        </w:rPr>
      </w:pPr>
    </w:p>
    <w:p w14:paraId="5C611A6C">
      <w:pPr>
        <w:pStyle w:val="6"/>
        <w:rPr>
          <w:color w:val="auto"/>
        </w:rPr>
      </w:pPr>
    </w:p>
    <w:p w14:paraId="4F882668">
      <w:pPr>
        <w:pStyle w:val="6"/>
        <w:rPr>
          <w:color w:val="auto"/>
        </w:rPr>
      </w:pPr>
    </w:p>
    <w:p w14:paraId="1F209B99">
      <w:pPr>
        <w:pStyle w:val="6"/>
        <w:rPr>
          <w:color w:val="auto"/>
        </w:rPr>
      </w:pPr>
    </w:p>
    <w:p w14:paraId="4D2E1224">
      <w:pPr>
        <w:pStyle w:val="6"/>
        <w:rPr>
          <w:color w:val="auto"/>
        </w:rPr>
      </w:pPr>
    </w:p>
    <w:p w14:paraId="6101EE6F">
      <w:pPr>
        <w:pStyle w:val="6"/>
        <w:rPr>
          <w:color w:val="auto"/>
        </w:rPr>
      </w:pPr>
    </w:p>
    <w:p w14:paraId="300B2744">
      <w:pPr>
        <w:pStyle w:val="36"/>
        <w:spacing w:beforeAutospacing="0" w:afterAutospacing="0"/>
        <w:jc w:val="center"/>
        <w:rPr>
          <w:b/>
          <w:bCs/>
          <w:color w:val="auto"/>
          <w:sz w:val="36"/>
          <w:szCs w:val="36"/>
        </w:rPr>
      </w:pPr>
      <w:r>
        <w:rPr>
          <w:rFonts w:hint="eastAsia"/>
          <w:b/>
          <w:bCs/>
          <w:color w:val="auto"/>
          <w:sz w:val="36"/>
          <w:szCs w:val="36"/>
        </w:rPr>
        <w:t>质疑函范本</w:t>
      </w:r>
    </w:p>
    <w:p w14:paraId="4EF498C8">
      <w:pPr>
        <w:pStyle w:val="36"/>
        <w:spacing w:before="290" w:beforeAutospacing="0" w:afterAutospacing="0"/>
        <w:jc w:val="both"/>
        <w:rPr>
          <w:bCs/>
          <w:color w:val="auto"/>
          <w:szCs w:val="24"/>
        </w:rPr>
      </w:pPr>
      <w:r>
        <w:rPr>
          <w:rFonts w:hint="eastAsia"/>
          <w:bCs/>
          <w:color w:val="auto"/>
          <w:szCs w:val="24"/>
        </w:rPr>
        <w:t>一、质疑供应商基本信息</w:t>
      </w:r>
    </w:p>
    <w:p w14:paraId="72C29FE8">
      <w:pPr>
        <w:pStyle w:val="36"/>
        <w:spacing w:beforeAutospacing="0" w:afterAutospacing="0"/>
        <w:jc w:val="both"/>
        <w:rPr>
          <w:bCs/>
          <w:color w:val="auto"/>
          <w:szCs w:val="24"/>
        </w:rPr>
      </w:pPr>
      <w:r>
        <w:rPr>
          <w:rFonts w:hint="eastAsia"/>
          <w:bCs/>
          <w:color w:val="auto"/>
          <w:szCs w:val="24"/>
        </w:rPr>
        <w:t>质疑供应商：</w:t>
      </w:r>
      <w:r>
        <w:rPr>
          <w:rFonts w:hint="eastAsia"/>
          <w:bCs/>
          <w:color w:val="auto"/>
          <w:szCs w:val="24"/>
          <w:u w:val="single"/>
        </w:rPr>
        <w:t>                    </w:t>
      </w:r>
      <w:r>
        <w:rPr>
          <w:rFonts w:hint="eastAsia"/>
          <w:bCs/>
          <w:color w:val="auto"/>
          <w:szCs w:val="24"/>
          <w:u w:val="single"/>
        </w:rPr>
        <w:tab/>
      </w:r>
      <w:r>
        <w:rPr>
          <w:rFonts w:hint="eastAsia"/>
          <w:bCs/>
          <w:color w:val="auto"/>
          <w:szCs w:val="24"/>
          <w:u w:val="single"/>
        </w:rPr>
        <w:t> </w:t>
      </w:r>
      <w:r>
        <w:rPr>
          <w:rFonts w:hint="eastAsia"/>
          <w:bCs/>
          <w:color w:val="auto"/>
          <w:szCs w:val="24"/>
          <w:u w:val="single"/>
        </w:rPr>
        <w:tab/>
      </w:r>
    </w:p>
    <w:p w14:paraId="092F0FE1">
      <w:pPr>
        <w:pStyle w:val="36"/>
        <w:spacing w:beforeAutospacing="0" w:afterAutospacing="0"/>
        <w:jc w:val="both"/>
        <w:rPr>
          <w:bCs/>
          <w:color w:val="auto"/>
          <w:szCs w:val="24"/>
          <w:u w:val="single"/>
        </w:rPr>
      </w:pPr>
      <w:r>
        <w:rPr>
          <w:rFonts w:hint="eastAsia"/>
          <w:bCs/>
          <w:color w:val="auto"/>
          <w:szCs w:val="24"/>
        </w:rPr>
        <w:t>地址：</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p>
    <w:p w14:paraId="58F2AB31">
      <w:pPr>
        <w:pStyle w:val="36"/>
        <w:spacing w:beforeAutospacing="0" w:afterAutospacing="0"/>
        <w:jc w:val="both"/>
        <w:rPr>
          <w:bCs/>
          <w:color w:val="auto"/>
          <w:szCs w:val="24"/>
        </w:rPr>
      </w:pPr>
      <w:r>
        <w:rPr>
          <w:rFonts w:hint="eastAsia"/>
          <w:bCs/>
          <w:color w:val="auto"/>
          <w:szCs w:val="24"/>
        </w:rPr>
        <w:t>邮编：</w:t>
      </w:r>
      <w:r>
        <w:rPr>
          <w:rFonts w:hint="eastAsia"/>
          <w:bCs/>
          <w:color w:val="auto"/>
          <w:szCs w:val="24"/>
          <w:u w:val="single"/>
        </w:rPr>
        <w:t>                       </w:t>
      </w:r>
      <w:r>
        <w:rPr>
          <w:rFonts w:hint="eastAsia"/>
          <w:bCs/>
          <w:color w:val="auto"/>
          <w:szCs w:val="24"/>
          <w:u w:val="single"/>
        </w:rPr>
        <w:tab/>
      </w:r>
    </w:p>
    <w:p w14:paraId="7EF8764D">
      <w:pPr>
        <w:pStyle w:val="36"/>
        <w:spacing w:beforeAutospacing="0" w:afterAutospacing="0"/>
        <w:jc w:val="both"/>
        <w:rPr>
          <w:bCs/>
          <w:color w:val="auto"/>
          <w:szCs w:val="24"/>
          <w:u w:val="single"/>
        </w:rPr>
      </w:pPr>
      <w:r>
        <w:rPr>
          <w:rFonts w:hint="eastAsia"/>
          <w:bCs/>
          <w:color w:val="auto"/>
          <w:szCs w:val="24"/>
        </w:rPr>
        <w:t>联系人：</w:t>
      </w:r>
      <w:r>
        <w:rPr>
          <w:rFonts w:hint="eastAsia"/>
          <w:bCs/>
          <w:color w:val="auto"/>
          <w:szCs w:val="24"/>
          <w:u w:val="single"/>
        </w:rPr>
        <w:t>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rPr>
          <w:rFonts w:hint="eastAsia"/>
          <w:bCs/>
          <w:color w:val="auto"/>
          <w:szCs w:val="24"/>
          <w:u w:val="single"/>
        </w:rPr>
        <w:tab/>
      </w:r>
    </w:p>
    <w:p w14:paraId="00751C8C">
      <w:pPr>
        <w:pStyle w:val="36"/>
        <w:spacing w:beforeAutospacing="0" w:afterAutospacing="0"/>
        <w:jc w:val="both"/>
        <w:rPr>
          <w:bCs/>
          <w:color w:val="auto"/>
          <w:szCs w:val="24"/>
        </w:rPr>
      </w:pPr>
      <w:r>
        <w:rPr>
          <w:rFonts w:hint="eastAsia"/>
          <w:bCs/>
          <w:color w:val="auto"/>
          <w:szCs w:val="24"/>
        </w:rPr>
        <w:t>联系电话：</w:t>
      </w:r>
      <w:r>
        <w:rPr>
          <w:rFonts w:hint="eastAsia"/>
          <w:bCs/>
          <w:color w:val="auto"/>
          <w:szCs w:val="24"/>
          <w:u w:val="single"/>
        </w:rPr>
        <w:t xml:space="preserve">                                </w:t>
      </w:r>
    </w:p>
    <w:p w14:paraId="589AC9DE">
      <w:pPr>
        <w:pStyle w:val="36"/>
        <w:spacing w:beforeAutospacing="0" w:afterAutospacing="0"/>
        <w:jc w:val="both"/>
        <w:rPr>
          <w:bCs/>
          <w:color w:val="auto"/>
          <w:szCs w:val="24"/>
        </w:rPr>
      </w:pPr>
      <w:r>
        <w:rPr>
          <w:rFonts w:hint="eastAsia"/>
          <w:bCs/>
          <w:color w:val="auto"/>
          <w:szCs w:val="24"/>
        </w:rPr>
        <w:t>授权代表：</w:t>
      </w:r>
      <w:r>
        <w:rPr>
          <w:rFonts w:hint="eastAsia"/>
          <w:bCs/>
          <w:color w:val="auto"/>
          <w:szCs w:val="24"/>
          <w:u w:val="single"/>
        </w:rPr>
        <w:t>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rPr>
          <w:rFonts w:hint="eastAsia"/>
          <w:bCs/>
          <w:color w:val="auto"/>
          <w:szCs w:val="24"/>
          <w:u w:val="single"/>
        </w:rPr>
        <w:tab/>
      </w:r>
    </w:p>
    <w:p w14:paraId="1088B6EA">
      <w:pPr>
        <w:pStyle w:val="36"/>
        <w:spacing w:beforeAutospacing="0" w:afterAutospacing="0"/>
        <w:jc w:val="both"/>
        <w:rPr>
          <w:bCs/>
          <w:color w:val="auto"/>
          <w:szCs w:val="24"/>
        </w:rPr>
      </w:pPr>
      <w:r>
        <w:rPr>
          <w:rFonts w:hint="eastAsia"/>
          <w:bCs/>
          <w:color w:val="auto"/>
          <w:szCs w:val="24"/>
        </w:rPr>
        <w:t>联系电话：</w:t>
      </w:r>
      <w:r>
        <w:rPr>
          <w:rFonts w:hint="eastAsia"/>
          <w:bCs/>
          <w:color w:val="auto"/>
          <w:szCs w:val="24"/>
          <w:u w:val="single"/>
        </w:rPr>
        <w:t>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p>
    <w:p w14:paraId="427EF861">
      <w:pPr>
        <w:pStyle w:val="36"/>
        <w:spacing w:beforeAutospacing="0" w:afterAutospacing="0"/>
        <w:jc w:val="both"/>
        <w:rPr>
          <w:bCs/>
          <w:color w:val="auto"/>
          <w:szCs w:val="24"/>
          <w:u w:val="single"/>
        </w:rPr>
      </w:pPr>
      <w:r>
        <w:rPr>
          <w:rFonts w:hint="eastAsia"/>
          <w:bCs/>
          <w:color w:val="auto"/>
          <w:szCs w:val="24"/>
        </w:rPr>
        <w:t>地址： </w:t>
      </w:r>
      <w:r>
        <w:rPr>
          <w:rFonts w:hint="eastAsia"/>
          <w:bCs/>
          <w:color w:val="auto"/>
          <w:szCs w:val="24"/>
          <w:u w:val="single"/>
        </w:rPr>
        <w:t>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rPr>
          <w:rFonts w:hint="eastAsia"/>
          <w:bCs/>
          <w:color w:val="auto"/>
          <w:szCs w:val="24"/>
          <w:u w:val="single"/>
        </w:rPr>
        <w:tab/>
      </w:r>
    </w:p>
    <w:p w14:paraId="0BFD4B07">
      <w:pPr>
        <w:pStyle w:val="36"/>
        <w:spacing w:beforeAutospacing="0" w:afterAutospacing="0"/>
        <w:jc w:val="both"/>
        <w:rPr>
          <w:bCs/>
          <w:color w:val="auto"/>
          <w:szCs w:val="24"/>
        </w:rPr>
      </w:pPr>
      <w:r>
        <w:rPr>
          <w:rFonts w:hint="eastAsia"/>
          <w:bCs/>
          <w:color w:val="auto"/>
          <w:szCs w:val="24"/>
        </w:rPr>
        <w:t>邮编：</w:t>
      </w:r>
      <w:r>
        <w:rPr>
          <w:rFonts w:hint="eastAsia"/>
          <w:bCs/>
          <w:color w:val="auto"/>
          <w:szCs w:val="24"/>
          <w:u w:val="single"/>
        </w:rPr>
        <w:t>                         </w:t>
      </w:r>
    </w:p>
    <w:p w14:paraId="48FB7733">
      <w:pPr>
        <w:pStyle w:val="36"/>
        <w:spacing w:beforeAutospacing="0" w:afterAutospacing="0"/>
        <w:jc w:val="both"/>
        <w:rPr>
          <w:bCs/>
          <w:color w:val="auto"/>
          <w:szCs w:val="24"/>
        </w:rPr>
      </w:pPr>
      <w:r>
        <w:rPr>
          <w:rFonts w:hint="eastAsia"/>
          <w:bCs/>
          <w:color w:val="auto"/>
          <w:szCs w:val="24"/>
        </w:rPr>
        <w:t>二、质疑项目基本情况</w:t>
      </w:r>
    </w:p>
    <w:p w14:paraId="25C24028">
      <w:pPr>
        <w:pStyle w:val="36"/>
        <w:spacing w:beforeAutospacing="0" w:afterAutospacing="0"/>
        <w:jc w:val="both"/>
        <w:rPr>
          <w:bCs/>
          <w:color w:val="auto"/>
          <w:szCs w:val="24"/>
        </w:rPr>
      </w:pPr>
      <w:r>
        <w:rPr>
          <w:rFonts w:hint="eastAsia"/>
          <w:bCs/>
          <w:color w:val="auto"/>
          <w:szCs w:val="24"/>
        </w:rPr>
        <w:t>质疑项目的名称：</w:t>
      </w:r>
      <w:r>
        <w:rPr>
          <w:rFonts w:hint="eastAsia"/>
          <w:bCs/>
          <w:color w:val="auto"/>
          <w:szCs w:val="24"/>
          <w:u w:val="single"/>
        </w:rPr>
        <w:t xml:space="preserve">                      </w:t>
      </w:r>
    </w:p>
    <w:p w14:paraId="2539ED6B">
      <w:pPr>
        <w:pStyle w:val="36"/>
        <w:spacing w:beforeAutospacing="0" w:afterAutospacing="0"/>
        <w:jc w:val="both"/>
        <w:rPr>
          <w:bCs/>
          <w:color w:val="auto"/>
          <w:szCs w:val="24"/>
        </w:rPr>
      </w:pPr>
      <w:r>
        <w:rPr>
          <w:rFonts w:hint="eastAsia"/>
          <w:bCs/>
          <w:color w:val="auto"/>
          <w:szCs w:val="24"/>
        </w:rPr>
        <w:t>包号：</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ab/>
      </w:r>
    </w:p>
    <w:p w14:paraId="125E1A50">
      <w:pPr>
        <w:pStyle w:val="36"/>
        <w:spacing w:beforeAutospacing="0" w:afterAutospacing="0"/>
        <w:jc w:val="both"/>
        <w:rPr>
          <w:bCs/>
          <w:color w:val="auto"/>
          <w:szCs w:val="24"/>
        </w:rPr>
      </w:pPr>
      <w:r>
        <w:rPr>
          <w:rFonts w:hint="eastAsia"/>
          <w:bCs/>
          <w:color w:val="auto"/>
          <w:szCs w:val="24"/>
        </w:rPr>
        <w:t>采购人名称：</w:t>
      </w:r>
      <w:r>
        <w:rPr>
          <w:rFonts w:hint="eastAsia"/>
          <w:bCs/>
          <w:color w:val="auto"/>
          <w:szCs w:val="24"/>
          <w:u w:val="single"/>
        </w:rPr>
        <w:t>                      </w:t>
      </w:r>
    </w:p>
    <w:p w14:paraId="2C1818A6">
      <w:pPr>
        <w:pStyle w:val="36"/>
        <w:spacing w:beforeAutospacing="0" w:afterAutospacing="0"/>
        <w:jc w:val="both"/>
        <w:rPr>
          <w:bCs/>
          <w:color w:val="auto"/>
          <w:szCs w:val="24"/>
        </w:rPr>
      </w:pPr>
      <w:r>
        <w:rPr>
          <w:rFonts w:hint="eastAsia"/>
          <w:bCs/>
          <w:color w:val="auto"/>
          <w:szCs w:val="24"/>
        </w:rPr>
        <w:t>采购文件获取日期：</w:t>
      </w:r>
      <w:r>
        <w:rPr>
          <w:rFonts w:hint="eastAsia"/>
          <w:bCs/>
          <w:color w:val="auto"/>
          <w:szCs w:val="24"/>
          <w:u w:val="single"/>
        </w:rPr>
        <w:t>                       </w:t>
      </w:r>
    </w:p>
    <w:p w14:paraId="7DB5D277">
      <w:pPr>
        <w:pStyle w:val="36"/>
        <w:spacing w:beforeAutospacing="0" w:afterAutospacing="0"/>
        <w:jc w:val="both"/>
        <w:rPr>
          <w:bCs/>
          <w:color w:val="auto"/>
          <w:szCs w:val="24"/>
        </w:rPr>
      </w:pPr>
      <w:r>
        <w:rPr>
          <w:rFonts w:hint="eastAsia"/>
          <w:bCs/>
          <w:color w:val="auto"/>
          <w:szCs w:val="24"/>
        </w:rPr>
        <w:t>三、质疑事项具体内容</w:t>
      </w:r>
    </w:p>
    <w:p w14:paraId="6F2A7572">
      <w:pPr>
        <w:pStyle w:val="36"/>
        <w:spacing w:beforeAutospacing="0" w:afterAutospacing="0"/>
        <w:jc w:val="both"/>
        <w:rPr>
          <w:bCs/>
          <w:color w:val="auto"/>
          <w:szCs w:val="24"/>
        </w:rPr>
      </w:pPr>
      <w:r>
        <w:rPr>
          <w:rFonts w:hint="eastAsia"/>
          <w:bCs/>
          <w:color w:val="auto"/>
          <w:szCs w:val="24"/>
        </w:rPr>
        <w:t>质疑事项1：</w:t>
      </w:r>
      <w:r>
        <w:rPr>
          <w:rFonts w:hint="eastAsia"/>
          <w:bCs/>
          <w:color w:val="auto"/>
          <w:szCs w:val="24"/>
          <w:u w:val="single"/>
        </w:rPr>
        <w:t>                      </w:t>
      </w:r>
    </w:p>
    <w:p w14:paraId="533223E8">
      <w:pPr>
        <w:pStyle w:val="36"/>
        <w:spacing w:beforeAutospacing="0" w:afterAutospacing="0"/>
        <w:rPr>
          <w:bCs/>
          <w:color w:val="auto"/>
          <w:szCs w:val="24"/>
        </w:rPr>
      </w:pPr>
      <w:r>
        <w:rPr>
          <w:rFonts w:hint="eastAsia"/>
          <w:bCs/>
          <w:color w:val="auto"/>
          <w:szCs w:val="24"/>
        </w:rPr>
        <w:t>事实依据：</w:t>
      </w:r>
      <w:r>
        <w:rPr>
          <w:rFonts w:hint="eastAsia"/>
          <w:bCs/>
          <w:color w:val="auto"/>
          <w:szCs w:val="24"/>
          <w:u w:val="single"/>
        </w:rPr>
        <w:t xml:space="preserve">                                        </w:t>
      </w:r>
    </w:p>
    <w:p w14:paraId="65E8FA3B">
      <w:pPr>
        <w:pStyle w:val="36"/>
        <w:spacing w:beforeAutospacing="0" w:afterAutospacing="0"/>
        <w:jc w:val="both"/>
        <w:rPr>
          <w:bCs/>
          <w:color w:val="auto"/>
          <w:szCs w:val="24"/>
        </w:rPr>
      </w:pPr>
      <w:r>
        <w:rPr>
          <w:rFonts w:hint="eastAsia"/>
          <w:bCs/>
          <w:color w:val="auto"/>
          <w:szCs w:val="24"/>
        </w:rPr>
        <w:t>法律依据：</w:t>
      </w:r>
      <w:r>
        <w:rPr>
          <w:rFonts w:hint="eastAsia"/>
          <w:bCs/>
          <w:color w:val="auto"/>
          <w:szCs w:val="24"/>
          <w:u w:val="single"/>
        </w:rPr>
        <w:t xml:space="preserve">                                          </w:t>
      </w:r>
    </w:p>
    <w:p w14:paraId="1A3EB70F">
      <w:pPr>
        <w:pStyle w:val="36"/>
        <w:spacing w:beforeAutospacing="0" w:afterAutospacing="0"/>
        <w:jc w:val="both"/>
        <w:rPr>
          <w:bCs/>
          <w:color w:val="auto"/>
          <w:szCs w:val="24"/>
        </w:rPr>
      </w:pPr>
      <w:r>
        <w:rPr>
          <w:rFonts w:hint="eastAsia"/>
          <w:bCs/>
          <w:color w:val="auto"/>
          <w:szCs w:val="24"/>
        </w:rPr>
        <w:t>质疑事项2</w:t>
      </w:r>
    </w:p>
    <w:p w14:paraId="494D4F54">
      <w:pPr>
        <w:pStyle w:val="36"/>
        <w:spacing w:beforeAutospacing="0" w:afterAutospacing="0"/>
        <w:jc w:val="both"/>
        <w:rPr>
          <w:bCs/>
          <w:color w:val="auto"/>
          <w:szCs w:val="24"/>
        </w:rPr>
      </w:pPr>
      <w:r>
        <w:rPr>
          <w:rFonts w:hint="eastAsia"/>
          <w:bCs/>
          <w:color w:val="auto"/>
          <w:szCs w:val="24"/>
        </w:rPr>
        <w:t>……</w:t>
      </w:r>
    </w:p>
    <w:p w14:paraId="73FB5A2D">
      <w:pPr>
        <w:pStyle w:val="36"/>
        <w:spacing w:beforeAutospacing="0" w:afterAutospacing="0"/>
        <w:jc w:val="both"/>
        <w:rPr>
          <w:bCs/>
          <w:color w:val="auto"/>
          <w:szCs w:val="24"/>
        </w:rPr>
      </w:pPr>
      <w:r>
        <w:rPr>
          <w:rFonts w:hint="eastAsia"/>
          <w:bCs/>
          <w:color w:val="auto"/>
          <w:szCs w:val="24"/>
        </w:rPr>
        <w:t>四、与质疑事项相关的质疑请求</w:t>
      </w:r>
    </w:p>
    <w:p w14:paraId="36070E07">
      <w:pPr>
        <w:pStyle w:val="36"/>
        <w:spacing w:beforeAutospacing="0" w:afterAutospacing="0"/>
        <w:jc w:val="both"/>
        <w:rPr>
          <w:bCs/>
          <w:color w:val="auto"/>
          <w:szCs w:val="24"/>
        </w:rPr>
      </w:pPr>
      <w:r>
        <w:rPr>
          <w:rFonts w:hint="eastAsia"/>
          <w:bCs/>
          <w:color w:val="auto"/>
          <w:szCs w:val="24"/>
        </w:rPr>
        <w:t>请求：</w:t>
      </w:r>
      <w:r>
        <w:rPr>
          <w:rFonts w:hint="eastAsia"/>
          <w:bCs/>
          <w:color w:val="auto"/>
          <w:szCs w:val="24"/>
          <w:u w:val="single"/>
        </w:rPr>
        <w:t xml:space="preserve">                                               </w:t>
      </w:r>
    </w:p>
    <w:p w14:paraId="72730CE3">
      <w:pPr>
        <w:pStyle w:val="36"/>
        <w:spacing w:beforeAutospacing="0" w:afterAutospacing="0"/>
        <w:jc w:val="both"/>
        <w:rPr>
          <w:bCs/>
          <w:color w:val="auto"/>
          <w:szCs w:val="24"/>
        </w:rPr>
      </w:pPr>
      <w:r>
        <w:rPr>
          <w:rFonts w:hint="eastAsia"/>
          <w:bCs/>
          <w:color w:val="auto"/>
          <w:szCs w:val="24"/>
        </w:rPr>
        <w:t xml:space="preserve">签字(签章)：                 公章：               日期：    </w:t>
      </w:r>
    </w:p>
    <w:p w14:paraId="3B1F126B">
      <w:pPr>
        <w:pStyle w:val="36"/>
        <w:spacing w:beforeAutospacing="0" w:afterAutospacing="0"/>
        <w:jc w:val="both"/>
        <w:rPr>
          <w:bCs/>
          <w:color w:val="auto"/>
          <w:szCs w:val="24"/>
        </w:rPr>
      </w:pPr>
      <w:r>
        <w:rPr>
          <w:rFonts w:hint="eastAsia"/>
          <w:bCs/>
          <w:color w:val="auto"/>
          <w:szCs w:val="24"/>
        </w:rPr>
        <w:t>质疑函制作说明：</w:t>
      </w:r>
    </w:p>
    <w:p w14:paraId="5F5F34AF">
      <w:pPr>
        <w:pStyle w:val="36"/>
        <w:widowControl/>
        <w:spacing w:beforeAutospacing="0" w:afterAutospacing="0"/>
        <w:ind w:firstLine="480"/>
        <w:rPr>
          <w:bCs/>
          <w:color w:val="auto"/>
          <w:szCs w:val="24"/>
        </w:rPr>
      </w:pPr>
      <w:r>
        <w:rPr>
          <w:rFonts w:hint="eastAsia"/>
          <w:bCs/>
          <w:color w:val="auto"/>
          <w:szCs w:val="24"/>
        </w:rPr>
        <w:t>1.供应商提出质疑时，应提交质疑函和必要的证明材料。</w:t>
      </w:r>
    </w:p>
    <w:p w14:paraId="02F0D1D0">
      <w:pPr>
        <w:pStyle w:val="36"/>
        <w:widowControl/>
        <w:spacing w:beforeAutospacing="0" w:afterAutospacing="0"/>
        <w:ind w:firstLine="480"/>
        <w:rPr>
          <w:bCs/>
          <w:color w:val="auto"/>
          <w:szCs w:val="24"/>
        </w:rPr>
      </w:pPr>
      <w:r>
        <w:rPr>
          <w:rFonts w:hint="eastAsia"/>
          <w:bCs/>
          <w:color w:val="auto"/>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C77F142">
      <w:pPr>
        <w:pStyle w:val="36"/>
        <w:widowControl/>
        <w:spacing w:beforeAutospacing="0" w:afterAutospacing="0"/>
        <w:ind w:firstLine="480"/>
        <w:rPr>
          <w:bCs/>
          <w:color w:val="auto"/>
          <w:szCs w:val="24"/>
        </w:rPr>
      </w:pPr>
      <w:r>
        <w:rPr>
          <w:rFonts w:hint="eastAsia"/>
          <w:bCs/>
          <w:color w:val="auto"/>
          <w:szCs w:val="24"/>
        </w:rPr>
        <w:t>3.质疑供应商若对项目的某一分包进行质疑，质疑函中应列明具体分包号。</w:t>
      </w:r>
    </w:p>
    <w:p w14:paraId="3365791F">
      <w:pPr>
        <w:pStyle w:val="36"/>
        <w:widowControl/>
        <w:spacing w:beforeAutospacing="0" w:afterAutospacing="0"/>
        <w:ind w:firstLine="480"/>
        <w:rPr>
          <w:bCs/>
          <w:color w:val="auto"/>
          <w:szCs w:val="24"/>
        </w:rPr>
      </w:pPr>
      <w:r>
        <w:rPr>
          <w:rFonts w:hint="eastAsia"/>
          <w:bCs/>
          <w:color w:val="auto"/>
          <w:szCs w:val="24"/>
        </w:rPr>
        <w:t>4.质疑函的质疑事项应具体、明确，并有必要的事实依据和法律依据。</w:t>
      </w:r>
    </w:p>
    <w:p w14:paraId="1088C4CA">
      <w:pPr>
        <w:pStyle w:val="36"/>
        <w:widowControl/>
        <w:spacing w:beforeAutospacing="0" w:afterAutospacing="0"/>
        <w:ind w:firstLine="480"/>
        <w:rPr>
          <w:bCs/>
          <w:color w:val="auto"/>
          <w:szCs w:val="24"/>
        </w:rPr>
      </w:pPr>
      <w:r>
        <w:rPr>
          <w:rFonts w:hint="eastAsia"/>
          <w:bCs/>
          <w:color w:val="auto"/>
          <w:szCs w:val="24"/>
        </w:rPr>
        <w:t>5.质疑函的质疑请求应与质疑事项相关。</w:t>
      </w:r>
    </w:p>
    <w:p w14:paraId="42E9AB20">
      <w:pPr>
        <w:pStyle w:val="36"/>
        <w:widowControl/>
        <w:spacing w:beforeAutospacing="0" w:afterAutospacing="0"/>
        <w:ind w:firstLine="480"/>
        <w:rPr>
          <w:bCs/>
          <w:color w:val="auto"/>
          <w:szCs w:val="24"/>
        </w:rPr>
      </w:pPr>
      <w:r>
        <w:rPr>
          <w:rFonts w:hint="eastAsia"/>
          <w:bCs/>
          <w:color w:val="auto"/>
          <w:szCs w:val="24"/>
        </w:rPr>
        <w:t>6.质疑供应商为自然人的，质疑函应由本人签字；质疑供应商为法人或者其他组织的，质疑函应由法定代表人、主要负责人，或者其授权代表签字或者盖章，并加盖公章。</w:t>
      </w:r>
    </w:p>
    <w:p w14:paraId="5232DF47">
      <w:pPr>
        <w:pStyle w:val="36"/>
        <w:spacing w:beforeAutospacing="0" w:afterAutospacing="0"/>
        <w:rPr>
          <w:color w:val="auto"/>
          <w:szCs w:val="28"/>
        </w:rPr>
      </w:pPr>
    </w:p>
    <w:sectPr>
      <w:headerReference r:id="rId3" w:type="default"/>
      <w:footerReference r:id="rId4" w:type="default"/>
      <w:pgSz w:w="11907" w:h="16840"/>
      <w:pgMar w:top="1417" w:right="1134" w:bottom="1417" w:left="1134" w:header="624"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6A0B77B-C7C2-48B0-86D8-15C9BA5FC3A2}"/>
  </w:font>
  <w:font w:name="黑体">
    <w:panose1 w:val="02010609060101010101"/>
    <w:charset w:val="86"/>
    <w:family w:val="auto"/>
    <w:pitch w:val="default"/>
    <w:sig w:usb0="800002BF" w:usb1="38CF7CFA" w:usb2="00000016" w:usb3="00000000" w:csb0="00040001" w:csb1="00000000"/>
    <w:embedRegular r:id="rId2" w:fontKey="{214DBB47-082A-4CD5-A55C-74479AC78BE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6723ED60-C328-4C77-9442-42B547740BDF}"/>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embedRegular r:id="rId4" w:fontKey="{995B3F8A-49FB-414E-ADA3-72FBCA0747C5}"/>
  </w:font>
  <w:font w:name="仿宋">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Showcard Gothic">
    <w:panose1 w:val="04020904020102020604"/>
    <w:charset w:val="00"/>
    <w:family w:val="decorative"/>
    <w:pitch w:val="default"/>
    <w:sig w:usb0="00000003" w:usb1="00000000" w:usb2="00000000" w:usb3="00000000" w:csb0="20000001" w:csb1="00000000"/>
    <w:embedRegular r:id="rId5" w:fontKey="{695F2961-5DC9-4E0A-9A36-F7B8901B1FAE}"/>
  </w:font>
  <w:font w:name="??_GB2312">
    <w:altName w:val="Calibri"/>
    <w:panose1 w:val="00000000000000000000"/>
    <w:charset w:val="00"/>
    <w:family w:val="auto"/>
    <w:pitch w:val="default"/>
    <w:sig w:usb0="00000000" w:usb1="00000000" w:usb2="00000000" w:usb3="00000000" w:csb0="00000000" w:csb1="00000000"/>
    <w:embedRegular r:id="rId6" w:fontKey="{29FFEEAE-B675-4AF6-A719-6E92C268530A}"/>
  </w:font>
  <w:font w:name="方正仿宋_GB2312">
    <w:panose1 w:val="02000000000000000000"/>
    <w:charset w:val="86"/>
    <w:family w:val="auto"/>
    <w:pitch w:val="default"/>
    <w:sig w:usb0="A00002BF" w:usb1="184F6CFA" w:usb2="00000012" w:usb3="00000000" w:csb0="00040001" w:csb1="00000000"/>
    <w:embedRegular r:id="rId7" w:fontKey="{BE0A4573-FFBD-41A4-8A3F-3F540AEFF74E}"/>
  </w:font>
  <w:font w:name="Segoe UI">
    <w:panose1 w:val="020B0502040204020203"/>
    <w:charset w:val="00"/>
    <w:family w:val="auto"/>
    <w:pitch w:val="default"/>
    <w:sig w:usb0="E4002EFF" w:usb1="C000E47F" w:usb2="00000009" w:usb3="00000000" w:csb0="200001FF" w:csb1="00000000"/>
    <w:embedRegular r:id="rId8" w:fontKey="{73D245EE-0627-49B7-9977-A94627897064}"/>
  </w:font>
  <w:font w:name="新宋体">
    <w:panose1 w:val="02010609030101010101"/>
    <w:charset w:val="86"/>
    <w:family w:val="auto"/>
    <w:pitch w:val="default"/>
    <w:sig w:usb0="00000203" w:usb1="288F0000" w:usb2="00000006" w:usb3="00000000" w:csb0="00040001" w:csb1="00000000"/>
    <w:embedRegular r:id="rId9" w:fontKey="{393C9520-5B57-4996-B23B-351473F3B1E7}"/>
  </w:font>
  <w:font w:name="WPSEMBED2">
    <w:panose1 w:val="02000000000000000000"/>
    <w:charset w:val="86"/>
    <w:family w:val="auto"/>
    <w:pitch w:val="default"/>
    <w:sig w:usb0="A00002BF" w:usb1="184F6CFA" w:usb2="00000012" w:usb3="00000000" w:csb0="00040001" w:csb1="00000000"/>
  </w:font>
  <w:font w:name="WPSEMBED1">
    <w:panose1 w:val="04020904020102020604"/>
    <w:charset w:val="00"/>
    <w:family w:val="auto"/>
    <w:pitch w:val="default"/>
    <w:sig w:usb0="00000003" w:usb1="00000000" w:usb2="00000000" w:usb3="00000000" w:csb0="20000001" w:csb1="00000000"/>
  </w:font>
  <w:font w:name="Arial">
    <w:panose1 w:val="020B0604020202020204"/>
    <w:charset w:val="00"/>
    <w:family w:val="auto"/>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196A0">
    <w:pPr>
      <w:pStyle w:val="26"/>
      <w:jc w:val="center"/>
    </w:pPr>
    <w:r>
      <w:fldChar w:fldCharType="begin"/>
    </w:r>
    <w:r>
      <w:instrText xml:space="preserve">PAGE \* MERGEFORMAT</w:instrText>
    </w:r>
    <w:r>
      <w:fldChar w:fldCharType="separate"/>
    </w:r>
    <w:r>
      <w:t>58</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1774DC">
    <w:pPr>
      <w:pStyle w:val="27"/>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58F8FC"/>
    <w:multiLevelType w:val="singleLevel"/>
    <w:tmpl w:val="8F58F8FC"/>
    <w:lvl w:ilvl="0" w:tentative="0">
      <w:start w:val="7"/>
      <w:numFmt w:val="decimal"/>
      <w:lvlText w:val="%1."/>
      <w:lvlJc w:val="left"/>
      <w:pPr>
        <w:tabs>
          <w:tab w:val="left" w:pos="312"/>
        </w:tabs>
      </w:pPr>
    </w:lvl>
  </w:abstractNum>
  <w:abstractNum w:abstractNumId="1">
    <w:nsid w:val="93F90415"/>
    <w:multiLevelType w:val="singleLevel"/>
    <w:tmpl w:val="93F90415"/>
    <w:lvl w:ilvl="0" w:tentative="0">
      <w:start w:val="1"/>
      <w:numFmt w:val="decimal"/>
      <w:lvlText w:val="%1."/>
      <w:lvlJc w:val="left"/>
      <w:pPr>
        <w:tabs>
          <w:tab w:val="left" w:pos="312"/>
        </w:tabs>
      </w:pPr>
    </w:lvl>
  </w:abstractNum>
  <w:abstractNum w:abstractNumId="2">
    <w:nsid w:val="9CBF931E"/>
    <w:multiLevelType w:val="singleLevel"/>
    <w:tmpl w:val="9CBF931E"/>
    <w:lvl w:ilvl="0" w:tentative="0">
      <w:start w:val="1"/>
      <w:numFmt w:val="decimal"/>
      <w:lvlText w:val="%1."/>
      <w:lvlJc w:val="left"/>
      <w:pPr>
        <w:tabs>
          <w:tab w:val="left" w:pos="312"/>
        </w:tabs>
      </w:pPr>
    </w:lvl>
  </w:abstractNum>
  <w:abstractNum w:abstractNumId="3">
    <w:nsid w:val="A923C6B8"/>
    <w:multiLevelType w:val="singleLevel"/>
    <w:tmpl w:val="A923C6B8"/>
    <w:lvl w:ilvl="0" w:tentative="0">
      <w:start w:val="2"/>
      <w:numFmt w:val="decimal"/>
      <w:lvlText w:val="%1."/>
      <w:lvlJc w:val="left"/>
      <w:pPr>
        <w:tabs>
          <w:tab w:val="left" w:pos="312"/>
        </w:tabs>
      </w:pPr>
    </w:lvl>
  </w:abstractNum>
  <w:abstractNum w:abstractNumId="4">
    <w:nsid w:val="CF092B84"/>
    <w:multiLevelType w:val="multilevel"/>
    <w:tmpl w:val="CF092B84"/>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4EF01FDA"/>
    <w:multiLevelType w:val="singleLevel"/>
    <w:tmpl w:val="4EF01FDA"/>
    <w:lvl w:ilvl="0" w:tentative="0">
      <w:start w:val="1"/>
      <w:numFmt w:val="decimal"/>
      <w:lvlText w:val="%1."/>
      <w:lvlJc w:val="left"/>
      <w:pPr>
        <w:tabs>
          <w:tab w:val="left" w:pos="312"/>
        </w:tabs>
      </w:pPr>
    </w:lvl>
  </w:abstractNum>
  <w:num w:numId="1">
    <w:abstractNumId w:val="0"/>
  </w:num>
  <w:num w:numId="2">
    <w:abstractNumId w:val="3"/>
  </w:num>
  <w:num w:numId="3">
    <w:abstractNumId w:val="2"/>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Y2ZjdiNzI2MDE5MzhkMzczYjNmODJjODg2ZDUxZDMifQ=="/>
  </w:docVars>
  <w:rsids>
    <w:rsidRoot w:val="008B5ED0"/>
    <w:rsid w:val="00030885"/>
    <w:rsid w:val="00053450"/>
    <w:rsid w:val="000540FB"/>
    <w:rsid w:val="00057A56"/>
    <w:rsid w:val="00083C9B"/>
    <w:rsid w:val="00095CBB"/>
    <w:rsid w:val="001038C1"/>
    <w:rsid w:val="002324BF"/>
    <w:rsid w:val="0024235D"/>
    <w:rsid w:val="00264453"/>
    <w:rsid w:val="00270131"/>
    <w:rsid w:val="00271E37"/>
    <w:rsid w:val="002A1B59"/>
    <w:rsid w:val="002A21CD"/>
    <w:rsid w:val="002A58DB"/>
    <w:rsid w:val="002C4DEA"/>
    <w:rsid w:val="002D608F"/>
    <w:rsid w:val="002E3F15"/>
    <w:rsid w:val="003F57FA"/>
    <w:rsid w:val="00435C9C"/>
    <w:rsid w:val="00462CD5"/>
    <w:rsid w:val="00497B31"/>
    <w:rsid w:val="004A2978"/>
    <w:rsid w:val="00523781"/>
    <w:rsid w:val="00545931"/>
    <w:rsid w:val="005459E5"/>
    <w:rsid w:val="00557736"/>
    <w:rsid w:val="00574EEE"/>
    <w:rsid w:val="0058547A"/>
    <w:rsid w:val="005D2854"/>
    <w:rsid w:val="005D4B16"/>
    <w:rsid w:val="006903F7"/>
    <w:rsid w:val="006A02D6"/>
    <w:rsid w:val="006E25CC"/>
    <w:rsid w:val="006F02E0"/>
    <w:rsid w:val="00705B10"/>
    <w:rsid w:val="00724D87"/>
    <w:rsid w:val="00737AAB"/>
    <w:rsid w:val="00787613"/>
    <w:rsid w:val="007B7D1A"/>
    <w:rsid w:val="00816543"/>
    <w:rsid w:val="008B5ED0"/>
    <w:rsid w:val="008C13D3"/>
    <w:rsid w:val="008D6353"/>
    <w:rsid w:val="00911F46"/>
    <w:rsid w:val="009132C8"/>
    <w:rsid w:val="009546A9"/>
    <w:rsid w:val="00964134"/>
    <w:rsid w:val="009A18DA"/>
    <w:rsid w:val="009B5DCE"/>
    <w:rsid w:val="009E57B2"/>
    <w:rsid w:val="00A04F8C"/>
    <w:rsid w:val="00A05E64"/>
    <w:rsid w:val="00A101C7"/>
    <w:rsid w:val="00AA4F1D"/>
    <w:rsid w:val="00AC6E11"/>
    <w:rsid w:val="00B02648"/>
    <w:rsid w:val="00B54D30"/>
    <w:rsid w:val="00BD0001"/>
    <w:rsid w:val="00BD7576"/>
    <w:rsid w:val="00C413FC"/>
    <w:rsid w:val="00C67DD3"/>
    <w:rsid w:val="00C87D71"/>
    <w:rsid w:val="00CE7F0C"/>
    <w:rsid w:val="00D63F1C"/>
    <w:rsid w:val="00D71165"/>
    <w:rsid w:val="00E07D78"/>
    <w:rsid w:val="00E36D03"/>
    <w:rsid w:val="00E4349E"/>
    <w:rsid w:val="00E52755"/>
    <w:rsid w:val="00E97B99"/>
    <w:rsid w:val="00F34D9D"/>
    <w:rsid w:val="00F37C58"/>
    <w:rsid w:val="00F40C69"/>
    <w:rsid w:val="00F67D85"/>
    <w:rsid w:val="00F86A1F"/>
    <w:rsid w:val="00F87C68"/>
    <w:rsid w:val="01017684"/>
    <w:rsid w:val="01243010"/>
    <w:rsid w:val="01984674"/>
    <w:rsid w:val="01D90A31"/>
    <w:rsid w:val="01E43D4C"/>
    <w:rsid w:val="01F40F97"/>
    <w:rsid w:val="02D2092F"/>
    <w:rsid w:val="03015719"/>
    <w:rsid w:val="03261624"/>
    <w:rsid w:val="038A15DD"/>
    <w:rsid w:val="03942A31"/>
    <w:rsid w:val="0398052A"/>
    <w:rsid w:val="0433224A"/>
    <w:rsid w:val="04897784"/>
    <w:rsid w:val="048B7365"/>
    <w:rsid w:val="04EE2BE6"/>
    <w:rsid w:val="05031314"/>
    <w:rsid w:val="05B272AB"/>
    <w:rsid w:val="05F22506"/>
    <w:rsid w:val="060A1391"/>
    <w:rsid w:val="072D2F81"/>
    <w:rsid w:val="072E3F82"/>
    <w:rsid w:val="073562D9"/>
    <w:rsid w:val="079C3C62"/>
    <w:rsid w:val="07DF1471"/>
    <w:rsid w:val="07F10452"/>
    <w:rsid w:val="07F65A68"/>
    <w:rsid w:val="07FB495C"/>
    <w:rsid w:val="080B5266"/>
    <w:rsid w:val="082F4DFB"/>
    <w:rsid w:val="08A13C26"/>
    <w:rsid w:val="08A22B86"/>
    <w:rsid w:val="08C85FE2"/>
    <w:rsid w:val="08DD09D6"/>
    <w:rsid w:val="091F0FEF"/>
    <w:rsid w:val="09273A00"/>
    <w:rsid w:val="093920B1"/>
    <w:rsid w:val="09475E50"/>
    <w:rsid w:val="097838EE"/>
    <w:rsid w:val="09DE4A06"/>
    <w:rsid w:val="0A2328C0"/>
    <w:rsid w:val="0A2A37A7"/>
    <w:rsid w:val="0A2E2B51"/>
    <w:rsid w:val="0A3333CA"/>
    <w:rsid w:val="0A3463D4"/>
    <w:rsid w:val="0A4E393A"/>
    <w:rsid w:val="0B041E04"/>
    <w:rsid w:val="0B5C6598"/>
    <w:rsid w:val="0B835849"/>
    <w:rsid w:val="0B887146"/>
    <w:rsid w:val="0BC71D68"/>
    <w:rsid w:val="0BDB6711"/>
    <w:rsid w:val="0BE22CBD"/>
    <w:rsid w:val="0C680733"/>
    <w:rsid w:val="0C7D1E62"/>
    <w:rsid w:val="0C9E18F3"/>
    <w:rsid w:val="0CAC7F34"/>
    <w:rsid w:val="0CD40BFC"/>
    <w:rsid w:val="0CF473FD"/>
    <w:rsid w:val="0D0C594D"/>
    <w:rsid w:val="0D632650"/>
    <w:rsid w:val="0D6E7E4F"/>
    <w:rsid w:val="0D93469F"/>
    <w:rsid w:val="0DC112DF"/>
    <w:rsid w:val="0E0D58BA"/>
    <w:rsid w:val="0E7B6CC7"/>
    <w:rsid w:val="0EA0672E"/>
    <w:rsid w:val="0F2D78F4"/>
    <w:rsid w:val="0F4E113C"/>
    <w:rsid w:val="0F5512C6"/>
    <w:rsid w:val="0FD50659"/>
    <w:rsid w:val="0FEF4EA2"/>
    <w:rsid w:val="10053F70"/>
    <w:rsid w:val="10190546"/>
    <w:rsid w:val="108D616D"/>
    <w:rsid w:val="10A83678"/>
    <w:rsid w:val="10B97124"/>
    <w:rsid w:val="11032FA4"/>
    <w:rsid w:val="112213EB"/>
    <w:rsid w:val="112453F4"/>
    <w:rsid w:val="1182036D"/>
    <w:rsid w:val="118B03B5"/>
    <w:rsid w:val="119376AB"/>
    <w:rsid w:val="1214532B"/>
    <w:rsid w:val="12574968"/>
    <w:rsid w:val="1267481B"/>
    <w:rsid w:val="12A12A75"/>
    <w:rsid w:val="12D86FED"/>
    <w:rsid w:val="132A2A6A"/>
    <w:rsid w:val="133D505C"/>
    <w:rsid w:val="13477178"/>
    <w:rsid w:val="13545211"/>
    <w:rsid w:val="13DF2611"/>
    <w:rsid w:val="14861F22"/>
    <w:rsid w:val="149A3486"/>
    <w:rsid w:val="15262936"/>
    <w:rsid w:val="155B515D"/>
    <w:rsid w:val="15967D82"/>
    <w:rsid w:val="15A66536"/>
    <w:rsid w:val="15D66ED9"/>
    <w:rsid w:val="166D15EC"/>
    <w:rsid w:val="16840938"/>
    <w:rsid w:val="16915513"/>
    <w:rsid w:val="169C00D2"/>
    <w:rsid w:val="16B630D7"/>
    <w:rsid w:val="16BF1894"/>
    <w:rsid w:val="16C0247A"/>
    <w:rsid w:val="16F749D7"/>
    <w:rsid w:val="17042AF2"/>
    <w:rsid w:val="17361D17"/>
    <w:rsid w:val="174C02C5"/>
    <w:rsid w:val="174D4F79"/>
    <w:rsid w:val="175B7405"/>
    <w:rsid w:val="175C4FC4"/>
    <w:rsid w:val="17681DB3"/>
    <w:rsid w:val="177469AA"/>
    <w:rsid w:val="17A10E21"/>
    <w:rsid w:val="17CE3599"/>
    <w:rsid w:val="17DA4A5F"/>
    <w:rsid w:val="185145F5"/>
    <w:rsid w:val="18BF18C0"/>
    <w:rsid w:val="18CE20EA"/>
    <w:rsid w:val="18E92A80"/>
    <w:rsid w:val="19017DC9"/>
    <w:rsid w:val="193E2009"/>
    <w:rsid w:val="195660DD"/>
    <w:rsid w:val="19A76BC3"/>
    <w:rsid w:val="19AB0053"/>
    <w:rsid w:val="19D62976"/>
    <w:rsid w:val="1A0D279E"/>
    <w:rsid w:val="1A1C7C33"/>
    <w:rsid w:val="1A2429C0"/>
    <w:rsid w:val="1A630051"/>
    <w:rsid w:val="1A807414"/>
    <w:rsid w:val="1AAB26E2"/>
    <w:rsid w:val="1ABD5F72"/>
    <w:rsid w:val="1ACD3AA2"/>
    <w:rsid w:val="1B0B3181"/>
    <w:rsid w:val="1B3850B8"/>
    <w:rsid w:val="1BCB6DE7"/>
    <w:rsid w:val="1C8B5805"/>
    <w:rsid w:val="1CCB3D5D"/>
    <w:rsid w:val="1CF3211F"/>
    <w:rsid w:val="1D3E06A6"/>
    <w:rsid w:val="1D532D4E"/>
    <w:rsid w:val="1D5E0055"/>
    <w:rsid w:val="1D6D3C7F"/>
    <w:rsid w:val="1D7E7C3A"/>
    <w:rsid w:val="1D875442"/>
    <w:rsid w:val="1D921938"/>
    <w:rsid w:val="1DC046F7"/>
    <w:rsid w:val="1DCD1F90"/>
    <w:rsid w:val="1DCF0496"/>
    <w:rsid w:val="1DDB218A"/>
    <w:rsid w:val="1E214A6A"/>
    <w:rsid w:val="1E2D1297"/>
    <w:rsid w:val="1E686439"/>
    <w:rsid w:val="1E85324A"/>
    <w:rsid w:val="1EA11359"/>
    <w:rsid w:val="1ED61CF8"/>
    <w:rsid w:val="1EE12B77"/>
    <w:rsid w:val="1F0510A2"/>
    <w:rsid w:val="1F301408"/>
    <w:rsid w:val="1F8D5151"/>
    <w:rsid w:val="1F933745"/>
    <w:rsid w:val="1FCA53B9"/>
    <w:rsid w:val="20012DA5"/>
    <w:rsid w:val="204333BD"/>
    <w:rsid w:val="204A043C"/>
    <w:rsid w:val="20855784"/>
    <w:rsid w:val="20CA6689"/>
    <w:rsid w:val="21373C74"/>
    <w:rsid w:val="21467492"/>
    <w:rsid w:val="21501B0F"/>
    <w:rsid w:val="216B3C80"/>
    <w:rsid w:val="216F5141"/>
    <w:rsid w:val="21780E46"/>
    <w:rsid w:val="220152DE"/>
    <w:rsid w:val="22274D44"/>
    <w:rsid w:val="22631AF5"/>
    <w:rsid w:val="22B938D5"/>
    <w:rsid w:val="22FB3ADB"/>
    <w:rsid w:val="23046BA3"/>
    <w:rsid w:val="232A43C0"/>
    <w:rsid w:val="233314C7"/>
    <w:rsid w:val="23387BB5"/>
    <w:rsid w:val="23AE63BE"/>
    <w:rsid w:val="23DD070E"/>
    <w:rsid w:val="24125580"/>
    <w:rsid w:val="242D23BA"/>
    <w:rsid w:val="24D159B0"/>
    <w:rsid w:val="24ED38F7"/>
    <w:rsid w:val="24EE18B8"/>
    <w:rsid w:val="24F5112A"/>
    <w:rsid w:val="256040C9"/>
    <w:rsid w:val="257A162F"/>
    <w:rsid w:val="257E5196"/>
    <w:rsid w:val="259F4BF2"/>
    <w:rsid w:val="26265B98"/>
    <w:rsid w:val="267972B5"/>
    <w:rsid w:val="27271343"/>
    <w:rsid w:val="274719E5"/>
    <w:rsid w:val="27E15995"/>
    <w:rsid w:val="27F003EA"/>
    <w:rsid w:val="27F00971"/>
    <w:rsid w:val="27F86F6A"/>
    <w:rsid w:val="280D19AC"/>
    <w:rsid w:val="28830C9F"/>
    <w:rsid w:val="28A864B3"/>
    <w:rsid w:val="28B62441"/>
    <w:rsid w:val="28DA4193"/>
    <w:rsid w:val="292F00A1"/>
    <w:rsid w:val="293C43A6"/>
    <w:rsid w:val="29AC595C"/>
    <w:rsid w:val="29CF427A"/>
    <w:rsid w:val="2A4B17EC"/>
    <w:rsid w:val="2A585E69"/>
    <w:rsid w:val="2A5A558B"/>
    <w:rsid w:val="2A8B3997"/>
    <w:rsid w:val="2AB9700E"/>
    <w:rsid w:val="2AEE166A"/>
    <w:rsid w:val="2B3E1A6E"/>
    <w:rsid w:val="2B405016"/>
    <w:rsid w:val="2B9B22FF"/>
    <w:rsid w:val="2BA6116A"/>
    <w:rsid w:val="2BB138D1"/>
    <w:rsid w:val="2BB70186"/>
    <w:rsid w:val="2C4209CD"/>
    <w:rsid w:val="2C6203A4"/>
    <w:rsid w:val="2CD352BC"/>
    <w:rsid w:val="2CF33A75"/>
    <w:rsid w:val="2CF77A09"/>
    <w:rsid w:val="2D0007E1"/>
    <w:rsid w:val="2D3B78F6"/>
    <w:rsid w:val="2D6D4BB7"/>
    <w:rsid w:val="2D8B5FDC"/>
    <w:rsid w:val="2D984D48"/>
    <w:rsid w:val="2E2E05C8"/>
    <w:rsid w:val="2E7D5782"/>
    <w:rsid w:val="2EE338FA"/>
    <w:rsid w:val="2EE45BBD"/>
    <w:rsid w:val="2EFA10EB"/>
    <w:rsid w:val="2F175463"/>
    <w:rsid w:val="2F2A30B8"/>
    <w:rsid w:val="2F5D5FC3"/>
    <w:rsid w:val="2FA42A1A"/>
    <w:rsid w:val="2FCC6F2B"/>
    <w:rsid w:val="3017590C"/>
    <w:rsid w:val="304C5D97"/>
    <w:rsid w:val="30914983"/>
    <w:rsid w:val="30E71C6F"/>
    <w:rsid w:val="30FC114A"/>
    <w:rsid w:val="311F4517"/>
    <w:rsid w:val="31615451"/>
    <w:rsid w:val="319B4735"/>
    <w:rsid w:val="31A3716B"/>
    <w:rsid w:val="31DD5420"/>
    <w:rsid w:val="31FD7870"/>
    <w:rsid w:val="32867865"/>
    <w:rsid w:val="330A32A9"/>
    <w:rsid w:val="33386686"/>
    <w:rsid w:val="338B2C59"/>
    <w:rsid w:val="338D6821"/>
    <w:rsid w:val="33B45D0C"/>
    <w:rsid w:val="33C10429"/>
    <w:rsid w:val="33C868BD"/>
    <w:rsid w:val="33D17B6B"/>
    <w:rsid w:val="33F838A1"/>
    <w:rsid w:val="340E3122"/>
    <w:rsid w:val="34644980"/>
    <w:rsid w:val="347029D5"/>
    <w:rsid w:val="34832F99"/>
    <w:rsid w:val="34993154"/>
    <w:rsid w:val="34E818FC"/>
    <w:rsid w:val="34FD1935"/>
    <w:rsid w:val="350031D3"/>
    <w:rsid w:val="350A469D"/>
    <w:rsid w:val="351B63C7"/>
    <w:rsid w:val="358F1678"/>
    <w:rsid w:val="36064819"/>
    <w:rsid w:val="368816D2"/>
    <w:rsid w:val="368D6CE8"/>
    <w:rsid w:val="36925D8F"/>
    <w:rsid w:val="36943271"/>
    <w:rsid w:val="369F792A"/>
    <w:rsid w:val="36B933F4"/>
    <w:rsid w:val="36DF7544"/>
    <w:rsid w:val="36E94DEA"/>
    <w:rsid w:val="371B1F99"/>
    <w:rsid w:val="37405B09"/>
    <w:rsid w:val="37667C65"/>
    <w:rsid w:val="37686F44"/>
    <w:rsid w:val="378123A9"/>
    <w:rsid w:val="37C92C71"/>
    <w:rsid w:val="38091EFE"/>
    <w:rsid w:val="382F62A9"/>
    <w:rsid w:val="383B2EA0"/>
    <w:rsid w:val="388705AE"/>
    <w:rsid w:val="393D67A4"/>
    <w:rsid w:val="39447B32"/>
    <w:rsid w:val="39B3141A"/>
    <w:rsid w:val="39FE1DE4"/>
    <w:rsid w:val="3A341844"/>
    <w:rsid w:val="3A7406F9"/>
    <w:rsid w:val="3AD62A0C"/>
    <w:rsid w:val="3AD84DE2"/>
    <w:rsid w:val="3AD9074E"/>
    <w:rsid w:val="3AEE5EC4"/>
    <w:rsid w:val="3B077069"/>
    <w:rsid w:val="3B1D063B"/>
    <w:rsid w:val="3B1D3B63"/>
    <w:rsid w:val="3B4B223E"/>
    <w:rsid w:val="3BA649A6"/>
    <w:rsid w:val="3BBD597A"/>
    <w:rsid w:val="3C057B44"/>
    <w:rsid w:val="3CDA4723"/>
    <w:rsid w:val="3CE533DA"/>
    <w:rsid w:val="3CF01B9D"/>
    <w:rsid w:val="3CFE6122"/>
    <w:rsid w:val="3D070DF4"/>
    <w:rsid w:val="3D45031D"/>
    <w:rsid w:val="3D734E8A"/>
    <w:rsid w:val="3DBB413B"/>
    <w:rsid w:val="3DE73182"/>
    <w:rsid w:val="3E0B3C91"/>
    <w:rsid w:val="3E496774"/>
    <w:rsid w:val="3E772188"/>
    <w:rsid w:val="3E780157"/>
    <w:rsid w:val="3EB95DE8"/>
    <w:rsid w:val="3EF45B57"/>
    <w:rsid w:val="3F0B3D01"/>
    <w:rsid w:val="3F5C7C20"/>
    <w:rsid w:val="3F731171"/>
    <w:rsid w:val="3F747702"/>
    <w:rsid w:val="3F837E8A"/>
    <w:rsid w:val="3F860FA8"/>
    <w:rsid w:val="3F9966FE"/>
    <w:rsid w:val="3FC44F3A"/>
    <w:rsid w:val="3FEA659C"/>
    <w:rsid w:val="400521FA"/>
    <w:rsid w:val="400E2C48"/>
    <w:rsid w:val="40582115"/>
    <w:rsid w:val="406A3401"/>
    <w:rsid w:val="410460C8"/>
    <w:rsid w:val="41412BA9"/>
    <w:rsid w:val="41AD0A62"/>
    <w:rsid w:val="41B17D2F"/>
    <w:rsid w:val="41F30347"/>
    <w:rsid w:val="420E05C6"/>
    <w:rsid w:val="42562684"/>
    <w:rsid w:val="428C60A6"/>
    <w:rsid w:val="42F22948"/>
    <w:rsid w:val="431214F8"/>
    <w:rsid w:val="43D441A9"/>
    <w:rsid w:val="43F749C4"/>
    <w:rsid w:val="443458DC"/>
    <w:rsid w:val="44511355"/>
    <w:rsid w:val="445A1BC4"/>
    <w:rsid w:val="4467710D"/>
    <w:rsid w:val="4484172B"/>
    <w:rsid w:val="449960B8"/>
    <w:rsid w:val="44B54A4B"/>
    <w:rsid w:val="44FA7C3F"/>
    <w:rsid w:val="44FF14E1"/>
    <w:rsid w:val="45296839"/>
    <w:rsid w:val="45321187"/>
    <w:rsid w:val="45683694"/>
    <w:rsid w:val="45806396"/>
    <w:rsid w:val="45E2495B"/>
    <w:rsid w:val="45E87A97"/>
    <w:rsid w:val="466D4392"/>
    <w:rsid w:val="468E6891"/>
    <w:rsid w:val="46D36915"/>
    <w:rsid w:val="46F96400"/>
    <w:rsid w:val="471E2D2A"/>
    <w:rsid w:val="473A4323"/>
    <w:rsid w:val="476C0D9E"/>
    <w:rsid w:val="478657BA"/>
    <w:rsid w:val="47FE35A2"/>
    <w:rsid w:val="48153DCF"/>
    <w:rsid w:val="482C6361"/>
    <w:rsid w:val="48A436F9"/>
    <w:rsid w:val="48E57BFE"/>
    <w:rsid w:val="48F86243"/>
    <w:rsid w:val="490925F1"/>
    <w:rsid w:val="490D538E"/>
    <w:rsid w:val="493B7D23"/>
    <w:rsid w:val="49534B12"/>
    <w:rsid w:val="497004D0"/>
    <w:rsid w:val="497C0AF3"/>
    <w:rsid w:val="49FE245B"/>
    <w:rsid w:val="4A405E4B"/>
    <w:rsid w:val="4A892082"/>
    <w:rsid w:val="4A8C758B"/>
    <w:rsid w:val="4AAE12AF"/>
    <w:rsid w:val="4AEE3DA2"/>
    <w:rsid w:val="4B311B7C"/>
    <w:rsid w:val="4B5E0F27"/>
    <w:rsid w:val="4B944949"/>
    <w:rsid w:val="4BFE6021"/>
    <w:rsid w:val="4C4855BC"/>
    <w:rsid w:val="4C4B73BC"/>
    <w:rsid w:val="4C516396"/>
    <w:rsid w:val="4C5F7EA0"/>
    <w:rsid w:val="4C8524E4"/>
    <w:rsid w:val="4C87625C"/>
    <w:rsid w:val="4C8A3F8B"/>
    <w:rsid w:val="4CB93F3C"/>
    <w:rsid w:val="4CBB5F06"/>
    <w:rsid w:val="4D2E492A"/>
    <w:rsid w:val="4D2F05E3"/>
    <w:rsid w:val="4D355CB8"/>
    <w:rsid w:val="4D5C75F7"/>
    <w:rsid w:val="4D810EFD"/>
    <w:rsid w:val="4DE649DE"/>
    <w:rsid w:val="4E2D29F8"/>
    <w:rsid w:val="4E37493D"/>
    <w:rsid w:val="4EE9296D"/>
    <w:rsid w:val="4F1B2C8C"/>
    <w:rsid w:val="4F4641AC"/>
    <w:rsid w:val="4FA106A7"/>
    <w:rsid w:val="4FA62E9D"/>
    <w:rsid w:val="4FB3551B"/>
    <w:rsid w:val="500100D3"/>
    <w:rsid w:val="50034D7C"/>
    <w:rsid w:val="504142A6"/>
    <w:rsid w:val="50E517A3"/>
    <w:rsid w:val="510F6820"/>
    <w:rsid w:val="51165E00"/>
    <w:rsid w:val="514E0864"/>
    <w:rsid w:val="51C17CDD"/>
    <w:rsid w:val="51E15F6C"/>
    <w:rsid w:val="522D51B0"/>
    <w:rsid w:val="522F3EEE"/>
    <w:rsid w:val="529A6EBA"/>
    <w:rsid w:val="52B05457"/>
    <w:rsid w:val="52D25D57"/>
    <w:rsid w:val="52FE4D9E"/>
    <w:rsid w:val="53285977"/>
    <w:rsid w:val="533D7EF0"/>
    <w:rsid w:val="533E7766"/>
    <w:rsid w:val="53567D35"/>
    <w:rsid w:val="535E7397"/>
    <w:rsid w:val="53A21BCD"/>
    <w:rsid w:val="53A70638"/>
    <w:rsid w:val="53E23258"/>
    <w:rsid w:val="53F86A2E"/>
    <w:rsid w:val="54212AF2"/>
    <w:rsid w:val="54440075"/>
    <w:rsid w:val="54640C31"/>
    <w:rsid w:val="54E679F5"/>
    <w:rsid w:val="54FE5506"/>
    <w:rsid w:val="556A7CE6"/>
    <w:rsid w:val="558570B1"/>
    <w:rsid w:val="55B81234"/>
    <w:rsid w:val="55D1679A"/>
    <w:rsid w:val="55D94ACD"/>
    <w:rsid w:val="5600024A"/>
    <w:rsid w:val="56274DDD"/>
    <w:rsid w:val="562E7748"/>
    <w:rsid w:val="56A97AC3"/>
    <w:rsid w:val="56DD7DEC"/>
    <w:rsid w:val="57415259"/>
    <w:rsid w:val="5756111B"/>
    <w:rsid w:val="576F4E36"/>
    <w:rsid w:val="57720C71"/>
    <w:rsid w:val="577E2F7A"/>
    <w:rsid w:val="57CC0FC7"/>
    <w:rsid w:val="5831380A"/>
    <w:rsid w:val="58D856E4"/>
    <w:rsid w:val="5943175D"/>
    <w:rsid w:val="5954396A"/>
    <w:rsid w:val="59E0440D"/>
    <w:rsid w:val="59E933C2"/>
    <w:rsid w:val="5A201A9E"/>
    <w:rsid w:val="5A2A6479"/>
    <w:rsid w:val="5A4B62F6"/>
    <w:rsid w:val="5A5A4FB0"/>
    <w:rsid w:val="5A711AA8"/>
    <w:rsid w:val="5A805D27"/>
    <w:rsid w:val="5AA77AC9"/>
    <w:rsid w:val="5B8F6EDB"/>
    <w:rsid w:val="5BFB1E7B"/>
    <w:rsid w:val="5C13301F"/>
    <w:rsid w:val="5C237A56"/>
    <w:rsid w:val="5CB02D53"/>
    <w:rsid w:val="5CB07109"/>
    <w:rsid w:val="5D1E0517"/>
    <w:rsid w:val="5D54115C"/>
    <w:rsid w:val="5D5E423B"/>
    <w:rsid w:val="5D740137"/>
    <w:rsid w:val="5D810AA5"/>
    <w:rsid w:val="5D816391"/>
    <w:rsid w:val="5DA14CA4"/>
    <w:rsid w:val="5DA706E2"/>
    <w:rsid w:val="5DB9023F"/>
    <w:rsid w:val="5E297CE1"/>
    <w:rsid w:val="5E8543D8"/>
    <w:rsid w:val="5EA334D8"/>
    <w:rsid w:val="5EBC2AA6"/>
    <w:rsid w:val="5ECF75EF"/>
    <w:rsid w:val="5ED15115"/>
    <w:rsid w:val="5ED71A4E"/>
    <w:rsid w:val="5EFB2716"/>
    <w:rsid w:val="5F13397F"/>
    <w:rsid w:val="5F3D4C6E"/>
    <w:rsid w:val="5FB33EFB"/>
    <w:rsid w:val="5FE07D05"/>
    <w:rsid w:val="5FF90DC7"/>
    <w:rsid w:val="603D6F06"/>
    <w:rsid w:val="60640012"/>
    <w:rsid w:val="6065020A"/>
    <w:rsid w:val="6085265B"/>
    <w:rsid w:val="60DD5FF3"/>
    <w:rsid w:val="61394111"/>
    <w:rsid w:val="61D50D7C"/>
    <w:rsid w:val="62483940"/>
    <w:rsid w:val="62B92A90"/>
    <w:rsid w:val="62E32B18"/>
    <w:rsid w:val="62F1230A"/>
    <w:rsid w:val="632A1297"/>
    <w:rsid w:val="63592ED3"/>
    <w:rsid w:val="637F41CC"/>
    <w:rsid w:val="63D96028"/>
    <w:rsid w:val="63E15DFA"/>
    <w:rsid w:val="63ED0C43"/>
    <w:rsid w:val="63FB308E"/>
    <w:rsid w:val="64264155"/>
    <w:rsid w:val="64340407"/>
    <w:rsid w:val="64375895"/>
    <w:rsid w:val="64460353"/>
    <w:rsid w:val="64675C8E"/>
    <w:rsid w:val="64740A1C"/>
    <w:rsid w:val="64D4595F"/>
    <w:rsid w:val="64E533EC"/>
    <w:rsid w:val="6500350D"/>
    <w:rsid w:val="65664300"/>
    <w:rsid w:val="65A33C13"/>
    <w:rsid w:val="65B57A1A"/>
    <w:rsid w:val="65C85399"/>
    <w:rsid w:val="66067D9A"/>
    <w:rsid w:val="660D434F"/>
    <w:rsid w:val="66123828"/>
    <w:rsid w:val="665224E6"/>
    <w:rsid w:val="67696832"/>
    <w:rsid w:val="67A573B0"/>
    <w:rsid w:val="67FB44B8"/>
    <w:rsid w:val="68232E85"/>
    <w:rsid w:val="68324E76"/>
    <w:rsid w:val="68792FA3"/>
    <w:rsid w:val="68C450B7"/>
    <w:rsid w:val="690507DD"/>
    <w:rsid w:val="69197CA1"/>
    <w:rsid w:val="694A27BA"/>
    <w:rsid w:val="69692B1A"/>
    <w:rsid w:val="69FA5E67"/>
    <w:rsid w:val="6A0B1E23"/>
    <w:rsid w:val="6A366774"/>
    <w:rsid w:val="6A80694F"/>
    <w:rsid w:val="6AE10DD5"/>
    <w:rsid w:val="6B04627E"/>
    <w:rsid w:val="6B347D54"/>
    <w:rsid w:val="6B56531F"/>
    <w:rsid w:val="6B912AB5"/>
    <w:rsid w:val="6BFD642B"/>
    <w:rsid w:val="6C8B6B0A"/>
    <w:rsid w:val="6CA60EDB"/>
    <w:rsid w:val="6CF84619"/>
    <w:rsid w:val="6D107814"/>
    <w:rsid w:val="6D392803"/>
    <w:rsid w:val="6D7E6FC5"/>
    <w:rsid w:val="6DA43B92"/>
    <w:rsid w:val="6DDF51C0"/>
    <w:rsid w:val="6E056A33"/>
    <w:rsid w:val="6E0A23F1"/>
    <w:rsid w:val="6E4B276F"/>
    <w:rsid w:val="6ED651FE"/>
    <w:rsid w:val="6ED8604B"/>
    <w:rsid w:val="6F4F3F66"/>
    <w:rsid w:val="6F563B40"/>
    <w:rsid w:val="6FF0160D"/>
    <w:rsid w:val="6FF12BDC"/>
    <w:rsid w:val="70211D68"/>
    <w:rsid w:val="702F3123"/>
    <w:rsid w:val="708E10B8"/>
    <w:rsid w:val="70950698"/>
    <w:rsid w:val="713752AB"/>
    <w:rsid w:val="713F6856"/>
    <w:rsid w:val="715E0A8A"/>
    <w:rsid w:val="71A96650"/>
    <w:rsid w:val="71AC3EEB"/>
    <w:rsid w:val="71B42DA0"/>
    <w:rsid w:val="71C75CCF"/>
    <w:rsid w:val="71EA67C2"/>
    <w:rsid w:val="72861EF8"/>
    <w:rsid w:val="72BB1F0C"/>
    <w:rsid w:val="72F51E4D"/>
    <w:rsid w:val="734608FB"/>
    <w:rsid w:val="738844E4"/>
    <w:rsid w:val="73BB6668"/>
    <w:rsid w:val="740470A3"/>
    <w:rsid w:val="74537733"/>
    <w:rsid w:val="74632E64"/>
    <w:rsid w:val="748C3B60"/>
    <w:rsid w:val="74945A29"/>
    <w:rsid w:val="74CD15DA"/>
    <w:rsid w:val="74CF0139"/>
    <w:rsid w:val="74E52949"/>
    <w:rsid w:val="75742828"/>
    <w:rsid w:val="7582694D"/>
    <w:rsid w:val="75976C60"/>
    <w:rsid w:val="75C15A8B"/>
    <w:rsid w:val="7601057E"/>
    <w:rsid w:val="7605562E"/>
    <w:rsid w:val="7624744C"/>
    <w:rsid w:val="768014A2"/>
    <w:rsid w:val="76A86BFF"/>
    <w:rsid w:val="76B6461C"/>
    <w:rsid w:val="76CD150E"/>
    <w:rsid w:val="76DD5257"/>
    <w:rsid w:val="76E60F22"/>
    <w:rsid w:val="76E61C4D"/>
    <w:rsid w:val="770E4D00"/>
    <w:rsid w:val="775C1F10"/>
    <w:rsid w:val="77CD195E"/>
    <w:rsid w:val="780C375E"/>
    <w:rsid w:val="78523FC0"/>
    <w:rsid w:val="7A461991"/>
    <w:rsid w:val="7A707A80"/>
    <w:rsid w:val="7A9A5A85"/>
    <w:rsid w:val="7AA31C03"/>
    <w:rsid w:val="7AB12572"/>
    <w:rsid w:val="7B253D44"/>
    <w:rsid w:val="7B2912C7"/>
    <w:rsid w:val="7B3B1E3C"/>
    <w:rsid w:val="7B5E22FE"/>
    <w:rsid w:val="7B656EB9"/>
    <w:rsid w:val="7BA93512"/>
    <w:rsid w:val="7BC51344"/>
    <w:rsid w:val="7BD32074"/>
    <w:rsid w:val="7C1611BC"/>
    <w:rsid w:val="7CC03398"/>
    <w:rsid w:val="7CC3033B"/>
    <w:rsid w:val="7CCF4F32"/>
    <w:rsid w:val="7CD623A3"/>
    <w:rsid w:val="7CDC31AB"/>
    <w:rsid w:val="7CE745DC"/>
    <w:rsid w:val="7D782465"/>
    <w:rsid w:val="7D845C01"/>
    <w:rsid w:val="7D881AC9"/>
    <w:rsid w:val="7D8B6384"/>
    <w:rsid w:val="7D9520DE"/>
    <w:rsid w:val="7D9A72EE"/>
    <w:rsid w:val="7E552701"/>
    <w:rsid w:val="7E68176E"/>
    <w:rsid w:val="7EC64112"/>
    <w:rsid w:val="7EF555E1"/>
    <w:rsid w:val="7F3B094E"/>
    <w:rsid w:val="7F6822C1"/>
    <w:rsid w:val="7FAA6CFF"/>
    <w:rsid w:val="7FEA2C4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8"/>
      <w:szCs w:val="22"/>
      <w:lang w:val="en-US" w:eastAsia="zh-CN" w:bidi="ar-SA"/>
    </w:rPr>
  </w:style>
  <w:style w:type="paragraph" w:styleId="2">
    <w:name w:val="heading 1"/>
    <w:basedOn w:val="1"/>
    <w:next w:val="1"/>
    <w:link w:val="49"/>
    <w:qFormat/>
    <w:uiPriority w:val="0"/>
    <w:pPr>
      <w:keepNext/>
      <w:keepLines/>
      <w:spacing w:before="340" w:after="330" w:line="578" w:lineRule="auto"/>
      <w:outlineLvl w:val="0"/>
    </w:pPr>
    <w:rPr>
      <w:b/>
      <w:bCs/>
      <w:sz w:val="44"/>
      <w:szCs w:val="44"/>
    </w:rPr>
  </w:style>
  <w:style w:type="paragraph" w:styleId="3">
    <w:name w:val="heading 2"/>
    <w:basedOn w:val="1"/>
    <w:next w:val="1"/>
    <w:link w:val="50"/>
    <w:qFormat/>
    <w:uiPriority w:val="0"/>
    <w:pPr>
      <w:keepNext/>
      <w:keepLines/>
      <w:spacing w:before="120" w:line="300" w:lineRule="auto"/>
      <w:jc w:val="center"/>
      <w:outlineLvl w:val="1"/>
    </w:pPr>
    <w:rPr>
      <w:rFonts w:ascii="Arial" w:hAnsi="Arial" w:eastAsia="黑体"/>
      <w:sz w:val="30"/>
    </w:rPr>
  </w:style>
  <w:style w:type="paragraph" w:styleId="4">
    <w:name w:val="heading 3"/>
    <w:basedOn w:val="1"/>
    <w:next w:val="1"/>
    <w:link w:val="51"/>
    <w:qFormat/>
    <w:uiPriority w:val="99"/>
    <w:pPr>
      <w:keepNext/>
      <w:keepLines/>
      <w:spacing w:line="415" w:lineRule="auto"/>
      <w:ind w:firstLine="137"/>
      <w:outlineLvl w:val="2"/>
    </w:pPr>
    <w:rPr>
      <w:rFonts w:hAnsi="黑体" w:eastAsia="黑体"/>
      <w:sz w:val="24"/>
      <w:szCs w:val="20"/>
    </w:rPr>
  </w:style>
  <w:style w:type="paragraph" w:styleId="5">
    <w:name w:val="heading 4"/>
    <w:basedOn w:val="1"/>
    <w:next w:val="6"/>
    <w:link w:val="52"/>
    <w:qFormat/>
    <w:uiPriority w:val="0"/>
    <w:pPr>
      <w:keepNext/>
      <w:keepLines/>
      <w:spacing w:before="280" w:after="290" w:line="376" w:lineRule="auto"/>
      <w:outlineLvl w:val="3"/>
    </w:pPr>
    <w:rPr>
      <w:rFonts w:ascii="Arial" w:hAnsi="Arial" w:eastAsia="黑体" w:cs="Arial"/>
      <w:b/>
      <w:bCs/>
      <w:szCs w:val="28"/>
    </w:rPr>
  </w:style>
  <w:style w:type="paragraph" w:styleId="7">
    <w:name w:val="heading 5"/>
    <w:basedOn w:val="1"/>
    <w:next w:val="1"/>
    <w:link w:val="53"/>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4"/>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55"/>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56"/>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57"/>
    <w:unhideWhenUsed/>
    <w:qFormat/>
    <w:uiPriority w:val="9"/>
    <w:pPr>
      <w:keepNext/>
      <w:keepLines/>
      <w:spacing w:before="320" w:after="200"/>
      <w:outlineLvl w:val="8"/>
    </w:pPr>
    <w:rPr>
      <w:rFonts w:ascii="Arial" w:hAnsi="Arial" w:eastAsia="Arial" w:cs="Arial"/>
      <w:i/>
      <w:iCs/>
      <w:sz w:val="21"/>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6">
    <w:name w:val="Normal Indent"/>
    <w:basedOn w:val="1"/>
    <w:unhideWhenUsed/>
    <w:qFormat/>
    <w:uiPriority w:val="99"/>
    <w:pPr>
      <w:ind w:firstLine="420"/>
      <w:jc w:val="left"/>
    </w:pPr>
    <w:rPr>
      <w:rFonts w:ascii="宋体"/>
      <w:sz w:val="24"/>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next w:val="1"/>
    <w:link w:val="216"/>
    <w:qFormat/>
    <w:uiPriority w:val="0"/>
    <w:pPr>
      <w:spacing w:after="120" w:line="278" w:lineRule="auto"/>
    </w:pPr>
    <w:rPr>
      <w:rFonts w:asciiTheme="minorHAnsi" w:hAnsiTheme="minorHAnsi" w:eastAsiaTheme="minorEastAsia" w:cstheme="minorBidi"/>
      <w:kern w:val="2"/>
      <w:sz w:val="21"/>
      <w:szCs w:val="24"/>
    </w:rPr>
  </w:style>
  <w:style w:type="paragraph" w:styleId="16">
    <w:name w:val="Body Text Indent"/>
    <w:basedOn w:val="1"/>
    <w:next w:val="17"/>
    <w:qFormat/>
    <w:uiPriority w:val="99"/>
    <w:pPr>
      <w:ind w:firstLine="645"/>
    </w:pPr>
    <w:rPr>
      <w:rFonts w:ascii="楷体_GB2312" w:eastAsia="楷体_GB2312"/>
      <w:sz w:val="32"/>
      <w:szCs w:val="32"/>
    </w:rPr>
  </w:style>
  <w:style w:type="paragraph" w:styleId="17">
    <w:name w:val="envelope return"/>
    <w:basedOn w:val="1"/>
    <w:unhideWhenUsed/>
    <w:qFormat/>
    <w:uiPriority w:val="99"/>
    <w:rPr>
      <w:rFonts w:ascii="Arial" w:hAnsi="Arial"/>
    </w:rPr>
  </w:style>
  <w:style w:type="paragraph" w:styleId="18">
    <w:name w:val="Block Text"/>
    <w:basedOn w:val="1"/>
    <w:qFormat/>
    <w:uiPriority w:val="99"/>
    <w:pPr>
      <w:spacing w:after="120"/>
      <w:ind w:left="1440" w:right="1440"/>
    </w:pPr>
  </w:style>
  <w:style w:type="paragraph" w:styleId="19">
    <w:name w:val="index 4"/>
    <w:basedOn w:val="1"/>
    <w:next w:val="1"/>
    <w:qFormat/>
    <w:uiPriority w:val="99"/>
    <w:pPr>
      <w:ind w:left="600"/>
    </w:pPr>
    <w:rPr>
      <w:szCs w:val="24"/>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Body Text Indent 2"/>
    <w:basedOn w:val="1"/>
    <w:qFormat/>
    <w:uiPriority w:val="0"/>
    <w:rPr>
      <w:rFonts w:ascii="Arial" w:hAnsi="Arial" w:eastAsia="仿宋_GB2312"/>
      <w:b/>
    </w:rPr>
  </w:style>
  <w:style w:type="paragraph" w:styleId="25">
    <w:name w:val="endnote text"/>
    <w:basedOn w:val="1"/>
    <w:link w:val="194"/>
    <w:semiHidden/>
    <w:unhideWhenUsed/>
    <w:qFormat/>
    <w:uiPriority w:val="99"/>
    <w:rPr>
      <w:sz w:val="20"/>
    </w:rPr>
  </w:style>
  <w:style w:type="paragraph" w:styleId="26">
    <w:name w:val="footer"/>
    <w:basedOn w:val="1"/>
    <w:link w:val="67"/>
    <w:qFormat/>
    <w:uiPriority w:val="99"/>
    <w:pPr>
      <w:tabs>
        <w:tab w:val="center" w:pos="4153"/>
        <w:tab w:val="right" w:pos="8306"/>
      </w:tabs>
      <w:jc w:val="left"/>
    </w:pPr>
    <w:rPr>
      <w:sz w:val="18"/>
    </w:rPr>
  </w:style>
  <w:style w:type="paragraph" w:styleId="27">
    <w:name w:val="header"/>
    <w:basedOn w:val="1"/>
    <w:link w:val="65"/>
    <w:qFormat/>
    <w:uiPriority w:val="99"/>
    <w:pPr>
      <w:pBdr>
        <w:bottom w:val="single" w:color="000000" w:sz="6" w:space="1"/>
      </w:pBdr>
      <w:tabs>
        <w:tab w:val="center" w:pos="4153"/>
        <w:tab w:val="right" w:pos="8306"/>
      </w:tabs>
      <w:jc w:val="center"/>
    </w:pPr>
    <w:rPr>
      <w:sz w:val="18"/>
    </w:rPr>
  </w:style>
  <w:style w:type="paragraph" w:styleId="28">
    <w:name w:val="toc 1"/>
    <w:basedOn w:val="1"/>
    <w:next w:val="1"/>
    <w:unhideWhenUsed/>
    <w:qFormat/>
    <w:uiPriority w:val="39"/>
    <w:pPr>
      <w:spacing w:after="57"/>
    </w:pPr>
  </w:style>
  <w:style w:type="paragraph" w:styleId="29">
    <w:name w:val="toc 4"/>
    <w:basedOn w:val="1"/>
    <w:next w:val="1"/>
    <w:unhideWhenUsed/>
    <w:qFormat/>
    <w:uiPriority w:val="39"/>
    <w:pPr>
      <w:spacing w:after="57"/>
      <w:ind w:left="850"/>
    </w:pPr>
  </w:style>
  <w:style w:type="paragraph" w:styleId="30">
    <w:name w:val="Subtitle"/>
    <w:basedOn w:val="1"/>
    <w:next w:val="1"/>
    <w:link w:val="60"/>
    <w:qFormat/>
    <w:uiPriority w:val="11"/>
    <w:pPr>
      <w:spacing w:before="200" w:after="200"/>
    </w:pPr>
    <w:rPr>
      <w:sz w:val="24"/>
      <w:szCs w:val="24"/>
    </w:rPr>
  </w:style>
  <w:style w:type="paragraph" w:styleId="31">
    <w:name w:val="footnote text"/>
    <w:basedOn w:val="1"/>
    <w:link w:val="193"/>
    <w:semiHidden/>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Normal (Web)"/>
    <w:basedOn w:val="1"/>
    <w:qFormat/>
    <w:uiPriority w:val="0"/>
    <w:pPr>
      <w:spacing w:beforeAutospacing="1" w:afterAutospacing="1"/>
      <w:jc w:val="left"/>
    </w:pPr>
    <w:rPr>
      <w:sz w:val="24"/>
    </w:rPr>
  </w:style>
  <w:style w:type="paragraph" w:styleId="37">
    <w:name w:val="Title"/>
    <w:basedOn w:val="1"/>
    <w:next w:val="1"/>
    <w:link w:val="59"/>
    <w:qFormat/>
    <w:uiPriority w:val="10"/>
    <w:pPr>
      <w:spacing w:before="300" w:after="200"/>
      <w:contextualSpacing/>
    </w:pPr>
    <w:rPr>
      <w:sz w:val="48"/>
      <w:szCs w:val="48"/>
    </w:rPr>
  </w:style>
  <w:style w:type="paragraph" w:styleId="38">
    <w:name w:val="Body Text First Indent"/>
    <w:basedOn w:val="15"/>
    <w:qFormat/>
    <w:uiPriority w:val="0"/>
    <w:pPr>
      <w:ind w:firstLine="420"/>
    </w:pPr>
  </w:style>
  <w:style w:type="paragraph" w:styleId="39">
    <w:name w:val="Body Text First Indent 2"/>
    <w:basedOn w:val="16"/>
    <w:next w:val="1"/>
    <w:qFormat/>
    <w:uiPriority w:val="0"/>
    <w:pPr>
      <w:ind w:firstLine="420" w:firstLineChars="200"/>
    </w:pPr>
  </w:style>
  <w:style w:type="table" w:styleId="4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Strong"/>
    <w:basedOn w:val="42"/>
    <w:qFormat/>
    <w:uiPriority w:val="22"/>
    <w:rPr>
      <w:b/>
    </w:rPr>
  </w:style>
  <w:style w:type="character" w:styleId="44">
    <w:name w:val="endnote reference"/>
    <w:semiHidden/>
    <w:unhideWhenUsed/>
    <w:qFormat/>
    <w:uiPriority w:val="99"/>
    <w:rPr>
      <w:vertAlign w:val="superscript"/>
    </w:rPr>
  </w:style>
  <w:style w:type="character" w:styleId="45">
    <w:name w:val="Hyperlink"/>
    <w:unhideWhenUsed/>
    <w:qFormat/>
    <w:uiPriority w:val="99"/>
    <w:rPr>
      <w:color w:val="0000FF" w:themeColor="hyperlink"/>
      <w:u w:val="single"/>
      <w14:textFill>
        <w14:solidFill>
          <w14:schemeClr w14:val="hlink"/>
        </w14:solidFill>
      </w14:textFill>
    </w:rPr>
  </w:style>
  <w:style w:type="character" w:styleId="46">
    <w:name w:val="footnote reference"/>
    <w:unhideWhenUsed/>
    <w:qFormat/>
    <w:uiPriority w:val="99"/>
    <w:rPr>
      <w:vertAlign w:val="superscript"/>
    </w:rPr>
  </w:style>
  <w:style w:type="paragraph" w:customStyle="1" w:styleId="47">
    <w:name w:val="Default"/>
    <w:qFormat/>
    <w:uiPriority w:val="0"/>
    <w:pPr>
      <w:widowControl w:val="0"/>
    </w:pPr>
    <w:rPr>
      <w:rFonts w:ascii="仿宋_GB2312" w:hAnsi="Times New Roman" w:eastAsia="仿宋_GB2312" w:cs="仿宋_GB2312"/>
      <w:color w:val="000000"/>
      <w:sz w:val="24"/>
      <w:szCs w:val="24"/>
      <w:lang w:val="en-US" w:eastAsia="zh-CN" w:bidi="ar-SA"/>
    </w:rPr>
  </w:style>
  <w:style w:type="paragraph" w:customStyle="1" w:styleId="48">
    <w:name w:val="标题 31"/>
    <w:basedOn w:val="1"/>
    <w:next w:val="1"/>
    <w:qFormat/>
    <w:uiPriority w:val="0"/>
    <w:pPr>
      <w:keepNext/>
      <w:keepLines/>
      <w:spacing w:before="260" w:after="260" w:line="416" w:lineRule="auto"/>
      <w:outlineLvl w:val="2"/>
    </w:pPr>
    <w:rPr>
      <w:b/>
      <w:bCs/>
      <w:sz w:val="32"/>
      <w:szCs w:val="32"/>
    </w:rPr>
  </w:style>
  <w:style w:type="character" w:customStyle="1" w:styleId="49">
    <w:name w:val="标题 1 Char"/>
    <w:link w:val="2"/>
    <w:qFormat/>
    <w:uiPriority w:val="9"/>
    <w:rPr>
      <w:rFonts w:ascii="Arial" w:hAnsi="Arial" w:eastAsia="Arial" w:cs="Arial"/>
      <w:sz w:val="40"/>
      <w:szCs w:val="40"/>
    </w:rPr>
  </w:style>
  <w:style w:type="character" w:customStyle="1" w:styleId="50">
    <w:name w:val="标题 2 Char"/>
    <w:link w:val="3"/>
    <w:qFormat/>
    <w:uiPriority w:val="9"/>
    <w:rPr>
      <w:rFonts w:ascii="Arial" w:hAnsi="Arial" w:eastAsia="Arial" w:cs="Arial"/>
      <w:sz w:val="34"/>
    </w:rPr>
  </w:style>
  <w:style w:type="character" w:customStyle="1" w:styleId="51">
    <w:name w:val="标题 3 Char"/>
    <w:link w:val="4"/>
    <w:qFormat/>
    <w:uiPriority w:val="9"/>
    <w:rPr>
      <w:rFonts w:ascii="Arial" w:hAnsi="Arial" w:eastAsia="Arial" w:cs="Arial"/>
      <w:sz w:val="30"/>
      <w:szCs w:val="30"/>
    </w:rPr>
  </w:style>
  <w:style w:type="character" w:customStyle="1" w:styleId="52">
    <w:name w:val="标题 4 Char"/>
    <w:link w:val="5"/>
    <w:qFormat/>
    <w:uiPriority w:val="9"/>
    <w:rPr>
      <w:rFonts w:ascii="Arial" w:hAnsi="Arial" w:eastAsia="Arial" w:cs="Arial"/>
      <w:b/>
      <w:bCs/>
      <w:sz w:val="26"/>
      <w:szCs w:val="26"/>
    </w:rPr>
  </w:style>
  <w:style w:type="character" w:customStyle="1" w:styleId="53">
    <w:name w:val="标题 5 Char"/>
    <w:link w:val="7"/>
    <w:qFormat/>
    <w:uiPriority w:val="9"/>
    <w:rPr>
      <w:rFonts w:ascii="Arial" w:hAnsi="Arial" w:eastAsia="Arial" w:cs="Arial"/>
      <w:b/>
      <w:bCs/>
      <w:sz w:val="24"/>
      <w:szCs w:val="24"/>
    </w:rPr>
  </w:style>
  <w:style w:type="character" w:customStyle="1" w:styleId="54">
    <w:name w:val="标题 6 Char"/>
    <w:link w:val="8"/>
    <w:qFormat/>
    <w:uiPriority w:val="9"/>
    <w:rPr>
      <w:rFonts w:ascii="Arial" w:hAnsi="Arial" w:eastAsia="Arial" w:cs="Arial"/>
      <w:b/>
      <w:bCs/>
      <w:sz w:val="22"/>
      <w:szCs w:val="22"/>
    </w:rPr>
  </w:style>
  <w:style w:type="character" w:customStyle="1" w:styleId="55">
    <w:name w:val="标题 7 Char"/>
    <w:link w:val="9"/>
    <w:qFormat/>
    <w:uiPriority w:val="9"/>
    <w:rPr>
      <w:rFonts w:ascii="Arial" w:hAnsi="Arial" w:eastAsia="Arial" w:cs="Arial"/>
      <w:b/>
      <w:bCs/>
      <w:i/>
      <w:iCs/>
      <w:sz w:val="22"/>
      <w:szCs w:val="22"/>
    </w:rPr>
  </w:style>
  <w:style w:type="character" w:customStyle="1" w:styleId="56">
    <w:name w:val="标题 8 Char"/>
    <w:link w:val="10"/>
    <w:qFormat/>
    <w:uiPriority w:val="9"/>
    <w:rPr>
      <w:rFonts w:ascii="Arial" w:hAnsi="Arial" w:eastAsia="Arial" w:cs="Arial"/>
      <w:i/>
      <w:iCs/>
      <w:sz w:val="22"/>
      <w:szCs w:val="22"/>
    </w:rPr>
  </w:style>
  <w:style w:type="character" w:customStyle="1" w:styleId="57">
    <w:name w:val="标题 9 Char"/>
    <w:link w:val="11"/>
    <w:qFormat/>
    <w:uiPriority w:val="9"/>
    <w:rPr>
      <w:rFonts w:ascii="Arial" w:hAnsi="Arial" w:eastAsia="Arial" w:cs="Arial"/>
      <w:i/>
      <w:iCs/>
      <w:sz w:val="21"/>
      <w:szCs w:val="21"/>
    </w:rPr>
  </w:style>
  <w:style w:type="paragraph" w:styleId="58">
    <w:name w:val="No Spacing"/>
    <w:qFormat/>
    <w:uiPriority w:val="1"/>
    <w:rPr>
      <w:rFonts w:ascii="Calibri" w:hAnsi="Calibri" w:eastAsia="宋体" w:cs="Times New Roman"/>
      <w:lang w:val="en-US" w:eastAsia="zh-CN" w:bidi="ar-SA"/>
    </w:rPr>
  </w:style>
  <w:style w:type="character" w:customStyle="1" w:styleId="59">
    <w:name w:val="标题 Char"/>
    <w:link w:val="37"/>
    <w:qFormat/>
    <w:uiPriority w:val="10"/>
    <w:rPr>
      <w:sz w:val="48"/>
      <w:szCs w:val="48"/>
    </w:rPr>
  </w:style>
  <w:style w:type="character" w:customStyle="1" w:styleId="60">
    <w:name w:val="副标题 Char"/>
    <w:link w:val="30"/>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引用 Char"/>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4">
    <w:name w:val="明显引用 Char"/>
    <w:link w:val="63"/>
    <w:qFormat/>
    <w:uiPriority w:val="30"/>
    <w:rPr>
      <w:i/>
    </w:rPr>
  </w:style>
  <w:style w:type="character" w:customStyle="1" w:styleId="65">
    <w:name w:val="页眉 Char"/>
    <w:link w:val="27"/>
    <w:qFormat/>
    <w:uiPriority w:val="99"/>
  </w:style>
  <w:style w:type="character" w:customStyle="1" w:styleId="66">
    <w:name w:val="Footer Char"/>
    <w:qFormat/>
    <w:uiPriority w:val="99"/>
  </w:style>
  <w:style w:type="character" w:customStyle="1" w:styleId="67">
    <w:name w:val="页脚 Char"/>
    <w:link w:val="26"/>
    <w:qFormat/>
    <w:uiPriority w:val="99"/>
  </w:style>
  <w:style w:type="table" w:customStyle="1" w:styleId="68">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9">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6">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7">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8">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9">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0">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1">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7">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4">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5">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6">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7">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8">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9">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3">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6">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8">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9">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0">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1">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2">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3">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5">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6">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7">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8">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9">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0">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9">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0">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1">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2">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3">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4">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3">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4">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5">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6">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7">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8">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9">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7">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9">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1">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2">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8">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9">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0">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1">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2">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3">
    <w:name w:val="脚注文本 Char"/>
    <w:link w:val="31"/>
    <w:qFormat/>
    <w:uiPriority w:val="99"/>
    <w:rPr>
      <w:sz w:val="18"/>
    </w:rPr>
  </w:style>
  <w:style w:type="character" w:customStyle="1" w:styleId="194">
    <w:name w:val="尾注文本 Char"/>
    <w:link w:val="25"/>
    <w:qFormat/>
    <w:uiPriority w:val="99"/>
    <w:rPr>
      <w:sz w:val="20"/>
    </w:rPr>
  </w:style>
  <w:style w:type="paragraph" w:customStyle="1" w:styleId="195">
    <w:name w:val="TOC 标题1"/>
    <w:unhideWhenUsed/>
    <w:qFormat/>
    <w:uiPriority w:val="39"/>
    <w:rPr>
      <w:rFonts w:ascii="Calibri" w:hAnsi="Calibri" w:eastAsia="宋体" w:cs="Times New Roman"/>
      <w:lang w:val="en-US" w:eastAsia="zh-CN" w:bidi="ar-SA"/>
    </w:rPr>
  </w:style>
  <w:style w:type="paragraph" w:customStyle="1" w:styleId="196">
    <w:name w:val="正文首行缩进 21"/>
    <w:basedOn w:val="16"/>
    <w:qFormat/>
    <w:uiPriority w:val="99"/>
    <w:pPr>
      <w:spacing w:line="360" w:lineRule="auto"/>
      <w:ind w:firstLine="420"/>
    </w:pPr>
    <w:rPr>
      <w:rFonts w:ascii="宋体" w:hAnsi="宋体" w:eastAsia="宋体"/>
      <w:sz w:val="21"/>
      <w:szCs w:val="20"/>
    </w:rPr>
  </w:style>
  <w:style w:type="paragraph" w:customStyle="1" w:styleId="197">
    <w:name w:val="正文首行缩进1"/>
    <w:basedOn w:val="1"/>
    <w:next w:val="1"/>
    <w:qFormat/>
    <w:uiPriority w:val="0"/>
    <w:pPr>
      <w:ind w:firstLine="420"/>
    </w:pPr>
    <w:rPr>
      <w:sz w:val="21"/>
      <w:szCs w:val="24"/>
    </w:rPr>
  </w:style>
  <w:style w:type="paragraph" w:customStyle="1" w:styleId="198">
    <w:name w:val="普通正文"/>
    <w:basedOn w:val="1"/>
    <w:qFormat/>
    <w:uiPriority w:val="99"/>
    <w:pPr>
      <w:spacing w:before="120" w:after="120" w:line="360" w:lineRule="auto"/>
      <w:ind w:firstLine="480"/>
      <w:jc w:val="left"/>
    </w:pPr>
    <w:rPr>
      <w:rFonts w:ascii="Arial" w:hAnsi="Arial"/>
      <w:sz w:val="24"/>
      <w:szCs w:val="24"/>
    </w:rPr>
  </w:style>
  <w:style w:type="paragraph" w:styleId="199">
    <w:name w:val="List Paragraph"/>
    <w:basedOn w:val="1"/>
    <w:qFormat/>
    <w:uiPriority w:val="0"/>
    <w:pPr>
      <w:ind w:firstLine="420"/>
    </w:pPr>
    <w:rPr>
      <w:sz w:val="21"/>
    </w:rPr>
  </w:style>
  <w:style w:type="paragraph" w:customStyle="1" w:styleId="200">
    <w:name w:val="列出段落1"/>
    <w:basedOn w:val="1"/>
    <w:qFormat/>
    <w:uiPriority w:val="0"/>
    <w:pPr>
      <w:widowControl/>
      <w:ind w:left="720"/>
      <w:contextualSpacing/>
      <w:jc w:val="left"/>
    </w:pPr>
    <w:rPr>
      <w:sz w:val="24"/>
      <w:szCs w:val="24"/>
      <w:lang w:eastAsia="en-US" w:bidi="en-US"/>
    </w:rPr>
  </w:style>
  <w:style w:type="paragraph" w:customStyle="1" w:styleId="201">
    <w:name w:val="Char"/>
    <w:basedOn w:val="1"/>
    <w:qFormat/>
    <w:uiPriority w:val="0"/>
    <w:pPr>
      <w:tabs>
        <w:tab w:val="left" w:pos="360"/>
      </w:tabs>
      <w:ind w:firstLine="200"/>
    </w:pPr>
    <w:rPr>
      <w:szCs w:val="30"/>
    </w:rPr>
  </w:style>
  <w:style w:type="paragraph" w:customStyle="1" w:styleId="202">
    <w:name w:val="纯文本1"/>
    <w:basedOn w:val="1"/>
    <w:qFormat/>
    <w:uiPriority w:val="0"/>
    <w:rPr>
      <w:rFonts w:ascii="宋体" w:hAnsi="Courier New" w:eastAsia="楷体_GB2312"/>
      <w:szCs w:val="20"/>
    </w:rPr>
  </w:style>
  <w:style w:type="character" w:customStyle="1" w:styleId="203">
    <w:name w:val="NormalCharacter1"/>
    <w:qFormat/>
    <w:uiPriority w:val="0"/>
  </w:style>
  <w:style w:type="character" w:customStyle="1" w:styleId="204">
    <w:name w:val="apple-converted-space"/>
    <w:basedOn w:val="42"/>
    <w:qFormat/>
    <w:uiPriority w:val="0"/>
  </w:style>
  <w:style w:type="paragraph" w:customStyle="1" w:styleId="205">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06">
    <w:name w:val="普通(网站)111"/>
    <w:basedOn w:val="1"/>
    <w:qFormat/>
    <w:uiPriority w:val="0"/>
    <w:pPr>
      <w:spacing w:beforeAutospacing="1" w:afterAutospacing="1"/>
      <w:jc w:val="left"/>
    </w:pPr>
    <w:rPr>
      <w:sz w:val="24"/>
    </w:rPr>
  </w:style>
  <w:style w:type="paragraph" w:customStyle="1" w:styleId="207">
    <w:name w:val="正文缩进11"/>
    <w:basedOn w:val="1"/>
    <w:qFormat/>
    <w:uiPriority w:val="0"/>
    <w:rPr>
      <w:szCs w:val="20"/>
    </w:rPr>
  </w:style>
  <w:style w:type="paragraph" w:customStyle="1" w:styleId="208">
    <w:name w:val="标题 311"/>
    <w:basedOn w:val="1"/>
    <w:next w:val="1"/>
    <w:qFormat/>
    <w:uiPriority w:val="0"/>
    <w:pPr>
      <w:keepNext/>
      <w:keepLines/>
      <w:spacing w:before="260" w:after="260" w:line="416" w:lineRule="auto"/>
      <w:outlineLvl w:val="2"/>
    </w:pPr>
    <w:rPr>
      <w:b/>
      <w:sz w:val="32"/>
      <w:szCs w:val="20"/>
    </w:rPr>
  </w:style>
  <w:style w:type="paragraph" w:customStyle="1" w:styleId="209">
    <w:name w:val="标题 211"/>
    <w:basedOn w:val="1"/>
    <w:next w:val="1"/>
    <w:qFormat/>
    <w:uiPriority w:val="0"/>
    <w:pPr>
      <w:keepNext/>
      <w:keepLines/>
      <w:spacing w:before="260" w:after="260" w:line="416" w:lineRule="auto"/>
      <w:jc w:val="center"/>
      <w:outlineLvl w:val="1"/>
    </w:pPr>
    <w:rPr>
      <w:rFonts w:ascii="Arial" w:hAnsi="Arial" w:eastAsia="幼圆"/>
      <w:b/>
      <w:sz w:val="44"/>
      <w:szCs w:val="20"/>
    </w:rPr>
  </w:style>
  <w:style w:type="paragraph" w:customStyle="1" w:styleId="210">
    <w:name w:val="文本块1"/>
    <w:basedOn w:val="1"/>
    <w:qFormat/>
    <w:uiPriority w:val="99"/>
    <w:pPr>
      <w:tabs>
        <w:tab w:val="left" w:pos="9000"/>
      </w:tabs>
      <w:spacing w:after="120"/>
      <w:ind w:left="1440" w:right="1440"/>
    </w:pPr>
  </w:style>
  <w:style w:type="paragraph" w:customStyle="1" w:styleId="211">
    <w:name w:val="普通(网站)11"/>
    <w:basedOn w:val="1"/>
    <w:unhideWhenUsed/>
    <w:qFormat/>
    <w:uiPriority w:val="0"/>
    <w:pPr>
      <w:widowControl/>
      <w:spacing w:before="100" w:beforeAutospacing="1" w:after="100" w:afterAutospacing="1"/>
      <w:ind w:firstLine="5742"/>
      <w:jc w:val="center"/>
    </w:pPr>
    <w:rPr>
      <w:rFonts w:ascii="宋体" w:hAnsi="宋体"/>
      <w:b/>
      <w:sz w:val="44"/>
    </w:rPr>
  </w:style>
  <w:style w:type="character" w:customStyle="1" w:styleId="212">
    <w:name w:val="NormalCharacter11"/>
    <w:qFormat/>
    <w:uiPriority w:val="99"/>
    <w:rPr>
      <w:rFonts w:ascii="Calibri" w:hAnsi="Calibri" w:eastAsia="宋体"/>
    </w:rPr>
  </w:style>
  <w:style w:type="paragraph" w:customStyle="1" w:styleId="213">
    <w:name w:val="Heading11"/>
    <w:basedOn w:val="1"/>
    <w:qFormat/>
    <w:uiPriority w:val="0"/>
    <w:rPr>
      <w:rFonts w:ascii="等线 Light" w:eastAsia="等线 Light"/>
      <w:szCs w:val="20"/>
    </w:rPr>
  </w:style>
  <w:style w:type="paragraph" w:customStyle="1" w:styleId="214">
    <w:name w:val="正文样式"/>
    <w:basedOn w:val="1"/>
    <w:qFormat/>
    <w:uiPriority w:val="7"/>
    <w:pPr>
      <w:ind w:firstLine="480"/>
    </w:pPr>
    <w:rPr>
      <w:sz w:val="24"/>
      <w:szCs w:val="24"/>
    </w:rPr>
  </w:style>
  <w:style w:type="character" w:customStyle="1" w:styleId="215">
    <w:name w:val="NormalCharacter"/>
    <w:qFormat/>
    <w:uiPriority w:val="0"/>
  </w:style>
  <w:style w:type="character" w:customStyle="1" w:styleId="216">
    <w:name w:val="正文文本 Char"/>
    <w:basedOn w:val="42"/>
    <w:link w:val="15"/>
    <w:qFormat/>
    <w:uiPriority w:val="0"/>
    <w:rPr>
      <w:rFonts w:asciiTheme="minorHAnsi" w:hAnsiTheme="minorHAnsi" w:eastAsiaTheme="minorEastAsia" w:cstheme="minorBidi"/>
      <w:kern w:val="2"/>
      <w:sz w:val="21"/>
      <w:szCs w:val="24"/>
    </w:rPr>
  </w:style>
  <w:style w:type="table" w:customStyle="1" w:styleId="217">
    <w:name w:val="Table Normal"/>
    <w:semiHidden/>
    <w:unhideWhenUsed/>
    <w:qFormat/>
    <w:uiPriority w:val="0"/>
    <w:tblPr>
      <w:tblCellMar>
        <w:top w:w="0" w:type="dxa"/>
        <w:left w:w="0" w:type="dxa"/>
        <w:bottom w:w="0" w:type="dxa"/>
        <w:right w:w="0" w:type="dxa"/>
      </w:tblCellMar>
    </w:tblPr>
  </w:style>
  <w:style w:type="paragraph" w:customStyle="1" w:styleId="218">
    <w:name w:val="Table Text"/>
    <w:basedOn w:val="1"/>
    <w:semiHidden/>
    <w:qFormat/>
    <w:uiPriority w:val="0"/>
    <w:rPr>
      <w:rFonts w:ascii="宋体" w:hAnsi="宋体" w:cs="宋体"/>
      <w:sz w:val="38"/>
      <w:szCs w:val="38"/>
      <w:lang w:eastAsia="en-US"/>
    </w:rPr>
  </w:style>
  <w:style w:type="paragraph" w:customStyle="1" w:styleId="219">
    <w:name w:val="文本块11"/>
    <w:basedOn w:val="1"/>
    <w:unhideWhenUsed/>
    <w:qFormat/>
    <w:uiPriority w:val="99"/>
    <w:pPr>
      <w:spacing w:after="120"/>
      <w:ind w:left="1440"/>
    </w:pPr>
    <w:rPr>
      <w:rFonts w:hint="eastAsia"/>
      <w:sz w:val="21"/>
    </w:rPr>
  </w:style>
  <w:style w:type="paragraph" w:customStyle="1" w:styleId="220">
    <w:name w:val="正文_liull"/>
    <w:basedOn w:val="1"/>
    <w:autoRedefine/>
    <w:qFormat/>
    <w:uiPriority w:val="0"/>
    <w:pPr>
      <w:spacing w:line="360" w:lineRule="auto"/>
      <w:ind w:firstLine="200" w:firstLineChars="200"/>
    </w:pPr>
    <w:rPr>
      <w:rFonts w:ascii="Times New Roman" w:hAnsi="Times New Roman"/>
    </w:rPr>
  </w:style>
  <w:style w:type="paragraph" w:customStyle="1" w:styleId="221">
    <w:name w:val="__正文"/>
    <w:qFormat/>
    <w:uiPriority w:val="0"/>
    <w:pPr>
      <w:spacing w:line="360" w:lineRule="auto"/>
      <w:ind w:firstLine="200"/>
    </w:pPr>
    <w:rPr>
      <w:rFonts w:ascii="Calibri" w:hAnsi="Calibri" w:eastAsia="宋体" w:cs="宋体"/>
      <w:sz w:val="24"/>
      <w:szCs w:val="21"/>
      <w:lang w:val="en-US" w:eastAsia="zh-CN" w:bidi="ar-SA"/>
    </w:rPr>
  </w:style>
  <w:style w:type="paragraph" w:customStyle="1" w:styleId="222">
    <w:name w:val="普通(网站)13"/>
    <w:qFormat/>
    <w:uiPriority w:val="0"/>
    <w:pPr>
      <w:widowControl w:val="0"/>
      <w:spacing w:beforeAutospacing="1" w:afterAutospacing="1"/>
      <w:jc w:val="left"/>
    </w:pPr>
    <w:rPr>
      <w:rFonts w:hint="default" w:ascii="Calibri" w:hAnsi="Calibri" w:eastAsia="宋体" w:cs="Times New Roman"/>
      <w:sz w:val="24"/>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F63878-6D00-4AAB-9A0C-A87D51B272C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50</Pages>
  <Words>18425</Words>
  <Characters>19863</Characters>
  <Lines>243</Lines>
  <Paragraphs>68</Paragraphs>
  <TotalTime>13</TotalTime>
  <ScaleCrop>false</ScaleCrop>
  <LinksUpToDate>false</LinksUpToDate>
  <CharactersWithSpaces>20148</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2025-02-11T03:16:00Z</dcterms:created>
  <dc:creator>Adminis</dc:creator>
  <cp:lastModifiedBy>随心 随性</cp:lastModifiedBy>
  <cp:lastPrinted>2025-12-26T07:04:00Z</cp:lastPrinted>
  <dcterms:modified xsi:type="dcterms:W3CDTF">2026-10-19T10:12:00Z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7A371818E9864FB99C07C84095CEB335_13</vt:lpwstr>
  </property>
  <property fmtid="{D5CDD505-2E9C-101B-9397-08002B2CF9AE}" pid="4" name="KSOTemplateDocerSaveRecord">
    <vt:lpwstr>eyJoZGlkIjoiYzAxYzk1YmFlODA0YmNjN2I1MDFkZDdmMjhlYmNmNzciLCJ1c2VySWQiOiI5MjQ4NDE4MjkifQ==</vt:lpwstr>
  </property>
</Properties>
</file>