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ind w:firstLine="0"/>
        <w:jc w:val="center"/>
        <w:rPr>
          <w:rFonts w:ascii="黑体" w:hAnsi="华文中宋" w:eastAsia="黑体"/>
          <w:bCs/>
          <w:color w:val="000000"/>
          <w:spacing w:val="20"/>
          <w:sz w:val="84"/>
          <w:szCs w:val="84"/>
          <w:highlight w:val="none"/>
        </w:rPr>
      </w:pPr>
      <w:r>
        <w:rPr>
          <w:rFonts w:ascii="黑体" w:hAnsi="华文中宋" w:eastAsia="黑体"/>
          <w:bCs/>
          <w:color w:val="000000"/>
          <w:spacing w:val="20"/>
          <w:sz w:val="84"/>
          <w:szCs w:val="84"/>
          <w:highlight w:val="none"/>
        </w:rPr>
      </w:r>
      <w:r/>
    </w:p>
    <w:p>
      <w:pPr>
        <w:pStyle w:val="1043"/>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无锡市政府采购</w:t>
      </w:r>
      <w:r/>
    </w:p>
    <w:p>
      <w:pPr>
        <w:pStyle w:val="1043"/>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43"/>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43"/>
        <w:ind w:firstLine="0"/>
        <w:jc w:val="center"/>
        <w:rPr>
          <w:rFonts w:ascii="黑体" w:hAnsi="华文中宋" w:eastAsia="黑体"/>
          <w:bCs/>
          <w:color w:val="000000"/>
          <w:spacing w:val="20"/>
          <w:sz w:val="52"/>
          <w:szCs w:val="52"/>
          <w:highlight w:val="none"/>
          <w:shd w:val="clear" w:color="ffffff" w:fill="d9d9d9"/>
        </w:rPr>
      </w:pPr>
      <w:r>
        <w:rPr>
          <w:rFonts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JSZC-320292-YDGC-G2026-0022</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华庄街道雨污水管网养护服务（第二次）</w:t>
      </w:r>
      <w:r/>
    </w:p>
    <w:p>
      <w:pPr>
        <w:jc w:val="left"/>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人：无锡市滨湖区华庄街道办事处</w:t>
      </w:r>
      <w:r/>
    </w:p>
    <w:p>
      <w:pPr>
        <w:jc w:val="left"/>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采购代理机构：永道工程咨询（江苏）有限公司</w:t>
      </w:r>
      <w:r/>
    </w:p>
    <w:p>
      <w:pPr>
        <w:pStyle w:val="1043"/>
        <w:ind w:firstLine="0"/>
        <w:jc w:val="center"/>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1043"/>
        <w:ind w:firstLine="0"/>
        <w:jc w:val="center"/>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104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p>
    <w:p>
      <w:pPr>
        <w:pStyle w:val="1043"/>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黑体" w:hAnsi="黑体" w:eastAsia="黑体"/>
          <w:color w:val="000000"/>
          <w:sz w:val="36"/>
          <w:szCs w:val="36"/>
          <w:highlight w:val="none"/>
        </w:rPr>
        <w:t xml:space="preserve">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受无锡市滨湖区华庄街道办事处的委托，永道工程咨询（江苏）有限公司就</w:t>
      </w:r>
      <w:r>
        <w:rPr>
          <w:rFonts w:hint="eastAsia" w:ascii="宋体" w:hAnsi="宋体"/>
          <w:color w:val="000000"/>
          <w:sz w:val="24"/>
          <w:szCs w:val="24"/>
          <w:highlight w:val="none"/>
          <w:lang w:eastAsia="zh-CN"/>
        </w:rPr>
        <w:t xml:space="preserve">华庄街道雨污水管网养护服务（第二次）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JSZC-320292-YDGC-G2026-0022</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华庄街道雨污水管网养护服务（第二次）</w:t>
      </w:r>
      <w:r>
        <w:rPr>
          <w:rFonts w:hint="eastAsia" w:ascii="宋体" w:hAnsi="宋体"/>
          <w:color w:val="000000"/>
          <w:sz w:val="24"/>
          <w:szCs w:val="24"/>
          <w:highlight w:val="none"/>
        </w:rPr>
        <w:t xml:space="preserve">的潜在投标人如有投标意向须在本招标文件有效获取期内通过登录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下载的方式依法获取招标文件，并于2026年</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月20</w:t>
      </w:r>
      <w:r>
        <w:rPr>
          <w:rFonts w:hint="eastAsia" w:ascii="宋体" w:hAnsi="宋体"/>
          <w:color w:val="000000"/>
          <w:sz w:val="24"/>
          <w:szCs w:val="24"/>
          <w:highlight w:val="non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61"/>
        <w:ind w:firstLine="452"/>
        <w:keepLines w:val="0"/>
        <w:keepNext w:val="0"/>
        <w:spacing w:before="0" w:after="0" w:line="500" w:lineRule="exact"/>
        <w:rPr>
          <w:color w:val="000000"/>
          <w:sz w:val="30"/>
          <w:szCs w:val="30"/>
          <w:highlight w:val="none"/>
          <w:lang w:eastAsia="zh-CN"/>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color w:val="000000"/>
          <w:sz w:val="30"/>
          <w:szCs w:val="30"/>
          <w:highlight w:val="none"/>
          <w:lang w:eastAsia="zh-CN"/>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JSZC-320292-YDGC-G2026-0022</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华庄街道雨污水管网养护服务（第二次）</w:t>
      </w:r>
      <w:r/>
    </w:p>
    <w:p>
      <w:pPr>
        <w:numPr>
          <w:ilvl w:val="0"/>
          <w:numId w:val="5"/>
        </w:numPr>
        <w:ind w:firstLine="480"/>
        <w:spacing w:line="500" w:lineRule="exact"/>
        <w:tabs>
          <w:tab w:val="clear" w:pos="312" w:leader="none"/>
        </w:tabs>
        <w:rPr>
          <w:rFonts w:ascii="宋体" w:hAnsi="宋体"/>
          <w:color w:val="000000"/>
          <w:sz w:val="24"/>
          <w:szCs w:val="24"/>
          <w:highlight w:val="none"/>
        </w:rPr>
      </w:pPr>
      <w:r>
        <w:rPr>
          <w:rFonts w:hint="eastAsia" w:ascii="宋体" w:hAnsi="宋体"/>
          <w:color w:val="000000"/>
          <w:sz w:val="24"/>
          <w:szCs w:val="24"/>
          <w:highlight w:val="none"/>
        </w:rPr>
        <w:t xml:space="preserve">项目预算金额：</w:t>
      </w:r>
      <w:r>
        <w:rPr>
          <w:rFonts w:hint="eastAsia" w:ascii="宋体" w:hAnsi="宋体"/>
          <w:color w:val="000000"/>
          <w:sz w:val="24"/>
          <w:szCs w:val="24"/>
          <w:highlight w:val="none"/>
          <w:lang w:val="en-US" w:eastAsia="zh-CN"/>
        </w:rPr>
        <w:t xml:space="preserve">238.145658</w:t>
      </w:r>
      <w:r>
        <w:rPr>
          <w:rFonts w:hint="eastAsia" w:ascii="宋体" w:hAnsi="宋体"/>
          <w:color w:val="000000"/>
          <w:sz w:val="24"/>
          <w:szCs w:val="24"/>
          <w:highlight w:val="none"/>
        </w:rPr>
        <w:t xml:space="preserve">万元</w:t>
      </w:r>
      <w:r/>
    </w:p>
    <w:p>
      <w:pPr>
        <w:numPr>
          <w:ilvl w:val="0"/>
          <w:numId w:val="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项目最高限价：</w:t>
      </w:r>
      <w:r>
        <w:rPr>
          <w:rFonts w:hint="eastAsia" w:ascii="宋体" w:hAnsi="宋体"/>
          <w:color w:val="000000"/>
          <w:sz w:val="24"/>
          <w:szCs w:val="24"/>
          <w:highlight w:val="none"/>
          <w:lang w:val="en-US" w:eastAsia="zh-CN"/>
        </w:rPr>
        <w:t xml:space="preserve">238.145658</w:t>
      </w:r>
      <w:r>
        <w:rPr>
          <w:rFonts w:hint="eastAsia" w:ascii="宋体" w:hAnsi="宋体"/>
          <w:color w:val="000000"/>
          <w:sz w:val="24"/>
          <w:szCs w:val="24"/>
          <w:highlight w:val="none"/>
        </w:rPr>
        <w:t xml:space="preserve">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6.采购需求：对华庄街道雨污水管网及相关截流泵站进行养护服务，详见招标文件第四章《采购需求》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7.合同履行期限：2年</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961"/>
        <w:ind w:firstLine="452"/>
        <w:keepLines w:val="0"/>
        <w:keepNext w:val="0"/>
        <w:spacing w:before="0" w:after="0" w:line="500" w:lineRule="exact"/>
        <w:rPr>
          <w:color w:val="000000"/>
          <w:sz w:val="30"/>
          <w:szCs w:val="30"/>
          <w:highlight w:val="none"/>
          <w:lang w:eastAsia="zh-CN"/>
        </w:rPr>
      </w:pPr>
      <w:r/>
      <w:bookmarkStart w:id="12" w:name="_Toc38985264"/>
      <w:r/>
      <w:bookmarkStart w:id="13" w:name="_Toc35393791"/>
      <w:r/>
      <w:bookmarkStart w:id="14" w:name="_Toc28359080"/>
      <w:r/>
      <w:bookmarkStart w:id="15" w:name="_Toc35393622"/>
      <w:r/>
      <w:bookmarkStart w:id="16" w:name="_Toc28359003"/>
      <w:r>
        <w:rPr>
          <w:rFonts w:hint="eastAsia"/>
          <w:color w:val="000000"/>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28359081"/>
      <w:r/>
      <w:bookmarkStart w:id="19" w:name="_Toc38985265"/>
      <w:r/>
      <w:bookmarkStart w:id="20" w:name="_Toc35393792"/>
      <w:r/>
      <w:bookmarkStart w:id="21" w:name="_Toc35393623"/>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本项目的特定资格要求：供应商具备市政公用工程施工总承包三级及以上资质和有效的安全生产许可证。</w:t>
      </w:r>
      <w:r/>
    </w:p>
    <w:p>
      <w:pPr>
        <w:pStyle w:val="961"/>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103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61"/>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2"/>
      <w:r/>
      <w:bookmarkEnd w:id="23"/>
      <w:r>
        <w:rPr>
          <w:rFonts w:hint="eastAsia"/>
          <w:color w:val="000000"/>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1.时间：2026年</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20日9点30分（北京时间）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61"/>
        <w:ind w:firstLine="452"/>
        <w:keepLines w:val="0"/>
        <w:keepNext w:val="0"/>
        <w:spacing w:before="0" w:after="0" w:line="500" w:lineRule="exact"/>
        <w:rPr>
          <w:color w:val="000000"/>
          <w:sz w:val="30"/>
          <w:szCs w:val="30"/>
          <w:highlight w:val="none"/>
          <w:lang w:eastAsia="zh-CN"/>
        </w:rPr>
      </w:pPr>
      <w:r/>
      <w:bookmarkStart w:id="27" w:name="_Toc35393625"/>
      <w:r/>
      <w:bookmarkStart w:id="28" w:name="_Toc35393794"/>
      <w:r/>
      <w:bookmarkStart w:id="29" w:name="_Toc28359007"/>
      <w:r/>
      <w:bookmarkStart w:id="30" w:name="_Toc28359084"/>
      <w:r/>
      <w:bookmarkStart w:id="31" w:name="_Toc38985267"/>
      <w:r>
        <w:rPr>
          <w:rFonts w:hint="eastAsia"/>
          <w:color w:val="000000"/>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p>
    <w:p>
      <w:pPr>
        <w:pStyle w:val="961"/>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2"/>
      <w:r/>
      <w:bookmarkEnd w:id="33"/>
      <w:r/>
      <w:bookmarkEnd w:id="34"/>
      <w:r/>
      <w:r/>
    </w:p>
    <w:p>
      <w:pPr>
        <w:pStyle w:val="961"/>
        <w:ind w:firstLine="452"/>
        <w:keepLines w:val="0"/>
        <w:keepNext w:val="0"/>
        <w:spacing w:before="0" w:after="0" w:line="500" w:lineRule="exact"/>
        <w:rPr>
          <w:rFonts w:ascii="宋体" w:hAnsi="宋体" w:cs="宋体"/>
          <w:b w:val="0"/>
          <w:bCs w:val="0"/>
          <w:color w:val="000000"/>
          <w:sz w:val="24"/>
          <w:szCs w:val="24"/>
          <w:highlight w:val="none"/>
          <w:lang w:eastAsia="zh-CN"/>
        </w:rPr>
      </w:pPr>
      <w:r/>
      <w:bookmarkStart w:id="35" w:name="_Toc38985269"/>
      <w:r/>
      <w:bookmarkStart w:id="36" w:name="_Toc28359085"/>
      <w:r/>
      <w:bookmarkStart w:id="37" w:name="_Toc35393627"/>
      <w:r/>
      <w:bookmarkStart w:id="38" w:name="_Toc28359008"/>
      <w:r/>
      <w:bookmarkStart w:id="39" w:name="_Toc35393796"/>
      <w:r>
        <w:rPr>
          <w:rFonts w:hint="eastAsia" w:ascii="宋体" w:hAnsi="宋体" w:cs="宋体"/>
          <w:b w:val="0"/>
          <w:bCs w:val="0"/>
          <w:color w:val="000000"/>
          <w:sz w:val="24"/>
          <w:szCs w:val="24"/>
          <w:highlight w:val="none"/>
          <w:lang w:eastAsia="zh-CN"/>
        </w:rPr>
        <w:t xml:space="preserve">无</w:t>
      </w:r>
      <w:r/>
    </w:p>
    <w:p>
      <w:pPr>
        <w:pStyle w:val="961"/>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称：无锡市滨湖区华庄街道办事处</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址：无锡市滨湖区高浪东路999号启航大厦 </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称：永道工程咨询（江苏）有限公司</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址：无锡市梁溪区梨花家园商用房55#-23（二楼）</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sz w:val="24"/>
          <w:highlight w:val="none"/>
        </w:rPr>
        <w:t xml:space="preserve">陈明辉</w:t>
      </w:r>
      <w:r>
        <w:rPr>
          <w:rFonts w:hint="eastAsia" w:ascii="宋体" w:hAnsi="宋体" w:cs="宋体"/>
          <w:color w:val="000000"/>
          <w:sz w:val="24"/>
          <w:szCs w:val="24"/>
          <w:highlight w:val="none"/>
        </w:rPr>
        <w:t xml:space="preserve">；电话：</w:t>
      </w:r>
      <w:r>
        <w:rPr>
          <w:rFonts w:hint="eastAsia" w:ascii="宋体" w:hAnsi="宋体" w:cs="宋体"/>
          <w:sz w:val="24"/>
          <w:highlight w:val="none"/>
        </w:rPr>
        <w:t xml:space="preserve">15852730338</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sz w:val="24"/>
          <w:szCs w:val="24"/>
          <w:highlight w:val="none"/>
          <w:shd w:val="clear" w:color="auto" w:fill="ffffff"/>
        </w:rPr>
        <w:t xml:space="preserve">姚小军、顾方民</w:t>
      </w:r>
      <w:r>
        <w:rPr>
          <w:rFonts w:hint="eastAsia" w:ascii="宋体" w:hAnsi="宋体" w:cs="宋体"/>
          <w:color w:val="000000"/>
          <w:sz w:val="24"/>
          <w:szCs w:val="24"/>
          <w:highlight w:val="none"/>
        </w:rPr>
        <w:t xml:space="preserve">；电话：</w:t>
      </w:r>
      <w:r>
        <w:rPr>
          <w:rFonts w:hint="eastAsia" w:ascii="宋体" w:hAnsi="宋体" w:cs="宋体"/>
          <w:sz w:val="24"/>
          <w:szCs w:val="24"/>
          <w:highlight w:val="none"/>
          <w:shd w:val="clear" w:color="auto" w:fill="ffffff"/>
        </w:rPr>
        <w:t xml:space="preserve">0510-83568806</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代理机构项目联系人：</w:t>
      </w:r>
      <w:r>
        <w:rPr>
          <w:rFonts w:hint="eastAsia" w:ascii="宋体" w:hAnsi="宋体" w:cs="宋体"/>
          <w:sz w:val="24"/>
          <w:szCs w:val="24"/>
          <w:highlight w:val="none"/>
          <w:shd w:val="clear" w:color="auto" w:fill="ffffff"/>
        </w:rPr>
        <w:t xml:space="preserve">姚小军、顾方民</w:t>
      </w:r>
      <w:r>
        <w:rPr>
          <w:rFonts w:hint="eastAsia" w:ascii="宋体" w:hAnsi="宋体" w:cs="宋体"/>
          <w:color w:val="000000"/>
          <w:sz w:val="24"/>
          <w:szCs w:val="24"/>
          <w:highlight w:val="none"/>
        </w:rPr>
        <w:t xml:space="preserve">；电话：</w:t>
      </w:r>
      <w:r>
        <w:rPr>
          <w:rFonts w:hint="eastAsia" w:ascii="宋体" w:hAnsi="宋体" w:cs="宋体"/>
          <w:sz w:val="24"/>
          <w:szCs w:val="24"/>
          <w:highlight w:val="none"/>
          <w:shd w:val="clear" w:color="auto" w:fill="ffffff"/>
        </w:rPr>
        <w:t xml:space="preserve">0510-83568806</w:t>
      </w:r>
      <w:r>
        <w:rPr>
          <w:rFonts w:hint="eastAsia" w:ascii="宋体" w:hAnsi="宋体" w:cs="宋体"/>
          <w:color w:val="000000"/>
          <w:sz w:val="24"/>
          <w:szCs w:val="24"/>
          <w:highlight w:val="none"/>
        </w:rPr>
        <w:t xml:space="preserve">，邮箱：</w:t>
      </w:r>
      <w:r>
        <w:rPr>
          <w:rFonts w:hint="eastAsia" w:ascii="宋体" w:hAnsi="宋体" w:cs="宋体"/>
          <w:sz w:val="24"/>
          <w:szCs w:val="24"/>
          <w:highlight w:val="none"/>
          <w:shd w:val="clear" w:color="auto" w:fill="ffffff"/>
        </w:rPr>
        <w:t xml:space="preserve">2664967990@qq.com</w:t>
      </w:r>
      <w:r/>
    </w:p>
    <w:p>
      <w:pPr>
        <w:pStyle w:val="961"/>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w:t>
      </w:r>
      <w:r>
        <w:rPr>
          <w:rFonts w:hint="eastAsia" w:ascii="宋体" w:hAnsi="宋体"/>
          <w:color w:val="000000"/>
          <w:sz w:val="24"/>
          <w:szCs w:val="24"/>
          <w:highlight w:val="none"/>
        </w:rPr>
        <w:t xml:space="preserve">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（三）有关本次采购的事项若存在变动或修改，敬请及时关注永道工程咨询（江苏）有限公司在“江苏政府采购网”发布的更正公告。</w:t>
      </w:r>
      <w:r/>
    </w:p>
    <w:p>
      <w:pPr>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
    </w:p>
    <w:p>
      <w:pPr>
        <w:pStyle w:val="961"/>
        <w:ind w:firstLine="452"/>
        <w:keepLines w:val="0"/>
        <w:keepNext w:val="0"/>
        <w:spacing w:before="0" w:after="0" w:line="500" w:lineRule="exact"/>
        <w:rPr>
          <w:color w:val="000000"/>
          <w:sz w:val="30"/>
          <w:szCs w:val="30"/>
          <w:highlight w:val="none"/>
          <w:lang w:eastAsia="zh-CN"/>
        </w:rPr>
      </w:pPr>
      <w:r/>
      <w:bookmarkStart w:id="47" w:name="_Toc16938519"/>
      <w:r/>
      <w:bookmarkStart w:id="48" w:name="_Toc20823275"/>
      <w:r/>
      <w:bookmarkStart w:id="49" w:name="_Toc120614214"/>
      <w:r/>
      <w:bookmarkStart w:id="50" w:name="_Toc513029203"/>
      <w:r>
        <w:rPr>
          <w:rFonts w:hint="eastAsia"/>
          <w:color w:val="000000"/>
          <w:sz w:val="30"/>
          <w:szCs w:val="30"/>
          <w:highlight w:val="none"/>
          <w:lang w:eastAsia="zh-CN"/>
        </w:rPr>
        <w:t xml:space="preserve">一、总则</w:t>
      </w:r>
      <w:bookmarkEnd w:id="47"/>
      <w:r/>
      <w:bookmarkEnd w:id="48"/>
      <w:r/>
      <w:bookmarkEnd w:id="49"/>
      <w:r/>
      <w:bookmarkEnd w:id="50"/>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highlight w:val="none"/>
          <w:lang w:eastAsia="zh-CN"/>
        </w:rPr>
        <w:t xml:space="preserve">1.招标方式</w:t>
      </w:r>
      <w:bookmarkEnd w:id="52"/>
      <w:r/>
      <w:bookmarkEnd w:id="53"/>
      <w:r/>
      <w:bookmarkEnd w:id="54"/>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55" w:name="_Toc16938521"/>
      <w:r/>
      <w:bookmarkStart w:id="56" w:name="_Toc513029205"/>
      <w:r/>
      <w:bookmarkStart w:id="57" w:name="_Toc20823277"/>
      <w:r>
        <w:rPr>
          <w:rFonts w:hint="eastAsia" w:ascii="宋体" w:hAnsi="宋体" w:eastAsia="宋体"/>
          <w:bCs w:val="0"/>
          <w:color w:val="000000"/>
          <w:highlight w:val="none"/>
          <w:lang w:eastAsia="zh-CN"/>
        </w:rPr>
        <w:t xml:space="preserve">2.</w:t>
      </w:r>
      <w:bookmarkEnd w:id="55"/>
      <w:r/>
      <w:bookmarkEnd w:id="56"/>
      <w:r/>
      <w:bookmarkEnd w:id="57"/>
      <w:r>
        <w:rPr>
          <w:rFonts w:hint="eastAsia" w:ascii="宋体" w:hAnsi="宋体" w:eastAsia="宋体"/>
          <w:bCs w:val="0"/>
          <w:color w:val="000000"/>
          <w:highlight w:val="none"/>
          <w:lang w:eastAsia="zh-CN"/>
        </w:rPr>
        <w:t xml:space="preserve">采购人、采购代理机构、投标人、联合体</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58" w:name="_Toc20823278"/>
      <w:r/>
      <w:bookmarkStart w:id="59" w:name="_Toc16938522"/>
      <w:r/>
      <w:bookmarkStart w:id="60" w:name="_Toc513029206"/>
      <w:r>
        <w:rPr>
          <w:rFonts w:hint="eastAsia" w:ascii="宋体" w:hAnsi="宋体" w:eastAsia="宋体"/>
          <w:bCs w:val="0"/>
          <w:color w:val="000000"/>
          <w:highlight w:val="none"/>
          <w:lang w:eastAsia="zh-CN"/>
        </w:rPr>
        <w:t xml:space="preserve">3.适用法律</w:t>
      </w:r>
      <w:bookmarkEnd w:id="58"/>
      <w:r/>
      <w:bookmarkEnd w:id="59"/>
      <w:r/>
      <w:bookmarkEnd w:id="6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61" w:name="_Toc20823279"/>
      <w:r/>
      <w:bookmarkStart w:id="62" w:name="_Toc16938523"/>
      <w:r/>
      <w:bookmarkStart w:id="63" w:name="_Toc462564067"/>
      <w:r/>
      <w:bookmarkStart w:id="64" w:name="_Toc513029207"/>
      <w:r>
        <w:rPr>
          <w:rFonts w:hint="eastAsia" w:ascii="宋体" w:hAnsi="宋体" w:eastAsia="宋体"/>
          <w:bCs w:val="0"/>
          <w:color w:val="000000"/>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投标人应自行承担所有与参加投标有关的费用，无论投标过程中的做法和结果如何，永道工程咨询（江苏）有限公司（以下简称代理机构）在任何情况下均无义务和责任承担这些费用。</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4.2本次招标标书工本费、招标文件均免费。</w:t>
      </w:r>
      <w:r/>
    </w:p>
    <w:p>
      <w:pPr>
        <w:ind w:firstLine="480"/>
        <w:spacing w:line="500" w:lineRule="exact"/>
        <w:rPr>
          <w:rFonts w:ascii="宋体" w:hAnsi="宋体"/>
          <w:b/>
          <w:bCs/>
          <w:color w:val="000000"/>
          <w:sz w:val="24"/>
          <w:highlight w:val="none"/>
        </w:rPr>
      </w:pPr>
      <w:r>
        <w:rPr>
          <w:rFonts w:hint="eastAsia" w:ascii="宋体" w:hAnsi="宋体"/>
          <w:b/>
          <w:bCs/>
          <w:color w:val="000000"/>
          <w:sz w:val="24"/>
          <w:highlight w:val="none"/>
        </w:rPr>
        <w:t xml:space="preserve">4.3本次招标中标服务费由招标人支付，按中标金额为计费基础，按差额定率累进法计算后的50%计取，100万以下部分费率为1.5%，100万-500万部分费率为0.8%。</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61"/>
        <w:ind w:firstLine="452"/>
        <w:keepLines w:val="0"/>
        <w:keepNext w:val="0"/>
        <w:spacing w:before="0" w:after="0" w:line="500" w:lineRule="exact"/>
        <w:rPr>
          <w:color w:val="000000"/>
          <w:sz w:val="30"/>
          <w:szCs w:val="30"/>
          <w:highlight w:val="none"/>
          <w:lang w:eastAsia="zh-CN"/>
        </w:rPr>
      </w:pPr>
      <w:r/>
      <w:bookmarkStart w:id="65" w:name="_Toc16938525"/>
      <w:r/>
      <w:bookmarkStart w:id="66" w:name="_Toc120614215"/>
      <w:r/>
      <w:bookmarkStart w:id="67" w:name="_Toc20823281"/>
      <w:r/>
      <w:bookmarkStart w:id="68" w:name="_Toc513029209"/>
      <w:r>
        <w:rPr>
          <w:rFonts w:hint="eastAsia"/>
          <w:color w:val="000000"/>
          <w:sz w:val="30"/>
          <w:szCs w:val="30"/>
          <w:highlight w:val="none"/>
          <w:lang w:eastAsia="zh-CN"/>
        </w:rPr>
        <w:t xml:space="preserve">二、招标文件</w:t>
      </w:r>
      <w:bookmarkEnd w:id="65"/>
      <w:r/>
      <w:bookmarkEnd w:id="66"/>
      <w:r/>
      <w:bookmarkEnd w:id="67"/>
      <w:r/>
      <w:bookmarkEnd w:id="68"/>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69" w:name="_Toc16938526"/>
      <w:r/>
      <w:bookmarkStart w:id="70" w:name="_Toc513029210"/>
      <w:r/>
      <w:bookmarkStart w:id="71" w:name="_Toc20823282"/>
      <w:r>
        <w:rPr>
          <w:rFonts w:hint="eastAsia" w:ascii="宋体" w:hAnsi="宋体" w:eastAsia="宋体"/>
          <w:bCs w:val="0"/>
          <w:color w:val="000000"/>
          <w:highlight w:val="none"/>
          <w:lang w:eastAsia="zh-CN"/>
        </w:rPr>
        <w:t xml:space="preserve">6.招标文件构成</w:t>
      </w:r>
      <w:bookmarkEnd w:id="69"/>
      <w:r/>
      <w:bookmarkEnd w:id="70"/>
      <w:r/>
      <w:bookmarkEnd w:id="71"/>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i/>
          <w:color w:val="000000"/>
          <w:sz w:val="24"/>
          <w:highlight w:val="none"/>
        </w:rPr>
      </w:pPr>
      <w:r>
        <w:rPr>
          <w:rFonts w:hint="eastAsia" w:ascii="宋体" w:hAnsi="宋体"/>
          <w:bCs/>
          <w:color w:val="000000"/>
          <w:sz w:val="24"/>
          <w:highlight w:val="none"/>
        </w:rPr>
        <w:t xml:space="preserve">7.1</w:t>
      </w:r>
      <w:r>
        <w:rPr>
          <w:rFonts w:ascii="宋体" w:hAnsi="宋体"/>
          <w:bCs/>
          <w:i/>
          <w:color w:val="000000"/>
          <w:sz w:val="24"/>
          <w:highlight w:val="none"/>
        </w:rPr>
        <w:t xml:space="preserve"> </w:t>
      </w:r>
      <w:r>
        <w:rPr>
          <w:rFonts w:hint="eastAsia" w:ascii="宋体" w:hAnsi="宋体"/>
          <w:bCs/>
          <w:color w:val="000000"/>
          <w:sz w:val="24"/>
          <w:highlight w:val="none"/>
        </w:rPr>
        <w:t xml:space="preserve">代理机构根据采购人要求将于以下答疑时间前进行答疑。投标人如有需要对招标文件要求澄清的问题，请于以下提疑时间前</w:t>
      </w:r>
      <w:r>
        <w:rPr>
          <w:rFonts w:hint="eastAsia" w:ascii="宋体" w:hAnsi="宋体"/>
          <w:color w:val="000000"/>
          <w:sz w:val="24"/>
          <w:highlight w:val="none"/>
        </w:rPr>
        <w:t xml:space="preserve">按招标公告</w:t>
      </w:r>
      <w:r>
        <w:rPr>
          <w:rFonts w:hint="eastAsia" w:ascii="宋体" w:hAnsi="宋体"/>
          <w:bCs/>
          <w:color w:val="000000"/>
          <w:sz w:val="24"/>
          <w:highlight w:val="none"/>
        </w:rPr>
        <w:t xml:space="preserve">或招标文件中</w:t>
      </w:r>
      <w:r>
        <w:rPr>
          <w:rFonts w:hint="eastAsia" w:ascii="宋体" w:hAnsi="宋体"/>
          <w:color w:val="000000"/>
          <w:sz w:val="24"/>
          <w:highlight w:val="none"/>
        </w:rPr>
        <w:t xml:space="preserve">的联系方式以书面形式通知代理机构。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提疑时间：2026年</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月0</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日10:00</w:t>
      </w:r>
      <w:r/>
    </w:p>
    <w:p>
      <w:pPr>
        <w:ind w:firstLine="480"/>
        <w:spacing w:line="500" w:lineRule="exact"/>
        <w:rPr>
          <w:highlight w:val="none"/>
        </w:rPr>
      </w:pPr>
      <w:r>
        <w:rPr>
          <w:rFonts w:hint="eastAsia" w:ascii="宋体" w:hAnsi="宋体"/>
          <w:bCs/>
          <w:color w:val="000000"/>
          <w:sz w:val="24"/>
          <w:szCs w:val="24"/>
          <w:highlight w:val="none"/>
        </w:rPr>
        <w:t xml:space="preserve">答疑时间：2026年</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月05</w:t>
      </w:r>
      <w:r>
        <w:rPr>
          <w:rFonts w:hint="eastAsia" w:ascii="宋体" w:hAnsi="宋体"/>
          <w:bCs/>
          <w:color w:val="000000"/>
          <w:sz w:val="24"/>
          <w:szCs w:val="24"/>
          <w:highlight w:val="none"/>
        </w:rPr>
        <w:t xml:space="preserve">日17:00</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答疑会时间：不组织现场答疑</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答疑会地点：/</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76" w:name="_Toc16938528"/>
      <w:r/>
      <w:bookmarkStart w:id="77" w:name="_Toc20823284"/>
      <w:r/>
      <w:bookmarkStart w:id="78" w:name="_Toc513029212"/>
      <w:r/>
      <w:bookmarkStart w:id="79" w:name="_Toc462564071"/>
      <w:r>
        <w:rPr>
          <w:rFonts w:hint="eastAsia" w:ascii="宋体" w:hAnsi="宋体" w:eastAsia="宋体"/>
          <w:bCs w:val="0"/>
          <w:color w:val="000000"/>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61"/>
        <w:ind w:firstLine="452"/>
        <w:keepLines w:val="0"/>
        <w:keepNext w:val="0"/>
        <w:spacing w:before="0" w:after="0" w:line="500" w:lineRule="exact"/>
        <w:rPr>
          <w:color w:val="000000"/>
          <w:sz w:val="30"/>
          <w:szCs w:val="30"/>
          <w:highlight w:val="none"/>
          <w:lang w:eastAsia="zh-CN"/>
        </w:rPr>
      </w:pPr>
      <w:r/>
      <w:bookmarkStart w:id="80" w:name="_Toc513029213"/>
      <w:r/>
      <w:bookmarkStart w:id="81" w:name="_Toc16938529"/>
      <w:r/>
      <w:bookmarkStart w:id="82" w:name="_Toc120614216"/>
      <w:r/>
      <w:bookmarkStart w:id="83" w:name="_Toc20823285"/>
      <w:r/>
      <w:bookmarkStart w:id="84" w:name="_Toc462564072"/>
      <w:r>
        <w:rPr>
          <w:rFonts w:hint="eastAsia"/>
          <w:color w:val="000000"/>
          <w:sz w:val="30"/>
          <w:szCs w:val="30"/>
          <w:highlight w:val="none"/>
          <w:lang w:eastAsia="zh-CN"/>
        </w:rPr>
        <w:t xml:space="preserve">三、投标文件的编制</w:t>
      </w:r>
      <w:bookmarkEnd w:id="80"/>
      <w:r/>
      <w:bookmarkEnd w:id="81"/>
      <w:r/>
      <w:bookmarkEnd w:id="82"/>
      <w:r/>
      <w:bookmarkEnd w:id="83"/>
      <w:r/>
      <w:bookmarkEnd w:id="84"/>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85" w:name="_Toc16938530"/>
      <w:r/>
      <w:bookmarkStart w:id="86" w:name="_Toc462564073"/>
      <w:r/>
      <w:bookmarkStart w:id="87" w:name="_Toc20823286"/>
      <w:r/>
      <w:bookmarkStart w:id="88" w:name="_Toc513029214"/>
      <w:r>
        <w:rPr>
          <w:rFonts w:hint="eastAsia" w:ascii="宋体" w:hAnsi="宋体" w:eastAsia="宋体"/>
          <w:bCs w:val="0"/>
          <w:color w:val="000000"/>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89" w:name="_Toc513029215"/>
      <w:r/>
      <w:bookmarkStart w:id="90" w:name="_Toc462564074"/>
      <w:r/>
      <w:bookmarkStart w:id="91" w:name="_Toc20823287"/>
      <w:r/>
      <w:bookmarkStart w:id="92" w:name="_Toc16938531"/>
      <w:r>
        <w:rPr>
          <w:rFonts w:hint="eastAsia" w:ascii="宋体" w:hAnsi="宋体" w:eastAsia="宋体"/>
          <w:bCs w:val="0"/>
          <w:color w:val="000000"/>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7"/>
      <w:r/>
      <w:bookmarkStart w:id="98" w:name="_Toc14577354"/>
      <w:r/>
      <w:bookmarkStart w:id="99" w:name="_Toc14577357"/>
      <w:r/>
      <w:bookmarkStart w:id="100" w:name="_Toc513029216"/>
      <w:r/>
      <w:bookmarkStart w:id="101" w:name="_Toc49090509"/>
      <w:r>
        <w:rPr>
          <w:rFonts w:hint="eastAsia" w:ascii="宋体" w:hAnsi="宋体" w:eastAsia="宋体"/>
          <w:bCs w:val="0"/>
          <w:color w:val="000000"/>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highlight w:val="none"/>
        </w:rPr>
      </w:pPr>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04" w:name="_Toc14577359"/>
      <w:r/>
      <w:bookmarkStart w:id="105" w:name="_Toc49090510"/>
      <w:r>
        <w:rPr>
          <w:rFonts w:hint="eastAsia" w:ascii="宋体" w:hAnsi="宋体" w:eastAsia="宋体"/>
          <w:bCs w:val="0"/>
          <w:color w:val="000000"/>
          <w:highlight w:val="none"/>
          <w:lang w:eastAsia="zh-CN"/>
        </w:rPr>
        <w:t xml:space="preserve">12.投标函、承诺书和开标一览表</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2"/>
      <w:r/>
      <w:bookmarkEnd w:id="103"/>
      <w:r>
        <w:rPr>
          <w:rFonts w:hint="eastAsia" w:ascii="宋体" w:hAnsi="宋体" w:eastAsia="宋体"/>
          <w:bCs w:val="0"/>
          <w:color w:val="000000"/>
          <w:highlight w:val="none"/>
          <w:lang w:eastAsia="zh-CN"/>
        </w:rPr>
        <w:t xml:space="preserve">分项报价表</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08" w:name="_Hlt26954844"/>
      <w:r/>
      <w:bookmarkEnd w:id="108"/>
      <w:r/>
      <w:bookmarkStart w:id="109" w:name="_Hlt26954731"/>
      <w:r/>
      <w:bookmarkEnd w:id="109"/>
      <w:r/>
      <w:bookmarkStart w:id="110" w:name="_Hlt26670425"/>
      <w:r/>
      <w:bookmarkEnd w:id="110"/>
      <w:r/>
      <w:bookmarkStart w:id="111" w:name="_Hlt26954846"/>
      <w:r/>
      <w:bookmarkEnd w:id="111"/>
      <w:r/>
      <w:bookmarkStart w:id="112" w:name="_Hlt26670403"/>
      <w:r/>
      <w:bookmarkEnd w:id="112"/>
      <w:r/>
      <w:bookmarkStart w:id="113" w:name="_Hlt26670486"/>
      <w:r/>
      <w:bookmarkEnd w:id="113"/>
      <w:r/>
      <w:bookmarkStart w:id="114" w:name="_Hlt26670482"/>
      <w:r/>
      <w:bookmarkEnd w:id="114"/>
      <w:r/>
      <w:bookmarkStart w:id="115" w:name="_Hlt26954848"/>
      <w:r/>
      <w:bookmarkEnd w:id="115"/>
      <w:r/>
      <w:bookmarkStart w:id="116" w:name="_Hlt26668983"/>
      <w:r/>
      <w:bookmarkEnd w:id="116"/>
      <w:r/>
      <w:bookmarkStart w:id="117" w:name="_Hlt26954842"/>
      <w:r/>
      <w:bookmarkEnd w:id="117"/>
      <w:r>
        <w:rPr>
          <w:rFonts w:hint="eastAsia" w:ascii="宋体" w:hAnsi="宋体" w:eastAsia="宋体"/>
          <w:bCs w:val="0"/>
          <w:color w:val="000000"/>
          <w:highlight w:val="none"/>
          <w:lang w:eastAsia="zh-CN"/>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000000"/>
          <w:highlight w:val="none"/>
          <w:lang w:eastAsia="zh-CN"/>
        </w:rPr>
        <w:t xml:space="preserve">15.投标有效期</w:t>
      </w:r>
      <w:bookmarkEnd w:id="121"/>
      <w:r/>
      <w:bookmarkEnd w:id="122"/>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61"/>
        <w:ind w:firstLine="452"/>
        <w:keepLines w:val="0"/>
        <w:keepNext w:val="0"/>
        <w:spacing w:before="0" w:after="0" w:line="500" w:lineRule="exact"/>
        <w:rPr>
          <w:color w:val="000000"/>
          <w:sz w:val="30"/>
          <w:szCs w:val="30"/>
          <w:highlight w:val="none"/>
          <w:lang w:eastAsia="zh-CN"/>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color w:val="000000"/>
          <w:sz w:val="30"/>
          <w:szCs w:val="30"/>
          <w:highlight w:val="none"/>
          <w:lang w:eastAsia="zh-CN"/>
        </w:rPr>
        <w:t xml:space="preserve">四、投标文件的递交</w:t>
      </w:r>
      <w:bookmarkEnd w:id="125"/>
      <w:r/>
      <w:bookmarkEnd w:id="126"/>
      <w:r/>
      <w:bookmarkEnd w:id="127"/>
      <w:r/>
      <w:bookmarkEnd w:id="128"/>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29" w:name="_Toc462564084"/>
      <w:r/>
      <w:bookmarkStart w:id="130" w:name="_Toc20823297"/>
      <w:r/>
      <w:bookmarkStart w:id="131" w:name="_Toc16938541"/>
      <w:r/>
      <w:bookmarkStart w:id="132" w:name="_Toc513029225"/>
      <w:r>
        <w:rPr>
          <w:rFonts w:hint="eastAsia" w:ascii="宋体" w:hAnsi="宋体" w:eastAsia="宋体"/>
          <w:bCs w:val="0"/>
          <w:color w:val="000000"/>
          <w:highlight w:val="none"/>
          <w:lang w:eastAsia="zh-CN"/>
        </w:rPr>
        <w:t xml:space="preserve">17.投标文件</w:t>
      </w:r>
      <w:bookmarkEnd w:id="129"/>
      <w:r/>
      <w:bookmarkEnd w:id="130"/>
      <w:r/>
      <w:bookmarkEnd w:id="131"/>
      <w:r/>
      <w:bookmarkEnd w:id="132"/>
      <w:r>
        <w:rPr>
          <w:rFonts w:hint="eastAsia" w:ascii="宋体" w:hAnsi="宋体" w:eastAsia="宋体"/>
          <w:bCs w:val="0"/>
          <w:color w:val="000000"/>
          <w:highlight w:val="none"/>
          <w:lang w:eastAsia="zh-CN"/>
        </w:rPr>
        <w:t xml:space="preserve">的递交</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68"/>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20823298"/>
      <w:r/>
      <w:bookmarkStart w:id="135" w:name="_Toc513029226"/>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3"/>
      <w:r/>
      <w:bookmarkEnd w:id="134"/>
      <w:r/>
      <w:bookmarkEnd w:id="135"/>
      <w:r>
        <w:rPr>
          <w:rFonts w:hint="eastAsia" w:ascii="宋体" w:hAnsi="宋体" w:eastAsia="宋体"/>
          <w:bCs w:val="0"/>
          <w:color w:val="000000"/>
          <w:highlight w:val="none"/>
          <w:lang w:eastAsia="zh-CN"/>
        </w:rPr>
        <w:t xml:space="preserve">时间</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36" w:name="_Toc20823299"/>
      <w:r/>
      <w:bookmarkStart w:id="137" w:name="_Toc16938543"/>
      <w:r/>
      <w:bookmarkStart w:id="138" w:name="_Toc513029227"/>
      <w:r>
        <w:rPr>
          <w:rFonts w:hint="eastAsia" w:ascii="宋体" w:hAnsi="宋体" w:eastAsia="宋体"/>
          <w:bCs w:val="0"/>
          <w:color w:val="000000"/>
          <w:highlight w:val="none"/>
          <w:lang w:eastAsia="zh-CN"/>
        </w:rPr>
        <w:t xml:space="preserve">19.投标文件</w:t>
      </w:r>
      <w:bookmarkEnd w:id="136"/>
      <w:r/>
      <w:bookmarkEnd w:id="137"/>
      <w:r/>
      <w:bookmarkEnd w:id="138"/>
      <w:r>
        <w:rPr>
          <w:rFonts w:hint="eastAsia" w:ascii="宋体" w:hAnsi="宋体" w:eastAsia="宋体"/>
          <w:bCs w:val="0"/>
          <w:color w:val="000000"/>
          <w:highlight w:val="none"/>
          <w:lang w:eastAsia="zh-CN"/>
        </w:rPr>
        <w:t xml:space="preserve">的拒收</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39" w:name="_Toc513029228"/>
      <w:r/>
      <w:bookmarkStart w:id="140" w:name="_Toc16938544"/>
      <w:r/>
      <w:bookmarkStart w:id="141" w:name="_Toc20823300"/>
      <w:r>
        <w:rPr>
          <w:rFonts w:hint="eastAsia" w:ascii="宋体" w:hAnsi="宋体" w:eastAsia="宋体"/>
          <w:bCs w:val="0"/>
          <w:color w:val="000000"/>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61"/>
        <w:ind w:firstLine="452"/>
        <w:keepLines w:val="0"/>
        <w:keepNext w:val="0"/>
        <w:spacing w:before="0" w:after="0" w:line="500" w:lineRule="exact"/>
        <w:rPr>
          <w:color w:val="000000"/>
          <w:sz w:val="30"/>
          <w:szCs w:val="30"/>
          <w:highlight w:val="none"/>
          <w:lang w:eastAsia="zh-CN"/>
        </w:rPr>
      </w:pPr>
      <w:r/>
      <w:bookmarkStart w:id="142" w:name="_Toc513029229"/>
      <w:r/>
      <w:bookmarkStart w:id="143" w:name="_Toc16938545"/>
      <w:r/>
      <w:bookmarkStart w:id="144" w:name="_Toc120614218"/>
      <w:r/>
      <w:bookmarkStart w:id="145" w:name="_Toc20823301"/>
      <w:r>
        <w:rPr>
          <w:rFonts w:hint="eastAsia"/>
          <w:color w:val="000000"/>
          <w:sz w:val="30"/>
          <w:szCs w:val="30"/>
          <w:highlight w:val="none"/>
          <w:lang w:eastAsia="zh-CN"/>
        </w:rPr>
        <w:t xml:space="preserve">五、开标与评标</w:t>
      </w:r>
      <w:bookmarkEnd w:id="142"/>
      <w:r/>
      <w:bookmarkEnd w:id="143"/>
      <w:r/>
      <w:bookmarkEnd w:id="144"/>
      <w:r/>
      <w:bookmarkEnd w:id="145"/>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46" w:name="_Toc513029230"/>
      <w:r/>
      <w:bookmarkStart w:id="147" w:name="_Toc16938546"/>
      <w:r/>
      <w:bookmarkStart w:id="148" w:name="_Toc20823302"/>
      <w:r>
        <w:rPr>
          <w:rFonts w:hint="eastAsia" w:ascii="宋体" w:hAnsi="宋体" w:eastAsia="宋体"/>
          <w:bCs w:val="0"/>
          <w:color w:val="000000"/>
          <w:highlight w:val="none"/>
          <w:lang w:eastAsia="zh-CN"/>
        </w:rPr>
        <w:t xml:space="preserve">21.开标</w:t>
      </w:r>
      <w:bookmarkEnd w:id="146"/>
      <w:r/>
      <w:bookmarkEnd w:id="147"/>
      <w:r/>
      <w:bookmarkEnd w:id="148"/>
      <w:r/>
      <w:r/>
    </w:p>
    <w:p>
      <w:pPr>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49" w:name="_Toc16938547"/>
      <w:r/>
      <w:bookmarkStart w:id="150" w:name="_Toc513029231"/>
      <w:r/>
      <w:bookmarkStart w:id="151" w:name="_Toc20823303"/>
      <w:r>
        <w:rPr>
          <w:rFonts w:hint="eastAsia" w:ascii="宋体" w:hAnsi="宋体" w:eastAsia="宋体"/>
          <w:bCs w:val="0"/>
          <w:color w:val="000000"/>
          <w:highlight w:val="none"/>
          <w:lang w:eastAsia="zh-CN"/>
        </w:rPr>
        <w:t xml:space="preserve">22.评标委员会</w:t>
      </w:r>
      <w:r/>
    </w:p>
    <w:p>
      <w:pPr>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52" w:name="_Toc16938548"/>
      <w:r/>
      <w:bookmarkStart w:id="153" w:name="_Toc513029232"/>
      <w:r/>
      <w:bookmarkStart w:id="154" w:name="_Toc20823304"/>
      <w:r>
        <w:rPr>
          <w:rFonts w:hint="eastAsia" w:ascii="宋体" w:hAnsi="宋体" w:eastAsia="宋体"/>
          <w:bCs w:val="0"/>
          <w:color w:val="000000"/>
          <w:highlight w:val="none"/>
          <w:lang w:eastAsia="zh-CN"/>
        </w:rPr>
        <w:t xml:space="preserve">24.投标文件的澄清</w:t>
      </w:r>
      <w:bookmarkEnd w:id="152"/>
      <w:r/>
      <w:bookmarkEnd w:id="153"/>
      <w:r/>
      <w:bookmarkEnd w:id="154"/>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55" w:name="_Toc20823305"/>
      <w:r/>
      <w:bookmarkStart w:id="156" w:name="_Toc16938549"/>
      <w:r/>
      <w:bookmarkStart w:id="157" w:name="_Toc513029233"/>
      <w:r>
        <w:rPr>
          <w:rFonts w:hint="eastAsia" w:ascii="宋体" w:hAnsi="宋体" w:eastAsia="宋体"/>
          <w:bCs w:val="0"/>
          <w:color w:val="000000"/>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25.1.1资格审查：依据法律法规和招标文件的规定，由采购人或采购代理对投标文件中的资格证明文件进行审查。</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highlight w:val="none"/>
        </w:rPr>
      </w:pPr>
      <w:r/>
      <w:bookmarkStart w:id="158" w:name="_Toc20823306"/>
      <w:r/>
      <w:bookmarkStart w:id="159" w:name="_Toc513029234"/>
      <w:r/>
      <w:bookmarkStart w:id="160" w:name="_Toc16938550"/>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58"/>
      <w:r/>
      <w:bookmarkEnd w:id="159"/>
      <w:r/>
      <w:bookmarkEnd w:id="160"/>
      <w:r>
        <w:rPr>
          <w:rFonts w:hint="eastAsia" w:ascii="宋体" w:hAnsi="宋体" w:eastAsia="宋体"/>
          <w:bCs w:val="0"/>
          <w:color w:val="000000"/>
          <w:highlight w:val="none"/>
          <w:lang w:eastAsia="zh-CN"/>
        </w:rPr>
        <w:t xml:space="preserve">.无效投标条款和废标条款</w:t>
      </w:r>
      <w:r/>
    </w:p>
    <w:p>
      <w:pPr>
        <w:ind w:left="479"/>
        <w:spacing w:line="500" w:lineRule="exact"/>
        <w:rPr>
          <w:rFonts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26.1.21除单一来源采购项目外，为采购项目提供整体设计、规范编制或者项目管理、监理、检测等服务的</w:t>
      </w:r>
      <w:r>
        <w:rPr>
          <w:rFonts w:hint="eastAsia" w:ascii="宋体" w:hAnsi="宋体"/>
          <w:bCs/>
          <w:color w:val="000000"/>
          <w:sz w:val="24"/>
          <w:szCs w:val="24"/>
          <w:highlight w:val="none"/>
        </w:rPr>
        <w:t xml:space="preserve">。</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26.1.22评标委员会按照《关于推动解决政府采购异常低价问题的通知》（财库〔2026〕2号）规定对投标人进行异常低价投标（响应）审查</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具体如下</w:t>
      </w:r>
      <w:r>
        <w:rPr>
          <w:rFonts w:hint="eastAsia" w:ascii="宋体" w:hAnsi="宋体"/>
          <w:bCs/>
          <w:color w:val="000000"/>
          <w:sz w:val="24"/>
          <w:szCs w:val="24"/>
          <w:highlight w:val="none"/>
          <w:lang w:eastAsia="zh-CN"/>
        </w:rPr>
        <w:t xml:space="preserve">。</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（一）政府采购评审中出现下列情形之一的，评审委员会应当启动异常低价投标（响应）审查程序：</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3.投标（响应）报价低于采购项目最高限价45%的，即投标（响应）报价&lt;采购项目最高限价×45%；</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相关法律法规对供应商报价有规定的，从其规定。</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bCs/>
          <w:color w:val="000000"/>
          <w:sz w:val="24"/>
          <w:highlight w:val="none"/>
          <w:shd w:val="clear" w:color="ffffff" w:fill="d9d9d9"/>
          <w:lang w:eastAsia="zh-CN"/>
        </w:rPr>
      </w:pPr>
      <w:r>
        <w:rPr>
          <w:rFonts w:hint="eastAsia" w:ascii="宋体" w:hAnsi="宋体"/>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26.1.23投标文件内容不全或不符合招标文件中规定的其他实质性要求和条件的。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ascii="宋体" w:hAnsi="宋体"/>
          <w:bCs/>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sz w:val="24"/>
          <w:highlight w:val="none"/>
        </w:rPr>
        <w:t xml:space="preserve">。</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61"/>
        <w:ind w:firstLine="452"/>
        <w:keepLines w:val="0"/>
        <w:keepNext w:val="0"/>
        <w:spacing w:before="0" w:after="0" w:line="500" w:lineRule="exact"/>
        <w:rPr>
          <w:color w:val="000000"/>
          <w:sz w:val="30"/>
          <w:szCs w:val="30"/>
          <w:highlight w:val="none"/>
          <w:lang w:eastAsia="zh-CN"/>
        </w:rPr>
      </w:pPr>
      <w:r/>
      <w:bookmarkStart w:id="164" w:name="_Toc120614219"/>
      <w:r>
        <w:rPr>
          <w:rFonts w:hint="eastAsia"/>
          <w:color w:val="000000"/>
          <w:sz w:val="30"/>
          <w:szCs w:val="30"/>
          <w:highlight w:val="none"/>
          <w:lang w:eastAsia="zh-CN"/>
        </w:rPr>
        <w:t xml:space="preserve">六、</w:t>
      </w:r>
      <w:bookmarkEnd w:id="161"/>
      <w:r/>
      <w:bookmarkEnd w:id="162"/>
      <w:r/>
      <w:bookmarkEnd w:id="163"/>
      <w:r>
        <w:rPr>
          <w:rFonts w:hint="eastAsia"/>
          <w:color w:val="000000"/>
          <w:sz w:val="30"/>
          <w:szCs w:val="30"/>
          <w:highlight w:val="none"/>
          <w:lang w:eastAsia="zh-CN"/>
        </w:rPr>
        <w:t xml:space="preserve">定标</w:t>
      </w:r>
      <w:bookmarkEnd w:id="164"/>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65" w:name="_Toc513029238"/>
      <w:r/>
      <w:bookmarkStart w:id="166" w:name="_Toc16938554"/>
      <w:r/>
      <w:bookmarkStart w:id="167" w:name="_Toc20823310"/>
      <w:r>
        <w:rPr>
          <w:rFonts w:hint="eastAsia" w:ascii="宋体" w:hAnsi="宋体" w:eastAsia="宋体"/>
          <w:bCs w:val="0"/>
          <w:color w:val="000000"/>
          <w:highlight w:val="none"/>
          <w:lang w:eastAsia="zh-CN"/>
        </w:rPr>
        <w:t xml:space="preserve">27</w:t>
      </w:r>
      <w:bookmarkEnd w:id="165"/>
      <w:r>
        <w:rPr>
          <w:rFonts w:hint="eastAsia" w:ascii="宋体" w:hAnsi="宋体" w:eastAsia="宋体"/>
          <w:bCs w:val="0"/>
          <w:color w:val="000000"/>
          <w:highlight w:val="none"/>
          <w:lang w:eastAsia="zh-CN"/>
        </w:rPr>
        <w:t xml:space="preserve">.确定</w:t>
      </w:r>
      <w:bookmarkEnd w:id="166"/>
      <w:r/>
      <w:bookmarkEnd w:id="167"/>
      <w:r>
        <w:rPr>
          <w:rFonts w:hint="eastAsia" w:ascii="宋体" w:hAnsi="宋体" w:eastAsia="宋体"/>
          <w:bCs w:val="0"/>
          <w:color w:val="000000"/>
          <w:highlight w:val="none"/>
          <w:lang w:eastAsia="zh-CN"/>
        </w:rPr>
        <w:t xml:space="preserve">中标单位</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68"/>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1"/>
        <w:ind w:firstLine="452"/>
        <w:keepLines w:val="0"/>
        <w:keepNext w:val="0"/>
        <w:spacing w:before="0" w:after="0" w:line="500" w:lineRule="exact"/>
        <w:rPr>
          <w:color w:val="000000"/>
          <w:sz w:val="30"/>
          <w:szCs w:val="30"/>
          <w:highlight w:val="none"/>
          <w:lang w:eastAsia="zh-CN"/>
        </w:rPr>
      </w:pPr>
      <w:r/>
      <w:bookmarkStart w:id="169" w:name="_Toc513029236"/>
      <w:r/>
      <w:bookmarkStart w:id="170" w:name="_Toc16938552"/>
      <w:r/>
      <w:bookmarkStart w:id="171" w:name="_Toc20823308"/>
      <w:r/>
      <w:bookmarkStart w:id="172" w:name="_Toc120614220"/>
      <w:r>
        <w:rPr>
          <w:rFonts w:hint="eastAsia"/>
          <w:color w:val="000000"/>
          <w:sz w:val="30"/>
          <w:szCs w:val="30"/>
          <w:highlight w:val="none"/>
          <w:lang w:eastAsia="zh-CN"/>
        </w:rPr>
        <w:t xml:space="preserve">七、授予合同</w:t>
      </w:r>
      <w:bookmarkEnd w:id="169"/>
      <w:r/>
      <w:bookmarkEnd w:id="170"/>
      <w:r/>
      <w:bookmarkEnd w:id="171"/>
      <w:r/>
      <w:bookmarkEnd w:id="172"/>
      <w:r/>
      <w:r/>
    </w:p>
    <w:p>
      <w:pPr>
        <w:pStyle w:val="962"/>
        <w:ind w:firstLine="422"/>
        <w:keepLines w:val="0"/>
        <w:keepNext w:val="0"/>
        <w:spacing w:before="0" w:after="0" w:line="500" w:lineRule="exact"/>
        <w:rPr>
          <w:rFonts w:ascii="宋体" w:hAnsi="宋体" w:eastAsia="宋体"/>
          <w:bCs w:val="0"/>
          <w:color w:val="000000"/>
          <w:highlight w:val="none"/>
          <w:lang w:eastAsia="zh-CN"/>
        </w:rPr>
      </w:pPr>
      <w:r/>
      <w:bookmarkStart w:id="173" w:name="_Toc20823309"/>
      <w:r/>
      <w:bookmarkStart w:id="174" w:name="_Toc513029237"/>
      <w:r/>
      <w:bookmarkStart w:id="175" w:name="_Toc16938553"/>
      <w:r>
        <w:rPr>
          <w:rFonts w:hint="eastAsia" w:ascii="宋体" w:hAnsi="宋体" w:eastAsia="宋体"/>
          <w:bCs w:val="0"/>
          <w:color w:val="000000"/>
          <w:highlight w:val="none"/>
          <w:lang w:eastAsia="zh-CN"/>
        </w:rPr>
        <w:t xml:space="preserve">30.签订合同</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十五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62"/>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960"/>
        <w:ind w:firstLine="720"/>
        <w:jc w:val="center"/>
        <w:spacing w:line="500" w:lineRule="exact"/>
        <w:rPr>
          <w:rFonts w:ascii="黑体" w:eastAsia="黑体"/>
          <w:bCs/>
          <w:color w:val="000000"/>
          <w:sz w:val="36"/>
          <w:szCs w:val="36"/>
          <w:highlight w:val="none"/>
          <w:lang w:eastAsia="zh-CN"/>
        </w:rPr>
      </w:pPr>
      <w:r/>
      <w:bookmarkStart w:id="176" w:name="_Toc479757207"/>
      <w:r/>
      <w:bookmarkStart w:id="177" w:name="_Toc16938558"/>
      <w:r/>
      <w:bookmarkStart w:id="178" w:name="_Toc513029242"/>
      <w:r/>
      <w:bookmarkStart w:id="179" w:name="_Toc20823314"/>
      <w:r/>
      <w:bookmarkStart w:id="180" w:name="_Toc120614221"/>
      <w:r>
        <w:rPr>
          <w:rFonts w:ascii="宋体" w:hAnsi="宋体"/>
          <w:bCs/>
          <w:color w:val="000000"/>
          <w:sz w:val="24"/>
          <w:highlight w:val="none"/>
          <w:shd w:val="clear" w:color="ffffff" w:fill="d9d9d9"/>
          <w:lang w:eastAsia="zh-CN"/>
        </w:rPr>
        <w:br w:type="page" w:clear="all"/>
      </w:r>
      <w:bookmarkEnd w:id="176"/>
      <w:r/>
      <w:bookmarkEnd w:id="177"/>
      <w:r/>
      <w:bookmarkEnd w:id="178"/>
      <w:r/>
      <w:bookmarkEnd w:id="179"/>
      <w:r/>
      <w:bookmarkEnd w:id="180"/>
      <w:r/>
      <w:bookmarkStart w:id="181" w:name="_Toc20823315"/>
      <w:r/>
      <w:bookmarkStart w:id="182" w:name="_Toc16938559"/>
      <w:r/>
      <w:bookmarkStart w:id="183" w:name="_Toc513029243"/>
      <w:r>
        <w:rPr>
          <w:rFonts w:hint="eastAsia" w:ascii="黑体" w:eastAsia="黑体"/>
          <w:bCs/>
          <w:color w:val="000000"/>
          <w:sz w:val="36"/>
          <w:szCs w:val="36"/>
          <w:highlight w:val="none"/>
          <w:lang w:eastAsia="zh-CN"/>
        </w:rPr>
        <w:t xml:space="preserve">第三章  合同文本</w:t>
      </w:r>
      <w:bookmarkEnd w:id="181"/>
      <w:r/>
      <w:bookmarkEnd w:id="182"/>
      <w:r/>
      <w:bookmarkEnd w:id="183"/>
      <w:r/>
      <w:r/>
    </w:p>
    <w:p>
      <w:pPr>
        <w:jc w:val="center"/>
        <w:spacing w:line="540" w:lineRule="exact"/>
        <w:rPr>
          <w:rFonts w:ascii="黑体" w:hAnsi="宋体" w:eastAsia="黑体"/>
          <w:b/>
          <w:color w:val="000000"/>
          <w:sz w:val="28"/>
          <w:szCs w:val="28"/>
          <w:highlight w:val="none"/>
        </w:rPr>
      </w:pPr>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黑体" w:hAnsi="宋体" w:eastAsia="黑体"/>
          <w:b/>
          <w:color w:val="000000"/>
          <w:sz w:val="28"/>
          <w:szCs w:val="28"/>
          <w:highlight w:val="none"/>
        </w:rPr>
        <w:t xml:space="preserve">合同书（格式）</w:t>
      </w:r>
      <w:r/>
    </w:p>
    <w:p>
      <w:pPr>
        <w:spacing w:line="360" w:lineRule="auto"/>
        <w:rPr>
          <w:rFonts w:ascii="宋体" w:hAnsi="宋体"/>
          <w:bCs/>
          <w:sz w:val="24"/>
          <w:szCs w:val="24"/>
          <w:highlight w:val="none"/>
        </w:rPr>
      </w:pPr>
      <w:r/>
      <w:bookmarkStart w:id="190" w:name="_Toc245033596"/>
      <w:r>
        <w:rPr>
          <w:rFonts w:hint="eastAsia" w:ascii="宋体" w:hAnsi="宋体"/>
          <w:bCs/>
          <w:sz w:val="24"/>
          <w:szCs w:val="24"/>
          <w:highlight w:val="none"/>
        </w:rPr>
        <w:t xml:space="preserve">发包人（甲方）：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承包人（乙方）：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根据《中华人民共和国民法典》《中华人民共和国建筑法》、本次政府采购服务的采购、响应文件及有关法律规定，遵循平等、自愿、公平和诚实信用的原则，双方就</w:t>
      </w:r>
      <w:r>
        <w:rPr>
          <w:rFonts w:hint="eastAsia" w:ascii="宋体" w:hAnsi="宋体" w:cs="宋体"/>
          <w:b/>
          <w:sz w:val="24"/>
          <w:szCs w:val="24"/>
          <w:highlight w:val="none"/>
          <w:u w:val="single"/>
        </w:rPr>
        <w:t xml:space="preserve">华庄街道雨污水管网养护服务</w:t>
      </w:r>
      <w:r>
        <w:rPr>
          <w:rFonts w:hint="eastAsia" w:ascii="宋体" w:hAnsi="宋体"/>
          <w:bCs/>
          <w:sz w:val="24"/>
          <w:szCs w:val="24"/>
          <w:highlight w:val="none"/>
        </w:rPr>
        <w:t xml:space="preserve">及有关事项协商一致，共同达成如下协议：</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一、项目概况</w:t>
      </w:r>
      <w:r/>
    </w:p>
    <w:p>
      <w:pPr>
        <w:ind w:left="420"/>
        <w:spacing w:line="360" w:lineRule="auto"/>
        <w:rPr>
          <w:rFonts w:ascii="宋体" w:hAnsi="宋体"/>
          <w:bCs/>
          <w:sz w:val="24"/>
          <w:szCs w:val="24"/>
          <w:highlight w:val="none"/>
          <w:u w:val="single"/>
        </w:rPr>
      </w:pPr>
      <w:r>
        <w:rPr>
          <w:rFonts w:hint="eastAsia" w:ascii="宋体" w:hAnsi="宋体"/>
          <w:bCs/>
          <w:sz w:val="24"/>
          <w:szCs w:val="24"/>
          <w:highlight w:val="none"/>
        </w:rPr>
        <w:t xml:space="preserve">项目名称：</w:t>
      </w:r>
      <w:r>
        <w:rPr>
          <w:rFonts w:hint="eastAsia" w:ascii="宋体" w:hAnsi="宋体" w:cs="宋体"/>
          <w:b/>
          <w:sz w:val="24"/>
          <w:szCs w:val="24"/>
          <w:highlight w:val="none"/>
        </w:rPr>
        <w:t xml:space="preserve">华庄街道雨污水管网养护服务</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项目地点： </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合同期限：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二、承包方式</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由乙方以包工、包料、包质量、包安全、包文明施工的方式实施总承包，乙方应对范围内全部管网养护负责。本项目不得转让分包，一经发现上述行为，甲方单方有权立即终止承包合同，由此产生的一切法律责任和经济损失均由乙方承担。</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三、运行维护质量标准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依据《城镇排水管渠与泵站运行、维护及安全技术规程》（CJJ68-2016）、《区公共污水管网（设施）养护作业参考标准》和采购人</w:t>
      </w:r>
      <w:r>
        <w:rPr>
          <w:rFonts w:ascii="宋体" w:hAnsi="宋体"/>
          <w:sz w:val="24"/>
          <w:szCs w:val="24"/>
          <w:highlight w:val="none"/>
        </w:rPr>
        <w:t xml:space="preserve">要求</w:t>
      </w:r>
      <w:r>
        <w:rPr>
          <w:rFonts w:hint="eastAsia" w:ascii="宋体" w:hAnsi="宋体"/>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sz w:val="24"/>
          <w:szCs w:val="24"/>
          <w:highlight w:val="none"/>
        </w:rPr>
        <w:t xml:space="preserve">雨污水管网、检查井、雨水井、排水设施进行巡查，每个月不少于一次，汛期要按要求增加巡视次数，并配合甲方做好积水排水工作，确保沟管畅通，检查标准参考管道及其附属设施的检查与养护要求。为精确掌握管道的运行情况，及时发现管网可能存在功能及结构上的问题点，需根据现场实际情况采用声呐检测，内窥摄像系统（QV）检测，CCTV电视视频检测、推杆检测等手段。检测标准采用《CJJ 181-2012 城镇排水管道检测与评估技术规程》</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hint="eastAsia" w:ascii="宋体" w:hAnsi="宋体"/>
          <w:sz w:val="24"/>
          <w:szCs w:val="24"/>
          <w:highlight w:val="none"/>
        </w:rPr>
        <w:t xml:space="preserve">在对排水设施进行维修时，应按《无锡市建设工程文明施工管理办法》（市人民政府令第120号）和《无锡市建设工程安全生产管理条例》的要求实施，同时交通围护也应符合有关规范和规定的要求</w:t>
      </w:r>
      <w:r>
        <w:rPr>
          <w:rFonts w:hint="eastAsia" w:ascii="宋体" w:hAnsi="宋体"/>
          <w:bCs/>
          <w:sz w:val="24"/>
          <w:szCs w:val="24"/>
          <w:highlight w:val="none"/>
        </w:rPr>
        <w:t xml:space="preserve">。</w:t>
      </w:r>
      <w:r/>
    </w:p>
    <w:p>
      <w:pPr>
        <w:spacing w:line="360" w:lineRule="auto"/>
        <w:tabs>
          <w:tab w:val="left" w:pos="7246" w:leader="none"/>
        </w:tabs>
        <w:rPr>
          <w:rFonts w:ascii="宋体" w:hAnsi="宋体"/>
          <w:bCs/>
          <w:sz w:val="24"/>
          <w:szCs w:val="24"/>
          <w:highlight w:val="none"/>
        </w:rPr>
      </w:pPr>
      <w:r>
        <w:rPr>
          <w:rFonts w:hint="eastAsia" w:ascii="宋体" w:hAnsi="宋体"/>
          <w:bCs/>
          <w:sz w:val="24"/>
          <w:szCs w:val="24"/>
          <w:highlight w:val="none"/>
        </w:rPr>
        <w:t xml:space="preserve">四、合同价款</w:t>
      </w:r>
      <w:r>
        <w:rPr>
          <w:rFonts w:hint="eastAsia" w:ascii="宋体" w:hAnsi="宋体"/>
          <w:bCs/>
          <w:sz w:val="24"/>
          <w:szCs w:val="24"/>
          <w:highlight w:val="none"/>
        </w:rPr>
        <w:tab/>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合同总价：人民币(大写)：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元)；本项目固定总价。</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合同单价：雨水管网</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元/米；污水管网</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元/米；提升泵站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元/座；井盖更换</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元/套。</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五、考核标准</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考核分月度考核、季度考核、年度考核（含</w:t>
      </w:r>
      <w:r>
        <w:rPr>
          <w:rFonts w:ascii="宋体" w:hAnsi="宋体"/>
          <w:sz w:val="24"/>
          <w:szCs w:val="24"/>
          <w:highlight w:val="none"/>
        </w:rPr>
        <w:t xml:space="preserve">抽查</w:t>
      </w:r>
      <w:r>
        <w:rPr>
          <w:rFonts w:hint="eastAsia" w:ascii="宋体" w:hAnsi="宋体"/>
          <w:sz w:val="24"/>
          <w:szCs w:val="24"/>
          <w:highlight w:val="none"/>
        </w:rPr>
        <w:t xml:space="preserve">）。考核表详见《无锡市深化排水达标区建设考核办法》（锡政园用〔2016〕20号），雨水部分以“</w:t>
      </w:r>
      <w:r>
        <w:rPr>
          <w:rFonts w:ascii="宋体" w:hAnsi="宋体"/>
          <w:sz w:val="24"/>
          <w:szCs w:val="24"/>
          <w:highlight w:val="none"/>
        </w:rPr>
        <w:t xml:space="preserve">附1</w:t>
      </w:r>
      <w:r>
        <w:rPr>
          <w:rFonts w:hint="eastAsia" w:ascii="宋体" w:hAnsi="宋体"/>
          <w:sz w:val="24"/>
          <w:szCs w:val="24"/>
          <w:highlight w:val="none"/>
        </w:rPr>
        <w:t xml:space="preserve">：</w:t>
      </w:r>
      <w:r>
        <w:rPr>
          <w:rFonts w:ascii="宋体" w:hAnsi="宋体"/>
          <w:sz w:val="24"/>
          <w:szCs w:val="24"/>
          <w:highlight w:val="none"/>
        </w:rPr>
        <w:t xml:space="preserve">雨水</w:t>
      </w:r>
      <w:r>
        <w:rPr>
          <w:rFonts w:hint="eastAsia" w:ascii="宋体" w:hAnsi="宋体"/>
          <w:sz w:val="24"/>
          <w:szCs w:val="24"/>
          <w:highlight w:val="none"/>
        </w:rPr>
        <w:t xml:space="preserve">运行</w:t>
      </w:r>
      <w:r>
        <w:rPr>
          <w:rFonts w:ascii="宋体" w:hAnsi="宋体"/>
          <w:sz w:val="24"/>
          <w:szCs w:val="24"/>
          <w:highlight w:val="none"/>
        </w:rPr>
        <w:t xml:space="preserve">维护片区考核表</w:t>
      </w:r>
      <w:r>
        <w:rPr>
          <w:rFonts w:hint="eastAsia" w:ascii="宋体" w:hAnsi="宋体"/>
          <w:sz w:val="24"/>
          <w:szCs w:val="24"/>
          <w:highlight w:val="none"/>
        </w:rPr>
        <w:t xml:space="preserve">”</w:t>
      </w:r>
      <w:r>
        <w:rPr>
          <w:rFonts w:hint="eastAsia" w:ascii="宋体" w:hAnsi="宋体"/>
          <w:bCs/>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cs="宋体"/>
          <w:sz w:val="24"/>
          <w:szCs w:val="24"/>
          <w:highlight w:val="none"/>
        </w:rPr>
        <w:t xml:space="preserve">甲方</w:t>
      </w:r>
      <w:r>
        <w:rPr>
          <w:rFonts w:ascii="宋体" w:hAnsi="宋体" w:cs="宋体"/>
          <w:sz w:val="24"/>
          <w:szCs w:val="24"/>
          <w:highlight w:val="none"/>
        </w:rPr>
        <w:t xml:space="preserve">按</w:t>
      </w:r>
      <w:r>
        <w:rPr>
          <w:rFonts w:hint="eastAsia" w:ascii="宋体" w:hAnsi="宋体"/>
          <w:sz w:val="24"/>
          <w:szCs w:val="24"/>
          <w:highlight w:val="none"/>
        </w:rPr>
        <w:t xml:space="preserve">月度考核</w:t>
      </w:r>
      <w:r>
        <w:rPr>
          <w:rFonts w:ascii="宋体" w:hAnsi="宋体" w:cs="宋体"/>
          <w:sz w:val="24"/>
          <w:szCs w:val="24"/>
          <w:highlight w:val="none"/>
        </w:rPr>
        <w:t xml:space="preserve">得分向运行维护单位支付运行维护经费，每月运行维护费用为</w:t>
      </w:r>
      <w:r>
        <w:rPr>
          <w:rFonts w:hint="eastAsia" w:ascii="宋体" w:hAnsi="宋体" w:cs="宋体"/>
          <w:sz w:val="24"/>
          <w:szCs w:val="24"/>
          <w:highlight w:val="none"/>
          <w:lang w:val="en-US" w:eastAsia="zh-CN"/>
        </w:rPr>
        <w:t xml:space="preserve">合同价*（1-10%）</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24</w:t>
      </w:r>
      <w:r>
        <w:rPr>
          <w:rFonts w:ascii="宋体" w:hAnsi="宋体" w:cs="宋体"/>
          <w:sz w:val="24"/>
          <w:szCs w:val="24"/>
          <w:highlight w:val="none"/>
        </w:rPr>
        <w:t xml:space="preserve">，如考核未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rPr>
          <w:rFonts w:hint="eastAsia" w:ascii="宋体" w:hAnsi="宋体"/>
          <w:bCs/>
          <w:sz w:val="24"/>
          <w:szCs w:val="24"/>
          <w:highlight w:val="none"/>
        </w:rPr>
        <w:t xml:space="preserve">。</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六、付款方式：</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根据月考、季度考核及年度考核得分，每季度支付运行维护费用，</w:t>
      </w:r>
      <w:r>
        <w:rPr>
          <w:rFonts w:hint="eastAsia" w:hAnsi="宋体" w:cs="宋体"/>
          <w:color w:val="auto"/>
          <w:sz w:val="24"/>
          <w:szCs w:val="24"/>
          <w:highlight w:val="none"/>
          <w:lang w:val="en-US" w:eastAsia="zh-CN"/>
        </w:rPr>
        <w:t xml:space="preserve">剩余</w:t>
      </w:r>
      <w:r>
        <w:rPr>
          <w:rFonts w:hint="eastAsia" w:hAnsi="宋体" w:cs="宋体"/>
          <w:color w:val="auto"/>
          <w:sz w:val="24"/>
          <w:szCs w:val="24"/>
          <w:highlight w:val="none"/>
        </w:rPr>
        <w:t xml:space="preserve">合同价的10%，经甲方组织最终履约验收合格并在江苏政府采购网公示且无遗留问题后，一次性付清。</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防汛和气囊应急拆封为不可竞争费，若养护期间发生防汛和气囊应急拆封等事项，工程量按实计量并经签证确认，发生费用套用相应定额（《江苏省市政设施养护维修定额》（2013年）、《江苏省市政工程消耗量定额》（2026 年）等），无对应定额的按市场价计取并予以让利，让利系数 = 中标价 （不含不可竞争费）/ 最高限价（不含不可竞争费）；项目验收合格并经审计后支付，结算价不得超过招标暂列金额。</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七、责任与义务</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（一）甲方责任与义务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1、按照合同规定拨付养护经费；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2、协助乙方处理与各排水区块所属单位、社区关系，以便于管网养护工作的顺利进行；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3、负责对乙方管网养护质量进行考核和满意度测评工作；</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4、根据乙方日常巡查中发现的公共雨污水管网（设施）存在的问题及时组织整改。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（二）乙方责任与义务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1、乙方应就近设立办事处，接受市民来信来访，醒目标识单位名称、市民投诉接待人员、联系电话等，管网养护作业人员应统一着装；</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2、乙方须对承担管网养护的所有巡视员进行基础知识教育，做好巡视记录，明确责任到人。日常巡查中发现公共雨污水管网（设施）存在问题、缺陷，应当及时上报甲方；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3、乙方应严格执行相关安全生产的规范条例，应对工作人员进行安全教育，在管网养护合同期内，不发生人身伤亡事故和安全生产事故。合同期内安全事故的责任和经济损失均由乙方负责。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八、组成合同的文件</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（一）组成本合同的文件包括</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1、本合同协议书</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2、合同相关附件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3、本合同协议条款</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4、标准、规范及有关技术文件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5、本项目的采购文件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6、本项目成交单位的响应文件</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（二）双方有关运行维护工作的洽商、变更等书面协议或文件视为本合同的组成部分。</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九、承包人向发包人承诺按照合同约定开展管网养护工作。</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十、发包人承诺按照合同约定的期限和方式支付合同价款及其他应当支付的款项。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十一、本合同双方约定甲乙双方签字盖章并经见证后生效，至管网养护期满、验收合格、价款结清自行终止。</w:t>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采购人：                       （盖章）   成交方：                （盖章）</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地址：                                    地址：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法定（授权）代表人：                      法定（授权）代表人：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项目负责人：                               项目负责人：</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年      月       日                       年      月       日</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见证方：              （盖章）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地址：</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见证人：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年      月       日 </w:t>
      </w:r>
      <w:r/>
    </w:p>
    <w:p>
      <w:pPr>
        <w:spacing w:line="360" w:lineRule="auto"/>
        <w:rPr>
          <w:rFonts w:ascii="宋体" w:hAnsi="宋体" w:cs="宋体"/>
          <w:sz w:val="24"/>
          <w:szCs w:val="24"/>
          <w:highlight w:val="none"/>
        </w:rPr>
      </w:pPr>
      <w:r>
        <w:rPr>
          <w:rFonts w:hint="eastAsia" w:ascii="宋体" w:hAnsi="宋体"/>
          <w:bCs/>
          <w:sz w:val="24"/>
          <w:szCs w:val="24"/>
          <w:highlight w:val="none"/>
        </w:rPr>
        <w:t xml:space="preserve">★.备注：供需双方必须以本格式文本拟订合同。</w:t>
      </w:r>
      <w:bookmarkEnd w:id="190"/>
      <w:r/>
      <w:r/>
    </w:p>
    <w:p>
      <w:pPr>
        <w:contextualSpacing/>
        <w:spacing w:line="360" w:lineRule="auto"/>
        <w:rPr>
          <w:rFonts w:ascii="宋体" w:hAnsi="宋体"/>
          <w:sz w:val="24"/>
          <w:szCs w:val="24"/>
          <w:highlight w:val="none"/>
        </w:rPr>
      </w:pPr>
      <w:r>
        <w:rPr>
          <w:rFonts w:ascii="宋体" w:hAnsi="宋体"/>
          <w:sz w:val="24"/>
          <w:szCs w:val="24"/>
          <w:highlight w:val="none"/>
        </w:rPr>
      </w:r>
      <w:r/>
    </w:p>
    <w:p>
      <w:pPr>
        <w:contextualSpacing/>
        <w:spacing w:line="360" w:lineRule="auto"/>
        <w:rPr>
          <w:rFonts w:ascii="宋体" w:hAnsi="宋体"/>
          <w:sz w:val="24"/>
          <w:szCs w:val="24"/>
          <w:highlight w:val="none"/>
        </w:rPr>
      </w:pPr>
      <w:r>
        <w:rPr>
          <w:rFonts w:ascii="宋体" w:hAnsi="宋体"/>
          <w:sz w:val="24"/>
          <w:szCs w:val="24"/>
          <w:highlight w:val="none"/>
        </w:rPr>
      </w:r>
      <w:r/>
    </w:p>
    <w:p>
      <w:pPr>
        <w:jc w:val="center"/>
        <w:spacing w:line="540" w:lineRule="exact"/>
        <w:rPr>
          <w:rFonts w:ascii="黑体" w:eastAsia="黑体"/>
          <w:bCs/>
          <w:sz w:val="28"/>
          <w:szCs w:val="28"/>
          <w:highlight w:val="none"/>
        </w:rPr>
      </w:pPr>
      <w:r>
        <w:rPr>
          <w:rFonts w:hint="eastAsia" w:ascii="黑体" w:hAnsi="宋体" w:eastAsia="黑体"/>
          <w:b/>
          <w:color w:val="000000"/>
          <w:sz w:val="28"/>
          <w:szCs w:val="28"/>
          <w:highlight w:val="none"/>
        </w:rPr>
        <w:t xml:space="preserve">合同条款（格式）</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一、词语含义</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 甲方代表</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甲方指派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为派驻现场代表，全面负责日常养护作业的管理工作。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 2 乙方代表</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乙方指派</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为管网养护项目负责人，具体负责本养护项目作业工作，并用书面材料报甲方备案。</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项目负责人等有关人员必须按时参加由甲方召开的养护例会和各种必须参加的会议。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乙方如需更换项目负责人，应至少提前5天以书面形式通知甲方，并征得甲方同意。后任继续行使合同文件约定的前任的职权，履行前任的义务。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甲方可以与乙方协商，建议更换其认为不称职的项目负责人。</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 甲方工作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负责向乙方提供中标地段的有关资料。</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组织召开养护作业技术交底会。</w:t>
      </w:r>
      <w:r/>
    </w:p>
    <w:p>
      <w:pPr>
        <w:spacing w:line="360" w:lineRule="auto"/>
        <w:rPr>
          <w:rFonts w:ascii="宋体" w:hAnsi="宋体"/>
          <w:color w:val="0000ff"/>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负责乙方的日常养护作业的管理和检查【</w:t>
      </w:r>
      <w:r>
        <w:rPr>
          <w:rFonts w:hint="eastAsia" w:ascii="宋体" w:hAnsi="宋体"/>
          <w:sz w:val="24"/>
          <w:highlight w:val="none"/>
        </w:rPr>
        <w:t xml:space="preserve">考核分月度考核、季度考核、年度考核（含</w:t>
      </w:r>
      <w:r>
        <w:rPr>
          <w:rFonts w:ascii="宋体" w:hAnsi="宋体"/>
          <w:sz w:val="24"/>
          <w:highlight w:val="none"/>
        </w:rPr>
        <w:t xml:space="preserve">抽查</w:t>
      </w:r>
      <w:r>
        <w:rPr>
          <w:rFonts w:hint="eastAsia" w:ascii="宋体" w:hAnsi="宋体"/>
          <w:sz w:val="24"/>
          <w:highlight w:val="none"/>
        </w:rPr>
        <w:t xml:space="preserve">）</w:t>
      </w:r>
      <w:r>
        <w:rPr>
          <w:rFonts w:hint="eastAsia" w:ascii="宋体" w:hAnsi="宋体"/>
          <w:color w:val="000000"/>
          <w:sz w:val="24"/>
          <w:szCs w:val="24"/>
          <w:highlight w:val="none"/>
        </w:rPr>
        <w:t xml:space="preserve">】</w:t>
      </w:r>
      <w:r>
        <w:rPr>
          <w:rFonts w:hint="eastAsia" w:ascii="宋体" w:hAnsi="宋体"/>
          <w:sz w:val="24"/>
          <w:highlight w:val="none"/>
        </w:rPr>
        <w:t xml:space="preserve">。</w:t>
      </w:r>
      <w:r>
        <w:rPr>
          <w:rFonts w:hint="eastAsia" w:ascii="宋体" w:hAnsi="宋体"/>
          <w:color w:val="000000"/>
          <w:sz w:val="24"/>
          <w:szCs w:val="24"/>
          <w:highlight w:val="none"/>
        </w:rPr>
        <w:t xml:space="preserve">每月底对乙方作出下月度养护工作计划布置和对当月度养护工作进行考核 ，每季度、每年对养护单位进行综合考评，</w:t>
      </w:r>
      <w:r>
        <w:rPr>
          <w:rFonts w:hint="eastAsia" w:ascii="宋体" w:hAnsi="宋体"/>
          <w:sz w:val="24"/>
          <w:highlight w:val="none"/>
        </w:rPr>
        <w:t xml:space="preserve">考核表详见《无锡市深化排水达标区建设考核办法》（锡政园用〔2016〕20号），雨水部分以“</w:t>
      </w:r>
      <w:r>
        <w:rPr>
          <w:rFonts w:ascii="宋体" w:hAnsi="宋体"/>
          <w:sz w:val="24"/>
          <w:highlight w:val="none"/>
        </w:rPr>
        <w:t xml:space="preserve">附1</w:t>
      </w:r>
      <w:r>
        <w:rPr>
          <w:rFonts w:hint="eastAsia" w:ascii="宋体" w:hAnsi="宋体"/>
          <w:sz w:val="24"/>
          <w:highlight w:val="none"/>
        </w:rPr>
        <w:t xml:space="preserve">：</w:t>
      </w:r>
      <w:r>
        <w:rPr>
          <w:rFonts w:ascii="宋体" w:hAnsi="宋体"/>
          <w:sz w:val="24"/>
          <w:highlight w:val="none"/>
        </w:rPr>
        <w:t xml:space="preserve">雨水</w:t>
      </w:r>
      <w:r>
        <w:rPr>
          <w:rFonts w:hint="eastAsia" w:ascii="宋体" w:hAnsi="宋体"/>
          <w:sz w:val="24"/>
          <w:highlight w:val="none"/>
        </w:rPr>
        <w:t xml:space="preserve">运行</w:t>
      </w:r>
      <w:r>
        <w:rPr>
          <w:rFonts w:ascii="宋体" w:hAnsi="宋体"/>
          <w:sz w:val="24"/>
          <w:highlight w:val="none"/>
        </w:rPr>
        <w:t xml:space="preserve">维护片区考核表</w:t>
      </w:r>
      <w:r>
        <w:rPr>
          <w:rFonts w:hint="eastAsia" w:ascii="宋体" w:hAnsi="宋体"/>
          <w:sz w:val="24"/>
          <w:highlight w:val="none"/>
        </w:rPr>
        <w:t xml:space="preserve">”</w:t>
      </w:r>
      <w:r>
        <w:rPr>
          <w:rFonts w:hint="eastAsia" w:ascii="宋体" w:hAnsi="宋体"/>
          <w:bCs/>
          <w:sz w:val="24"/>
          <w:highlight w:val="none"/>
        </w:rPr>
        <w:t xml:space="preserve">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甲方定期对乙方的养护质量进行检查考核，按本合同有关条款，支付相应养护经费。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 如遇突发事件，协调乙方在作业过程中与其他管理部门的关系。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若乙方违反《城镇排水管渠及泵站维护技术规范》（</w:t>
      </w:r>
      <w:r>
        <w:rPr>
          <w:rFonts w:ascii="宋体" w:hAnsi="宋体"/>
          <w:color w:val="000000"/>
          <w:sz w:val="24"/>
          <w:szCs w:val="24"/>
          <w:highlight w:val="none"/>
        </w:rPr>
        <w:t xml:space="preserve">CJJ68-20</w:t>
      </w:r>
      <w:r>
        <w:rPr>
          <w:rFonts w:hint="eastAsia" w:ascii="宋体" w:hAnsi="宋体"/>
          <w:color w:val="000000"/>
          <w:sz w:val="24"/>
          <w:szCs w:val="24"/>
          <w:highlight w:val="none"/>
        </w:rPr>
        <w:t xml:space="preserve">16）及采购文件等有关规定而被解除承包合同的，乙方承担全部责任和经济损失。</w:t>
      </w:r>
      <w:r/>
    </w:p>
    <w:p>
      <w:pPr>
        <w:ind w:firstLine="480"/>
        <w:jc w:val="left"/>
        <w:spacing w:line="360" w:lineRule="auto"/>
        <w:rPr>
          <w:rFonts w:ascii="宋体" w:hAnsi="宋体" w:eastAsia="Times New Roman"/>
          <w:color w:val="000000"/>
          <w:sz w:val="24"/>
          <w:szCs w:val="24"/>
          <w:highlight w:val="none"/>
        </w:rPr>
      </w:pPr>
      <w:r>
        <w:rPr>
          <w:rFonts w:hint="eastAsia" w:ascii="宋体" w:hAnsi="宋体" w:eastAsia="Times New Roman"/>
          <w:color w:val="000000"/>
          <w:sz w:val="24"/>
          <w:szCs w:val="24"/>
          <w:highlight w:val="none"/>
        </w:rPr>
        <w:t xml:space="preserve">3</w:t>
      </w:r>
      <w:r>
        <w:rPr>
          <w:rFonts w:ascii="宋体" w:hAnsi="宋体" w:eastAsia="Times New Roman"/>
          <w:color w:val="000000"/>
          <w:sz w:val="24"/>
          <w:szCs w:val="24"/>
          <w:highlight w:val="none"/>
        </w:rPr>
        <w:t xml:space="preserve">.</w:t>
      </w:r>
      <w:r>
        <w:rPr>
          <w:rFonts w:hint="eastAsia" w:ascii="宋体" w:hAnsi="宋体" w:eastAsia="Times New Roman"/>
          <w:color w:val="000000"/>
          <w:sz w:val="24"/>
          <w:szCs w:val="24"/>
          <w:highlight w:val="none"/>
        </w:rPr>
        <w:t xml:space="preserve">7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w:t>
      </w:r>
      <w:r>
        <w:rPr>
          <w:rFonts w:hint="eastAsia" w:ascii="宋体" w:hAnsi="宋体" w:cs="宋体"/>
          <w:color w:val="000000"/>
          <w:sz w:val="24"/>
          <w:szCs w:val="24"/>
          <w:highlight w:val="none"/>
        </w:rPr>
        <w:t xml:space="preserve">量</w:t>
      </w:r>
      <w:r>
        <w:rPr>
          <w:rFonts w:hint="eastAsia" w:ascii="宋体" w:hAnsi="宋体" w:eastAsia="Times New Roman"/>
          <w:color w:val="000000"/>
          <w:sz w:val="24"/>
          <w:szCs w:val="24"/>
          <w:highlight w:val="none"/>
        </w:rPr>
        <w:t xml:space="preserve">不超过原</w:t>
      </w:r>
      <w:r>
        <w:rPr>
          <w:rFonts w:hint="eastAsia" w:ascii="宋体" w:hAnsi="宋体" w:cs="宋体"/>
          <w:color w:val="000000"/>
          <w:sz w:val="24"/>
          <w:szCs w:val="24"/>
          <w:highlight w:val="none"/>
        </w:rPr>
        <w:t xml:space="preserve">成交量</w:t>
      </w:r>
      <w:r>
        <w:rPr>
          <w:rFonts w:hint="eastAsia" w:ascii="宋体" w:hAnsi="宋体" w:eastAsia="Times New Roman"/>
          <w:color w:val="000000"/>
          <w:sz w:val="24"/>
          <w:szCs w:val="24"/>
          <w:highlight w:val="none"/>
        </w:rPr>
        <w:t xml:space="preserve">2%的，不予追加相关经费，乙方按照就近纳入的</w:t>
      </w:r>
      <w:r>
        <w:rPr>
          <w:rFonts w:hint="eastAsia" w:ascii="宋体" w:hAnsi="宋体" w:cs="宋体"/>
          <w:color w:val="000000"/>
          <w:sz w:val="24"/>
          <w:szCs w:val="24"/>
          <w:highlight w:val="none"/>
        </w:rPr>
        <w:t xml:space="preserve">成交</w:t>
      </w:r>
      <w:r>
        <w:rPr>
          <w:rFonts w:hint="eastAsia" w:ascii="宋体" w:hAnsi="宋体" w:eastAsia="Times New Roman"/>
          <w:color w:val="000000"/>
          <w:sz w:val="24"/>
          <w:szCs w:val="24"/>
          <w:highlight w:val="none"/>
        </w:rPr>
        <w:t xml:space="preserve">养护标准进行养护；超过原成交量2%的，双方根据合同单价另行签订补充协议，追加费用不超过合同签订价格的10%。</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8甲方对乙方</w:t>
      </w:r>
      <w:r>
        <w:rPr>
          <w:rFonts w:hint="eastAsia" w:ascii="宋体" w:hAnsi="宋体"/>
          <w:color w:val="000000"/>
          <w:sz w:val="24"/>
          <w:szCs w:val="24"/>
          <w:highlight w:val="none"/>
        </w:rPr>
        <w:t xml:space="preserve">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spacing w:line="360" w:lineRule="auto"/>
        <w:rPr>
          <w:rFonts w:ascii="宋体" w:hAnsi="宋体" w:eastAsia="Times New Roman"/>
          <w:bCs/>
          <w:color w:val="000000"/>
          <w:sz w:val="24"/>
          <w:szCs w:val="22"/>
          <w:highlight w:val="none"/>
        </w:rPr>
      </w:pPr>
      <w:r>
        <w:rPr>
          <w:rFonts w:hint="eastAsia" w:ascii="宋体" w:hAnsi="宋体" w:eastAsia="Times New Roman"/>
          <w:bCs/>
          <w:color w:val="000000"/>
          <w:sz w:val="24"/>
          <w:szCs w:val="22"/>
          <w:highlight w:val="none"/>
        </w:rPr>
        <w:t xml:space="preserve">3.9甲方应</w:t>
      </w:r>
      <w:r>
        <w:rPr>
          <w:rFonts w:hint="eastAsia" w:ascii="宋体" w:hAnsi="宋体"/>
          <w:bCs/>
          <w:color w:val="000000"/>
          <w:sz w:val="24"/>
          <w:szCs w:val="22"/>
          <w:highlight w:val="none"/>
        </w:rPr>
        <w:t xml:space="preserve">做</w:t>
      </w:r>
      <w:r>
        <w:rPr>
          <w:rFonts w:hint="eastAsia" w:ascii="宋体" w:hAnsi="宋体" w:eastAsia="Times New Roman"/>
          <w:bCs/>
          <w:color w:val="000000"/>
          <w:sz w:val="24"/>
          <w:szCs w:val="22"/>
          <w:highlight w:val="none"/>
        </w:rPr>
        <w:t xml:space="preserve">的其他工作，双方在补充条款内约定。</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4</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乙方工作</w:t>
      </w:r>
      <w:r/>
    </w:p>
    <w:p>
      <w:pPr>
        <w:ind w:firstLine="480"/>
        <w:jc w:val="left"/>
        <w:spacing w:line="360" w:lineRule="auto"/>
        <w:rPr>
          <w:rFonts w:ascii="宋体" w:hAnsi="宋体" w:cs="Droid Sans"/>
          <w:bCs/>
          <w:color w:val="000000"/>
          <w:sz w:val="24"/>
          <w:szCs w:val="24"/>
          <w:highlight w:val="none"/>
        </w:rPr>
      </w:pPr>
      <w:r>
        <w:rPr>
          <w:rFonts w:hint="eastAsia" w:ascii="宋体" w:hAnsi="宋体" w:cs="Droid Sans"/>
          <w:bCs/>
          <w:color w:val="000000"/>
          <w:sz w:val="24"/>
          <w:szCs w:val="24"/>
          <w:highlight w:val="none"/>
        </w:rPr>
        <w:t xml:space="preserve">4</w:t>
      </w:r>
      <w:r>
        <w:rPr>
          <w:rFonts w:ascii="宋体" w:hAnsi="宋体" w:cs="Droid Sans"/>
          <w:bCs/>
          <w:color w:val="000000"/>
          <w:sz w:val="24"/>
          <w:szCs w:val="24"/>
          <w:highlight w:val="none"/>
        </w:rPr>
        <w:t xml:space="preserve">.</w:t>
      </w:r>
      <w:r>
        <w:rPr>
          <w:rFonts w:hint="eastAsia" w:ascii="宋体" w:hAnsi="宋体" w:cs="Droid Sans"/>
          <w:bCs/>
          <w:color w:val="000000"/>
          <w:sz w:val="24"/>
          <w:szCs w:val="24"/>
          <w:highlight w:val="none"/>
        </w:rPr>
        <w:t xml:space="preserve">1</w:t>
      </w:r>
      <w:r>
        <w:rPr>
          <w:rFonts w:ascii="宋体" w:hAnsi="宋体" w:cs="Droid Sans"/>
          <w:bCs/>
          <w:color w:val="000000"/>
          <w:sz w:val="24"/>
          <w:szCs w:val="24"/>
          <w:highlight w:val="none"/>
        </w:rPr>
        <w:t xml:space="preserve"> </w:t>
      </w:r>
      <w:r>
        <w:rPr>
          <w:rFonts w:hint="eastAsia" w:ascii="宋体" w:hAnsi="宋体" w:cs="Droid Sans"/>
          <w:bCs/>
          <w:color w:val="000000"/>
          <w:sz w:val="24"/>
          <w:szCs w:val="24"/>
          <w:highlight w:val="none"/>
        </w:rPr>
        <w:t xml:space="preserve">根据甲方养护工作计划，乙方承担日常养护内容有：</w:t>
      </w:r>
      <w:r>
        <w:rPr>
          <w:rFonts w:hint="eastAsia" w:ascii="宋体" w:hAnsi="宋体"/>
          <w:sz w:val="24"/>
          <w:szCs w:val="24"/>
          <w:highlight w:val="none"/>
        </w:rPr>
        <w:t xml:space="preserve">雨污水管网、检查井、雨水井、排水设施</w:t>
      </w:r>
      <w:r>
        <w:rPr>
          <w:rFonts w:hint="eastAsia" w:ascii="宋体" w:hAnsi="宋体" w:cs="Droid Sans"/>
          <w:bCs/>
          <w:color w:val="000000"/>
          <w:sz w:val="24"/>
          <w:szCs w:val="24"/>
          <w:highlight w:val="none"/>
        </w:rPr>
        <w:t xml:space="preserve">（含雨污水泵房）、管养标识牌等市政设施。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 乙方应建立完善的巡查体系，严格按照管网等级结合养护规范要求频率进行巡查。同时，按标准做好巡视台账，在每月月底前提交甲方检查。巡视不到位、频率不满足要求、资料不齐全、不准确等，按</w:t>
      </w:r>
      <w:r>
        <w:rPr>
          <w:rFonts w:hint="eastAsia" w:ascii="宋体" w:hAnsi="宋体"/>
          <w:sz w:val="24"/>
          <w:szCs w:val="24"/>
          <w:highlight w:val="none"/>
        </w:rPr>
        <w:t xml:space="preserve">《城镇排水管渠与泵站运行、维护及安全技术规程》（CJJ68-2016）、《区公共污水管网（设施）养护作业参考标准》和采购人</w:t>
      </w:r>
      <w:r>
        <w:rPr>
          <w:rFonts w:ascii="宋体" w:hAnsi="宋体"/>
          <w:sz w:val="24"/>
          <w:szCs w:val="24"/>
          <w:highlight w:val="none"/>
        </w:rPr>
        <w:t xml:space="preserve">要求</w:t>
      </w:r>
      <w:r>
        <w:rPr>
          <w:rFonts w:hint="eastAsia" w:ascii="宋体" w:hAnsi="宋体"/>
          <w:sz w:val="24"/>
          <w:szCs w:val="24"/>
          <w:highlight w:val="none"/>
        </w:rPr>
        <w:t xml:space="preserve">执行</w:t>
      </w:r>
      <w:r>
        <w:rPr>
          <w:rFonts w:hint="eastAsia" w:ascii="宋体" w:hAnsi="宋体"/>
          <w:bCs/>
          <w:color w:val="000000"/>
          <w:sz w:val="24"/>
          <w:szCs w:val="24"/>
          <w:highlight w:val="none"/>
        </w:rPr>
        <w:t xml:space="preserve">、处理。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4.3 乙方应建立巡视报告制，须按照要求购买和安装GPS设备，对雨污水设施的巡视频率应满足《城镇排水管渠与泵站维护技术规程》（CJJ68-2016）和采购人的要求。</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4.4 超出常规养护范围的工作，需提前报甲方审批。成交地段原设施量清单中未纳入的周围相邻市政设施，在交接完毕后5日内书面提交具体位置及设施量清单，甲方核验纳入经费核算范围，未及时提出的，视作无偿义务养护。</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4.5 及时解决来信、来访，并根据甲方要求及时处理。</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4.6 按时按量完成甲方交办的110等其他突击性任务和指令性任务。</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4.7 加强法定节假日的正常养护维修工作。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4.8 乙方应服从养护所在地的行业管理。</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4.9 在承包期内承包人应服从发包人的安排，做好以下的服务工作：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(1)因不可抗力造成的抢修保养工作；</w:t>
      </w:r>
      <w:r/>
    </w:p>
    <w:p>
      <w:pPr>
        <w:ind w:firstLine="480"/>
        <w:spacing w:line="360" w:lineRule="auto"/>
        <w:rPr>
          <w:rFonts w:ascii="宋体" w:hAnsi="宋体" w:cs="宋体"/>
          <w:sz w:val="24"/>
          <w:szCs w:val="24"/>
          <w:highlight w:val="none"/>
        </w:rPr>
      </w:pPr>
      <w:r>
        <w:rPr>
          <w:rFonts w:hint="eastAsia" w:ascii="宋体" w:hAnsi="宋体"/>
          <w:bCs/>
          <w:color w:val="000000"/>
          <w:sz w:val="24"/>
          <w:szCs w:val="22"/>
          <w:highlight w:val="none"/>
        </w:rPr>
        <w:t xml:space="preserve">(</w:t>
      </w:r>
      <w:r>
        <w:rPr>
          <w:rFonts w:hint="eastAsia" w:ascii="宋体" w:hAnsi="宋体"/>
          <w:bCs/>
          <w:color w:val="auto"/>
          <w:sz w:val="24"/>
          <w:szCs w:val="22"/>
          <w:highlight w:val="none"/>
        </w:rPr>
        <w:t xml:space="preserve">2)配合甲方做好防汛抗灾期</w:t>
      </w:r>
      <w:r>
        <w:rPr>
          <w:rFonts w:hint="eastAsia" w:ascii="宋体" w:hAnsi="宋体"/>
          <w:bCs/>
          <w:color w:val="000000"/>
          <w:sz w:val="24"/>
          <w:szCs w:val="22"/>
          <w:highlight w:val="none"/>
        </w:rPr>
        <w:t xml:space="preserve">间的汛前、汛期、汛后的各项工作,服从甲方对区管道路应急抢险的统一调配、指挥；</w:t>
      </w:r>
      <w:r>
        <w:rPr>
          <w:rFonts w:hint="eastAsia" w:ascii="宋体" w:hAnsi="宋体" w:cs="宋体"/>
          <w:sz w:val="24"/>
          <w:szCs w:val="24"/>
          <w:highlight w:val="none"/>
        </w:rPr>
        <w:t xml:space="preserve">遭遇强降雨天气时，乙方应按甲方指令及时提供排涝泵车或大功率水泵等排水设备，并确保设备的小时排水量不低于1000立方米，以满足现场应急排水需求。</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(3)养护相关的社会职能（如城市创建等）工作；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(4)上级布置的突击性活动而发生的各项工作；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(5)确保法定节假日的养护维修工作。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4.10乙方应做的其他工作，双方在补充条款内约定。</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二、养护组织设计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 进度计划</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乙方在本合同生效后15天内上报全年养护作业计划和该项目养护管理人员网络组成表，制定季度、月度养护计划、材料计划送交甲方。甲方在7天内予以确认。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361"/>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三、质量与考核</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6 质量标准 </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sz w:val="24"/>
          <w:highlight w:val="none"/>
        </w:rPr>
        <w:t xml:space="preserve">依据《城镇排水管渠与泵站运行、维护及安全技术规程》（CJJ68-2016）、《区公共污水管网（设施）养护作业参考标准》和采购人</w:t>
      </w:r>
      <w:r>
        <w:rPr>
          <w:rFonts w:ascii="宋体" w:hAnsi="宋体"/>
          <w:sz w:val="24"/>
          <w:highlight w:val="none"/>
        </w:rPr>
        <w:t xml:space="preserve">要求</w:t>
      </w:r>
      <w:r>
        <w:rPr>
          <w:rFonts w:hint="eastAsia" w:ascii="宋体" w:hAnsi="宋体"/>
          <w:sz w:val="24"/>
          <w:highlight w:val="none"/>
        </w:rPr>
        <w:t xml:space="preserve">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7 检查和考核</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乙方应认真按照补充合同中约定的质量标准进行养护，随时接受甲方的检查和考核，为检查和考核提供便利条件。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对于养护质量不符合要求，在日常监管和养护例会上指出的问题不能做到及时整改的，扣款1000元/次；经甲方发出整改通知单后仍未在规定时间内整改到位的，扣款5000元/次；同一问题再次告知后，仍未整改的，扣款20000元/次，并通知其他养护公司进行整改，所需费用在该养护经费中支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7.3 </w:t>
      </w:r>
      <w:r>
        <w:rPr>
          <w:rFonts w:hint="eastAsia" w:ascii="宋体" w:hAnsi="宋体"/>
          <w:sz w:val="24"/>
          <w:szCs w:val="24"/>
          <w:highlight w:val="none"/>
        </w:rPr>
        <w:t xml:space="preserve">管道及其附属设施的检查与养护要求：要求中标单位应定期</w:t>
      </w:r>
      <w:r>
        <w:rPr>
          <w:rFonts w:hint="eastAsia"/>
          <w:sz w:val="24"/>
          <w:szCs w:val="24"/>
          <w:highlight w:val="none"/>
        </w:rPr>
        <w:t xml:space="preserve">对雨污水管道、包含检查井、出水口内的垃圾、淤泥、砖、石等杂物清理至管道及窨井外，并按规定外运至符合环保要求的处置点</w:t>
      </w:r>
      <w:r>
        <w:rPr>
          <w:rFonts w:hint="eastAsia" w:ascii="宋体" w:hAnsi="宋体"/>
          <w:sz w:val="24"/>
          <w:szCs w:val="24"/>
          <w:highlight w:val="none"/>
        </w:rPr>
        <w:t xml:space="preserve">，确保雨污水管道始终保持良好的通水功能和结构状态。巡查内容主要包括</w:t>
      </w:r>
      <w:r>
        <w:rPr>
          <w:rFonts w:hint="eastAsia"/>
          <w:sz w:val="24"/>
          <w:szCs w:val="24"/>
          <w:highlight w:val="none"/>
        </w:rPr>
        <w:t xml:space="preserve">井盖丢失、路面塌陷、私接偷排（包括泥浆）、污水冒溢、雨污分流等，紧急情况应保证人员不离场，同时立即设置围挡，防止安全事故的发生，重点关注管网</w:t>
      </w:r>
      <w:r>
        <w:rPr>
          <w:rFonts w:hint="eastAsia" w:cs="宋体"/>
          <w:sz w:val="24"/>
          <w:szCs w:val="24"/>
          <w:highlight w:val="none"/>
        </w:rPr>
        <w:t xml:space="preserve">周围5米内</w:t>
      </w:r>
      <w:r>
        <w:rPr>
          <w:rFonts w:hint="eastAsia"/>
          <w:sz w:val="24"/>
          <w:szCs w:val="24"/>
          <w:highlight w:val="none"/>
        </w:rPr>
        <w:t xml:space="preserve">施工、破土等情况，有责任与义务及时告知</w:t>
      </w:r>
      <w:r>
        <w:rPr>
          <w:rFonts w:hint="eastAsia" w:cs="宋体"/>
          <w:sz w:val="24"/>
          <w:szCs w:val="24"/>
          <w:highlight w:val="none"/>
        </w:rPr>
        <w:t xml:space="preserve">管道的具体分布位置，提出有效地安全保护措施建议，</w:t>
      </w:r>
      <w:r>
        <w:rPr>
          <w:rFonts w:hint="eastAsia"/>
          <w:sz w:val="24"/>
          <w:szCs w:val="24"/>
          <w:highlight w:val="none"/>
        </w:rPr>
        <w:t xml:space="preserve">阻止违规施工，避免管网损坏并应立刻上报处理，由以上问题导致管道及其附属设施损坏甚至引起安全事故的，责任由成交方全部承担，重点关注沿河雨水口污水外流情况，发现问题及时调查取证，并立即上报。</w:t>
      </w:r>
      <w:r/>
    </w:p>
    <w:p>
      <w:pPr>
        <w:ind w:firstLine="480"/>
        <w:spacing w:line="360" w:lineRule="auto"/>
        <w:rPr>
          <w:rFonts w:ascii="宋体" w:hAnsi="宋体"/>
          <w:sz w:val="24"/>
          <w:szCs w:val="24"/>
          <w:highlight w:val="none"/>
        </w:rPr>
      </w:pPr>
      <w:r>
        <w:rPr>
          <w:rFonts w:hint="eastAsia" w:ascii="宋体" w:hAnsi="宋体"/>
          <w:color w:val="000000"/>
          <w:sz w:val="24"/>
          <w:szCs w:val="24"/>
          <w:highlight w:val="none"/>
        </w:rPr>
        <w:t xml:space="preserve">7.4</w:t>
      </w:r>
      <w:r>
        <w:rPr>
          <w:rFonts w:hint="eastAsia" w:ascii="宋体" w:hAnsi="宋体"/>
          <w:sz w:val="24"/>
          <w:szCs w:val="24"/>
          <w:highlight w:val="none"/>
        </w:rPr>
        <w:t xml:space="preserve">养护单位应在事故发生或接到报障、保修、投诉后2小时到达现场，组织调查、抢修。重大事故应在12小时内向街道排水主管部门报告。</w:t>
      </w:r>
      <w:r/>
    </w:p>
    <w:p>
      <w:pPr>
        <w:ind w:firstLine="480"/>
        <w:spacing w:line="360" w:lineRule="auto"/>
        <w:rPr>
          <w:rFonts w:ascii="宋体" w:hAnsi="宋体"/>
          <w:sz w:val="24"/>
          <w:szCs w:val="24"/>
          <w:highlight w:val="none"/>
        </w:rPr>
      </w:pPr>
      <w:r>
        <w:rPr>
          <w:rFonts w:ascii="宋体" w:hAnsi="宋体"/>
          <w:sz w:val="24"/>
          <w:szCs w:val="24"/>
          <w:highlight w:val="none"/>
        </w:rPr>
        <w:t xml:space="preserve">7.5</w:t>
      </w:r>
      <w:r>
        <w:rPr>
          <w:rFonts w:hint="eastAsia" w:ascii="宋体" w:hAnsi="宋体"/>
          <w:sz w:val="24"/>
          <w:szCs w:val="24"/>
          <w:highlight w:val="none"/>
        </w:rPr>
        <w:t xml:space="preserve">养护方式可采用机械作业与人工作业相结合，具体应根据管径、管材、施工工艺等不同区别对待。</w:t>
      </w:r>
      <w:r/>
    </w:p>
    <w:p>
      <w:pPr>
        <w:ind w:firstLine="480"/>
        <w:spacing w:line="360" w:lineRule="auto"/>
        <w:rPr>
          <w:rFonts w:ascii="宋体" w:hAnsi="宋体"/>
          <w:sz w:val="24"/>
          <w:szCs w:val="24"/>
          <w:highlight w:val="none"/>
        </w:rPr>
      </w:pPr>
      <w:r>
        <w:rPr>
          <w:rFonts w:ascii="宋体" w:hAnsi="宋体"/>
          <w:sz w:val="24"/>
          <w:szCs w:val="24"/>
          <w:highlight w:val="none"/>
        </w:rPr>
        <w:t xml:space="preserve">7.6</w:t>
      </w:r>
      <w:r>
        <w:rPr>
          <w:rFonts w:hint="eastAsia" w:ascii="宋体" w:hAnsi="宋体"/>
          <w:sz w:val="24"/>
          <w:szCs w:val="24"/>
          <w:highlight w:val="none"/>
        </w:rPr>
        <w:t xml:space="preserve">养护单位应严格按照采购文件的规定对检查井、排放口、管道、倒虹管、池类设施等进行检查，并建立相应的检查记录以备核查。</w:t>
      </w:r>
      <w:r/>
    </w:p>
    <w:p>
      <w:pPr>
        <w:ind w:firstLine="480"/>
        <w:spacing w:line="360" w:lineRule="auto"/>
        <w:rPr>
          <w:rFonts w:ascii="宋体" w:hAnsi="宋体"/>
          <w:bCs/>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.7</w:t>
      </w:r>
      <w:r>
        <w:rPr>
          <w:rFonts w:hint="eastAsia" w:ascii="宋体" w:hAnsi="宋体"/>
          <w:bCs/>
          <w:sz w:val="24"/>
          <w:szCs w:val="24"/>
          <w:highlight w:val="none"/>
        </w:rPr>
        <w:t xml:space="preserve">按照</w:t>
      </w:r>
      <w:r>
        <w:rPr>
          <w:rFonts w:hint="eastAsia" w:ascii="宋体" w:hAnsi="宋体"/>
          <w:sz w:val="24"/>
          <w:szCs w:val="24"/>
          <w:highlight w:val="none"/>
        </w:rPr>
        <w:t xml:space="preserve">《无锡市深化排水达标区建设考核办法》（锡政园用〔2016〕20号），雨水部分以“</w:t>
      </w:r>
      <w:r>
        <w:rPr>
          <w:rFonts w:ascii="宋体" w:hAnsi="宋体"/>
          <w:sz w:val="24"/>
          <w:szCs w:val="24"/>
          <w:highlight w:val="none"/>
        </w:rPr>
        <w:t xml:space="preserve">附1</w:t>
      </w:r>
      <w:r>
        <w:rPr>
          <w:rFonts w:hint="eastAsia" w:ascii="宋体" w:hAnsi="宋体"/>
          <w:sz w:val="24"/>
          <w:szCs w:val="24"/>
          <w:highlight w:val="none"/>
        </w:rPr>
        <w:t xml:space="preserve">：</w:t>
      </w:r>
      <w:r>
        <w:rPr>
          <w:rFonts w:ascii="宋体" w:hAnsi="宋体"/>
          <w:sz w:val="24"/>
          <w:szCs w:val="24"/>
          <w:highlight w:val="none"/>
        </w:rPr>
        <w:t xml:space="preserve">雨水</w:t>
      </w:r>
      <w:r>
        <w:rPr>
          <w:rFonts w:hint="eastAsia" w:ascii="宋体" w:hAnsi="宋体"/>
          <w:sz w:val="24"/>
          <w:szCs w:val="24"/>
          <w:highlight w:val="none"/>
        </w:rPr>
        <w:t xml:space="preserve">运行</w:t>
      </w:r>
      <w:r>
        <w:rPr>
          <w:rFonts w:ascii="宋体" w:hAnsi="宋体"/>
          <w:sz w:val="24"/>
          <w:szCs w:val="24"/>
          <w:highlight w:val="none"/>
        </w:rPr>
        <w:t xml:space="preserve">维护片区考核表</w:t>
      </w:r>
      <w:r>
        <w:rPr>
          <w:rFonts w:hint="eastAsia" w:ascii="宋体" w:hAnsi="宋体"/>
          <w:sz w:val="24"/>
          <w:szCs w:val="24"/>
          <w:highlight w:val="none"/>
        </w:rPr>
        <w:t xml:space="preserve">”</w:t>
      </w:r>
      <w:r>
        <w:rPr>
          <w:rFonts w:hint="eastAsia" w:ascii="宋体" w:hAnsi="宋体"/>
          <w:bCs/>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cs="宋体"/>
          <w:sz w:val="24"/>
          <w:szCs w:val="24"/>
          <w:highlight w:val="none"/>
        </w:rPr>
        <w:t xml:space="preserve">甲方</w:t>
      </w:r>
      <w:r>
        <w:rPr>
          <w:rFonts w:ascii="宋体" w:hAnsi="宋体" w:cs="宋体"/>
          <w:sz w:val="24"/>
          <w:szCs w:val="24"/>
          <w:highlight w:val="none"/>
        </w:rPr>
        <w:t xml:space="preserve">按月考得分向运行维护单位支付运行维护经费，</w:t>
      </w:r>
      <w:r>
        <w:rPr>
          <w:rFonts w:hint="eastAsia" w:ascii="宋体" w:hAnsi="宋体" w:cs="宋体"/>
          <w:sz w:val="24"/>
          <w:szCs w:val="24"/>
          <w:highlight w:val="none"/>
        </w:rPr>
        <w:t xml:space="preserve">每月运行维护费用为合同价*（1-10%）/24</w:t>
      </w:r>
      <w:r>
        <w:rPr>
          <w:rFonts w:ascii="宋体" w:hAnsi="宋体" w:cs="宋体"/>
          <w:sz w:val="24"/>
          <w:szCs w:val="24"/>
          <w:highlight w:val="none"/>
        </w:rPr>
        <w:t xml:space="preserve">，如考核未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rPr>
          <w:rFonts w:hint="eastAsia" w:ascii="宋体" w:hAnsi="宋体"/>
          <w:bCs/>
          <w:sz w:val="24"/>
          <w:szCs w:val="24"/>
          <w:highlight w:val="none"/>
        </w:rPr>
        <w:t xml:space="preserve">。</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四、安全文明施工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自签订合同之日起，乙方全面负责其在养护作业区内的安全文明施工责任。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 安全文明施工与检查</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由于乙方管理不善，引起政府职能部门处罚和停工整改，或安全措施不力造成事故的责任和因此发生的费用，由乙方承担。</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安全防护</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养护单位应配备足够的安全文明防护设施，养护作业人员必须着装上岗操作，施工期间按规定做好安全标识。排水井井下作业采取二级审批制度，防范措施到位，相关人员具有培训合格的操作证，擅自或违规下井作业的养护单位承担一切后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10</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事故处理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发生重大伤亡及其他安全事故，乙方应按有关规定立即上报有关部门并通知甲方代表，同时按政府有关部门要求处理由事故责任方承担发生的费用。</w:t>
      </w:r>
      <w:r/>
    </w:p>
    <w:p>
      <w:pPr>
        <w:ind w:firstLine="361"/>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五、合同价款与支付</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11合同价款</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合同价款由甲、乙双方依据成交通知书中的价格在协议书内约定。</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乙方应向甲方提交月度养护作业统计报表。甲方可以按报表内容进行计量与考核，考核结果作为合同价款支付的依据。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如实际养护作业量与设施量清单有出入时，乙方按照</w:t>
      </w:r>
      <w:r>
        <w:rPr>
          <w:rFonts w:hint="eastAsia" w:ascii="宋体" w:hAnsi="宋体"/>
          <w:b/>
          <w:color w:val="000000"/>
          <w:sz w:val="24"/>
          <w:szCs w:val="24"/>
          <w:highlight w:val="none"/>
        </w:rPr>
        <w:t xml:space="preserve">合同条款</w:t>
      </w:r>
      <w:r>
        <w:rPr>
          <w:rFonts w:hint="eastAsia" w:ascii="宋体" w:hAnsi="宋体"/>
          <w:color w:val="000000"/>
          <w:sz w:val="24"/>
          <w:szCs w:val="24"/>
          <w:highlight w:val="none"/>
        </w:rPr>
        <w:t xml:space="preserve">约定的时间上报计划变更单，经甲方审核并报有关部门审定后方可在下月养护计划中调整。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对乙方超出养护范围和因乙方原因造成返工的工作量，甲方不予计量。</w:t>
      </w:r>
      <w:r/>
    </w:p>
    <w:p>
      <w:pPr>
        <w:ind w:firstLine="480"/>
        <w:spacing w:line="360" w:lineRule="auto"/>
        <w:rPr>
          <w:rFonts w:ascii="宋体" w:hAnsi="宋体" w:cs="Droid Sans"/>
          <w:color w:val="000000"/>
          <w:sz w:val="24"/>
          <w:szCs w:val="24"/>
          <w:highlight w:val="none"/>
        </w:rPr>
      </w:pPr>
      <w:r>
        <w:rPr>
          <w:rFonts w:hint="eastAsia" w:ascii="宋体" w:hAnsi="宋体" w:cs="Droid Sans"/>
          <w:color w:val="000000"/>
          <w:sz w:val="24"/>
          <w:szCs w:val="24"/>
          <w:highlight w:val="none"/>
        </w:rPr>
        <w:t xml:space="preserve">12</w:t>
      </w:r>
      <w:r>
        <w:rPr>
          <w:rFonts w:ascii="宋体" w:hAnsi="宋体" w:cs="Droid Sans"/>
          <w:color w:val="000000"/>
          <w:sz w:val="24"/>
          <w:szCs w:val="24"/>
          <w:highlight w:val="none"/>
        </w:rPr>
        <w:t xml:space="preserve"> </w:t>
      </w:r>
      <w:r>
        <w:rPr>
          <w:rFonts w:hint="eastAsia" w:ascii="宋体" w:hAnsi="宋体" w:cs="Droid Sans"/>
          <w:color w:val="000000"/>
          <w:sz w:val="24"/>
          <w:szCs w:val="24"/>
          <w:highlight w:val="none"/>
        </w:rPr>
        <w:t xml:space="preserve">合同价款支付</w:t>
      </w:r>
      <w:r/>
    </w:p>
    <w:p>
      <w:pPr>
        <w:ind w:firstLine="480"/>
        <w:spacing w:line="360" w:lineRule="auto"/>
        <w:rPr>
          <w:rFonts w:ascii="宋体" w:hAnsi="宋体" w:cs="Droid Sans"/>
          <w:color w:val="000000"/>
          <w:sz w:val="24"/>
          <w:szCs w:val="24"/>
          <w:highlight w:val="none"/>
        </w:rPr>
      </w:pPr>
      <w:r>
        <w:rPr>
          <w:rFonts w:hint="eastAsia" w:ascii="宋体" w:hAnsi="宋体" w:cs="Droid Sans"/>
          <w:color w:val="000000"/>
          <w:sz w:val="24"/>
          <w:szCs w:val="24"/>
          <w:highlight w:val="none"/>
        </w:rPr>
        <w:t xml:space="preserve">12.1付款方式： </w:t>
      </w:r>
      <w:r/>
    </w:p>
    <w:p>
      <w:pPr>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根据月考、季度考核及年度考核得分，每季度支付运行维护费用，剩余合同价的10%，经甲方组织最终履约验收合格并在江苏政府采购网公示且无遗留问题后，一次性付清。</w:t>
      </w:r>
      <w:r/>
    </w:p>
    <w:p>
      <w:pPr>
        <w:ind w:firstLine="480"/>
        <w:jc w:val="left"/>
        <w:spacing w:line="360" w:lineRule="auto"/>
        <w:rPr>
          <w:rFonts w:hint="eastAsia" w:hAnsi="宋体" w:eastAsia="宋体" w:cs="宋体"/>
          <w:sz w:val="24"/>
          <w:szCs w:val="24"/>
          <w:highlight w:val="none"/>
          <w:lang w:val="en-US" w:eastAsia="zh-CN"/>
        </w:rPr>
      </w:pPr>
      <w:r>
        <w:rPr>
          <w:rFonts w:hint="eastAsia" w:hAnsi="宋体" w:cs="宋体"/>
          <w:sz w:val="24"/>
          <w:szCs w:val="24"/>
          <w:highlight w:val="none"/>
          <w:lang w:val="en-US" w:eastAsia="zh-CN"/>
        </w:rPr>
        <w:t xml:space="preserve">2、防汛和气囊应急拆封为不可竞争费，若养护期间发生防汛和气囊应急拆封等事项，工程量按实计量并经签证确认，发生费用套用相应定额（《江苏省市政设施养护维修定额》（2013年）、《江苏省市政工程消耗量定额》（2026 年）等），无对应定额的按市场价计取并予以让利，让利系数 = 中标价 （不含不可竞争费）/ 最高限价（不含不可竞争费）；项目验收合格并经审计后支付，结算价不得超过招标暂列金额。</w:t>
      </w:r>
      <w:r/>
    </w:p>
    <w:p>
      <w:pPr>
        <w:ind w:firstLine="48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六、违约和争议</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 违约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因甲方原因导致乙方不能按合同约定履行义务的，相应顺延工期。</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13.2甲方未按合同约定支付养护费的，甲方应按每日万分之二支付违约金。</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乙方不能达到所承诺的养护质量和有关技术规范标准，乙方按协议条款支付违约金，赔偿因违约给甲方造成的损失。</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 因一方违约使合同不能履行，另一方欲终止或解除全部合同，应提前10天通知违约方后，方可终止或解除合同，由违约方承担违约责任。(除合同另有规定外</w:t>
      </w:r>
      <w:r>
        <w:rPr>
          <w:rFonts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14 争议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甲乙双方因合同发生争议，可由甲乙双方协商、调解或向甲方所在地的人民法院起诉解决。</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2发生争议后，除出现以下情况的，双方都应继续履行合同，保持养护连续性：</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 合同确已无法履行；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 双方协议停止养护作业；</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 仲裁机关要求停止养护作业；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 法院要求停止养护作业。</w:t>
      </w:r>
      <w:r/>
    </w:p>
    <w:p>
      <w:pPr>
        <w:ind w:firstLine="48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七、合同终止</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承包范围内的养护管理项目，乙方不得采取任何形式实施分包和转包，凡违反此规定的，甲方将立即取消乙方的承包资格，终止养护承包合同的履行，由此产生的一切法律责任和经济损失由乙方承担；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乙方在本合同订立之日起三个月内，作为试用期；经甲方考核，达不到质量和技术标准的，甲方有权终止合同。因试用不合格，试用期内养护费按合同价的月平均价50％付给。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15.3乙方中标后三个月内不履行投标承诺，未响应采购文件要求，购置管道养护设备、清淤设备、防汛应急设备等市政专用设备，甲方有权终止该合同。</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八、其他</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16.1 在本合同执行过程中如遇和国家政策、地方性法规的有关规定不符时，按有关政策法规执行。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如遇自然灾害和不可抗力造成损失的，双方协商解决。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本合同如有未尽事宜，双方可通过协商补充协议解决。</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九、合同生效与终止</w:t>
      </w:r>
      <w:r/>
    </w:p>
    <w:p>
      <w:pPr>
        <w:ind w:firstLine="600"/>
        <w:spacing w:line="360" w:lineRule="auto"/>
        <w:rPr>
          <w:rFonts w:ascii="宋体" w:hAnsi="宋体"/>
          <w:bCs/>
          <w:sz w:val="24"/>
          <w:highlight w:val="none"/>
        </w:rPr>
      </w:pPr>
      <w:r>
        <w:rPr>
          <w:rFonts w:hint="eastAsia" w:ascii="宋体" w:hAnsi="宋体"/>
          <w:color w:val="000000"/>
          <w:sz w:val="24"/>
          <w:szCs w:val="24"/>
          <w:highlight w:val="none"/>
        </w:rPr>
        <w:t xml:space="preserve">双方在合同协议书中约定合同生效方式。</w:t>
      </w:r>
      <w:r>
        <w:rPr>
          <w:rFonts w:hint="eastAsia" w:ascii="宋体" w:hAnsi="宋体"/>
          <w:bCs/>
          <w:sz w:val="24"/>
          <w:highlight w:val="none"/>
        </w:rPr>
        <w:t xml:space="preserve">本协议至管网养护期满、验收合格、价款结清自行终止。</w:t>
      </w:r>
      <w:r/>
    </w:p>
    <w:p>
      <w:pPr>
        <w:ind w:firstLine="60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十、合同份数</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本合同一式七份，并具有同等法律效力。由甲方保存四份、乙方保存两份，见证方一份。</w:t>
      </w:r>
      <w:r>
        <w:rPr>
          <w:rFonts w:hint="eastAsia" w:ascii="黑体" w:eastAsia="黑体"/>
          <w:bCs/>
          <w:color w:val="000000"/>
          <w:sz w:val="36"/>
          <w:szCs w:val="36"/>
          <w:highlight w:val="none"/>
        </w:rPr>
        <w:br w:type="page" w:clear="all"/>
      </w:r>
      <w:r/>
    </w:p>
    <w:p>
      <w:pPr>
        <w:ind w:firstLine="480"/>
        <w:jc w:val="center"/>
        <w:spacing w:line="288"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84"/>
      <w:r>
        <w:rPr>
          <w:rFonts w:hint="eastAsia" w:ascii="黑体" w:eastAsia="黑体"/>
          <w:bCs/>
          <w:color w:val="000000"/>
          <w:sz w:val="36"/>
          <w:szCs w:val="36"/>
          <w:highlight w:val="none"/>
        </w:rPr>
        <w:t xml:space="preserve">四章 采购需求</w:t>
      </w:r>
      <w:bookmarkEnd w:id="185"/>
      <w:r/>
      <w:bookmarkEnd w:id="186"/>
      <w:r/>
      <w:bookmarkEnd w:id="187"/>
      <w:r/>
      <w:r/>
    </w:p>
    <w:p>
      <w:pPr>
        <w:ind w:firstLine="300"/>
        <w:jc w:val="left"/>
        <w:spacing w:line="360" w:lineRule="auto"/>
        <w:rPr>
          <w:rFonts w:ascii="黑体" w:hAnsi="黑体" w:eastAsia="黑体"/>
          <w:color w:val="000000"/>
          <w:sz w:val="30"/>
          <w:szCs w:val="30"/>
          <w:highlight w:val="none"/>
        </w:rPr>
      </w:pPr>
      <w:r/>
      <w:bookmarkStart w:id="191" w:name="_Toc26554093"/>
      <w:r/>
      <w:bookmarkStart w:id="192"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w:t>
      </w:r>
      <w:r>
        <w:rPr>
          <w:rFonts w:hint="eastAsia" w:ascii="宋体" w:hAnsi="宋体"/>
          <w:color w:val="000000"/>
          <w:sz w:val="24"/>
          <w:szCs w:val="24"/>
          <w:highlight w:val="none"/>
        </w:rPr>
        <w:t xml:space="preserve">属行业：</w:t>
      </w:r>
      <w:r>
        <w:rPr>
          <w:rFonts w:hint="eastAsia" w:ascii="宋体" w:hAnsi="宋体" w:cs="宋体"/>
          <w:bCs/>
          <w:sz w:val="24"/>
          <w:highlight w:val="none"/>
        </w:rPr>
        <w:t xml:space="preserve">其他未列明行业</w:t>
      </w:r>
      <w:r/>
    </w:p>
    <w:p>
      <w:pPr>
        <w:numPr>
          <w:ilvl w:val="0"/>
          <w:numId w:val="6"/>
        </w:numPr>
        <w:ind w:left="481"/>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项目技术要求</w:t>
      </w:r>
      <w:r/>
    </w:p>
    <w:p>
      <w:pPr>
        <w:spacing w:line="360" w:lineRule="auto"/>
        <w:tabs>
          <w:tab w:val="left" w:pos="945" w:leader="none"/>
        </w:tabs>
        <w:rPr>
          <w:rFonts w:ascii="宋体" w:hAnsi="宋体" w:cs="宋体"/>
          <w:sz w:val="24"/>
          <w:highlight w:val="none"/>
        </w:rPr>
        <w:outlineLvl w:val="0"/>
      </w:pPr>
      <w:r>
        <w:rPr>
          <w:rFonts w:hint="eastAsia" w:ascii="宋体" w:hAnsi="宋体" w:cs="宋体"/>
          <w:b/>
          <w:sz w:val="24"/>
          <w:highlight w:val="none"/>
        </w:rPr>
        <w:t xml:space="preserve">一、本项目采购标的名称、概况：</w:t>
      </w:r>
      <w:r/>
    </w:p>
    <w:p>
      <w:pPr>
        <w:ind w:firstLine="482"/>
        <w:spacing w:line="360" w:lineRule="auto"/>
        <w:widowControl/>
        <w:rPr>
          <w:rFonts w:hint="eastAsia" w:eastAsia="宋体"/>
          <w:sz w:val="24"/>
          <w:highlight w:val="none"/>
          <w:lang w:eastAsia="zh-CN"/>
        </w:rPr>
      </w:pPr>
      <w:r>
        <w:rPr>
          <w:rFonts w:hint="eastAsia" w:ascii="宋体" w:hAnsi="宋体" w:cs="宋体"/>
          <w:b/>
          <w:bCs/>
          <w:sz w:val="24"/>
          <w:highlight w:val="none"/>
        </w:rPr>
        <w:t xml:space="preserve">1、项目名称：</w:t>
      </w:r>
      <w:r>
        <w:rPr>
          <w:rFonts w:hint="eastAsia"/>
          <w:sz w:val="24"/>
          <w:highlight w:val="none"/>
          <w:lang w:eastAsia="zh-CN"/>
        </w:rPr>
        <w:t xml:space="preserve">华庄街道雨污水管网养护服务</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2、项目概况：</w:t>
      </w:r>
      <w:r>
        <w:rPr>
          <w:rFonts w:hint="eastAsia"/>
          <w:sz w:val="24"/>
          <w:highlight w:val="none"/>
        </w:rPr>
        <w:t xml:space="preserve">为扎实推进新一轮太湖治理，切实保障辖区内雨污水管网运行畅通、做好防汛应急保障工作，实施华庄街道雨污水管网养护服务，服务期为两年。</w:t>
      </w:r>
      <w:r/>
    </w:p>
    <w:p>
      <w:pPr>
        <w:spacing w:line="360" w:lineRule="auto"/>
        <w:tabs>
          <w:tab w:val="left" w:pos="945" w:leader="none"/>
        </w:tabs>
        <w:rPr>
          <w:rFonts w:ascii="宋体" w:hAnsi="宋体" w:cs="宋体"/>
          <w:b/>
          <w:sz w:val="24"/>
          <w:highlight w:val="none"/>
        </w:rPr>
        <w:outlineLvl w:val="0"/>
      </w:pPr>
      <w:r>
        <w:rPr>
          <w:rFonts w:hint="eastAsia" w:ascii="宋体" w:hAnsi="宋体" w:cs="宋体"/>
          <w:b/>
          <w:sz w:val="24"/>
          <w:highlight w:val="none"/>
        </w:rPr>
        <w:t xml:space="preserve">二、具体服务内容和要求</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一）、养护的质量标准和要求</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1</w:t>
      </w:r>
      <w:r>
        <w:rPr>
          <w:rFonts w:hint="eastAsia" w:ascii="宋体" w:hAnsi="宋体" w:cs="宋体"/>
          <w:sz w:val="24"/>
          <w:szCs w:val="24"/>
          <w:highlight w:val="none"/>
        </w:rPr>
        <w:t xml:space="preserve">、本项目养护期限：2年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2、质量验收标准：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A.依据《城镇排水管渠与泵站运行、维护及安全技术规程》（CJJ68-2016）、《区公共污水管网（设施）养护作业参考标准》和采购人要求执行。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B.雨污水管网、检查井、雨水井、排水设施进行巡查，每</w:t>
      </w:r>
      <w:r>
        <w:rPr>
          <w:rFonts w:hint="eastAsia" w:ascii="宋体" w:hAnsi="宋体" w:cs="宋体"/>
          <w:sz w:val="24"/>
          <w:szCs w:val="24"/>
          <w:highlight w:val="none"/>
        </w:rPr>
        <w:t xml:space="preserve">个月不少于一次，汛期要按要求增加巡视次数，并配合甲方做好积水点排水工作，确保沟管畅通。遭遇强降雨天气时，乙方应按甲方指令及时提供排涝泵车或大功率水泵等排水设备，并确保设备的小时排水量不低于1000立方米，以满足现场应急排水需求。检查标准参考管道及其附属设施的检查与养护要求。为精确掌握管道的运行情况，及时发现管网可能存在功能及结构上的问题点，需根据现场实际情况采用声呐检测，内窥摄像系统（QV）检测，CCTV电视视频检测、推杆检测等手段。检测标准采用《CJJ 181-2012 城镇排水管道检测与评估技术规程》。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3、付款方式：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hAnsi="宋体" w:cs="宋体"/>
          <w:sz w:val="24"/>
          <w:szCs w:val="24"/>
          <w:highlight w:val="none"/>
        </w:rPr>
        <w:t xml:space="preserve">根据月考、季度考核及年度考核得分，每季度支付运行维护费用，剩余合同价的10%，经甲方组织最终履约验收合格并在江苏政府采购网公示且无遗留问题后，一次性付清。</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防汛和气囊应急拆封为不可竞争费，若养护期间发生防汛和气囊应急拆封等事项，工程量按实计量并经签证确认，发生费用套用相应定额（《江苏省市政设施养护维修定额》（2013年）、《江苏省市政工程消耗量定额》（2026 年）等），无对应定额的按市场价计取并予以让利，让利系数 = 中标价 （不含不可竞争费）/ 最高限价（不含不可竞争费）；项</w:t>
      </w:r>
      <w:bookmarkStart w:id="197" w:name="_GoBack"/>
      <w:r/>
      <w:bookmarkEnd w:id="197"/>
      <w:r>
        <w:rPr>
          <w:rFonts w:hint="eastAsia" w:hAnsi="宋体" w:cs="宋体"/>
          <w:sz w:val="24"/>
          <w:szCs w:val="24"/>
          <w:highlight w:val="none"/>
          <w:lang w:eastAsia="zh-CN"/>
        </w:rPr>
        <w:t xml:space="preserve">目验收合格并经审计后支付，结算价不得超过招标暂列金额。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4、考核方法和内容：考核分月度考核、季度考核、年度考核（含抽查）。考核表详见《无锡市深化排水达标区建设考核办法》（锡政园用〔20·16〕20号），雨水部分以“附1：雨水运行维护片区考核表”为准。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采购人按</w:t>
      </w:r>
      <w:r>
        <w:rPr>
          <w:rFonts w:hint="eastAsia" w:ascii="宋体" w:hAnsi="宋体" w:cs="宋体"/>
          <w:sz w:val="24"/>
          <w:szCs w:val="24"/>
          <w:highlight w:val="none"/>
        </w:rPr>
        <w:t xml:space="preserve">月考得分向运行维护单位支付运行维护经费，每月运行维护费用为合同价*（1-10%）/24，如考核未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p>
    <w:p>
      <w:pPr>
        <w:numPr>
          <w:ilvl w:val="0"/>
          <w:numId w:val="7"/>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中标单位应建立有效的运行维护信息，按养护规范要求频率进行巡查。同时，每年对排水设施运行维护信息进行汇总。制作运行维护信息年报表。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中标单位必须严格按照《城镇排水管渠与泵站运行、维护及安全技术规程》（CJJ68-2016）、泵站的运行、维护应符合国家现行《恶臭污染物排放标准》（GB14554）和《城市区域环境噪声标准》（GB3096）等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w:t>
      </w:r>
      <w:r/>
    </w:p>
    <w:tbl>
      <w:tblPr>
        <w:tblStyle w:val="752"/>
        <w:tblW w:w="9071" w:type="dxa"/>
        <w:tblInd w:w="98" w:type="dxa"/>
        <w:tblLayout w:type="fixed"/>
        <w:tblCellMar>
          <w:left w:w="108" w:type="dxa"/>
          <w:top w:w="0" w:type="dxa"/>
          <w:right w:w="108" w:type="dxa"/>
          <w:bottom w:w="0" w:type="dxa"/>
        </w:tblCellMar>
        <w:tblLook w:val="04A0" w:firstRow="1" w:lastRow="0" w:firstColumn="1" w:lastColumn="0" w:noHBand="0" w:noVBand="1"/>
      </w:tblPr>
      <w:tblGrid>
        <w:gridCol w:w="1907"/>
        <w:gridCol w:w="2233"/>
        <w:gridCol w:w="3209"/>
        <w:gridCol w:w="609"/>
        <w:gridCol w:w="447"/>
        <w:gridCol w:w="666"/>
      </w:tblGrid>
      <w:tr>
        <w:trPr>
          <w:trHeight w:val="42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华庄街道排水养护片区养护考核评分表</w:t>
            </w:r>
            <w:r/>
          </w:p>
        </w:tc>
      </w:tr>
      <w:tr>
        <w:trPr>
          <w:trHeight w:val="30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bottom"/>
            <w:textDirection w:val="lrTb"/>
            <w:noWrap/>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华庄街道  排水区（编号及名称）：</w:t>
            </w:r>
            <w:r>
              <w:rPr>
                <w:rStyle w:val="1076"/>
                <w:rFonts w:hint="eastAsia" w:ascii="宋体" w:hAnsi="宋体" w:eastAsia="宋体" w:cs="宋体"/>
                <w:sz w:val="24"/>
                <w:szCs w:val="24"/>
                <w:highlight w:val="none"/>
              </w:rPr>
              <w:t xml:space="preserve">    </w:t>
            </w:r>
            <w:r>
              <w:rPr>
                <w:rStyle w:val="1077"/>
                <w:rFonts w:hint="eastAsia" w:ascii="宋体" w:hAnsi="宋体" w:eastAsia="宋体" w:cs="宋体"/>
                <w:sz w:val="24"/>
                <w:szCs w:val="24"/>
                <w:highlight w:val="none"/>
              </w:rPr>
              <w:t xml:space="preserve">          日期：</w:t>
            </w:r>
            <w:r>
              <w:rPr>
                <w:rStyle w:val="1076"/>
                <w:rFonts w:hint="eastAsia" w:ascii="宋体" w:hAnsi="宋体" w:eastAsia="宋体" w:cs="宋体"/>
                <w:sz w:val="24"/>
                <w:szCs w:val="24"/>
                <w:highlight w:val="none"/>
              </w:rPr>
              <w:t xml:space="preserve">       </w:t>
            </w:r>
            <w:r>
              <w:rPr>
                <w:rStyle w:val="1077"/>
                <w:rFonts w:hint="eastAsia" w:ascii="宋体" w:hAnsi="宋体" w:eastAsia="宋体" w:cs="宋体"/>
                <w:sz w:val="24"/>
                <w:szCs w:val="24"/>
                <w:highlight w:val="none"/>
              </w:rPr>
              <w:t xml:space="preserve">月</w:t>
            </w:r>
            <w:r>
              <w:rPr>
                <w:rStyle w:val="1076"/>
                <w:rFonts w:hint="eastAsia" w:ascii="宋体" w:hAnsi="宋体" w:eastAsia="宋体" w:cs="宋体"/>
                <w:sz w:val="24"/>
                <w:szCs w:val="24"/>
                <w:highlight w:val="none"/>
              </w:rPr>
              <w:t xml:space="preserve">        </w:t>
            </w:r>
            <w:r>
              <w:rPr>
                <w:rStyle w:val="1077"/>
                <w:rFonts w:hint="eastAsia" w:ascii="宋体" w:hAnsi="宋体" w:eastAsia="宋体" w:cs="宋体"/>
                <w:sz w:val="24"/>
                <w:szCs w:val="24"/>
                <w:highlight w:val="none"/>
              </w:rPr>
              <w:t xml:space="preserve">日</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考核情况</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雨污分流（10分）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雨污分流</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雨污水完全分流，雨污检查井之间水位有高低，从水质能分辨出污水和雨水</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污水不私接</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污水不私接、发现新增污水及时上报</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检查井（35分）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违章占压</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无违章物品占压，不被移作他用</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无硬块杂物，落底井不超过下游管底以下50mm；流槽井不超过1/5管径</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无位移，无破损、缺陷，平稳不动摇；井框与路面高差不大于±15mm</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无缺失、破损、裂缝；启闭灵活；标志正确</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雨水井（30分）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井框不得高于路面，但也不得低于路面25mm。收水井附近不应有积水现象</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井盖眼不得堵塞，井盖不得损坏、缺失</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落地式井应低于连接管管底10CM，未落地井积淤不得超过管径的10%且不大于5CM</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管 道（25分）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不超过管径的1/3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水流情况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水流畅通</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出水口</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雨水出水口有污水流出时能及时发现并上报</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被考核人：                                    考核人：  </w:t>
            </w:r>
            <w:r/>
          </w:p>
        </w:tc>
      </w:tr>
    </w:tbl>
    <w:p>
      <w:pPr>
        <w:ind w:firstLine="480"/>
        <w:spacing w:line="360" w:lineRule="auto"/>
        <w:rPr>
          <w:rFonts w:ascii="宋体" w:hAnsi="宋体" w:cs="宋体"/>
          <w:sz w:val="24"/>
          <w:szCs w:val="24"/>
          <w:highlight w:val="none"/>
        </w:rPr>
      </w:pPr>
      <w:r>
        <w:rPr>
          <w:rFonts w:ascii="宋体" w:hAnsi="宋体" w:cs="宋体"/>
          <w:sz w:val="24"/>
          <w:szCs w:val="24"/>
          <w:highlight w:val="none"/>
        </w:rPr>
      </w:r>
      <w:r/>
    </w:p>
    <w:tbl>
      <w:tblPr>
        <w:tblStyle w:val="752"/>
        <w:tblpPr w:horzAnchor="page" w:tblpX="1424" w:vertAnchor="text" w:tblpY="506" w:leftFromText="180" w:topFromText="0" w:rightFromText="180" w:bottomFromText="0"/>
        <w:tblW w:w="9100" w:type="dxa"/>
        <w:tblInd w:w="0" w:type="dxa"/>
        <w:tblLayout w:type="autofit"/>
        <w:tblCellMar>
          <w:left w:w="108" w:type="dxa"/>
          <w:top w:w="0" w:type="dxa"/>
          <w:right w:w="108" w:type="dxa"/>
          <w:bottom w:w="0" w:type="dxa"/>
        </w:tblCellMar>
        <w:tblLook w:val="04A0" w:firstRow="1" w:lastRow="0" w:firstColumn="1" w:lastColumn="0" w:noHBand="0" w:noVBand="1"/>
      </w:tblPr>
      <w:tblGrid>
        <w:gridCol w:w="1520"/>
        <w:gridCol w:w="1414"/>
        <w:gridCol w:w="2893"/>
        <w:gridCol w:w="969"/>
        <w:gridCol w:w="1019"/>
        <w:gridCol w:w="1285"/>
      </w:tblGrid>
      <w:tr>
        <w:trPr>
          <w:trHeight w:val="853"/>
        </w:trPr>
        <w:tc>
          <w:tcPr>
            <w:gridSpan w:val="6"/>
            <w:shd w:val="clear" w:color="auto" w:fill="auto"/>
            <w:tcBorders>
              <w:top w:val="single" w:color="000000" w:sz="4" w:space="0"/>
              <w:left w:val="single" w:color="000000" w:sz="4" w:space="0"/>
              <w:bottom w:val="single" w:color="000000" w:sz="4" w:space="0"/>
              <w:right w:val="single" w:color="000000" w:sz="4" w:space="0"/>
            </w:tcBorders>
            <w:tcW w:w="9100" w:type="dxa"/>
            <w:vAlign w:val="center"/>
            <w:textDirection w:val="lrTb"/>
            <w:noWrap w:val="false"/>
          </w:tcPr>
          <w:p>
            <w:pPr>
              <w:jc w:val="center"/>
              <w:rPr>
                <w:rFonts w:ascii="宋体" w:hAnsi="宋体" w:cs="宋体"/>
                <w:b/>
                <w:bCs/>
                <w:color w:val="000000"/>
                <w:sz w:val="24"/>
                <w:szCs w:val="24"/>
                <w:highlight w:val="none"/>
              </w:rPr>
            </w:pPr>
            <w:r>
              <w:rPr>
                <w:rFonts w:hint="eastAsia" w:ascii="黑体" w:hAnsi="黑体" w:eastAsia="黑体" w:cs="黑体"/>
                <w:bCs/>
                <w:sz w:val="28"/>
                <w:szCs w:val="28"/>
                <w:highlight w:val="none"/>
              </w:rPr>
              <w:br w:type="page" w:clear="all"/>
            </w:r>
            <w:r>
              <w:rPr>
                <w:rFonts w:hint="eastAsia" w:ascii="宋体" w:hAnsi="宋体" w:cs="宋体"/>
                <w:b/>
                <w:bCs/>
                <w:color w:val="000000"/>
                <w:sz w:val="24"/>
                <w:szCs w:val="24"/>
                <w:highlight w:val="none"/>
              </w:rPr>
              <w:t xml:space="preserve">华庄街道雨污水截流泵站养护</w:t>
            </w:r>
            <w:r>
              <w:rPr>
                <w:rStyle w:val="1079"/>
                <w:rFonts w:hint="default"/>
                <w:highlight w:val="none"/>
              </w:rPr>
              <w:t xml:space="preserve">     </w:t>
            </w:r>
            <w:r>
              <w:rPr>
                <w:rFonts w:hint="eastAsia" w:ascii="宋体" w:hAnsi="宋体" w:cs="宋体"/>
                <w:b/>
                <w:bCs/>
                <w:color w:val="000000"/>
                <w:sz w:val="24"/>
                <w:szCs w:val="24"/>
                <w:highlight w:val="none"/>
              </w:rPr>
              <w:t xml:space="preserve">季度考核表</w:t>
            </w:r>
            <w:r/>
          </w:p>
        </w:tc>
      </w:tr>
      <w:tr>
        <w:trPr>
          <w:trHeight w:val="713"/>
        </w:trPr>
        <w:tc>
          <w:tcPr>
            <w:gridSpan w:val="6"/>
            <w:shd w:val="clear" w:color="auto" w:fill="auto"/>
            <w:tcBorders>
              <w:top w:val="single" w:color="000000" w:sz="4" w:space="0"/>
              <w:left w:val="single" w:color="000000" w:sz="4" w:space="0"/>
              <w:bottom w:val="single" w:color="000000" w:sz="4" w:space="0"/>
              <w:right w:val="single" w:color="000000" w:sz="4" w:space="0"/>
            </w:tcBorders>
            <w:tcW w:w="9100" w:type="dxa"/>
            <w:vAlign w:val="center"/>
            <w:textDirection w:val="lrTb"/>
            <w:noWrap w:val="false"/>
          </w:tcPr>
          <w:p>
            <w:pPr>
              <w:widowControl/>
              <w:rPr>
                <w:rFonts w:ascii="宋体" w:hAnsi="宋体" w:cs="宋体"/>
                <w:color w:val="000000"/>
                <w:sz w:val="24"/>
                <w:szCs w:val="24"/>
                <w:highlight w:val="none"/>
              </w:rPr>
            </w:pPr>
            <w:r>
              <w:rPr>
                <w:rStyle w:val="1076"/>
                <w:highlight w:val="none"/>
              </w:rPr>
              <w:t xml:space="preserve">    街道：</w:t>
            </w:r>
            <w:r>
              <w:rPr>
                <w:rStyle w:val="1080"/>
                <w:rFonts w:hint="default"/>
                <w:highlight w:val="none"/>
              </w:rPr>
              <w:t xml:space="preserve">华庄街道 </w:t>
            </w:r>
            <w:r>
              <w:rPr>
                <w:rStyle w:val="1076"/>
                <w:highlight w:val="none"/>
              </w:rPr>
              <w:t xml:space="preserve">   </w:t>
            </w:r>
            <w:r>
              <w:rPr>
                <w:rStyle w:val="1076"/>
                <w:rFonts w:hint="eastAsia"/>
                <w:highlight w:val="none"/>
              </w:rPr>
              <w:t xml:space="preserve">  </w:t>
            </w:r>
            <w:r>
              <w:rPr>
                <w:rStyle w:val="1076"/>
                <w:highlight w:val="none"/>
              </w:rPr>
              <w:t xml:space="preserve">泵站名称：</w:t>
            </w:r>
            <w:r>
              <w:rPr>
                <w:rStyle w:val="1080"/>
                <w:rFonts w:hint="default"/>
                <w:highlight w:val="none"/>
              </w:rPr>
              <w:t xml:space="preserve">                      </w:t>
            </w:r>
            <w:r>
              <w:rPr>
                <w:rStyle w:val="1076"/>
                <w:highlight w:val="none"/>
              </w:rPr>
              <w:t xml:space="preserve">  </w:t>
            </w:r>
            <w:r>
              <w:rPr>
                <w:rStyle w:val="1076"/>
                <w:rFonts w:hint="eastAsia"/>
                <w:highlight w:val="none"/>
              </w:rPr>
              <w:t xml:space="preserve">  </w:t>
            </w:r>
            <w:r>
              <w:rPr>
                <w:rStyle w:val="1076"/>
                <w:highlight w:val="none"/>
              </w:rPr>
              <w:t xml:space="preserve">日期：</w:t>
            </w:r>
            <w:r>
              <w:rPr>
                <w:rStyle w:val="1080"/>
                <w:rFonts w:hint="default"/>
                <w:highlight w:val="none"/>
              </w:rPr>
              <w:t xml:space="preserve">     </w:t>
            </w:r>
            <w:r>
              <w:rPr>
                <w:rStyle w:val="1076"/>
                <w:highlight w:val="none"/>
              </w:rPr>
              <w:t xml:space="preserve">年</w:t>
            </w:r>
            <w:r>
              <w:rPr>
                <w:rStyle w:val="1080"/>
                <w:rFonts w:hint="default"/>
                <w:highlight w:val="none"/>
              </w:rPr>
              <w:t xml:space="preserve">    </w:t>
            </w:r>
            <w:r>
              <w:rPr>
                <w:rStyle w:val="1076"/>
                <w:highlight w:val="none"/>
              </w:rPr>
              <w:t xml:space="preserve">月</w:t>
            </w:r>
            <w:r>
              <w:rPr>
                <w:rStyle w:val="1080"/>
                <w:rFonts w:hint="default"/>
                <w:highlight w:val="none"/>
              </w:rPr>
              <w:t xml:space="preserve">   </w:t>
            </w:r>
            <w:r>
              <w:rPr>
                <w:rStyle w:val="1076"/>
                <w:highlight w:val="none"/>
              </w:rPr>
              <w:t xml:space="preserve">日</w:t>
            </w:r>
            <w:r/>
          </w:p>
        </w:tc>
      </w:tr>
      <w:tr>
        <w:trPr>
          <w:trHeight w:val="763"/>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考核情况</w:t>
            </w:r>
            <w:r/>
          </w:p>
        </w:tc>
      </w:tr>
      <w:tr>
        <w:trPr>
          <w:trHeight w:val="1094"/>
        </w:trPr>
        <w:tc>
          <w:tcPr>
            <w:shd w:val="clear" w:color="auto" w:fill="auto"/>
            <w:tcBorders>
              <w:top w:val="single" w:color="000000" w:sz="4" w:space="0"/>
              <w:left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设备维护保养(50分)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电机、水泵、闸阀门、格栅等主设备运行平稳、无堵塞、无异常响动，设备启闭灵活。</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64"/>
        </w:trPr>
        <w:tc>
          <w:tcPr>
            <w:shd w:val="clear" w:color="auto" w:fill="auto"/>
            <w:tcBorders>
              <w:left w:val="single" w:color="000000" w:sz="4" w:space="0"/>
              <w:right w:val="single" w:color="000000" w:sz="4" w:space="0"/>
            </w:tcBorders>
            <w:tcW w:w="1520" w:type="dxa"/>
            <w:vAlign w:val="center"/>
            <w:vMerge w:val="continue"/>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附属设施</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控制系统、传感器等设施工作正常。</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现场环境管理(30分)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清理下来的漂浮物、垃圾及时清运处置。</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tbRlV"/>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周边环境</w:t>
            </w:r>
            <w:r/>
          </w:p>
        </w:tc>
        <w:tc>
          <w:tcPr>
            <w:shd w:val="clear" w:color="auto" w:fill="auto"/>
            <w:tcBorders>
              <w:top w:val="single" w:color="000000" w:sz="4" w:space="0"/>
              <w:left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泵站周边环境整洁，物品摆放有序、无杂物堆积。</w:t>
            </w:r>
            <w:r/>
          </w:p>
        </w:tc>
        <w:tc>
          <w:tcPr>
            <w:shd w:val="clear" w:color="auto" w:fill="auto"/>
            <w:tcBorders>
              <w:top w:val="single" w:color="000000" w:sz="4" w:space="0"/>
              <w:left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设备设施</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设备设施洁净，无油污、锈蚀严重现象。</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维护计划及应急处置</w:t>
            </w:r>
            <w:r/>
          </w:p>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日常维护</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泵站维护保养按计划定期完成并提供养护台账。</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应急响应</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特殊情况响应及时、处置得当。</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0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tbl>
      <w:tblPr>
        <w:tblStyle w:val="752"/>
        <w:tblW w:w="9112" w:type="dxa"/>
        <w:tblInd w:w="1" w:type="dxa"/>
        <w:tblLayout w:type="fixed"/>
        <w:tblCellMar>
          <w:left w:w="108" w:type="dxa"/>
          <w:top w:w="0" w:type="dxa"/>
          <w:right w:w="108" w:type="dxa"/>
          <w:bottom w:w="0" w:type="dxa"/>
        </w:tblCellMar>
        <w:tblLook w:val="04A0" w:firstRow="1" w:lastRow="0" w:firstColumn="1" w:lastColumn="0" w:noHBand="0" w:noVBand="1"/>
      </w:tblPr>
      <w:tblGrid>
        <w:gridCol w:w="9112"/>
      </w:tblGrid>
      <w:tr>
        <w:trPr>
          <w:trHeight w:val="300"/>
        </w:trPr>
        <w:tc>
          <w:tcPr>
            <w:shd w:val="clear" w:color="auto" w:fill="auto"/>
            <w:tcBorders>
              <w:top w:val="none" w:color="000000" w:sz="4" w:space="0"/>
              <w:left w:val="none" w:color="000000" w:sz="4" w:space="0"/>
              <w:bottom w:val="none" w:color="000000" w:sz="4" w:space="0"/>
              <w:right w:val="none" w:color="000000" w:sz="4" w:space="0"/>
            </w:tcBorders>
            <w:tcW w:w="911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被考核人：                                    考核人：  </w:t>
            </w:r>
            <w:r/>
          </w:p>
        </w:tc>
      </w:tr>
    </w:tbl>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7、养护质量考核要求：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A.中标单位严格按照依据《城镇排水管渠与泵站运行、维护及安全技术规程》（CJJ68-2016）、《区公共污水管网（设施）养护作业参考标准》和采购人要求执行。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B.排水设施进行巡查，每个月不少于一次，汛期要按要求增加巡视次数，确保沟管畅通，按照考核细则标准逐条达标。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达到养护质量验收要求的，按时支付养护经费，未达到养护质量验收要求的，重新返工，费用由中标单位承担。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8、安全责任：养护作业合同期内，因养护不及时、不合格或不规范及对养护区域内存在安全隐患的设施清理处置不及时等原因所造成人身伤亡及安全等事故，其费用和责任由中标单位负责承担。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9、中标单价不含大中修费用，在养护作业合同期限内不作调整。报价人应根据养护现场</w:t>
      </w:r>
      <w:r>
        <w:rPr>
          <w:rFonts w:hint="eastAsia" w:ascii="宋体" w:hAnsi="宋体" w:cs="宋体"/>
          <w:sz w:val="24"/>
          <w:szCs w:val="24"/>
          <w:highlight w:val="none"/>
        </w:rPr>
        <w:t xml:space="preserve">的实际情况、本采购文件中载明的养护组织要求、现场的交通管制条件、文明养护要求和各自的养护经验确定合理的养护组织方案，自主合理报价。各报价单位应认真踏勘现场，充分考虑临时用地(采购人无偿提供定点线内土地可供临时使用)、临时通道、临时排水、临时路灯、居民、村民和沿线企事业单位出入临时通道、来自周围居民和村民可能产生的干扰以及配合规划管线施工或因维护交通使工效受到影响等因素，并对养护车辆行驶线路认真踏勘，预计可能发生的费用，以及借道村、镇道路须发生修复费用的，均可列入，凡未列的一旦发生，将视为由报价的成交方自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二）、管道及其附属设施的检查与养护要求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1、管道及其附属设施的检查与养护要求：要求中标单位应定期对雨水管道、包含检查井、出水口内的垃圾、淤泥、砖、石等杂物清理至管道及窨井外，并按规定外运至</w:t>
      </w:r>
      <w:r>
        <w:rPr>
          <w:rFonts w:hint="eastAsia" w:ascii="宋体" w:hAnsi="宋体" w:cs="宋体"/>
          <w:sz w:val="24"/>
          <w:szCs w:val="24"/>
          <w:highlight w:val="none"/>
        </w:rPr>
        <w:t xml:space="preserve">符合环保要求的处置点，确保雨污水管道始终保持良好的通水功能和结构状态。巡查内容主要包括井盖丢失、路面塌陷、私接偷排（包括泥浆）、污水冒溢、雨污分流等，紧急情况应保证人员不离场，同时立即设置围挡，防止安全事故的发生，重点关注管网周围5米内施工、破土等情况，有责任与义务及时告知污水管道的具体分布位置，提出有效的安全保护措施建议，阻止违规施工，避免管网损坏并应立刻上报处理，由以上问题导致管道及其附属设施损坏甚至引起安全事故的，责任由中标方全部承担，重点关注沿河雨水口污水外流情况，发现问题及时调查取证，并立即上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2.养护单位应在事故发生或接到报障、保修、投诉后2小时到达现场，组织调查、抢修。重大事故应在12小时内向区级排水主管部门报告。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3.养护方式可采用机械作业与人工作业相结合，具体应根据管径、管材、施工工艺等不同区别对待。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4.养护单位应严格按照下表规定对检查井、排放口、管道、倒虹管、池类设施等进行检查，并建立相应的检查记录以备核查。</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管道及附属设施的检查要求表</w:t>
      </w:r>
      <w:r/>
    </w:p>
    <w:tbl>
      <w:tblPr>
        <w:tblStyle w:val="752"/>
        <w:tblW w:w="91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92"/>
        <w:gridCol w:w="3665"/>
        <w:gridCol w:w="1776"/>
      </w:tblGrid>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检查方法</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71"/>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检查内容</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检查周期</w:t>
            </w:r>
            <w:r/>
          </w:p>
        </w:tc>
      </w:tr>
      <w:tr>
        <w:trPr>
          <w:trHeight w:val="624"/>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目测、量测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雨污分流情况、污水私接</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违章占压、违章接管、井盖井座、梯蹬、井壁结垢、井底积泥、井身结构等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井框、井盖、积淤深度</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违章占压、地面塌陷、水位、水流、淤积情况等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rHeight w:val="672"/>
        </w:trPr>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管道反光镜或电视检测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变形、腐蚀、渗漏、接口、结垢、错接等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1年</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倒虹管（一般是满水管，无法检查必须定期清淤）</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标志牌、两端水位差、闸门等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电视检测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淤积、腐蚀、接口渗漏、河床冲刷、管顶覆土等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1年</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三格式化粪池</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71"/>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违章占压、变形、结垢、渗漏、淤积情况等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隔油池和捞毛设施</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违章占压、变形、结垢、淤积情况等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right w:val="single" w:color="auto" w:sz="4" w:space="0"/>
            </w:tcBorders>
            <w:tcW w:w="212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pacing w:val="12"/>
                <w:sz w:val="24"/>
                <w:szCs w:val="24"/>
                <w:highlight w:val="none"/>
              </w:rPr>
              <w:t xml:space="preserve">排放口</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违章占压、标志牌、挡土墙、淤积情况、底坡冲刷</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6个月</w:t>
            </w:r>
            <w:r/>
          </w:p>
        </w:tc>
      </w:tr>
      <w:tr>
        <w:trPr/>
        <w:tc>
          <w:tcPr>
            <w:tcBorders>
              <w:left w:val="single" w:color="auto" w:sz="4" w:space="0"/>
              <w:bottom w:val="single" w:color="auto" w:sz="4" w:space="0"/>
              <w:right w:val="single" w:color="auto" w:sz="4" w:space="0"/>
            </w:tcBorders>
            <w:tcW w:w="2126"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潜水检查</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淤塞、腐蚀、接口、河床冲刷、软体动物生长情况</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一年</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5、雨污分流日常巡查检查的内容应符合下表规定</w:t>
      </w:r>
      <w:r/>
    </w:p>
    <w:tbl>
      <w:tblPr>
        <w:tblStyle w:val="752"/>
        <w:tblW w:w="917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7195"/>
      </w:tblGrid>
      <w:tr>
        <w:trPr>
          <w:trHeight w:val="538"/>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w:t>
            </w:r>
            <w:r/>
          </w:p>
        </w:tc>
      </w:tr>
      <w:tr>
        <w:trPr>
          <w:trHeight w:val="1066"/>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雨污水完全分流，雨污检查井之间水位有高低，从水质能分辨出污水和雨水</w:t>
            </w:r>
            <w:r/>
          </w:p>
        </w:tc>
      </w:tr>
      <w:tr>
        <w:trPr>
          <w:trHeight w:val="548"/>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污水不私接</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污水不私接、发现新增阳台污水及时上报（上报资料）</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6、检查井日常巡查检查的内容应符合下表规定</w:t>
      </w:r>
      <w:r/>
    </w:p>
    <w:tbl>
      <w:tblPr>
        <w:tblStyle w:val="752"/>
        <w:tblW w:w="934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6"/>
        <w:gridCol w:w="1796"/>
        <w:gridCol w:w="1934"/>
        <w:gridCol w:w="1693"/>
        <w:gridCol w:w="1834"/>
      </w:tblGrid>
      <w:tr>
        <w:trPr>
          <w:trHeight w:val="548"/>
        </w:trPr>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部位</w:t>
            </w:r>
            <w:r/>
          </w:p>
        </w:tc>
        <w:tc>
          <w:tcPr>
            <w:gridSpan w:val="2"/>
            <w:tcBorders>
              <w:top w:val="single" w:color="auto" w:sz="4" w:space="0"/>
              <w:left w:val="single" w:color="auto" w:sz="4" w:space="0"/>
              <w:bottom w:val="single" w:color="auto" w:sz="4" w:space="0"/>
              <w:right w:val="single" w:color="auto" w:sz="4" w:space="0"/>
            </w:tcBorders>
            <w:tcW w:w="373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外部巡查</w:t>
            </w:r>
            <w:r/>
          </w:p>
        </w:tc>
        <w:tc>
          <w:tcPr>
            <w:gridSpan w:val="2"/>
            <w:tcBorders>
              <w:top w:val="single" w:color="auto" w:sz="4" w:space="0"/>
              <w:left w:val="single" w:color="auto" w:sz="4" w:space="0"/>
              <w:bottom w:val="single" w:color="auto" w:sz="4" w:space="0"/>
              <w:right w:val="single" w:color="auto" w:sz="4" w:space="0"/>
            </w:tcBorders>
            <w:tcW w:w="352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内部检查</w:t>
            </w:r>
            <w:r/>
          </w:p>
        </w:tc>
      </w:tr>
      <w:tr>
        <w:trPr>
          <w:trHeight w:val="1077"/>
        </w:trPr>
        <w:tc>
          <w:tcPr>
            <w:tcBorders>
              <w:top w:val="single" w:color="auto" w:sz="4" w:space="0"/>
              <w:left w:val="single" w:color="auto" w:sz="4" w:space="0"/>
              <w:bottom w:val="single" w:color="auto" w:sz="4" w:space="0"/>
              <w:right w:val="single" w:color="auto" w:sz="4" w:space="0"/>
            </w:tcBorders>
            <w:tcW w:w="208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井的位置标识</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盖、框高差</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井位标高、井深的标识</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管口孔洞</w:t>
            </w:r>
            <w:r/>
          </w:p>
        </w:tc>
      </w:tr>
      <w:tr>
        <w:trPr>
          <w:trHeight w:val="1077"/>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井盖埋没</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盖框突出或凹陷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爬梯松动、锈蚀或缺损</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流槽破损</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井盖丢失</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跳动和声响</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井壁泥垢</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井底积泥</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井盖破损</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周边路面破损</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井壁裂缝</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水流不畅</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井框破损</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井盖标识错误</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井壁渗漏</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浮渣</w:t>
            </w:r>
            <w:r/>
          </w:p>
        </w:tc>
      </w:tr>
      <w:tr>
        <w:trPr>
          <w:trHeight w:val="56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盖、框间隙</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抹面脱落</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7、雨水井日常巡查检查的内容应符合下表规定</w:t>
      </w:r>
      <w:r/>
    </w:p>
    <w:tbl>
      <w:tblPr>
        <w:tblStyle w:val="752"/>
        <w:tblW w:w="9377"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4"/>
        <w:gridCol w:w="7313"/>
      </w:tblGrid>
      <w:tr>
        <w:trPr>
          <w:trHeight w:val="534"/>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w:t>
            </w:r>
            <w:r/>
          </w:p>
        </w:tc>
      </w:tr>
      <w:tr>
        <w:trPr>
          <w:trHeight w:val="1057"/>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盖框不得高于周围路面，但也不得低于周围路面25mm。收水井附近不应有积水现象。</w:t>
            </w:r>
            <w:r/>
          </w:p>
        </w:tc>
      </w:tr>
      <w:tr>
        <w:trPr>
          <w:trHeight w:val="544"/>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井盖眼不得堵塞，井盖不得损坏、缺失</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8、井盖的选用应符合下表规定</w:t>
      </w:r>
      <w:r/>
    </w:p>
    <w:tbl>
      <w:tblPr>
        <w:tblStyle w:val="752"/>
        <w:tblW w:w="94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0"/>
        <w:gridCol w:w="4574"/>
        <w:gridCol w:w="1982"/>
      </w:tblGrid>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井盖种类</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标准名称</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标准标号</w:t>
            </w:r>
            <w:r/>
          </w:p>
        </w:tc>
      </w:tr>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铸铁井盖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《铸铁检查井盖》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CJ/T3012</w:t>
            </w:r>
            <w:r/>
          </w:p>
        </w:tc>
      </w:tr>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混凝土井盖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《钢纤维混凝土检查井盖》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JC889</w:t>
            </w:r>
            <w:r/>
          </w:p>
        </w:tc>
      </w:tr>
      <w:tr>
        <w:trPr>
          <w:trHeight w:val="742"/>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塑料树脂类井盖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《再生树脂复合材料检查井盖》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 121</w:t>
            </w:r>
            <w:r/>
          </w:p>
        </w:tc>
      </w:tr>
      <w:tr>
        <w:trPr>
          <w:trHeight w:val="748"/>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塑料树脂类井箅</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《再生树脂复合材料检查井箅》</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 130</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9、在车辆经过时，井盖不应出现跳动和声响。井盖与井框间允许误差应符合下表规定。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井盖与井框间允许误差（mm）</w:t>
      </w:r>
      <w:r/>
    </w:p>
    <w:tbl>
      <w:tblPr>
        <w:tblStyle w:val="752"/>
        <w:tblW w:w="9424"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9"/>
        <w:gridCol w:w="1781"/>
        <w:gridCol w:w="2457"/>
        <w:gridCol w:w="2457"/>
      </w:tblGrid>
      <w:tr>
        <w:trPr>
          <w:trHeight w:val="1358"/>
        </w:trPr>
        <w:tc>
          <w:tcPr>
            <w:tcBorders>
              <w:top w:val="single" w:color="auto" w:sz="4" w:space="0"/>
              <w:left w:val="single" w:color="auto" w:sz="4" w:space="0"/>
              <w:bottom w:val="single" w:color="auto" w:sz="4" w:space="0"/>
              <w:right w:val="single" w:color="auto" w:sz="4" w:space="0"/>
            </w:tcBorders>
            <w:tcW w:w="272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设施种类</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盖框间隙</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井盖与井框高低差</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井框与路面高低差</w:t>
            </w:r>
            <w:r/>
          </w:p>
        </w:tc>
      </w:tr>
      <w:tr>
        <w:trPr>
          <w:trHeight w:val="698"/>
        </w:trPr>
        <w:tc>
          <w:tcPr>
            <w:tcBorders>
              <w:top w:val="single" w:color="auto" w:sz="4" w:space="0"/>
              <w:left w:val="single" w:color="auto" w:sz="4" w:space="0"/>
              <w:bottom w:val="single" w:color="auto" w:sz="4" w:space="0"/>
              <w:right w:val="single" w:color="auto" w:sz="4" w:space="0"/>
            </w:tcBorders>
            <w:tcW w:w="272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+5，-10</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+15，-15</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10、发现井盖缺失或损坏后，须及时安放护栏和警示标志，并在6小时内修复。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11、检查井的清掏宜采用吸泥车、抓泥车等机械设备。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12、管道检查项目可分为功能状况和结构状况两类，主要检查项目包括下表内容。</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管道状况主要检查项目</w:t>
      </w:r>
      <w:r/>
    </w:p>
    <w:tbl>
      <w:tblPr>
        <w:tblStyle w:val="752"/>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3710"/>
        <w:gridCol w:w="3132"/>
      </w:tblGrid>
      <w:tr>
        <w:trPr>
          <w:trHeight w:val="316"/>
        </w:trPr>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检查类别</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功能状况</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结构状况</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裂缝</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变形</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排放口积泥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错口</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泥垢和油脂</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脱节</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树根</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破损与孔洞</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水位和水流</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渗漏</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残墙、坝根</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异管穿入</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13、管道养护应符合下列规定：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（1）定期巡视、及时发现和修理管道裂缝、腐蚀、沉降、变形、错口、脱节、破损、孔洞、异管穿入、渗漏、冒溢等情况。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（2）压力管养护应采用满负荷开泵的方式进行水力冲洗，至少每3个月1次。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（3）定期开盖检查压力井盖板，发现盖板锈蚀、密封垫老化、井体裂缝、管内积泥等情况应及时维修和保养。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（4）管道和检查井内不得留有石块等阻碍排水的杂物。管道和检查井的最大积泥深度符合下表规定。</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管道和检查井、雨水井的允许积泥深度</w:t>
      </w:r>
      <w:r/>
    </w:p>
    <w:tbl>
      <w:tblPr>
        <w:tblStyle w:val="752"/>
        <w:tblW w:w="940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2183"/>
        <w:gridCol w:w="5234"/>
      </w:tblGrid>
      <w:tr>
        <w:trPr>
          <w:trHeight w:val="551"/>
        </w:trPr>
        <w:tc>
          <w:tcPr>
            <w:gridSpan w:val="2"/>
            <w:tcBorders>
              <w:top w:val="single" w:color="auto" w:sz="4" w:space="0"/>
              <w:left w:val="single" w:color="auto" w:sz="4" w:space="0"/>
              <w:bottom w:val="single" w:color="auto" w:sz="4" w:space="0"/>
              <w:right w:val="single" w:color="auto" w:sz="4" w:space="0"/>
            </w:tcBorders>
            <w:tcW w:w="416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设施类别</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允许积泥深度</w:t>
            </w:r>
            <w:r/>
          </w:p>
        </w:tc>
      </w:tr>
      <w:tr>
        <w:trPr>
          <w:trHeight w:val="551"/>
        </w:trPr>
        <w:tc>
          <w:tcPr>
            <w:gridSpan w:val="2"/>
            <w:tcBorders>
              <w:top w:val="single" w:color="auto" w:sz="4" w:space="0"/>
              <w:left w:val="single" w:color="auto" w:sz="4" w:space="0"/>
              <w:bottom w:val="single" w:color="auto" w:sz="4" w:space="0"/>
              <w:right w:val="single" w:color="auto" w:sz="4" w:space="0"/>
            </w:tcBorders>
            <w:tcW w:w="416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管径的1/5</w:t>
            </w:r>
            <w:r/>
          </w:p>
        </w:tc>
      </w:tr>
      <w:tr>
        <w:trPr>
          <w:trHeight w:val="551"/>
        </w:trPr>
        <w:tc>
          <w:tcPr>
            <w:tcBorders>
              <w:top w:val="single" w:color="auto" w:sz="4" w:space="0"/>
              <w:left w:val="single" w:color="auto" w:sz="4" w:space="0"/>
              <w:bottom w:val="single" w:color="auto" w:sz="4" w:space="0"/>
              <w:right w:val="single" w:color="auto" w:sz="4" w:space="0"/>
            </w:tcBorders>
            <w:tcW w:w="1983"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有沉泥槽</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管底以下50mm</w:t>
            </w:r>
            <w:r/>
          </w:p>
        </w:tc>
      </w:tr>
      <w:tr>
        <w:trPr>
          <w:trHeight w:val="551"/>
        </w:trPr>
        <w:tc>
          <w:tcPr>
            <w:tcBorders>
              <w:top w:val="single" w:color="auto" w:sz="4" w:space="0"/>
              <w:left w:val="single" w:color="auto" w:sz="4" w:space="0"/>
              <w:bottom w:val="single" w:color="auto" w:sz="4" w:space="0"/>
              <w:right w:val="single" w:color="auto" w:sz="4" w:space="0"/>
            </w:tcBorders>
            <w:tcW w:w="198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无沉泥槽</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主管径的1/5</w:t>
            </w:r>
            <w:r/>
          </w:p>
        </w:tc>
      </w:tr>
      <w:tr>
        <w:trPr>
          <w:trHeight w:val="551"/>
        </w:trPr>
        <w:tc>
          <w:tcPr>
            <w:tcBorders>
              <w:top w:val="single" w:color="auto" w:sz="4" w:space="0"/>
              <w:left w:val="single" w:color="auto" w:sz="4" w:space="0"/>
              <w:right w:val="single" w:color="auto" w:sz="4" w:space="0"/>
            </w:tcBorders>
            <w:tcW w:w="1983"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落底式井</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低于连接管管底10CM</w:t>
            </w:r>
            <w:r/>
          </w:p>
        </w:tc>
      </w:tr>
      <w:tr>
        <w:trPr>
          <w:trHeight w:val="1102"/>
        </w:trPr>
        <w:tc>
          <w:tcPr>
            <w:tcBorders>
              <w:left w:val="single" w:color="auto" w:sz="4" w:space="0"/>
              <w:bottom w:val="single" w:color="auto" w:sz="4" w:space="0"/>
              <w:right w:val="single" w:color="auto" w:sz="4" w:space="0"/>
            </w:tcBorders>
            <w:tcW w:w="198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未落底井</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不得超过管径的10%且不大于5CM</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14、倒虹管的养护应符合下列规定：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（1）倒虹管养护宜采用水力冲洗的方法，冲洗流速不宜小于1.2M/S。在建有双排倒虹管的地方，可采用关闭其中一条、集中水量冲洗另一条的方法。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（2）过河倒虹管的河床覆土不应小于0.5M。在河床受冲刷的地方，应每年检查1次倒虹管的覆土状况。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（3）在通航河道上设置的倒虹管保护标志应定期检查和油漆，保持结构完好和字迹清晰。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（4）对过河倒虹管进行检修前，当需要抽空管道时，必须先进行抗浮验算。</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三）、污泥运输与处置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1、污泥盛器和车辆在街道上停放应设置安全标志，夜间应悬挂警示灯。疏通作业完毕后，应及时撤离现场。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2、污泥运输应符合下列规定：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（1）通沟污泥可采用罐车、自卸卡车或污泥拖斗运输，也可采用水陆联运。</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（2）在运输过程中，应做到污泥不落地、沿途无洒落。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（3）污泥运输车辆应加盖，并定期清洗保持整洁。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（4）污泥在长运输距离前宜进行脱水处理，脱水过程可在中转站进行或送污水处理厂处理。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3、污泥处置应符合下列规定：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（1）污泥在送处置场前，宜进行脱水处理。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（2）污泥处置不得对环境造成污染。</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四）、泵站的运行与维护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1、检查维护水泵、闸阀门、管道、集水池、压力井等泵站设备设施时，须采取防硫化氢等有毒有害气体的安全措施。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按需定期清理进出水口漂浮物以及格栅装置上网孔垃圾，防止水泵堵塞。定期检查控制柜及水位监测仪等设备，确保设备正常运行。如设备发生故障，在质保期内的由泵站施工单位负责维修或更换，如设备已过质保期且非人为损坏的，由养护单位负责对损坏的小型零部件进行维修，以保证设备的正常运行。根据天气情况，汛期安排专职人员应急开关阀门，保障雨水排放，防止内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3、水泵维修后，其流量不应低于原设计流量的90%，机组效率不应低于原机组效率的90%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4、泵站设施、机电设备和管配件外表除锈、防腐蚀处理宜1年一次。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5、泵站内设置的起重设备、压力容器、安全阀及易燃、易爆、有毒气体检测装置必须根据规定定期检测，合格后方可使用。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6、围墙、道路、泵房等泵站附属设施应保持完好。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7、泵站应做好卫生、绿化养护和除害灭虫工作。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8、泵站应做好运行与维护记录。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ascii="宋体" w:hAnsi="宋体" w:cs="宋体"/>
          <w:sz w:val="24"/>
          <w:szCs w:val="24"/>
          <w:highlight w:val="none"/>
        </w:rPr>
        <w:t xml:space="preserve">自行承担运行维护所产生的水、电费及垃圾处置等相关费用</w:t>
      </w:r>
      <w:r>
        <w:rPr>
          <w:rFonts w:hint="eastAsia" w:ascii="宋体" w:hAnsi="宋体" w:cs="宋体"/>
          <w:sz w:val="24"/>
          <w:szCs w:val="24"/>
          <w:highlight w:val="none"/>
        </w:rPr>
        <w:t xml:space="preserve">。</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五）、安全文明作业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1、养护作业人员上岗前须接受必要的安全作业技术培训，掌握人工急救、防护用具、照明、通讯设备的使用方法及相关安全知识、经考核合格后持证上岗。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2、检查井井盖开启后，须立即采取相应安全措施，如加盖安全网盖或设置安全护栏，白天加挂三角红旗，夜间加挂安全红灯或设置反光锥。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4、在征得交管部门同意中断交通后，应在道路两端设置断绝交通的警示标志；在繁华地区作业时，应指派专人指挥交通、维护现场秩序。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5、下井作业应经过严格的审批手续，管道维护和检查严格执行现行相关行业标准。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6、防毒面具应定期校验，下井作业前须再次校验，合格后方可使用。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7、养护人员应统一着装，作业时应按要求设置警示标志和安全护栏，无抛洒滴漏，工完场清，文明作业。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9、巡查、养护、抢修车辆车况应经常保持良好状态，车容整洁，标志明显。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养护单位应建立健全雨污水管道、截流泵站及其附属设施档案资料管理制度，配备专职档案资料管理人员。各项管网、泵站、设施维护台账健全，记录详细，装订规范。运营档案、资料实行计算机自动化管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11、养护单位应向社会公布服务承诺、投诉电话和电子信箱。</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12、养护单位养护范围内每年被政府部门行政处罚、被社会有效行政投诉或公众媒体有负面报道次数应少于6次。</w:t>
      </w:r>
      <w:r/>
    </w:p>
    <w:p>
      <w:pPr>
        <w:ind w:firstLine="230"/>
        <w:jc w:val="left"/>
        <w:spacing w:line="360" w:lineRule="auto"/>
        <w:tabs>
          <w:tab w:val="left" w:pos="0" w:leader="none"/>
          <w:tab w:val="left" w:pos="1134" w:leader="none"/>
        </w:tabs>
        <w:rPr>
          <w:rFonts w:asciiTheme="minorEastAsia" w:hAnsiTheme="minorEastAsia"/>
          <w:bCs/>
          <w:sz w:val="28"/>
          <w:szCs w:val="28"/>
          <w:highlight w:val="none"/>
        </w:rPr>
      </w:pPr>
      <w:r>
        <w:rPr>
          <w:rFonts w:hint="eastAsia" w:ascii="宋体" w:hAnsi="宋体" w:cs="宋体"/>
          <w:bCs/>
          <w:sz w:val="24"/>
          <w:szCs w:val="24"/>
          <w:highlight w:val="none"/>
        </w:rPr>
        <w:t xml:space="preserve">六）、</w:t>
      </w:r>
      <w:r>
        <w:rPr>
          <w:rFonts w:asciiTheme="minorEastAsia" w:hAnsiTheme="minorEastAsia"/>
          <w:bCs/>
          <w:sz w:val="28"/>
          <w:szCs w:val="28"/>
          <w:highlight w:val="none"/>
        </w:rPr>
        <w:t xml:space="preserve">涉及</w:t>
      </w:r>
      <w:r>
        <w:rPr>
          <w:rFonts w:hint="eastAsia" w:asciiTheme="minorEastAsia" w:hAnsiTheme="minorEastAsia"/>
          <w:bCs/>
          <w:sz w:val="28"/>
          <w:szCs w:val="28"/>
          <w:highlight w:val="none"/>
        </w:rPr>
        <w:t xml:space="preserve">区域</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雨污水管道：</w:t>
      </w:r>
      <w:r/>
    </w:p>
    <w:tbl>
      <w:tblPr>
        <w:tblStyle w:val="752"/>
        <w:tblW w:w="8698" w:type="dxa"/>
        <w:tblInd w:w="98" w:type="dxa"/>
        <w:tblLayout w:type="autofit"/>
        <w:tblCellMar>
          <w:left w:w="108" w:type="dxa"/>
          <w:top w:w="0" w:type="dxa"/>
          <w:right w:w="108" w:type="dxa"/>
          <w:bottom w:w="0" w:type="dxa"/>
        </w:tblCellMar>
        <w:tblLook w:val="04A0" w:firstRow="1" w:lastRow="0" w:firstColumn="1" w:lastColumn="0" w:noHBand="0" w:noVBand="1"/>
      </w:tblPr>
      <w:tblGrid>
        <w:gridCol w:w="553"/>
        <w:gridCol w:w="3595"/>
        <w:gridCol w:w="2617"/>
        <w:gridCol w:w="1933"/>
      </w:tblGrid>
      <w:tr>
        <w:trPr>
          <w:trHeight w:val="1376"/>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养护区域</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安置房小区出户管、老新村内部及周边街管道路污水管道（米）</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安置房小区出户管、老新村内部及周边街管道路雨水管道（米）</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华庄工业园区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38720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HZ18落霞苑一期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HZ20落霞苑二期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87</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HZ21落霞苑三期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74</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HZ19落霞苑四期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Z177落霞苑五期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HZ22凯发苑一、二期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HZ30水乡苑一期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HZ119太湖佳园1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HZ120太湖佳园2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HZ120太湖佳园A1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HZ121侬联佳园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HZ123华憬佳园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HZ129贡湖苑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HZ149凯发苑三期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623</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HZ150凯发苑五期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Z123水乡苑三期A1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Z121水乡苑五期侬联佳园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HZ130桃园新村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1580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HZ131万花新村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1170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HZ23怡园小区</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5041</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HZ24金泰新村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2474.7</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3712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HZ25姚蔡巷、鸭绿桥</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2893.4</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4340</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HZ26华庄菜场、公园新村、桃园二村等</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4848</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7272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HZ27三杨新村、幸福弄等</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4997</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7496</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HZ28育才新村、育才苑、育才二村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4663</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6995</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HZ181旺安里</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820</w:t>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67428.1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40320</w:t>
            </w:r>
            <w:r/>
          </w:p>
        </w:tc>
      </w:tr>
    </w:tbl>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泵站：</w:t>
      </w:r>
      <w:r/>
    </w:p>
    <w:tbl>
      <w:tblPr>
        <w:tblStyle w:val="752"/>
        <w:tblW w:w="9190" w:type="dxa"/>
        <w:tblInd w:w="98" w:type="dxa"/>
        <w:tblLayout w:type="autofit"/>
        <w:tblCellMar>
          <w:left w:w="108" w:type="dxa"/>
          <w:top w:w="0" w:type="dxa"/>
          <w:right w:w="108" w:type="dxa"/>
          <w:bottom w:w="0" w:type="dxa"/>
        </w:tblCellMar>
        <w:tblLook w:val="04A0" w:firstRow="1" w:lastRow="0" w:firstColumn="1" w:lastColumn="0" w:noHBand="0" w:noVBand="1"/>
      </w:tblPr>
      <w:tblGrid>
        <w:gridCol w:w="495"/>
        <w:gridCol w:w="3218"/>
        <w:gridCol w:w="2341"/>
        <w:gridCol w:w="1403"/>
        <w:gridCol w:w="1733"/>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建设地点</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规模</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作用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落霞苑北区污水截流（一期东门）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落霞苑南区污水截流（二期东门）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姚蔡巷污水截流（明芳路、震泽路路口）</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朝东巷污水截流（华联东路、朝东巷自然村北）</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水清木华污水截流（沿街商铺及小区内）</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大邬甲里（桃园路东侧）污水截流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沈甲里污水截流（沈甲里自然村）</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旺安佳园污水提升泵站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落霞苑三期雨水截流（落霞苑三期202号旁）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王草浜河道沿岸（侬联佳园沿街商铺）雨水截流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面杖港雨水截流（人才公寓东北角）</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沙泾港（江南实验小学）雨水截流（落霞苑南区177号旁）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高浪河雨水截流（金泰市场西北角）</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老旺安自然村雨水截流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24.84立方/小时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旺安佳园1号、2号雨水口雨水截流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万花新村雨水截流（万花新村东门）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王草浜周边雨水截流井（华清医院东侧、震泽路北侧）</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六角前浜雨水截流井（塘铁桥路与兴梁道交叉口西南角）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夹降上河雨水截流井（怡园路与吴都路交叉口西南角）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小桥浜周边雨水截流井（海悦路、中海海悦花园西侧）</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育才苑雨水截流井（育才二村）</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王草浜公园路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bl>
    <w:p>
      <w:pPr>
        <w:ind w:firstLine="230"/>
        <w:jc w:val="left"/>
        <w:spacing w:line="360" w:lineRule="auto"/>
        <w:tabs>
          <w:tab w:val="left" w:pos="0" w:leader="none"/>
          <w:tab w:val="left" w:pos="1134" w:leader="none"/>
        </w:tabs>
        <w:rPr>
          <w:rFonts w:ascii="宋体" w:hAnsi="宋体" w:cs="宋体"/>
          <w:bCs/>
          <w:sz w:val="24"/>
          <w:szCs w:val="24"/>
          <w:highlight w:val="none"/>
        </w:rPr>
      </w:pPr>
      <w:r>
        <w:rPr>
          <w:rFonts w:ascii="宋体" w:hAnsi="宋体" w:cs="宋体"/>
          <w:bCs/>
          <w:sz w:val="24"/>
          <w:szCs w:val="24"/>
          <w:highlight w:val="none"/>
        </w:rPr>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七）、工作量清单</w:t>
      </w:r>
      <w:r/>
    </w:p>
    <w:tbl>
      <w:tblPr>
        <w:tblStyle w:val="752"/>
        <w:tblW w:w="90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7"/>
        <w:gridCol w:w="1232"/>
        <w:gridCol w:w="5400"/>
        <w:gridCol w:w="773"/>
        <w:gridCol w:w="1146"/>
      </w:tblGrid>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分部分项</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清单特征</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管网养护</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1、范围:养护范围内所有雨、污水管网及配套检查井（含小区管网接入市政主管网段），管径综合考虑；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2、养护范围内管道每年冲洗不小于两次，管道堵塞随时清理、疏通，确保管道运行正常；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3、包括管道疏道、清理垃圾，检查井淤泥清掏、垃圾清理等，确保管道畅通，不溢水。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4、含淤泥及垃圾外运、管线日常巡视、人工局部井下或管内清掏作业及保护措施、临时橡胶气囊封堵、临时排水、临时局部检查检测等。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107748.1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防沉降球墨铸铁井盖更换</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包含拆除旧井盖、井圈，切割路面，安装球墨重型防沉降铸铁井圈井盖，垃圾清理，路面恢复等（含主材），推荐品牌：无锡新大地、无锡方圆、无锡青龙山，安装要求GB/T23858-2009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重型钢纤维井盖更换</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包含拆除旧井盖、井圈，切割路面，安装重型钢纤维井圈井盖，垃圾清理，路面恢复等（含主材），推荐品牌：无锡新大地、无锡方圆、无锡青龙山，安装要求GB/T23858-2009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1、污水泵站养护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2、污水泵站</w:t>
            </w:r>
            <w:r>
              <w:rPr>
                <w:rFonts w:hint="eastAsia" w:ascii="宋体" w:hAnsi="宋体" w:eastAsia="宋体" w:cs="宋体"/>
                <w:i w:val="0"/>
                <w:iCs w:val="0"/>
                <w:color w:val="ff0000"/>
                <w:sz w:val="20"/>
                <w:szCs w:val="20"/>
                <w:highlight w:val="none"/>
                <w:u w:val="none"/>
                <w:lang w:val="en-US" w:eastAsia="zh-CN" w:bidi="ar"/>
              </w:rPr>
              <w:t xml:space="preserve">（13座泵站共计26台泵）</w:t>
            </w:r>
            <w:r>
              <w:rPr>
                <w:rFonts w:hint="eastAsia" w:ascii="宋体" w:hAnsi="宋体" w:eastAsia="宋体" w:cs="宋体"/>
                <w:i w:val="0"/>
                <w:iCs w:val="0"/>
                <w:color w:val="000000"/>
                <w:sz w:val="20"/>
                <w:szCs w:val="20"/>
                <w:highlight w:val="none"/>
                <w:u w:val="none"/>
                <w:lang w:val="en-US" w:eastAsia="zh-CN" w:bidi="ar"/>
              </w:rPr>
              <w:t xml:space="preserve">巡视与日常养护（日常巡视、集水池（格栅池）合同期内1年1次清淤、泵站设施基本维护、格栅池中垃圾的清理、垃圾外运处理等所有工作内容（泵站设备检修除外））；</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1、雨水泵站养护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2、雨水泵站巡视与日常养护</w:t>
            </w:r>
            <w:r>
              <w:rPr>
                <w:rFonts w:hint="eastAsia" w:ascii="宋体" w:hAnsi="宋体" w:eastAsia="宋体" w:cs="宋体"/>
                <w:i w:val="0"/>
                <w:iCs w:val="0"/>
                <w:color w:val="ff0000"/>
                <w:sz w:val="20"/>
                <w:szCs w:val="20"/>
                <w:highlight w:val="none"/>
                <w:u w:val="none"/>
                <w:lang w:val="en-US" w:eastAsia="zh-CN" w:bidi="ar"/>
              </w:rPr>
              <w:t xml:space="preserve">（14座泵站共计28台泵）</w:t>
            </w:r>
            <w:r>
              <w:rPr>
                <w:rFonts w:hint="eastAsia" w:ascii="宋体" w:hAnsi="宋体" w:eastAsia="宋体" w:cs="宋体"/>
                <w:i w:val="0"/>
                <w:iCs w:val="0"/>
                <w:color w:val="000000"/>
                <w:sz w:val="20"/>
                <w:szCs w:val="20"/>
                <w:highlight w:val="none"/>
                <w:u w:val="none"/>
                <w:lang w:val="en-US" w:eastAsia="zh-CN" w:bidi="ar"/>
              </w:rPr>
              <w:t xml:space="preserve">日常巡视、集水池（格栅池）合同期内1年1次清淤、泵站设施基本维护、格栅池中垃圾的清理、垃圾外运处理等所有工作内容（泵站设备检修除外））；</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9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防汛和气囊应急拆封</w:t>
            </w:r>
            <w:r/>
          </w:p>
        </w:tc>
        <w:tc>
          <w:tcPr>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1、防汛和气囊应急拆封</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2、本项为暂列金额，</w:t>
            </w:r>
            <w:r>
              <w:rPr>
                <w:rFonts w:hint="eastAsia" w:ascii="宋体" w:hAnsi="宋体" w:cs="宋体"/>
                <w:b/>
                <w:bCs/>
                <w:i w:val="0"/>
                <w:iCs w:val="0"/>
                <w:color w:val="000000"/>
                <w:sz w:val="20"/>
                <w:szCs w:val="20"/>
                <w:highlight w:val="none"/>
                <w:u w:val="none"/>
                <w:lang w:val="en-US" w:eastAsia="zh-CN" w:bidi="ar"/>
              </w:rPr>
              <w:t xml:space="preserve">计每年56000元，</w:t>
            </w:r>
            <w:r>
              <w:rPr>
                <w:rFonts w:hint="eastAsia" w:ascii="宋体" w:hAnsi="宋体" w:eastAsia="宋体" w:cs="宋体"/>
                <w:b/>
                <w:bCs/>
                <w:i w:val="0"/>
                <w:iCs w:val="0"/>
                <w:color w:val="000000"/>
                <w:sz w:val="20"/>
                <w:szCs w:val="20"/>
                <w:highlight w:val="none"/>
                <w:u w:val="none"/>
                <w:lang w:val="en-US" w:eastAsia="zh-CN" w:bidi="ar"/>
              </w:rPr>
              <w:t xml:space="preserve">投标时不可竞争，实际发生时按实计算，但不超过该金额。</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p>
        </w:tc>
      </w:tr>
    </w:tbl>
    <w:p>
      <w:pP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ascii="宋体"/>
          <w:bCs/>
          <w:color w:val="000000"/>
          <w:sz w:val="24"/>
          <w:szCs w:val="24"/>
          <w:highlight w:val="none"/>
        </w:rPr>
        <w:t xml:space="preserve">.</w:t>
      </w:r>
      <w:r>
        <w:rPr>
          <w:rFonts w:hint="eastAsia" w:ascii="宋体" w:hAnsi="宋体"/>
          <w:bCs/>
          <w:color w:val="000000"/>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2</w:t>
      </w:r>
      <w:r>
        <w:rPr>
          <w:rFonts w:ascii="宋体"/>
          <w:bCs/>
          <w:color w:val="000000"/>
          <w:sz w:val="24"/>
          <w:szCs w:val="24"/>
          <w:highlight w:val="none"/>
        </w:rPr>
        <w:t xml:space="preserve">.</w:t>
      </w:r>
      <w:r>
        <w:rPr>
          <w:rFonts w:hint="eastAsia" w:ascii="宋体" w:hAnsi="宋体" w:cs="宋体"/>
          <w:color w:val="000000"/>
          <w:sz w:val="24"/>
          <w:highlight w:val="none"/>
        </w:rPr>
        <w:t xml:space="preserve">合同履行期限</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2年</w:t>
      </w:r>
      <w:r>
        <w:rPr>
          <w:rFonts w:hint="eastAsia" w:ascii="宋体" w:hAnsi="宋体" w:cs="宋体"/>
          <w:color w:val="000000"/>
          <w:sz w:val="24"/>
          <w:highlight w:val="none"/>
        </w:rPr>
        <w:t xml:space="preserve">；</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ascii="宋体"/>
          <w:bCs/>
          <w:color w:val="000000"/>
          <w:sz w:val="24"/>
          <w:szCs w:val="24"/>
          <w:highlight w:val="none"/>
        </w:rPr>
        <w:t xml:space="preserve">.</w:t>
      </w: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采购人指定地点</w:t>
      </w:r>
      <w:r>
        <w:rPr>
          <w:rFonts w:hint="eastAsia" w:ascii="宋体" w:hAnsi="宋体"/>
          <w:bCs/>
          <w:color w:val="000000"/>
          <w:sz w:val="24"/>
          <w:szCs w:val="24"/>
          <w:highlight w:val="none"/>
        </w:rPr>
        <w:t xml:space="preserve">。</w:t>
      </w:r>
      <w:r/>
    </w:p>
    <w:p>
      <w:pPr>
        <w:ind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4.</w:t>
      </w: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5.</w:t>
      </w: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7.依据《政府采购促进中小企业发展管理办法》规定享受扶持政策获得政府采购合同的，小微企业不得将合同分包给大中型企业，中型企业不得将合同分包给大型企业。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t xml:space="preserve">.</w:t>
      </w: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pStyle w:val="756"/>
        <w:ind w:firstLine="480"/>
        <w:spacing w:line="360" w:lineRule="auto"/>
        <w:rPr>
          <w:bCs/>
          <w:sz w:val="24"/>
          <w:szCs w:val="24"/>
          <w:highlight w:val="none"/>
          <w:lang w:eastAsia="zh-CN"/>
        </w:rPr>
        <w:sectPr>
          <w:footnotePr/>
          <w:endnotePr/>
          <w:type w:val="nextPage"/>
          <w:pgSz w:w="11906" w:h="16838" w:orient="portrait"/>
          <w:pgMar w:top="1440" w:right="1440" w:bottom="1440" w:left="1417" w:header="0" w:footer="816" w:gutter="0"/>
          <w:cols w:num="1" w:sep="0" w:space="0" w:equalWidth="1"/>
          <w:docGrid w:linePitch="360"/>
        </w:sectPr>
      </w:pPr>
      <w:r>
        <w:rPr>
          <w:bCs/>
          <w:sz w:val="24"/>
          <w:szCs w:val="24"/>
          <w:highlight w:val="none"/>
          <w:lang w:eastAsia="zh-CN"/>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pStyle w:val="808"/>
        <w:numPr>
          <w:ilvl w:val="0"/>
          <w:numId w:val="8"/>
        </w:num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二、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sz w:val="24"/>
          <w:szCs w:val="24"/>
          <w:highlight w:val="none"/>
        </w:rPr>
      </w:pPr>
      <w:r>
        <w:rPr>
          <w:rFonts w:hint="eastAsia" w:ascii="宋体"/>
          <w:bCs/>
          <w:sz w:val="24"/>
          <w:szCs w:val="24"/>
          <w:highlight w:val="none"/>
        </w:rPr>
        <w:t xml:space="preserve">四、</w:t>
      </w: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sz w:val="24"/>
          <w:szCs w:val="24"/>
          <w:highlight w:val="none"/>
        </w:rPr>
        <w:t xml:space="preserve">五、</w:t>
      </w:r>
      <w:r>
        <w:rPr>
          <w:rFonts w:hint="eastAsia" w:ascii="宋体"/>
          <w:bCs/>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highlight w:val="none"/>
        </w:rPr>
      </w:pPr>
      <w:r>
        <w:rPr>
          <w:rFonts w:hint="eastAsia" w:ascii="宋体"/>
          <w:bCs/>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4.电子履约保函与履约保证金、纸质保函具有同等法律效力，是我市优化政府采购营商环境的重要措施。</w:t>
      </w:r>
      <w:r/>
    </w:p>
    <w:p>
      <w:pPr>
        <w:ind w:firstLine="480"/>
        <w:jc w:val="left"/>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5.供应商可通过江苏政府采购网下载“政府采购电子履约保 函 （ 保 险 ） 操 作 手 册 ”，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七、</w:t>
      </w: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八、采购人应当严格按照政府采购法有关规定，在中标、成交通知书发出之日起15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宋体"/>
          <w:bCs/>
          <w:color w:val="000000"/>
          <w:sz w:val="24"/>
          <w:szCs w:val="24"/>
          <w:highlight w:val="none"/>
        </w:rPr>
        <w:br w:type="page" w:clear="all"/>
      </w:r>
      <w:bookmarkStart w:id="193"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43"/>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043"/>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p>
    <w:p>
      <w:pPr>
        <w:pStyle w:val="1043"/>
        <w:spacing w:before="0" w:after="0" w:line="500" w:lineRule="exact"/>
        <w:rPr>
          <w:rFonts w:cs="Arial"/>
          <w:color w:val="000000"/>
          <w:highlight w:val="none"/>
        </w:rPr>
      </w:pPr>
      <w:r>
        <w:rPr>
          <w:rFonts w:hint="eastAsia" w:cs="Arial"/>
          <w:color w:val="000000"/>
          <w:highlight w:val="none"/>
        </w:rPr>
        <w:t xml:space="preserve">比较与评价采用综合评分法。</w:t>
      </w:r>
      <w:r/>
    </w:p>
    <w:p>
      <w:pPr>
        <w:pStyle w:val="1043"/>
        <w:spacing w:before="0" w:after="0" w:line="500" w:lineRule="exact"/>
        <w:rPr>
          <w:rFonts w:cs="Arial"/>
          <w:color w:val="000000"/>
          <w:highlight w: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43"/>
        <w:spacing w:before="0" w:after="0" w:line="500" w:lineRule="exact"/>
        <w:rPr>
          <w:rFonts w:cs="Arial"/>
          <w:color w:val="000000"/>
          <w:highlight w: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43"/>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第二部分  评标标准</w:t>
      </w:r>
      <w:r/>
    </w:p>
    <w:p>
      <w:pPr>
        <w:pStyle w:val="1043"/>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043"/>
        <w:numPr>
          <w:ilvl w:val="0"/>
          <w:numId w:val="9"/>
        </w:numPr>
        <w:ind w:firstLine="360"/>
        <w:spacing w:before="0" w:after="0"/>
        <w:rPr>
          <w:rFonts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numPr>
          <w:ilvl w:val="4"/>
          <w:numId w:val="10"/>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价格（30分）：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numPr>
          <w:ilvl w:val="4"/>
          <w:numId w:val="10"/>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供应商评价（</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（1）业绩要求（4分）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投标人2023年1月1日以来具有管网养护类服务业绩的，有1个得2分，</w:t>
      </w:r>
      <w:r>
        <w:rPr>
          <w:rFonts w:hint="eastAsia" w:hAnsi="宋体" w:cs="宋体"/>
          <w:bCs/>
          <w:sz w:val="24"/>
          <w:highlight w:val="none"/>
        </w:rPr>
        <w:t xml:space="preserve">本项最高得4分。</w:t>
      </w:r>
      <w:r>
        <w:rPr>
          <w:rFonts w:hint="eastAsia" w:ascii="宋体" w:hAnsi="宋体" w:cs="宋体"/>
          <w:bCs/>
          <w:sz w:val="24"/>
          <w:highlight w:val="none"/>
        </w:rPr>
        <w:t xml:space="preserve">投标时</w:t>
      </w:r>
      <w:r>
        <w:rPr>
          <w:rFonts w:hint="eastAsia" w:ascii="宋体" w:hAnsi="宋体"/>
          <w:sz w:val="24"/>
          <w:highlight w:val="none"/>
        </w:rPr>
        <w:t xml:space="preserve">提供中标通知书（直接发包证明）、有效合同，未提供或提供不全均不得分</w:t>
      </w:r>
      <w:r>
        <w:rPr>
          <w:rFonts w:hint="eastAsia" w:ascii="宋体" w:hAnsi="宋体"/>
          <w:bCs/>
          <w:color w:val="000000"/>
          <w:sz w:val="24"/>
          <w:szCs w:val="24"/>
          <w:highlight w:val="none"/>
        </w:rPr>
        <w:t xml:space="preserve">。时间以合同签订日期为准。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（2）证书（3分）</w:t>
      </w:r>
      <w:r/>
    </w:p>
    <w:p>
      <w:pPr>
        <w:ind w:firstLine="480"/>
        <w:spacing w:line="360" w:lineRule="auto"/>
        <w:tabs>
          <w:tab w:val="left" w:pos="945" w:leader="none"/>
          <w:tab w:val="left" w:pos="1155" w:leader="none"/>
        </w:tabs>
        <w:rPr>
          <w:rFonts w:ascii="宋体" w:hAnsi="宋体" w:cs="宋体"/>
          <w:bCs/>
          <w:sz w:val="24"/>
          <w:highlight w:val="none"/>
        </w:rPr>
      </w:pPr>
      <w:r>
        <w:rPr>
          <w:rFonts w:hint="eastAsia" w:ascii="宋体" w:hAnsi="宋体" w:cs="宋体"/>
          <w:bCs/>
          <w:sz w:val="24"/>
          <w:highlight w:val="none"/>
        </w:rPr>
        <w:t xml:space="preserve">投标人获得有效的质量管理体系认证证书的得1分；获得有效的环境管理体系认证证书的得1分；获得有效的职业健康安全管理体系认证证书的得1分；</w:t>
      </w:r>
      <w:r>
        <w:rPr>
          <w:rFonts w:hint="eastAsia" w:ascii="宋体" w:hAnsi="宋体" w:cs="宋体"/>
          <w:sz w:val="24"/>
          <w:highlight w:val="none"/>
        </w:rPr>
        <w:t xml:space="preserve">本项最高</w:t>
      </w:r>
      <w:r>
        <w:rPr>
          <w:rFonts w:hint="eastAsia" w:ascii="宋体" w:hAnsi="宋体" w:cs="宋体"/>
          <w:bCs/>
          <w:sz w:val="24"/>
          <w:highlight w:val="none"/>
        </w:rPr>
        <w:t xml:space="preserve">得3分</w:t>
      </w:r>
      <w:r>
        <w:rPr>
          <w:rFonts w:hint="eastAsia" w:ascii="宋体" w:hAnsi="宋体"/>
          <w:bCs/>
          <w:color w:val="000000"/>
          <w:sz w:val="24"/>
          <w:szCs w:val="24"/>
          <w:highlight w:val="none"/>
        </w:rPr>
        <w:t xml:space="preserve">。</w:t>
      </w:r>
      <w:r>
        <w:rPr>
          <w:rFonts w:hint="eastAsia" w:ascii="宋体" w:hAnsi="宋体" w:cs="宋体"/>
          <w:bCs/>
          <w:sz w:val="24"/>
          <w:highlight w:val="none"/>
        </w:rPr>
        <w:t xml:space="preserve">投标时提供认证证书、认证机构的官方网站或中国国家认证认可监督管理委员会官方网站（www.cnca.gov.cn）查证该认证为有效状态信息的网页截图，</w:t>
      </w:r>
      <w:r>
        <w:rPr>
          <w:rFonts w:hint="eastAsia" w:ascii="宋体" w:hAnsi="宋体"/>
          <w:sz w:val="24"/>
          <w:highlight w:val="none"/>
        </w:rPr>
        <w:t xml:space="preserve">未提供或提供不全均不得分</w:t>
      </w:r>
      <w:r>
        <w:rPr>
          <w:rFonts w:hint="eastAsia" w:ascii="宋体" w:hAnsi="宋体" w:cs="宋体"/>
          <w:bCs/>
          <w:sz w:val="24"/>
          <w:highlight w:val="none"/>
        </w:rPr>
        <w:t xml:space="preserve">。</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（3）项目组人员（</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cs="宋体"/>
          <w:bCs/>
          <w:sz w:val="24"/>
          <w:highlight w:val="none"/>
        </w:rPr>
        <w:t xml:space="preserve">①</w:t>
      </w:r>
      <w:r>
        <w:rPr>
          <w:rFonts w:hint="eastAsia" w:ascii="宋体" w:hAnsi="宋体"/>
          <w:bCs/>
          <w:color w:val="000000"/>
          <w:sz w:val="24"/>
          <w:szCs w:val="24"/>
          <w:highlight w:val="none"/>
        </w:rPr>
        <w:t xml:space="preserve">项目负责人（2分）：投标人拟派项目负责人</w:t>
      </w:r>
      <w:r>
        <w:rPr>
          <w:rFonts w:hint="eastAsia" w:ascii="宋体" w:hAnsi="宋体" w:cs="宋体"/>
          <w:bCs/>
          <w:sz w:val="24"/>
          <w:highlight w:val="none"/>
        </w:rPr>
        <w:t xml:space="preserve">具有人社局颁发的与项目有关的包含但不限于市政、市政工程、市政养护、检测、管道工程等中级职称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1</w:t>
      </w:r>
      <w:r>
        <w:rPr>
          <w:rFonts w:ascii="宋体" w:hAnsi="宋体" w:cs="宋体"/>
          <w:sz w:val="24"/>
          <w:highlight w:val="none"/>
        </w:rPr>
        <w:t xml:space="preserve">分</w:t>
      </w:r>
      <w:r>
        <w:rPr>
          <w:rFonts w:hint="eastAsia" w:ascii="宋体" w:hAnsi="宋体" w:cs="宋体"/>
          <w:sz w:val="24"/>
          <w:highlight w:val="none"/>
        </w:rPr>
        <w:t xml:space="preserve">，高</w:t>
      </w:r>
      <w:r>
        <w:rPr>
          <w:rFonts w:hint="eastAsia" w:ascii="宋体" w:hAnsi="宋体" w:cs="宋体"/>
          <w:bCs/>
          <w:sz w:val="24"/>
          <w:highlight w:val="none"/>
        </w:rPr>
        <w:t xml:space="preserve">级职称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2</w:t>
      </w:r>
      <w:r>
        <w:rPr>
          <w:rFonts w:ascii="宋体" w:hAnsi="宋体" w:cs="宋体"/>
          <w:sz w:val="24"/>
          <w:highlight w:val="none"/>
        </w:rPr>
        <w:t xml:space="preserve">分</w:t>
      </w:r>
      <w:r>
        <w:rPr>
          <w:rFonts w:hint="eastAsia" w:ascii="宋体" w:hAnsi="宋体" w:cs="宋体"/>
          <w:sz w:val="24"/>
          <w:highlight w:val="none"/>
        </w:rPr>
        <w:t xml:space="preserve">；本项最高</w:t>
      </w:r>
      <w:r>
        <w:rPr>
          <w:rFonts w:hint="eastAsia" w:ascii="宋体" w:hAnsi="宋体" w:cs="宋体"/>
          <w:bCs/>
          <w:sz w:val="24"/>
          <w:highlight w:val="none"/>
        </w:rPr>
        <w:t xml:space="preserve">得2分</w:t>
      </w:r>
      <w:r>
        <w:rPr>
          <w:rFonts w:hint="eastAsia" w:ascii="宋体" w:hAnsi="宋体"/>
          <w:bCs/>
          <w:color w:val="000000"/>
          <w:sz w:val="24"/>
          <w:szCs w:val="24"/>
          <w:highlight w:val="none"/>
        </w:rPr>
        <w:t xml:space="preserve">。</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②人员配备（</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持有市政排水管道有限空间作业安全培训证书的，有一人得0.5分，最高得1分；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持有潜水员证的，有一人得0.5分，最高得1分；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持有城镇排水管道检测与评估及非开挖修复证书的，有一人得0.5分，最高得1分；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持有市政排水管道养护与运维证书的，有一人得0.5分，最高得1分；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以项目管理机构配备情况表（格式见附件）中所列为准，未列入配备情况表中的人员不得分，上述所有人员不重复计分。投标时提供以上人员有效证书及供应商为其缴纳的近一年中任意一个月份(不含投标当月)社保的证明原件或网上查询带有二维码的打印件，未提供或提供不全均不得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（4）机械配备（</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①针对本项目配置检修车或</w:t>
      </w:r>
      <w:r>
        <w:rPr>
          <w:rFonts w:hint="eastAsia" w:ascii="宋体" w:hAnsi="宋体"/>
          <w:bCs/>
          <w:color w:val="000000"/>
          <w:sz w:val="24"/>
          <w:szCs w:val="24"/>
          <w:highlight w:val="none"/>
        </w:rPr>
        <w:t xml:space="preserve">抢险车(应急移动泵车</w:t>
      </w:r>
      <w:r>
        <w:rPr>
          <w:rFonts w:hint="eastAsia" w:ascii="宋体" w:hAnsi="宋体"/>
          <w:bCs/>
          <w:color w:val="000000"/>
          <w:sz w:val="24"/>
          <w:szCs w:val="24"/>
          <w:highlight w:val="none"/>
          <w:lang w:val="en-US" w:eastAsia="zh-CN"/>
        </w:rPr>
        <w:t xml:space="preserve">≥1000m³/h</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，具备1辆得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分，最高得</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②针对本项目配置</w:t>
      </w:r>
      <w:r>
        <w:rPr>
          <w:rFonts w:hint="eastAsia" w:ascii="宋体" w:hAnsi="宋体"/>
          <w:bCs/>
          <w:color w:val="000000"/>
          <w:sz w:val="24"/>
          <w:szCs w:val="24"/>
          <w:highlight w:val="none"/>
        </w:rPr>
        <w:t xml:space="preserve">高压</w:t>
      </w:r>
      <w:r>
        <w:rPr>
          <w:rFonts w:hint="eastAsia" w:ascii="宋体" w:hAnsi="宋体"/>
          <w:bCs/>
          <w:color w:val="000000"/>
          <w:sz w:val="24"/>
          <w:szCs w:val="24"/>
          <w:highlight w:val="none"/>
        </w:rPr>
        <w:t xml:space="preserve">疏通车</w:t>
      </w:r>
      <w:r>
        <w:rPr>
          <w:rFonts w:hint="eastAsia" w:ascii="宋体" w:hAnsi="宋体"/>
          <w:bCs/>
          <w:color w:val="000000"/>
          <w:sz w:val="24"/>
          <w:szCs w:val="24"/>
          <w:highlight w:val="none"/>
        </w:rPr>
      </w:r>
      <w:r>
        <w:rPr>
          <w:rFonts w:hint="eastAsia" w:ascii="宋体" w:hAnsi="宋体"/>
          <w:bCs/>
          <w:color w:val="000000"/>
          <w:sz w:val="24"/>
          <w:szCs w:val="24"/>
          <w:highlight w:val="none"/>
        </w:rPr>
        <w:t xml:space="preserve">，具备1辆得0.5分，最高得1分；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③针对本项目配置吸污车，具备1辆得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④针对本项目配置巡视车，具备</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辆得1分，最高得1分；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⑤针对本项目配置CCTV管道机器人、QV内窥镜,1套得1分，最高得1分。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以机械配备情况表（格式见附件）中所列为准，未列入配备情况表中的机械设备不得分；①-⑤自有的提供设备照片、设备购置发票和车辆行驶证；租赁的需提供设备照片、租赁合同和车辆行驶证；⑥自有的提供设备照片、设备购置发票；租赁的需提供设备照片、租赁合同；未提供或提供不全均不得分。</w:t>
      </w:r>
      <w:r/>
    </w:p>
    <w:p>
      <w:pPr>
        <w:ind w:firstLine="482"/>
        <w:spacing w:line="360" w:lineRule="auto"/>
        <w:tabs>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3.项目方案（5</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分）：</w:t>
      </w: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评价，要求体现科学合理性、条理性、可行性、完善性、针对性，无方案不得分。投标人编制方案时请</w:t>
      </w:r>
      <w:r>
        <w:rPr>
          <w:rFonts w:hint="eastAsia" w:ascii="宋体" w:hAnsi="宋体"/>
          <w:color w:val="000000"/>
          <w:sz w:val="24"/>
          <w:szCs w:val="24"/>
          <w:highlight w:val="none"/>
        </w:rPr>
        <w:t xml:space="preserve">按以下顺序编制，以便评审。</w:t>
      </w:r>
      <w:r/>
    </w:p>
    <w:p>
      <w:pPr>
        <w:ind w:firstLine="482"/>
        <w:spacing w:line="360" w:lineRule="auto"/>
        <w:rPr>
          <w:rFonts w:hAnsi="宋体" w:cs="宋体"/>
          <w:b/>
          <w:bCs/>
          <w:sz w:val="24"/>
          <w:highlight w:val="none"/>
        </w:rPr>
      </w:pPr>
      <w:r>
        <w:rPr>
          <w:rFonts w:hint="eastAsia" w:hAnsi="宋体" w:cs="宋体"/>
          <w:b/>
          <w:bCs/>
          <w:sz w:val="24"/>
          <w:highlight w:val="none"/>
        </w:rPr>
        <w:t xml:space="preserve">⑴</w:t>
      </w:r>
      <w:r>
        <w:rPr>
          <w:rFonts w:hint="eastAsia" w:hAnsi="宋体" w:cs="宋体"/>
          <w:b/>
          <w:bCs/>
          <w:sz w:val="24"/>
          <w:highlight w:val="none"/>
          <w:lang w:val="zh-CN"/>
        </w:rPr>
        <w:t xml:space="preserve">本项目管网养护方案</w:t>
      </w:r>
      <w:r>
        <w:rPr>
          <w:rFonts w:hint="eastAsia" w:hAnsi="宋体" w:cs="宋体"/>
          <w:b/>
          <w:bCs/>
          <w:sz w:val="24"/>
          <w:highlight w:val="none"/>
        </w:rPr>
        <w:t xml:space="preserve">（9分）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szCs w:val="24"/>
          <w:highlight w:val="none"/>
          <w:lang w:val="zh-CN"/>
        </w:rPr>
        <w:t xml:space="preserve">日常巡检</w:t>
      </w:r>
      <w:r>
        <w:rPr>
          <w:rFonts w:hint="eastAsia" w:hAnsi="宋体" w:cs="宋体"/>
          <w:sz w:val="24"/>
          <w:highlight w:val="none"/>
        </w:rPr>
        <w:t xml:space="preserve">；②</w:t>
      </w:r>
      <w:r>
        <w:rPr>
          <w:rFonts w:hint="eastAsia" w:ascii="宋体" w:hAnsi="宋体" w:cs="宋体"/>
          <w:bCs/>
          <w:sz w:val="24"/>
          <w:szCs w:val="24"/>
          <w:highlight w:val="none"/>
          <w:lang w:val="zh-CN"/>
        </w:rPr>
        <w:t xml:space="preserve">养护方案</w:t>
      </w:r>
      <w:r>
        <w:rPr>
          <w:rFonts w:hint="eastAsia" w:hAnsi="宋体" w:cs="宋体"/>
          <w:sz w:val="24"/>
          <w:highlight w:val="none"/>
        </w:rPr>
        <w:t xml:space="preserve">；③</w:t>
      </w:r>
      <w:r>
        <w:rPr>
          <w:rFonts w:hint="eastAsia" w:ascii="宋体" w:hAnsi="宋体" w:cs="宋体"/>
          <w:bCs/>
          <w:sz w:val="24"/>
          <w:szCs w:val="24"/>
          <w:highlight w:val="none"/>
          <w:lang w:val="zh-CN"/>
        </w:rPr>
        <w:t xml:space="preserve">清掏疏通方案</w:t>
      </w:r>
      <w:r>
        <w:rPr>
          <w:rFonts w:hint="eastAsia" w:hAnsi="宋体" w:cs="宋体"/>
          <w:sz w:val="24"/>
          <w:highlight w:val="none"/>
        </w:rPr>
        <w:t xml:space="preserve">；本项最高得9分。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内容详实、需求贴合度高且条理清晰的该条得3分；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内容较为简单、可行、细节有待完善的该条得2分；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内容粗略、无针对性、基本满足采购需求的该条得1分；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⑵</w:t>
      </w:r>
      <w:r>
        <w:rPr>
          <w:rFonts w:hint="eastAsia" w:hAnsi="宋体" w:cs="宋体"/>
          <w:b/>
          <w:bCs/>
          <w:sz w:val="24"/>
          <w:highlight w:val="none"/>
          <w:lang w:val="zh-CN"/>
        </w:rPr>
        <w:t xml:space="preserve">本项目养护应急处置方案</w:t>
      </w:r>
      <w:r>
        <w:rPr>
          <w:rFonts w:hint="eastAsia" w:hAnsi="宋体" w:cs="宋体"/>
          <w:b/>
          <w:bCs/>
          <w:sz w:val="24"/>
          <w:highlight w:val="none"/>
        </w:rPr>
        <w:t xml:space="preserve">（</w:t>
      </w:r>
      <w:r>
        <w:rPr>
          <w:rFonts w:hint="eastAsia" w:hAnsi="宋体" w:cs="宋体"/>
          <w:b/>
          <w:bCs/>
          <w:sz w:val="24"/>
          <w:highlight w:val="none"/>
          <w:lang w:val="en-US" w:eastAsia="zh-CN"/>
        </w:rPr>
        <w:t xml:space="preserve">8</w:t>
      </w:r>
      <w:r>
        <w:rPr>
          <w:rFonts w:hint="eastAsia" w:hAnsi="宋体" w:cs="宋体"/>
          <w:b/>
          <w:bCs/>
          <w:sz w:val="24"/>
          <w:highlight w:val="none"/>
        </w:rPr>
        <w:t xml:space="preserve">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投标人须针对以下内容进行阐述，阐述内容须满足采购需求：①为雨污水管网及附属设施运行服务提供相关的</w:t>
      </w:r>
      <w:r>
        <w:rPr>
          <w:rFonts w:hint="eastAsia" w:ascii="宋体" w:hAnsi="宋体" w:cs="宋体"/>
          <w:bCs/>
          <w:sz w:val="24"/>
          <w:szCs w:val="24"/>
          <w:highlight w:val="none"/>
          <w:lang w:val="zh-CN"/>
        </w:rPr>
        <w:t xml:space="preserve">污水外溢</w:t>
      </w:r>
      <w:r>
        <w:rPr>
          <w:rFonts w:hint="eastAsia" w:ascii="宋体" w:hAnsi="宋体" w:cs="宋体"/>
          <w:bCs/>
          <w:sz w:val="24"/>
          <w:szCs w:val="24"/>
          <w:highlight w:val="none"/>
        </w:rPr>
        <w:t xml:space="preserve">处置方案</w:t>
      </w:r>
      <w:r>
        <w:rPr>
          <w:rFonts w:hint="eastAsia" w:ascii="宋体" w:hAnsi="宋体" w:cs="宋体"/>
          <w:sz w:val="24"/>
          <w:szCs w:val="24"/>
          <w:highlight w:val="none"/>
        </w:rPr>
        <w:t xml:space="preserve">；②养护中产生的垃圾及淤泥安全处置方案；③</w:t>
      </w:r>
      <w:r>
        <w:rPr>
          <w:rFonts w:hint="eastAsia" w:ascii="宋体" w:hAnsi="宋体" w:cs="宋体"/>
          <w:bCs/>
          <w:sz w:val="24"/>
          <w:szCs w:val="24"/>
          <w:highlight w:val="none"/>
          <w:lang w:val="zh-CN"/>
        </w:rPr>
        <w:t xml:space="preserve">管道沉降损坏</w:t>
      </w:r>
      <w:r>
        <w:rPr>
          <w:rFonts w:hint="eastAsia" w:ascii="宋体" w:hAnsi="宋体" w:cs="宋体"/>
          <w:bCs/>
          <w:sz w:val="24"/>
          <w:szCs w:val="24"/>
          <w:highlight w:val="none"/>
        </w:rPr>
        <w:t xml:space="preserve">处置方</w:t>
      </w:r>
      <w:r>
        <w:rPr>
          <w:rFonts w:hint="eastAsia" w:ascii="宋体" w:hAnsi="宋体" w:cs="宋体"/>
          <w:sz w:val="24"/>
          <w:szCs w:val="24"/>
          <w:highlight w:val="none"/>
        </w:rPr>
        <w:t xml:space="preserve">案；④防汛防台应急</w:t>
      </w:r>
      <w:r>
        <w:rPr>
          <w:rFonts w:hint="eastAsia" w:ascii="宋体" w:hAnsi="宋体" w:cs="宋体"/>
          <w:sz w:val="24"/>
          <w:szCs w:val="24"/>
          <w:highlight w:val="none"/>
          <w:lang w:val="en-US" w:eastAsia="zh-CN"/>
        </w:rPr>
        <w:t xml:space="preserve">处置方案</w:t>
      </w:r>
      <w:r>
        <w:rPr>
          <w:rFonts w:hint="eastAsia" w:ascii="微软雅黑" w:hAnsi="微软雅黑" w:eastAsia="微软雅黑" w:cs="微软雅黑"/>
          <w:sz w:val="24"/>
          <w:szCs w:val="24"/>
          <w:highlight w:val="none"/>
          <w:lang w:eastAsia="zh-CN"/>
        </w:rPr>
        <w:t xml:space="preserve">；</w:t>
      </w:r>
      <w:r>
        <w:rPr>
          <w:rFonts w:hint="eastAsia" w:ascii="宋体" w:hAnsi="宋体" w:cs="宋体"/>
          <w:sz w:val="24"/>
          <w:szCs w:val="24"/>
          <w:highlight w:val="none"/>
        </w:rPr>
        <w:t xml:space="preserve">本项最高得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w:t>
      </w:r>
      <w:r>
        <w:rPr>
          <w:rFonts w:hint="eastAsia" w:hAnsi="宋体" w:cs="宋体"/>
          <w:sz w:val="24"/>
          <w:highlight w:val="none"/>
          <w:lang w:val="en-US" w:eastAsia="zh-CN"/>
        </w:rPr>
        <w:t xml:space="preserve">2</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w:t>
      </w:r>
      <w:r>
        <w:rPr>
          <w:rFonts w:hint="eastAsia" w:hAnsi="宋体" w:cs="宋体"/>
          <w:sz w:val="24"/>
          <w:highlight w:val="none"/>
          <w:lang w:val="en-US" w:eastAsia="zh-CN"/>
        </w:rPr>
        <w:t xml:space="preserve">1</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w:t>
      </w:r>
      <w:r>
        <w:rPr>
          <w:rFonts w:hint="eastAsia" w:hAnsi="宋体" w:cs="宋体"/>
          <w:sz w:val="24"/>
          <w:highlight w:val="none"/>
          <w:lang w:val="en-US" w:eastAsia="zh-CN"/>
        </w:rPr>
        <w:t xml:space="preserve">0.5</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⑶</w:t>
      </w:r>
      <w:r>
        <w:rPr>
          <w:rFonts w:hint="eastAsia" w:hAnsi="宋体" w:cs="宋体"/>
          <w:b/>
          <w:bCs/>
          <w:sz w:val="24"/>
          <w:highlight w:val="none"/>
          <w:lang w:val="zh-CN"/>
        </w:rPr>
        <w:t xml:space="preserve">本项目质量保证措施</w:t>
      </w:r>
      <w:r>
        <w:rPr>
          <w:rFonts w:hint="eastAsia" w:hAnsi="宋体" w:cs="宋体"/>
          <w:b/>
          <w:bCs/>
          <w:sz w:val="24"/>
          <w:highlight w:val="none"/>
        </w:rPr>
        <w:t xml:space="preserve">（6分）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投标人须针对以下内容进行阐述，阐述内容须满足采购需求：①管理范围内的雨污水管网及附属设施的清通方案质量措施；②检测方案、评估方案质量措施；③质量保障措施质量措施；本项最高得6分。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⑷安全管理方案（6分）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正常营运及养护作业时的安全防护措施；②发生事故时的交通组织和安全防护措施；③设立24小时抢修电话，并明确人员安排及到达现场时间、处理故障所需时间；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rPr>
          <w:rFonts w:hint="eastAsia" w:hAnsi="宋体" w:cs="宋体"/>
          <w:b/>
          <w:bCs/>
          <w:sz w:val="24"/>
          <w:highlight w:val="none"/>
        </w:rPr>
        <w:t xml:space="preserve">⑸</w:t>
      </w:r>
      <w:bookmarkStart w:id="194" w:name="OLE_LINK69"/>
      <w:r>
        <w:rPr>
          <w:rFonts w:hint="eastAsia" w:hAnsi="宋体" w:cs="宋体"/>
          <w:b/>
          <w:bCs/>
          <w:sz w:val="24"/>
          <w:highlight w:val="none"/>
        </w:rPr>
        <w:t xml:space="preserve">特定专项养护内容及技术措施(</w:t>
      </w:r>
      <w:r>
        <w:rPr>
          <w:rFonts w:hint="eastAsia" w:hAnsi="宋体" w:cs="宋体"/>
          <w:b/>
          <w:bCs/>
          <w:sz w:val="24"/>
          <w:highlight w:val="none"/>
          <w:lang w:val="en-US" w:eastAsia="zh-CN"/>
        </w:rPr>
        <w:t xml:space="preserve">6</w:t>
      </w:r>
      <w:r>
        <w:rPr>
          <w:rFonts w:hint="eastAsia" w:hAnsi="宋体" w:cs="宋体"/>
          <w:b/>
          <w:bCs/>
          <w:sz w:val="24"/>
          <w:highlight w:val="none"/>
        </w:rPr>
        <w:t xml:space="preserve">分)</w:t>
      </w:r>
      <w:bookmarkEnd w:id="194"/>
      <w:r/>
      <w:r/>
    </w:p>
    <w:p>
      <w:pPr>
        <w:ind w:firstLine="472"/>
        <w:spacing w:line="360" w:lineRule="auto"/>
        <w:rPr>
          <w:rFonts w:ascii="宋体" w:hAnsi="宋体"/>
          <w:spacing w:val="-2"/>
          <w:sz w:val="24"/>
          <w:szCs w:val="22"/>
          <w:highlight w:val="none"/>
        </w:rPr>
        <w:outlineLvl w:val="0"/>
      </w:pPr>
      <w:r>
        <w:rPr>
          <w:rFonts w:hint="eastAsia" w:hAnsi="宋体" w:cs="宋体"/>
          <w:sz w:val="24"/>
          <w:highlight w:val="none"/>
        </w:rPr>
        <w:t xml:space="preserve">投标人须针对以下内容进行阐述，阐述内容须满足采购需求：①</w:t>
      </w:r>
      <w:r>
        <w:rPr>
          <w:rFonts w:hint="eastAsia" w:ascii="宋体" w:hAnsi="宋体"/>
          <w:spacing w:val="-2"/>
          <w:sz w:val="24"/>
          <w:szCs w:val="22"/>
          <w:highlight w:val="none"/>
        </w:rPr>
        <w:t xml:space="preserve">特定技术措施，如窨井下沉；</w:t>
      </w:r>
      <w:r>
        <w:rPr>
          <w:rFonts w:hint="eastAsia" w:hAnsi="宋体" w:cs="宋体"/>
          <w:sz w:val="24"/>
          <w:highlight w:val="none"/>
        </w:rPr>
        <w:t xml:space="preserve">②</w:t>
      </w:r>
      <w:r>
        <w:rPr>
          <w:rFonts w:hint="eastAsia" w:ascii="宋体" w:hAnsi="宋体"/>
          <w:spacing w:val="-2"/>
          <w:sz w:val="24"/>
          <w:szCs w:val="22"/>
          <w:highlight w:val="none"/>
        </w:rPr>
        <w:t xml:space="preserve">特定技术措施，如非开挖修复。</w:t>
      </w:r>
      <w:r>
        <w:rPr>
          <w:rFonts w:hint="eastAsia" w:hAnsi="宋体" w:cs="宋体"/>
          <w:sz w:val="24"/>
          <w:highlight w:val="none"/>
        </w:rPr>
        <w:t xml:space="preserve">本项最高得</w:t>
      </w:r>
      <w:r>
        <w:rPr>
          <w:rFonts w:hint="eastAsia" w:hAnsi="宋体" w:cs="宋体"/>
          <w:sz w:val="24"/>
          <w:highlight w:val="none"/>
          <w:lang w:val="en-US" w:eastAsia="zh-CN"/>
        </w:rPr>
        <w:t xml:space="preserve">6</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w:t>
      </w:r>
      <w:r>
        <w:rPr>
          <w:rFonts w:hint="eastAsia" w:hAnsi="宋体" w:cs="宋体"/>
          <w:sz w:val="24"/>
          <w:highlight w:val="none"/>
          <w:lang w:val="en-US" w:eastAsia="zh-CN"/>
        </w:rPr>
        <w:t xml:space="preserve">3</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w:t>
      </w:r>
      <w:r>
        <w:rPr>
          <w:rFonts w:hint="eastAsia" w:hAnsi="宋体" w:cs="宋体"/>
          <w:sz w:val="24"/>
          <w:highlight w:val="none"/>
          <w:lang w:val="en-US" w:eastAsia="zh-CN"/>
        </w:rPr>
        <w:t xml:space="preserve">2</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w:t>
      </w:r>
      <w:r>
        <w:rPr>
          <w:rFonts w:hint="eastAsia" w:hAnsi="宋体" w:cs="宋体"/>
          <w:sz w:val="24"/>
          <w:highlight w:val="none"/>
          <w:lang w:val="en-US" w:eastAsia="zh-CN"/>
        </w:rPr>
        <w:t xml:space="preserve">1</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rPr>
          <w:rFonts w:hint="eastAsia" w:hAnsi="宋体" w:cs="宋体"/>
          <w:b/>
          <w:bCs/>
          <w:sz w:val="24"/>
          <w:highlight w:val="none"/>
        </w:rPr>
        <w:t xml:space="preserve">⑹</w:t>
      </w:r>
      <w:bookmarkStart w:id="195" w:name="OLE_LINK73"/>
      <w:r>
        <w:rPr>
          <w:rFonts w:hint="eastAsia" w:hAnsi="宋体" w:cs="宋体"/>
          <w:b/>
          <w:bCs/>
          <w:sz w:val="24"/>
          <w:highlight w:val="none"/>
        </w:rPr>
        <w:t xml:space="preserve">养护团队管理方案（9分）</w:t>
      </w:r>
      <w:bookmarkEnd w:id="195"/>
      <w:r/>
      <w:r/>
    </w:p>
    <w:p>
      <w:pPr>
        <w:ind w:firstLine="357"/>
        <w:spacing w:line="360" w:lineRule="auto"/>
        <w:tabs>
          <w:tab w:val="left" w:pos="840" w:leader="none"/>
          <w:tab w:val="left" w:pos="1050" w:leader="none"/>
        </w:tabs>
        <w:rPr>
          <w:rFonts w:hAnsi="宋体" w:cs="宋体"/>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highlight w:val="none"/>
        </w:rPr>
        <w:t xml:space="preserve">养护人员组织结构；</w:t>
      </w:r>
      <w:r>
        <w:rPr>
          <w:rFonts w:hint="eastAsia" w:hAnsi="宋体" w:cs="宋体"/>
          <w:sz w:val="24"/>
          <w:highlight w:val="none"/>
        </w:rPr>
        <w:t xml:space="preserve">②</w:t>
      </w:r>
      <w:r>
        <w:rPr>
          <w:rFonts w:hint="eastAsia" w:ascii="宋体" w:hAnsi="宋体" w:cs="宋体"/>
          <w:bCs/>
          <w:sz w:val="24"/>
          <w:highlight w:val="none"/>
        </w:rPr>
        <w:t xml:space="preserve">养护人员分工情况；</w:t>
      </w:r>
      <w:r>
        <w:rPr>
          <w:rFonts w:hint="eastAsia" w:hAnsi="宋体" w:cs="宋体"/>
          <w:sz w:val="24"/>
          <w:highlight w:val="none"/>
        </w:rPr>
        <w:t xml:space="preserve">③</w:t>
      </w:r>
      <w:r>
        <w:rPr>
          <w:rFonts w:hint="eastAsia" w:ascii="宋体" w:hAnsi="宋体" w:cs="宋体"/>
          <w:bCs/>
          <w:sz w:val="24"/>
          <w:highlight w:val="none"/>
        </w:rPr>
        <w:t xml:space="preserve">养护人员责任制落实情况。</w:t>
      </w:r>
      <w:r>
        <w:rPr>
          <w:rFonts w:hint="eastAsia" w:hAnsi="宋体" w:cs="宋体"/>
          <w:sz w:val="24"/>
          <w:highlight w:val="none"/>
        </w:rPr>
        <w:t xml:space="preserve">本项最高得9分。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内容详实、需求贴合度高且条理清晰的该条得3分；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内容较为简单、可行、细节有待完善的该条得2分；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内容粗略、无针对性、基本满足采购需求的该条得1分；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bookmarkStart w:id="196" w:name="OLE_LINK75"/>
      <w:r>
        <w:rPr>
          <w:rFonts w:hint="eastAsia" w:hAnsi="宋体" w:cs="宋体"/>
          <w:b/>
          <w:bCs/>
          <w:sz w:val="24"/>
          <w:highlight w:val="none"/>
        </w:rPr>
        <w:t xml:space="preserve">⑺投诉处理方案（6分）</w:t>
      </w:r>
      <w:bookmarkEnd w:id="196"/>
      <w:r/>
      <w:r/>
    </w:p>
    <w:p>
      <w:pPr>
        <w:ind w:firstLine="480"/>
        <w:spacing w:line="360" w:lineRule="auto"/>
        <w:rPr>
          <w:rFonts w:ascii="宋体" w:hAnsi="宋体" w:cs="宋体"/>
          <w:bCs/>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highlight w:val="none"/>
        </w:rPr>
        <w:t xml:space="preserve">“12345”社会服务投诉处理应对方案；</w:t>
      </w:r>
      <w:r>
        <w:rPr>
          <w:rFonts w:hint="eastAsia" w:hAnsi="宋体" w:cs="宋体"/>
          <w:sz w:val="24"/>
          <w:highlight w:val="none"/>
        </w:rPr>
        <w:t xml:space="preserve">②</w:t>
      </w:r>
      <w:r>
        <w:rPr>
          <w:rFonts w:hint="eastAsia" w:ascii="宋体" w:hAnsi="宋体" w:cs="宋体"/>
          <w:bCs/>
          <w:sz w:val="24"/>
          <w:highlight w:val="none"/>
        </w:rPr>
        <w:t xml:space="preserve">数字城管应对方案；</w:t>
      </w:r>
      <w:r>
        <w:rPr>
          <w:rFonts w:hint="eastAsia" w:hAnsi="宋体" w:cs="宋体"/>
          <w:sz w:val="24"/>
          <w:highlight w:val="none"/>
        </w:rPr>
        <w:t xml:space="preserve">③</w:t>
      </w:r>
      <w:r>
        <w:rPr>
          <w:rFonts w:hint="eastAsia" w:ascii="宋体" w:hAnsi="宋体" w:cs="宋体"/>
          <w:bCs/>
          <w:sz w:val="24"/>
          <w:highlight w:val="none"/>
        </w:rPr>
        <w:t xml:space="preserve">配合信访处理应对方案。</w:t>
      </w:r>
      <w:r>
        <w:rPr>
          <w:rFonts w:hint="eastAsia" w:hAnsi="宋体" w:cs="宋体"/>
          <w:sz w:val="24"/>
          <w:highlight w:val="none"/>
        </w:rPr>
        <w:t xml:space="preserve">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0"/>
        <w:spacing w:line="360" w:lineRule="auto"/>
        <w:rPr>
          <w:rFonts w:hAnsi="宋体" w:cs="宋体"/>
          <w:sz w:val="24"/>
          <w:highlight w:val="none"/>
        </w:rPr>
      </w:pPr>
      <w:r>
        <w:rPr>
          <w:rFonts w:hAnsi="宋体" w:cs="宋体"/>
          <w:sz w:val="24"/>
          <w:highlight w:val="none"/>
        </w:rPr>
      </w:r>
      <w:r/>
    </w:p>
    <w:p>
      <w:pPr>
        <w:ind w:firstLine="720"/>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ind w:firstLine="480"/>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投标文件内容与格式</w:t>
      </w:r>
      <w:r/>
    </w:p>
    <w:p>
      <w:pPr>
        <w:pStyle w:val="1043"/>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投标文件内容</w:t>
      </w:r>
      <w:r/>
    </w:p>
    <w:p>
      <w:pPr>
        <w:pStyle w:val="1043"/>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5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3"/>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43"/>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043"/>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3"/>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3"/>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p>
        </w:tc>
        <w:tc>
          <w:tcPr>
            <w:tcBorders>
              <w:bottom w:val="single" w:color="000000" w:sz="4" w:space="0"/>
            </w:tcBorders>
            <w:tcW w:w="6104" w:type="dxa"/>
            <w:vAlign w:val="center"/>
            <w:textDirection w:val="lrTb"/>
            <w:noWrap w:val="false"/>
          </w:tcPr>
          <w:p>
            <w:pPr>
              <w:pStyle w:val="1043"/>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043"/>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43"/>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43"/>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3"/>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43"/>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43"/>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43"/>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43"/>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1"/>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1"/>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3"/>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043"/>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评审项及评审要求</w:t>
            </w:r>
            <w:r/>
          </w:p>
        </w:tc>
        <w:tc>
          <w:tcPr>
            <w:tcW w:w="1979" w:type="dxa"/>
            <w:vAlign w:val="center"/>
            <w:textDirection w:val="lrTb"/>
            <w:noWrap w:val="false"/>
          </w:tcPr>
          <w:p>
            <w:pPr>
              <w:pStyle w:val="1043"/>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043"/>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043"/>
              <w:ind w:firstLine="0"/>
              <w:jc w:val="both"/>
              <w:spacing w:before="0" w:after="0" w:line="240" w:lineRule="auto"/>
              <w:rPr>
                <w:rFonts w:cs="Arial"/>
                <w:color w:val="000000"/>
                <w:highlight w:val="none"/>
              </w:rPr>
            </w:pPr>
            <w:r>
              <w:rPr>
                <w:rFonts w:hint="eastAsia" w:cs="Arial"/>
                <w:color w:val="000000"/>
                <w:highlight w:val="none"/>
              </w:rPr>
              <w:t xml:space="preserve">符合性证明文件</w:t>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043"/>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043"/>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043"/>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vMerge w:val="continue"/>
            <w:textDirection w:val="lrTb"/>
            <w:noWrap w:val="false"/>
          </w:tcPr>
          <w:p>
            <w:pPr>
              <w:pStyle w:val="1043"/>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043"/>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1043"/>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043"/>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continue"/>
            <w:textDirection w:val="lrTb"/>
            <w:noWrap w:val="false"/>
          </w:tcPr>
          <w:p>
            <w:pPr>
              <w:pStyle w:val="1043"/>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val="false"/>
          </w:tcPr>
          <w:p>
            <w:pPr>
              <w:pStyle w:val="1043"/>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《采购需求》中如有要求须提供的证明文件</w:t>
            </w:r>
            <w:r/>
          </w:p>
        </w:tc>
        <w:tc>
          <w:tcPr>
            <w:tcW w:w="1979" w:type="dxa"/>
            <w:vAlign w:val="center"/>
            <w:vMerge w:val="continue"/>
            <w:textDirection w:val="lrTb"/>
            <w:noWrap w:val="false"/>
          </w:tcPr>
          <w:p>
            <w:pPr>
              <w:pStyle w:val="1043"/>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7</w:t>
            </w:r>
            <w:r/>
          </w:p>
        </w:tc>
        <w:tc>
          <w:tcPr>
            <w:tcW w:w="6095" w:type="dxa"/>
            <w:vAlign w:val="center"/>
            <w:textDirection w:val="lrTb"/>
            <w:noWrap w:val="false"/>
          </w:tcPr>
          <w:p>
            <w:pPr>
              <w:pStyle w:val="1043"/>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《评标方法与评标标准》中涉及的证明文件</w:t>
            </w:r>
            <w:r/>
          </w:p>
        </w:tc>
        <w:tc>
          <w:tcPr>
            <w:tcW w:w="1979" w:type="dxa"/>
            <w:vAlign w:val="center"/>
            <w:vMerge w:val="restart"/>
            <w:textDirection w:val="lrTb"/>
            <w:noWrap w:val="false"/>
          </w:tcPr>
          <w:p>
            <w:pPr>
              <w:pStyle w:val="1043"/>
              <w:ind w:firstLine="0"/>
              <w:jc w:val="both"/>
              <w:spacing w:before="0" w:after="0" w:line="240" w:lineRule="auto"/>
              <w:rPr>
                <w:rFonts w:cs="Arial"/>
                <w:color w:val="000000"/>
                <w:highlight w:val="none"/>
              </w:rPr>
            </w:pPr>
            <w:r>
              <w:rPr>
                <w:rFonts w:hint="eastAsia" w:cs="Arial"/>
                <w:color w:val="000000"/>
                <w:highlight w:val="none"/>
              </w:rPr>
              <w:t xml:space="preserve">其他证明文件</w:t>
            </w:r>
            <w:r/>
          </w:p>
        </w:tc>
      </w:tr>
      <w:tr>
        <w:trPr>
          <w:cantSplit/>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8</w:t>
            </w:r>
            <w:r/>
          </w:p>
        </w:tc>
        <w:tc>
          <w:tcPr>
            <w:tcW w:w="6095" w:type="dxa"/>
            <w:vAlign w:val="center"/>
            <w:textDirection w:val="lrTb"/>
            <w:noWrap w:val="false"/>
          </w:tcPr>
          <w:p>
            <w:pPr>
              <w:pStyle w:val="1043"/>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其他投标人认为应附的文件（如有，自拟并自行添加）</w:t>
            </w:r>
            <w:r/>
          </w:p>
        </w:tc>
        <w:tc>
          <w:tcPr>
            <w:tcW w:w="1979" w:type="dxa"/>
            <w:vMerge w:val="continue"/>
            <w:textDirection w:val="lrTb"/>
            <w:noWrap w:val="false"/>
          </w:tcPr>
          <w:p>
            <w:pPr>
              <w:pStyle w:val="1043"/>
              <w:ind w:firstLine="0"/>
              <w:spacing w:before="0" w:after="0" w:line="240" w:lineRule="auto"/>
              <w:rPr>
                <w:rFonts w:cs="Arial"/>
                <w:color w:val="000000"/>
                <w:highlight w:val="none"/>
              </w:rPr>
            </w:pPr>
            <w:r>
              <w:rPr>
                <w:rFonts w:cs="Arial"/>
                <w:color w:val="000000"/>
                <w:highlight w:val="none"/>
              </w:rPr>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2"/>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43"/>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JSZC-320292-YDGC-G2026-0022</w:t>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华庄街道雨污水管网养护服务（第二次）</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41"/>
        <w:ind w:firstLine="480"/>
        <w:spacing w:line="360" w:lineRule="auto"/>
        <w:rPr>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lang w:eastAsia="zh-CN"/>
        </w:rPr>
        <w:t xml:space="preserve">JSZC-320292-YDGC-G2026-0022</w:t>
      </w:r>
      <w:r>
        <w:rPr>
          <w:rFonts w:hint="eastAsia" w:ascii="宋体" w:hAnsi="宋体"/>
          <w:bCs/>
          <w:color w:val="000000"/>
          <w:sz w:val="24"/>
          <w:szCs w:val="24"/>
          <w:highlight w:val="none"/>
        </w:rPr>
        <w:t xml:space="preserve">项目，兹授权：</w:t>
      </w:r>
      <w:r/>
    </w:p>
    <w:p>
      <w:pPr>
        <w:pStyle w:val="1041"/>
        <w:ind w:firstLine="480"/>
        <w:spacing w:line="360" w:lineRule="auto"/>
        <w:rPr>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1"/>
        <w:ind w:firstLine="480"/>
        <w:spacing w:line="360" w:lineRule="auto"/>
        <w:rPr>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1"/>
        <w:ind w:firstLine="480"/>
        <w:spacing w:line="360" w:lineRule="auto"/>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41"/>
        <w:ind w:firstLine="480"/>
        <w:spacing w:line="360" w:lineRule="auto"/>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41"/>
        <w:ind w:firstLine="480"/>
        <w:spacing w:line="360" w:lineRule="auto"/>
        <w:rPr>
          <w:color w:val="000000"/>
          <w:sz w:val="24"/>
          <w:szCs w:val="24"/>
          <w:highlight w:val="none"/>
        </w:rPr>
      </w:pPr>
      <w:r>
        <w:rPr>
          <w:rFonts w:hint="eastAsia"/>
          <w:color w:val="000000"/>
          <w:sz w:val="24"/>
          <w:szCs w:val="24"/>
          <w:highlight w:val="none"/>
        </w:rPr>
        <w:t xml:space="preserve">特此授权委托。</w:t>
      </w:r>
      <w:r/>
    </w:p>
    <w:p>
      <w:pPr>
        <w:pStyle w:val="1041"/>
        <w:ind w:firstLine="0"/>
        <w:rPr>
          <w:color w:val="000000"/>
          <w:sz w:val="24"/>
          <w:szCs w:val="24"/>
          <w:highlight w:val="none"/>
        </w:rPr>
      </w:pPr>
      <w:r>
        <w:rPr>
          <w:color w:val="000000"/>
          <w:sz w:val="24"/>
          <w:szCs w:val="24"/>
          <w:highlight w:val="none"/>
        </w:rPr>
      </w:r>
      <w:r/>
    </w:p>
    <w:p>
      <w:pPr>
        <w:pStyle w:val="1041"/>
        <w:ind w:firstLine="0"/>
        <w:rPr>
          <w:color w:val="000000"/>
          <w:sz w:val="24"/>
          <w:szCs w:val="24"/>
          <w:highlight w:val="none"/>
        </w:rPr>
      </w:pPr>
      <w:r>
        <w:rPr>
          <w:color w:val="000000"/>
          <w:sz w:val="24"/>
          <w:szCs w:val="24"/>
          <w:highlight w:val="none"/>
        </w:rPr>
      </w:r>
      <w:r/>
    </w:p>
    <w:p>
      <w:pPr>
        <w:pStyle w:val="1041"/>
        <w:ind w:firstLine="0"/>
        <w:rPr>
          <w:color w:val="000000"/>
          <w:sz w:val="24"/>
          <w:szCs w:val="24"/>
          <w:highlight w:val="none"/>
        </w:rPr>
      </w:pPr>
      <w:r>
        <w:rPr>
          <w:color w:val="000000"/>
          <w:sz w:val="24"/>
          <w:szCs w:val="24"/>
          <w:highlight w:val="none"/>
        </w:rPr>
      </w:r>
      <w:r/>
    </w:p>
    <w:p>
      <w:pPr>
        <w:pStyle w:val="1041"/>
        <w:ind w:firstLine="0"/>
        <w:rPr>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41"/>
        <w:ind w:firstLine="0"/>
        <w:rPr>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41"/>
        <w:ind w:firstLine="0"/>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41"/>
        <w:ind w:firstLine="0"/>
        <w:rPr>
          <w:color w:val="000000"/>
          <w:sz w:val="24"/>
          <w:szCs w:val="24"/>
          <w:highlight w:val="none"/>
        </w:rPr>
      </w:pPr>
      <w:r>
        <w:rPr>
          <w:color w:val="000000"/>
          <w:sz w:val="24"/>
          <w:szCs w:val="24"/>
          <w:highlight w:val="none"/>
        </w:rPr>
      </w:r>
      <w:r/>
    </w:p>
    <w:p>
      <w:pPr>
        <w:pStyle w:val="1041"/>
        <w:ind w:firstLine="0"/>
        <w:rPr>
          <w:color w:val="000000"/>
          <w:sz w:val="24"/>
          <w:szCs w:val="24"/>
          <w:highlight w:val="none"/>
        </w:rPr>
      </w:pPr>
      <w:r>
        <w:rPr>
          <w:color w:val="000000"/>
          <w:sz w:val="24"/>
          <w:szCs w:val="24"/>
          <w:highlight w:val="none"/>
        </w:rPr>
      </w:r>
      <w:r/>
    </w:p>
    <w:p>
      <w:pPr>
        <w:pStyle w:val="1041"/>
        <w:ind w:firstLine="0"/>
        <w:rPr>
          <w:color w:val="000000"/>
          <w:sz w:val="24"/>
          <w:szCs w:val="24"/>
          <w:highlight w:val="none"/>
        </w:rPr>
      </w:pPr>
      <w:r>
        <w:rPr>
          <w:rFonts w:hint="eastAsia"/>
          <w:color w:val="000000"/>
          <w:sz w:val="24"/>
          <w:szCs w:val="24"/>
          <w:highlight w:val="none"/>
        </w:rPr>
        <w:t xml:space="preserve">说明：</w:t>
      </w:r>
      <w:r/>
    </w:p>
    <w:p>
      <w:pPr>
        <w:pStyle w:val="1041"/>
        <w:numPr>
          <w:ilvl w:val="0"/>
          <w:numId w:val="13"/>
        </w:numPr>
        <w:ind w:firstLine="480"/>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41"/>
        <w:numPr>
          <w:ilvl w:val="0"/>
          <w:numId w:val="13"/>
        </w:numPr>
        <w:ind w:firstLine="480"/>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41"/>
        <w:numPr>
          <w:ilvl w:val="0"/>
          <w:numId w:val="13"/>
        </w:numPr>
        <w:ind w:firstLine="480"/>
        <w:rPr>
          <w:rFonts w:ascii="宋体" w:hAnsi="宋体"/>
          <w:color w:val="000000"/>
          <w:sz w:val="24"/>
          <w:szCs w:val="20"/>
          <w:highlight w:val="none"/>
        </w:rPr>
      </w:pPr>
      <w:r>
        <w:rPr>
          <w:rFonts w:hint="eastAsia" w:ascii="宋体" w:hAnsi="宋体"/>
          <w:color w:val="000000"/>
          <w:sz w:val="24"/>
          <w:szCs w:val="20"/>
          <w:highlight w:val="none"/>
        </w:rPr>
        <w:t xml:space="preserve">投标人为自然人情形的，可不提供本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41"/>
        <w:numPr>
          <w:ilvl w:val="0"/>
          <w:numId w:val="13"/>
        </w:numPr>
        <w:ind w:firstLine="480"/>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被授权人为外籍、港、澳、台地区人士的，其身份证明须提供有效的护照或港澳同胞来往内地通行证、台湾同胞来往大陆通行证，或其他可以在中国大陆有效居留的许可证明。</w:t>
      </w:r>
      <w:r/>
    </w:p>
    <w:p>
      <w:pPr>
        <w:pStyle w:val="1041"/>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永道工程咨询（江苏）有限公司：</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eastAsia="zh-CN"/>
        </w:rPr>
        <w:t xml:space="preserve">JSZC-320292-YDGC-G2026-0022</w:t>
      </w:r>
      <w:r>
        <w:rPr>
          <w:rFonts w:hint="eastAsia" w:ascii="宋体" w:hAnsi="宋体"/>
          <w:bCs/>
          <w:color w:val="000000"/>
          <w:sz w:val="24"/>
          <w:szCs w:val="24"/>
          <w:highlight w:val="none"/>
        </w:rPr>
        <w:t xml:space="preserve">进行投标，并做如下声明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hint="eastAsia" w:ascii="宋体" w:hAnsi="宋体"/>
          <w:bCs/>
          <w:color w:val="000000"/>
          <w:sz w:val="24"/>
          <w:szCs w:val="24"/>
          <w:highlight w:val="none"/>
          <w:u w:val="single"/>
        </w:rPr>
        <w:t xml:space="preserve">、标段名称</w:t>
      </w:r>
      <w:r>
        <w:rPr>
          <w:rFonts w:ascii="宋体" w:hAnsi="宋体"/>
          <w:bCs/>
          <w:color w:val="000000"/>
          <w:sz w:val="24"/>
          <w:szCs w:val="24"/>
          <w:highlight w:val="none"/>
          <w:u w:val="single"/>
        </w:rPr>
        <w:t xml:space="preserve">）</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致永道工程咨询（江苏）有限公司：</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JSZC-320292-YDGC-G2026-0022</w:t>
      </w:r>
      <w:r>
        <w:rPr>
          <w:rFonts w:hint="eastAsia" w:ascii="宋体" w:hAnsi="宋体"/>
          <w:bCs/>
          <w:color w:val="000000"/>
          <w:sz w:val="24"/>
          <w:szCs w:val="24"/>
          <w:highlight w:val="none"/>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31"/>
          <w:bCs/>
          <w:color w:val="000000"/>
          <w:highlight w:val="none"/>
        </w:rPr>
      </w:pPr>
      <w:r>
        <w:rPr>
          <w:rFonts w:hint="eastAsia" w:ascii="宋体" w:hAnsi="宋体"/>
          <w:bCs/>
          <w:color w:val="000000"/>
          <w:sz w:val="24"/>
          <w:szCs w:val="24"/>
          <w:highlight w:val="none"/>
        </w:rPr>
        <w:t xml:space="preserve">我方愿意提供永道工程咨询（江苏）有限公司在招标文件中要求的文件、资料。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我方同意按照招标文件中的规定，从规定的开标日期起遵循本投标文件，并在规定的投标有效期期满之前均具有约束力。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b/>
          <w:color w:val="000000"/>
          <w:sz w:val="28"/>
          <w:szCs w:val="28"/>
          <w:highlight w:val="none"/>
        </w:rPr>
        <w:t xml:space="preserve"> </w:t>
      </w:r>
      <w:r/>
    </w:p>
    <w:p>
      <w:pPr>
        <w:rPr>
          <w:b/>
          <w:color w:val="000000"/>
          <w:sz w:val="28"/>
          <w:szCs w:val="28"/>
          <w:highlight w:val="none"/>
        </w:rPr>
        <w:outlineLvl w:val="0"/>
      </w:pPr>
      <w:r>
        <w:rPr>
          <w:rFonts w:hint="eastAsia"/>
          <w:b/>
          <w:color w:val="000000"/>
          <w:sz w:val="28"/>
          <w:szCs w:val="28"/>
          <w:highlight w:val="none"/>
        </w:rPr>
        <w:t xml:space="preserve">七、承诺书（给定格式）： </w:t>
      </w:r>
      <w:r/>
    </w:p>
    <w:p>
      <w:pPr>
        <w:ind w:firstLine="602"/>
        <w:rPr>
          <w:b/>
          <w:color w:val="000000"/>
          <w:sz w:val="30"/>
          <w:szCs w:val="30"/>
          <w:highlight w:val="none"/>
        </w:rPr>
        <w:outlineLvl w:val="0"/>
      </w:pPr>
      <w:r>
        <w:rPr>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JSZC-320292-YDGC-G2026-0022</w:t>
      </w:r>
      <w:r>
        <w:rPr>
          <w:rFonts w:hint="eastAsia" w:ascii="宋体" w:hAnsi="宋体"/>
          <w:color w:val="000000"/>
          <w:sz w:val="24"/>
          <w:szCs w:val="24"/>
          <w:highlight w:val="none"/>
        </w:rPr>
        <w:t xml:space="preserve">在此对服务保障做如下承诺：</w:t>
      </w:r>
      <w:r/>
    </w:p>
    <w:p>
      <w:pPr>
        <w:spacing w:line="48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1、本公司（单位）对本项目所提供的服务符合招标文件要求；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3、本公司（单位）保证中标并合同签订生效后，按需配备移动式发电机、抽水泵。</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65"/>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highlight w:val="none"/>
        </w:rPr>
      </w:pPr>
      <w:r>
        <w:rPr>
          <w:rFonts w:hint="eastAsia" w:ascii="宋体" w:hAnsi="宋体"/>
          <w:bCs/>
          <w:color w:val="000000"/>
          <w:highlight w:val="none"/>
        </w:rPr>
        <w:t xml:space="preserve">注：1、以上内容由投标单位根据采购要求自行完善。</w:t>
      </w:r>
      <w:r/>
    </w:p>
    <w:p>
      <w:pPr>
        <w:rPr>
          <w:b/>
          <w:color w:val="000000"/>
          <w:sz w:val="28"/>
          <w:szCs w:val="28"/>
          <w:highlight w:val="none"/>
        </w:rPr>
      </w:pPr>
      <w:r>
        <w:rPr>
          <w:rFonts w:hint="eastAsia"/>
          <w:b/>
          <w:color w:val="000000"/>
          <w:sz w:val="28"/>
          <w:szCs w:val="28"/>
          <w:highlight w:val="none"/>
        </w:rPr>
        <w:br w:type="page" w:clear="all"/>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JSZC-320292-YDGC-G2026-0022</w:t>
      </w:r>
      <w:r/>
    </w:p>
    <w:tbl>
      <w:tblPr>
        <w:tblStyle w:val="75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p>
        </w:tc>
      </w:tr>
      <w:tr>
        <w:trPr>
          <w:cantSplit/>
          <w:trHeight w:val="1630"/>
        </w:trPr>
        <w:tc>
          <w:tcPr>
            <w:tcW w:w="5697" w:type="dxa"/>
            <w:vAlign w:val="center"/>
            <w:textDirection w:val="lrTb"/>
            <w:noWrap w:val="false"/>
          </w:tcPr>
          <w:p>
            <w:pPr>
              <w:pStyle w:val="1069"/>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1069"/>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JSZC-320292-YDGC-G2026-0022</w:t>
      </w:r>
      <w:r/>
    </w:p>
    <w:tbl>
      <w:tblPr>
        <w:tblStyle w:val="752"/>
        <w:tblpPr w:horzAnchor="page" w:tblpX="1098" w:vertAnchor="text" w:tblpY="556" w:leftFromText="180" w:topFromText="0" w:rightFromText="180" w:bottomFromText="0"/>
        <w:tblW w:w="9912" w:type="dxa"/>
        <w:tblInd w:w="0" w:type="dxa"/>
        <w:tblLayout w:type="fixed"/>
        <w:tblCellMar>
          <w:left w:w="0" w:type="dxa"/>
          <w:top w:w="0" w:type="dxa"/>
          <w:right w:w="0" w:type="dxa"/>
          <w:bottom w:w="0" w:type="dxa"/>
        </w:tblCellMar>
        <w:tblLook w:val="04A0" w:firstRow="1" w:lastRow="0" w:firstColumn="1" w:lastColumn="0" w:noHBand="0" w:noVBand="1"/>
      </w:tblPr>
      <w:tblGrid>
        <w:gridCol w:w="747"/>
        <w:gridCol w:w="75"/>
        <w:gridCol w:w="1274"/>
        <w:gridCol w:w="1112"/>
        <w:gridCol w:w="1112"/>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660"/>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服务期： </w:t>
            </w:r>
            <w:r/>
          </w:p>
        </w:tc>
      </w:tr>
      <w:tr>
        <w:trPr>
          <w:trHeight w:val="915"/>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总报价：大写：                                   小写：</w:t>
            </w:r>
            <w:r/>
          </w:p>
        </w:tc>
      </w:tr>
      <w:tr>
        <w:trPr>
          <w:trHeight w:val="315"/>
        </w:trPr>
        <w:tc>
          <w:tcPr>
            <w:gridSpan w:val="2"/>
            <w:tcBorders>
              <w:top w:val="none" w:color="000000" w:sz="4" w:space="0"/>
              <w:left w:val="single" w:color="000000" w:sz="8" w:space="0"/>
              <w:right w:val="single" w:color="000000" w:sz="8" w:space="0"/>
            </w:tcBorders>
            <w:tcMar>
              <w:left w:w="15" w:type="dxa"/>
              <w:top w:w="15" w:type="dxa"/>
              <w:right w:w="15" w:type="dxa"/>
            </w:tcMar>
            <w:tcW w:w="822" w:type="dxa"/>
            <w:vAlign w:val="center"/>
            <w:vMerge w:val="restart"/>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服</w:t>
            </w:r>
            <w:r>
              <w:rPr>
                <w:rFonts w:hint="eastAsia" w:ascii="宋体" w:hAnsi="宋体" w:cs="宋体"/>
                <w:bCs/>
                <w:highlight w:val="none"/>
              </w:rPr>
              <w:br/>
            </w:r>
            <w:r>
              <w:rPr>
                <w:rFonts w:hint="eastAsia" w:ascii="宋体" w:hAnsi="宋体" w:cs="宋体"/>
                <w:bCs/>
                <w:highlight w:val="none"/>
              </w:rPr>
              <w:t xml:space="preserve">务</w:t>
            </w:r>
            <w:r>
              <w:rPr>
                <w:rFonts w:hint="eastAsia" w:ascii="宋体" w:hAnsi="宋体" w:cs="宋体"/>
                <w:bCs/>
                <w:highlight w:val="none"/>
              </w:rPr>
              <w:br/>
            </w:r>
            <w:r>
              <w:rPr>
                <w:rFonts w:hint="eastAsia" w:ascii="宋体" w:hAnsi="宋体" w:cs="宋体"/>
                <w:bCs/>
                <w:highlight w:val="none"/>
              </w:rPr>
              <w:t xml:space="preserve">承</w:t>
            </w:r>
            <w:r>
              <w:rPr>
                <w:rFonts w:hint="eastAsia" w:ascii="宋体" w:hAnsi="宋体" w:cs="宋体"/>
                <w:bCs/>
                <w:highlight w:val="none"/>
              </w:rPr>
              <w:br/>
            </w:r>
            <w:r>
              <w:rPr>
                <w:rFonts w:hint="eastAsia" w:ascii="宋体" w:hAnsi="宋体" w:cs="宋体"/>
                <w:bCs/>
                <w:highlight w:val="none"/>
              </w:rPr>
              <w:t xml:space="preserve">诺</w:t>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jc w:val="left"/>
              <w:widowControl/>
              <w:rPr>
                <w:rFonts w:ascii="宋体" w:hAnsi="宋体" w:cs="宋体"/>
                <w:bCs/>
                <w:highlight w:val="none"/>
              </w:rPr>
            </w:pPr>
            <w:r>
              <w:rPr>
                <w:rFonts w:hint="eastAsia" w:ascii="宋体" w:hAnsi="宋体" w:cs="宋体"/>
                <w:bCs/>
                <w:highlight w:val="none"/>
              </w:rPr>
              <w:t xml:space="preserve">1. 质量 2.安装 3.“三包”(包修、包退、包换)4.其他承诺</w:t>
            </w:r>
            <w:r>
              <w:rPr>
                <w:rFonts w:hint="eastAsia" w:ascii="宋体" w:hAnsi="宋体" w:cs="宋体"/>
                <w:bCs/>
                <w:highlight w:val="none"/>
              </w:rPr>
              <w:br/>
            </w:r>
            <w:r>
              <w:rPr>
                <w:rFonts w:hint="eastAsia" w:ascii="宋体" w:hAnsi="宋体" w:cs="宋体"/>
                <w:bCs/>
                <w:highlight w:val="none"/>
              </w:rPr>
              <w:t xml:space="preserve">（以上是主要承诺，供报价供应商参考，报价供应商应在满足招标文件要求的基础上，根据自己单位的情况作出具体承诺）</w:t>
            </w:r>
            <w:r/>
          </w:p>
        </w:tc>
      </w:tr>
      <w:tr>
        <w:trPr>
          <w:trHeight w:val="1525"/>
        </w:trPr>
        <w:tc>
          <w:tcPr>
            <w:gridSpan w:val="2"/>
            <w:tcBorders>
              <w:left w:val="single" w:color="000000" w:sz="8" w:space="0"/>
              <w:bottom w:val="single" w:color="000000" w:sz="8" w:space="0"/>
              <w:right w:val="single" w:color="000000" w:sz="8" w:space="0"/>
            </w:tcBorders>
            <w:tcMar>
              <w:left w:w="15" w:type="dxa"/>
              <w:top w:w="15" w:type="dxa"/>
              <w:right w:w="15" w:type="dxa"/>
            </w:tcMar>
            <w:tcW w:w="822" w:type="dxa"/>
            <w:vAlign w:val="center"/>
            <w:vMerge w:val="continue"/>
            <w:textDirection w:val="lrTb"/>
            <w:noWrap w:val="false"/>
          </w:tcPr>
          <w:p>
            <w:pPr>
              <w:rPr>
                <w:rFonts w:ascii="宋体" w:hAnsi="宋体" w:cs="宋体"/>
                <w:bCs/>
                <w:highlight w:val="none"/>
              </w:rPr>
            </w:pPr>
            <w:r>
              <w:rPr>
                <w:rFonts w:ascii="宋体" w:hAnsi="宋体" w:cs="宋体"/>
                <w:bCs/>
                <w:highlight w:val="none"/>
              </w:rPr>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rPr>
                <w:bCs/>
                <w:highlight w:val="none"/>
              </w:rPr>
            </w:pPr>
            <w:r>
              <w:rPr>
                <w:bCs/>
                <w:highlight w:val="none"/>
              </w:rPr>
            </w:r>
            <w:r/>
          </w:p>
        </w:tc>
      </w:tr>
    </w:tbl>
    <w:p>
      <w:pPr>
        <w:spacing w:line="400" w:lineRule="exact"/>
        <w:rPr>
          <w:highlight w:val="none"/>
        </w:rPr>
      </w:pPr>
      <w:r>
        <w:rPr>
          <w:highlight w:val="none"/>
        </w:rPr>
      </w:r>
      <w:r/>
    </w:p>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pStyle w:val="1071"/>
        <w:ind w:firstLine="0"/>
        <w:rPr>
          <w:rFonts w:ascii="Tahoma" w:hAnsi="Tahoma"/>
          <w:sz w:val="24"/>
          <w:highlight w:val="none"/>
          <w:lang w:val="en-US"/>
        </w:rPr>
      </w:pPr>
      <w:r>
        <w:rPr>
          <w:rFonts w:ascii="Tahoma" w:hAnsi="Tahoma"/>
          <w:sz w:val="24"/>
          <w:highlight w:val="none"/>
          <w:lang w:val="en-US"/>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注：(1)上述报价表由投标单位参照，不限于此，可根据采购需求自行添加条目进行投报。</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JSZC-320292-YDGC-G2026-0022</w:t>
      </w:r>
      <w:r/>
    </w:p>
    <w:tbl>
      <w:tblPr>
        <w:tblStyle w:val="75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i/>
          <w:color w:val="000000"/>
          <w:sz w:val="24"/>
          <w:szCs w:val="24"/>
          <w:highlight w:val="none"/>
        </w:rPr>
        <w:outlineLvl w:val="0"/>
      </w:pPr>
      <w:r>
        <w:rPr>
          <w:rFonts w:ascii="宋体" w:hAnsi="宋体"/>
          <w:bCs/>
          <w:i/>
          <w:color w:val="000000"/>
          <w:sz w:val="24"/>
          <w:szCs w:val="24"/>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十一、项目管理机构配备情况表（格式）</w:t>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项目管理机构配备情况表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JSZC-320292-YDGC-G2026-0022</w:t>
      </w:r>
      <w:r>
        <w:rPr>
          <w:rFonts w:hint="eastAsia" w:ascii="黑体" w:eastAsia="黑体"/>
          <w:bCs/>
          <w:color w:val="000000"/>
          <w:sz w:val="24"/>
          <w:szCs w:val="24"/>
          <w:highlight w:val="none"/>
        </w:rPr>
        <w:t xml:space="preserve">  </w:t>
      </w:r>
      <w:r/>
    </w:p>
    <w:tbl>
      <w:tblPr>
        <w:tblStyle w:val="752"/>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1388"/>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50"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3" w:type="dxa"/>
            <w:vAlign w:val="center"/>
            <w:textDirection w:val="lrTb"/>
            <w:noWrap w:val="false"/>
          </w:tcPr>
          <w:p>
            <w:pPr>
              <w:jc w:val="center"/>
              <w:rPr>
                <w:b/>
                <w:color w:val="000000"/>
                <w:sz w:val="24"/>
                <w:highlight w:val="none"/>
              </w:rPr>
            </w:pPr>
            <w:r>
              <w:rPr>
                <w:rFonts w:hint="eastAsia"/>
                <w:b/>
                <w:color w:val="000000"/>
                <w:sz w:val="24"/>
                <w:highlight w:val="none"/>
              </w:rPr>
              <w:t xml:space="preserve">性别</w:t>
            </w:r>
            <w:r/>
          </w:p>
        </w:tc>
        <w:tc>
          <w:tcPr>
            <w:tcW w:w="69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806" w:type="dxa"/>
            <w:vAlign w:val="center"/>
            <w:textDirection w:val="lrTb"/>
            <w:noWrap w:val="false"/>
          </w:tcPr>
          <w:p>
            <w:pPr>
              <w:jc w:val="center"/>
              <w:rPr>
                <w:b/>
                <w:color w:val="000000"/>
                <w:sz w:val="24"/>
                <w:highlight w:val="none"/>
              </w:rPr>
            </w:pPr>
            <w:r>
              <w:rPr>
                <w:rFonts w:hint="eastAsia"/>
                <w:b/>
                <w:color w:val="000000"/>
                <w:sz w:val="24"/>
                <w:highlight w:val="none"/>
              </w:rPr>
              <w:t xml:space="preserve">学历</w:t>
            </w:r>
            <w:r/>
          </w:p>
        </w:tc>
        <w:tc>
          <w:tcPr>
            <w:tcW w:w="1233"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223"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1749" w:type="dxa"/>
            <w:vAlign w:val="center"/>
            <w:textDirection w:val="lrTb"/>
            <w:noWrap w:val="false"/>
          </w:tcPr>
          <w:p>
            <w:pPr>
              <w:jc w:val="center"/>
              <w:rPr>
                <w:b/>
                <w:color w:val="000000"/>
                <w:sz w:val="24"/>
                <w:highlight w:val="none"/>
              </w:rPr>
            </w:pPr>
            <w:r>
              <w:rPr>
                <w:rFonts w:hint="eastAsia"/>
                <w:b/>
                <w:color w:val="000000"/>
                <w:sz w:val="24"/>
                <w:highlight w:val="none"/>
              </w:rPr>
              <w:t xml:space="preserve">人员经验描述</w:t>
            </w:r>
            <w:r/>
          </w:p>
          <w:p>
            <w:pPr>
              <w:jc w:val="center"/>
              <w:rPr>
                <w:b/>
                <w:color w:val="000000"/>
                <w:sz w:val="24"/>
                <w:highlight w:val="none"/>
              </w:rPr>
            </w:pPr>
            <w:r>
              <w:rPr>
                <w:rFonts w:hint="eastAsia"/>
                <w:b/>
                <w:color w:val="000000"/>
                <w:sz w:val="24"/>
                <w:highlight w:val="none"/>
              </w:rPr>
              <w:t xml:space="preserve">（如有要求）</w:t>
            </w:r>
            <w:r/>
          </w:p>
        </w:tc>
        <w:tc>
          <w:tcPr>
            <w:tcW w:w="1388" w:type="dxa"/>
            <w:vAlign w:val="center"/>
            <w:textDirection w:val="lrTb"/>
            <w:noWrap w:val="false"/>
          </w:tcPr>
          <w:p>
            <w:pPr>
              <w:jc w:val="center"/>
              <w:rPr>
                <w:b/>
                <w:color w:val="000000"/>
                <w:sz w:val="24"/>
                <w:highlight w:val="none"/>
              </w:rPr>
            </w:pPr>
            <w:r>
              <w:rPr>
                <w:rFonts w:hint="eastAsia"/>
                <w:b/>
                <w:color w:val="000000"/>
                <w:sz w:val="24"/>
                <w:highlight w:val="none"/>
              </w:rPr>
              <w:t xml:space="preserve">备注</w:t>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color w:val="000000"/>
          <w:highlight w:val="none"/>
        </w:rPr>
      </w:pPr>
      <w:r>
        <w:rPr>
          <w:rFonts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p>
    <w:p>
      <w:pPr>
        <w:rPr>
          <w:rFonts w:ascii="宋体" w:hAnsi="宋体"/>
          <w:bCs/>
          <w:color w:val="000000"/>
          <w:highlight w:val="none"/>
        </w:rPr>
      </w:pPr>
      <w:r>
        <w:rPr>
          <w:rFonts w:hint="eastAsia" w:ascii="宋体" w:hAnsi="宋体"/>
          <w:bCs/>
          <w:color w:val="000000"/>
          <w:highlight w:val="none"/>
        </w:rPr>
        <w:t xml:space="preserve">2.上表内容须按评分标准中的相关要求提供相应证明材料。</w:t>
      </w:r>
      <w:r/>
    </w:p>
    <w:p>
      <w:pPr>
        <w:rPr>
          <w:rFonts w:ascii="宋体" w:hAnsi="宋体"/>
          <w:bCs/>
          <w:sz w:val="24"/>
          <w:szCs w:val="24"/>
          <w:highlight w:val="none"/>
        </w:rPr>
      </w:pPr>
      <w:r>
        <w:rPr>
          <w:rFonts w:hint="eastAsia" w:ascii="宋体" w:hAnsi="宋体"/>
          <w:bCs/>
          <w:color w:val="000000"/>
          <w:highlight w:val="none"/>
        </w:rPr>
        <w:t xml:space="preserve">3.证明材料均请附在本表之后。</w:t>
      </w:r>
      <w:r/>
    </w:p>
    <w:p>
      <w:pPr>
        <w:pStyle w:val="759"/>
        <w:ind w:left="1470" w:right="1470"/>
        <w:rPr>
          <w:highlight w:val="none"/>
        </w:rPr>
      </w:pPr>
      <w:r>
        <w:rPr>
          <w:highlight w:val="none"/>
        </w:rPr>
      </w:r>
      <w:bookmarkEnd w:id="188"/>
      <w:r/>
      <w:bookmarkEnd w:id="189"/>
      <w:r/>
      <w:bookmarkEnd w:id="191"/>
      <w:r/>
      <w:bookmarkEnd w:id="192"/>
      <w:r/>
      <w:bookmarkEnd w:id="193"/>
      <w:r/>
      <w:r/>
    </w:p>
    <w:p>
      <w:pPr>
        <w:rPr>
          <w:rFonts w:ascii="宋体" w:hAnsi="宋体" w:cs="宋体"/>
          <w:sz w:val="28"/>
          <w:szCs w:val="28"/>
          <w:highlight w:val="none"/>
        </w:rPr>
      </w:pPr>
      <w:r>
        <w:rPr>
          <w:rFonts w:ascii="宋体" w:hAnsi="宋体" w:cs="宋体"/>
          <w:sz w:val="28"/>
          <w:szCs w:val="28"/>
          <w:highlight w:val="none"/>
        </w:rPr>
      </w:r>
      <w:r/>
    </w:p>
    <w:p>
      <w:pPr>
        <w:rPr>
          <w:b/>
          <w:color w:val="000000"/>
          <w:sz w:val="28"/>
          <w:szCs w:val="28"/>
          <w:highlight w:val="none"/>
        </w:rPr>
      </w:pPr>
      <w:r>
        <w:rPr>
          <w:rFonts w:hint="eastAsia"/>
          <w:b/>
          <w:color w:val="000000"/>
          <w:sz w:val="28"/>
          <w:szCs w:val="28"/>
          <w:highlight w:val="none"/>
        </w:rPr>
        <w:br w:type="page" w:clear="all"/>
      </w:r>
      <w:r/>
    </w:p>
    <w:p>
      <w:pPr>
        <w:spacing w:line="360" w:lineRule="auto"/>
        <w:rPr>
          <w:b/>
          <w:color w:val="000000"/>
          <w:sz w:val="28"/>
          <w:szCs w:val="28"/>
          <w:highlight w:val="none"/>
        </w:rPr>
      </w:pPr>
      <w:r>
        <w:rPr>
          <w:rFonts w:hint="eastAsia"/>
          <w:b/>
          <w:color w:val="000000"/>
          <w:sz w:val="28"/>
          <w:szCs w:val="28"/>
          <w:highlight w:val="none"/>
        </w:rPr>
        <w:t xml:space="preserve">十二、机械配备情况表（格式）</w:t>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机械配备情况表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JSZC-320292-YDGC-G2026-0022</w:t>
      </w:r>
      <w:r/>
    </w:p>
    <w:p>
      <w:pPr>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   </w:t>
      </w:r>
      <w:r/>
    </w:p>
    <w:tbl>
      <w:tblPr>
        <w:tblStyle w:val="752"/>
        <w:tblW w:w="8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97"/>
        <w:gridCol w:w="1684"/>
        <w:gridCol w:w="1700"/>
        <w:gridCol w:w="1750"/>
        <w:gridCol w:w="1600"/>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497" w:type="dxa"/>
            <w:vAlign w:val="center"/>
            <w:textDirection w:val="lrTb"/>
            <w:noWrap w:val="false"/>
          </w:tcPr>
          <w:p>
            <w:pPr>
              <w:jc w:val="center"/>
              <w:rPr>
                <w:b/>
                <w:color w:val="000000"/>
                <w:sz w:val="24"/>
                <w:highlight w:val="none"/>
              </w:rPr>
            </w:pPr>
            <w:r>
              <w:rPr>
                <w:rFonts w:hint="eastAsia"/>
                <w:b/>
                <w:color w:val="000000"/>
                <w:sz w:val="24"/>
                <w:highlight w:val="none"/>
              </w:rPr>
              <w:t xml:space="preserve">机械名称</w:t>
            </w:r>
            <w:r/>
          </w:p>
        </w:tc>
        <w:tc>
          <w:tcPr>
            <w:tcW w:w="1684" w:type="dxa"/>
            <w:vAlign w:val="center"/>
            <w:textDirection w:val="lrTb"/>
            <w:noWrap w:val="false"/>
          </w:tcPr>
          <w:p>
            <w:pPr>
              <w:jc w:val="center"/>
              <w:rPr>
                <w:b/>
                <w:color w:val="000000"/>
                <w:sz w:val="24"/>
                <w:highlight w:val="none"/>
              </w:rPr>
            </w:pPr>
            <w:r>
              <w:rPr>
                <w:rFonts w:hint="eastAsia"/>
                <w:b/>
                <w:color w:val="000000"/>
                <w:sz w:val="24"/>
                <w:highlight w:val="none"/>
              </w:rPr>
              <w:t xml:space="preserve">自有或租赁</w:t>
            </w:r>
            <w:r/>
          </w:p>
        </w:tc>
        <w:tc>
          <w:tcPr>
            <w:tcW w:w="1700" w:type="dxa"/>
            <w:vAlign w:val="center"/>
            <w:textDirection w:val="lrTb"/>
            <w:noWrap w:val="false"/>
          </w:tcPr>
          <w:p>
            <w:pPr>
              <w:jc w:val="center"/>
              <w:rPr>
                <w:b/>
                <w:color w:val="000000"/>
                <w:sz w:val="24"/>
                <w:highlight w:val="none"/>
              </w:rPr>
            </w:pPr>
            <w:r>
              <w:rPr>
                <w:rFonts w:hint="eastAsia"/>
                <w:b/>
                <w:color w:val="000000"/>
                <w:sz w:val="24"/>
                <w:highlight w:val="none"/>
              </w:rPr>
              <w:t xml:space="preserve">发票号（自有的填写）</w:t>
            </w:r>
            <w:r/>
          </w:p>
        </w:tc>
        <w:tc>
          <w:tcPr>
            <w:tcW w:w="1750" w:type="dxa"/>
            <w:vAlign w:val="center"/>
            <w:textDirection w:val="lrTb"/>
            <w:noWrap w:val="false"/>
          </w:tcPr>
          <w:p>
            <w:pPr>
              <w:jc w:val="center"/>
              <w:rPr>
                <w:b/>
                <w:color w:val="000000"/>
                <w:sz w:val="24"/>
                <w:highlight w:val="none"/>
              </w:rPr>
            </w:pPr>
            <w:r>
              <w:rPr>
                <w:rFonts w:hint="eastAsia"/>
                <w:b/>
                <w:color w:val="000000"/>
                <w:sz w:val="24"/>
                <w:highlight w:val="none"/>
              </w:rPr>
              <w:t xml:space="preserve">租赁期（租赁的填写）</w:t>
            </w:r>
            <w:r/>
          </w:p>
        </w:tc>
        <w:tc>
          <w:tcPr>
            <w:tcW w:w="1600" w:type="dxa"/>
            <w:vAlign w:val="center"/>
            <w:textDirection w:val="lrTb"/>
            <w:noWrap w:val="false"/>
          </w:tcPr>
          <w:p>
            <w:pPr>
              <w:jc w:val="center"/>
              <w:rPr>
                <w:b/>
                <w:color w:val="000000"/>
                <w:sz w:val="24"/>
                <w:highlight w:val="none"/>
              </w:rPr>
            </w:pPr>
            <w:r>
              <w:rPr>
                <w:rFonts w:hint="eastAsia"/>
                <w:b/>
                <w:color w:val="000000"/>
                <w:sz w:val="24"/>
                <w:highlight w:val="none"/>
              </w:rPr>
              <w:t xml:space="preserve">备注</w:t>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color w:val="000000"/>
          <w:highlight w:val="none"/>
        </w:rPr>
      </w:pPr>
      <w:r>
        <w:rPr>
          <w:rFonts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本表对应评分标准中的项目机械配备情况，表格不够可自行延长。</w:t>
      </w:r>
      <w:r/>
    </w:p>
    <w:p>
      <w:pPr>
        <w:rPr>
          <w:rFonts w:ascii="宋体" w:hAnsi="宋体"/>
          <w:bCs/>
          <w:color w:val="000000"/>
          <w:highlight w:val="none"/>
        </w:rPr>
      </w:pPr>
      <w:r>
        <w:rPr>
          <w:rFonts w:hint="eastAsia" w:ascii="宋体" w:hAnsi="宋体"/>
          <w:bCs/>
          <w:color w:val="000000"/>
          <w:highlight w:val="none"/>
        </w:rPr>
        <w:t xml:space="preserve">2.上表内容须按评分标准中的相关要求提供相应证明材料。</w:t>
      </w:r>
      <w:r/>
    </w:p>
    <w:p>
      <w:pPr>
        <w:rPr>
          <w:rFonts w:ascii="宋体" w:hAnsi="宋体"/>
          <w:bCs/>
          <w:sz w:val="24"/>
          <w:szCs w:val="24"/>
          <w:highlight w:val="none"/>
        </w:rPr>
      </w:pPr>
      <w:r>
        <w:rPr>
          <w:rFonts w:hint="eastAsia" w:ascii="宋体" w:hAnsi="宋体"/>
          <w:bCs/>
          <w:color w:val="000000"/>
          <w:highlight w:val="none"/>
        </w:rPr>
        <w:t xml:space="preserve">3.证明材料均请附在本表之后。</w:t>
      </w:r>
      <w:r/>
    </w:p>
    <w:p>
      <w:pPr>
        <w:rPr>
          <w:highlight w:val="none"/>
        </w:rPr>
      </w:pPr>
      <w:r>
        <w:rPr>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4"/>
                            <w:rPr>
                              <w:rStyle w:val="1029"/>
                              <w:rFonts w:ascii="宋体" w:hAnsi="宋体"/>
                            </w:rPr>
                          </w:pPr>
                          <w:r>
                            <w:rPr>
                              <w:rFonts w:ascii="宋体" w:hAnsi="宋体"/>
                            </w:rPr>
                            <w:fldChar w:fldCharType="begin"/>
                          </w:r>
                          <w:r>
                            <w:rPr>
                              <w:rStyle w:val="1029"/>
                              <w:rFonts w:ascii="宋体" w:hAnsi="宋体"/>
                            </w:rPr>
                            <w:instrText xml:space="preserve">PAGE  </w:instrText>
                          </w:r>
                          <w:r>
                            <w:rPr>
                              <w:rFonts w:ascii="宋体" w:hAnsi="宋体"/>
                            </w:rPr>
                            <w:fldChar w:fldCharType="separate"/>
                          </w:r>
                          <w:r>
                            <w:rPr>
                              <w:rStyle w:val="1029"/>
                              <w:rFonts w:ascii="宋体" w:hAnsi="宋体"/>
                            </w:rPr>
                            <w:t xml:space="preserve">52</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rPr>
                        <w:rStyle w:val="1029"/>
                        <w:rFonts w:ascii="宋体" w:hAnsi="宋体"/>
                      </w:rPr>
                    </w:pPr>
                    <w:r>
                      <w:rPr>
                        <w:rFonts w:ascii="宋体" w:hAnsi="宋体"/>
                      </w:rPr>
                      <w:fldChar w:fldCharType="begin"/>
                    </w:r>
                    <w:r>
                      <w:rPr>
                        <w:rStyle w:val="1029"/>
                        <w:rFonts w:ascii="宋体" w:hAnsi="宋体"/>
                      </w:rPr>
                      <w:instrText xml:space="preserve">PAGE  </w:instrText>
                    </w:r>
                    <w:r>
                      <w:rPr>
                        <w:rFonts w:ascii="宋体" w:hAnsi="宋体"/>
                      </w:rPr>
                      <w:fldChar w:fldCharType="separate"/>
                    </w:r>
                    <w:r>
                      <w:rPr>
                        <w:rStyle w:val="1029"/>
                        <w:rFonts w:ascii="宋体" w:hAnsi="宋体"/>
                      </w:rPr>
                      <w:t xml:space="preserve">52</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4"/>
      <w:isLgl w:val="false"/>
      <w:suff w:val="nothing"/>
      <w:lvlText w:val=""/>
      <w:lvlJc w:val="left"/>
      <w:pPr>
        <w:ind w:left="0" w:firstLine="0"/>
      </w:pPr>
      <w:rPr>
        <w:rFonts w:hint="eastAsia"/>
      </w:rPr>
    </w:lvl>
    <w:lvl w:ilvl="6">
      <w:start w:val="1"/>
      <w:numFmt w:val="decimal"/>
      <w:pStyle w:val="965"/>
      <w:isLgl w:val="false"/>
      <w:suff w:val="nothing"/>
      <w:lvlText w:val=""/>
      <w:lvlJc w:val="left"/>
      <w:pPr>
        <w:ind w:left="0" w:firstLine="0"/>
      </w:pPr>
      <w:rPr>
        <w:rFonts w:hint="eastAsia"/>
      </w:rPr>
    </w:lvl>
    <w:lvl w:ilvl="7">
      <w:start w:val="1"/>
      <w:numFmt w:val="decimal"/>
      <w:pStyle w:val="966"/>
      <w:isLgl w:val="false"/>
      <w:suff w:val="nothing"/>
      <w:lvlText w:val=""/>
      <w:lvlJc w:val="left"/>
      <w:pPr>
        <w:ind w:left="0" w:firstLine="0"/>
      </w:pPr>
      <w:rPr>
        <w:rFonts w:hint="eastAsia"/>
      </w:rPr>
    </w:lvl>
    <w:lvl w:ilvl="8">
      <w:start w:val="1"/>
      <w:numFmt w:val="decimal"/>
      <w:pStyle w:val="967"/>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81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12"/>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13"/>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14"/>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15"/>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16"/>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18"/>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19"/>
    <w:uiPriority w:val="9"/>
    <w:unhideWhenUsed/>
    <w:qFormat/>
    <w:pPr>
      <w:keepLines/>
      <w:keepNext/>
      <w:spacing w:before="320" w:after="200"/>
      <w:outlineLvl w:val="8"/>
    </w:pPr>
    <w:rPr>
      <w:rFonts w:ascii="Arial" w:hAnsi="Arial" w:eastAsia="Arial" w:cs="Arial"/>
      <w:i/>
      <w:iCs/>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1"/>
    <w:link w:val="1081"/>
    <w:uiPriority w:val="99"/>
    <w:semiHidden/>
    <w:unhideWhenUsed/>
    <w:qFormat/>
    <w:pPr>
      <w:jc w:val="left"/>
    </w:pPr>
  </w:style>
  <w:style w:type="paragraph" w:styleId="756">
    <w:name w:val="Body Text"/>
    <w:basedOn w:val="741"/>
    <w:uiPriority w:val="0"/>
    <w:semiHidden/>
    <w:qFormat/>
    <w:rPr>
      <w:rFonts w:ascii="宋体" w:hAnsi="宋体" w:cs="宋体"/>
      <w:sz w:val="25"/>
      <w:szCs w:val="25"/>
      <w:lang w:eastAsia="en-US"/>
    </w:rPr>
  </w:style>
  <w:style w:type="paragraph" w:styleId="757">
    <w:name w:val="Body Text Indent"/>
    <w:basedOn w:val="741"/>
    <w:next w:val="758"/>
    <w:uiPriority w:val="0"/>
    <w:qFormat/>
    <w:pPr>
      <w:ind w:left="156"/>
      <w:spacing w:line="300" w:lineRule="auto"/>
      <w:widowControl/>
    </w:pPr>
    <w:rPr>
      <w:rFonts w:ascii="仿宋_GB2312" w:eastAsia="仿宋_GB2312"/>
      <w:sz w:val="28"/>
    </w:rPr>
  </w:style>
  <w:style w:type="paragraph" w:styleId="758">
    <w:name w:val="envelope return"/>
    <w:basedOn w:val="741"/>
    <w:uiPriority w:val="0"/>
    <w:qFormat/>
    <w:pPr>
      <w:ind w:firstLine="471"/>
      <w:spacing w:line="420" w:lineRule="exact"/>
    </w:pPr>
    <w:rPr>
      <w:rFonts w:ascii="Arial" w:hAnsi="Arial" w:cs="Arial"/>
      <w:sz w:val="24"/>
      <w:szCs w:val="24"/>
    </w:rPr>
  </w:style>
  <w:style w:type="paragraph" w:styleId="759">
    <w:name w:val="Block Text"/>
    <w:basedOn w:val="741"/>
    <w:uiPriority w:val="0"/>
    <w:qFormat/>
    <w:pPr>
      <w:ind w:left="1440" w:right="1440"/>
      <w:spacing w:after="120"/>
    </w:pPr>
  </w:style>
  <w:style w:type="paragraph" w:styleId="760">
    <w:name w:val="toc 5"/>
    <w:basedOn w:val="741"/>
    <w:next w:val="741"/>
    <w:uiPriority w:val="39"/>
    <w:unhideWhenUsed/>
    <w:qFormat/>
    <w:pPr>
      <w:ind w:left="1134"/>
      <w:spacing w:after="57"/>
    </w:pPr>
  </w:style>
  <w:style w:type="paragraph" w:styleId="761">
    <w:name w:val="toc 3"/>
    <w:basedOn w:val="741"/>
    <w:next w:val="741"/>
    <w:uiPriority w:val="39"/>
    <w:unhideWhenUsed/>
    <w:qFormat/>
    <w:pPr>
      <w:ind w:left="567"/>
      <w:spacing w:after="57"/>
    </w:pPr>
  </w:style>
  <w:style w:type="paragraph" w:styleId="762">
    <w:name w:val="Plain Text"/>
    <w:basedOn w:val="741"/>
    <w:uiPriority w:val="0"/>
    <w:qFormat/>
    <w:rPr>
      <w:rFonts w:ascii="宋体" w:hAnsi="Courier New"/>
    </w:rPr>
  </w:style>
  <w:style w:type="paragraph" w:styleId="763">
    <w:name w:val="toc 8"/>
    <w:basedOn w:val="741"/>
    <w:next w:val="741"/>
    <w:uiPriority w:val="39"/>
    <w:unhideWhenUsed/>
    <w:qFormat/>
    <w:pPr>
      <w:ind w:left="1984"/>
      <w:spacing w:after="57"/>
    </w:pPr>
  </w:style>
  <w:style w:type="paragraph" w:styleId="764">
    <w:name w:val="endnote text"/>
    <w:basedOn w:val="741"/>
    <w:link w:val="956"/>
    <w:uiPriority w:val="99"/>
    <w:semiHidden/>
    <w:unhideWhenUsed/>
    <w:qFormat/>
    <w:rPr>
      <w:sz w:val="20"/>
    </w:rPr>
  </w:style>
  <w:style w:type="paragraph" w:styleId="765">
    <w:name w:val="Balloon Text"/>
    <w:basedOn w:val="741"/>
    <w:link w:val="1083"/>
    <w:uiPriority w:val="99"/>
    <w:semiHidden/>
    <w:unhideWhenUsed/>
    <w:qFormat/>
    <w:rPr>
      <w:sz w:val="18"/>
      <w:szCs w:val="18"/>
    </w:rPr>
  </w:style>
  <w:style w:type="paragraph" w:styleId="766">
    <w:name w:val="Footer"/>
    <w:basedOn w:val="741"/>
    <w:link w:val="829"/>
    <w:uiPriority w:val="99"/>
    <w:unhideWhenUsed/>
    <w:qFormat/>
    <w:pPr>
      <w:tabs>
        <w:tab w:val="center" w:pos="7143" w:leader="none"/>
        <w:tab w:val="right" w:pos="14287" w:leader="none"/>
      </w:tabs>
    </w:pPr>
  </w:style>
  <w:style w:type="paragraph" w:styleId="767">
    <w:name w:val="Header"/>
    <w:basedOn w:val="741"/>
    <w:link w:val="827"/>
    <w:uiPriority w:val="99"/>
    <w:unhideWhenUsed/>
    <w:qFormat/>
    <w:pPr>
      <w:tabs>
        <w:tab w:val="center" w:pos="7143" w:leader="none"/>
        <w:tab w:val="right" w:pos="14287" w:leader="none"/>
      </w:tabs>
    </w:pPr>
  </w:style>
  <w:style w:type="paragraph" w:styleId="768">
    <w:name w:val="toc 1"/>
    <w:basedOn w:val="741"/>
    <w:next w:val="741"/>
    <w:uiPriority w:val="39"/>
    <w:unhideWhenUsed/>
    <w:qFormat/>
    <w:pPr>
      <w:spacing w:after="57"/>
    </w:pPr>
  </w:style>
  <w:style w:type="paragraph" w:styleId="769">
    <w:name w:val="toc 4"/>
    <w:basedOn w:val="741"/>
    <w:next w:val="741"/>
    <w:uiPriority w:val="39"/>
    <w:unhideWhenUsed/>
    <w:qFormat/>
    <w:pPr>
      <w:ind w:left="850"/>
      <w:spacing w:after="57"/>
    </w:pPr>
  </w:style>
  <w:style w:type="paragraph" w:styleId="770">
    <w:name w:val="Subtitle"/>
    <w:basedOn w:val="741"/>
    <w:next w:val="741"/>
    <w:link w:val="822"/>
    <w:uiPriority w:val="11"/>
    <w:qFormat/>
    <w:pPr>
      <w:spacing w:before="200" w:after="200"/>
    </w:pPr>
    <w:rPr>
      <w:sz w:val="24"/>
      <w:szCs w:val="24"/>
    </w:rPr>
  </w:style>
  <w:style w:type="paragraph" w:styleId="771">
    <w:name w:val="footnote text"/>
    <w:basedOn w:val="741"/>
    <w:link w:val="955"/>
    <w:uiPriority w:val="99"/>
    <w:semiHidden/>
    <w:unhideWhenUsed/>
    <w:qFormat/>
    <w:pPr>
      <w:spacing w:after="40"/>
    </w:pPr>
    <w:rPr>
      <w:sz w:val="18"/>
    </w:rPr>
  </w:style>
  <w:style w:type="paragraph" w:styleId="772">
    <w:name w:val="toc 6"/>
    <w:basedOn w:val="741"/>
    <w:next w:val="741"/>
    <w:uiPriority w:val="39"/>
    <w:unhideWhenUsed/>
    <w:qFormat/>
    <w:pPr>
      <w:ind w:left="1417"/>
      <w:spacing w:after="57"/>
    </w:pPr>
  </w:style>
  <w:style w:type="paragraph" w:styleId="773">
    <w:name w:val="table of figures"/>
    <w:basedOn w:val="741"/>
    <w:next w:val="741"/>
    <w:uiPriority w:val="99"/>
    <w:unhideWhenUsed/>
    <w:qFormat/>
  </w:style>
  <w:style w:type="paragraph" w:styleId="774">
    <w:name w:val="toc 2"/>
    <w:basedOn w:val="741"/>
    <w:next w:val="741"/>
    <w:uiPriority w:val="39"/>
    <w:unhideWhenUsed/>
    <w:qFormat/>
    <w:pPr>
      <w:ind w:left="283"/>
      <w:spacing w:after="57"/>
    </w:pPr>
  </w:style>
  <w:style w:type="paragraph" w:styleId="775">
    <w:name w:val="toc 9"/>
    <w:basedOn w:val="741"/>
    <w:next w:val="741"/>
    <w:uiPriority w:val="39"/>
    <w:unhideWhenUsed/>
    <w:qFormat/>
    <w:pPr>
      <w:ind w:left="2268"/>
      <w:spacing w:after="57"/>
    </w:pPr>
  </w:style>
  <w:style w:type="paragraph" w:styleId="776">
    <w:name w:val="Body Text 2"/>
    <w:basedOn w:val="741"/>
    <w:uiPriority w:val="0"/>
    <w:qFormat/>
    <w:pPr>
      <w:spacing w:after="120" w:line="480" w:lineRule="auto"/>
    </w:pPr>
  </w:style>
  <w:style w:type="paragraph" w:styleId="777">
    <w:name w:val="HTML Preformatted"/>
    <w:basedOn w:val="74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8">
    <w:name w:val="Normal (Web)"/>
    <w:basedOn w:val="741"/>
    <w:uiPriority w:val="0"/>
    <w:qFormat/>
    <w:pPr>
      <w:ind w:firstLine="420"/>
      <w:jc w:val="left"/>
      <w:spacing w:before="100" w:beforeAutospacing="1" w:after="100" w:afterAutospacing="1" w:line="288" w:lineRule="auto"/>
      <w:widowControl/>
    </w:pPr>
    <w:rPr>
      <w:rFonts w:ascii="宋体" w:hAnsi="宋体"/>
      <w:sz w:val="24"/>
    </w:rPr>
  </w:style>
  <w:style w:type="paragraph" w:styleId="779">
    <w:name w:val="Title"/>
    <w:basedOn w:val="741"/>
    <w:next w:val="741"/>
    <w:link w:val="821"/>
    <w:uiPriority w:val="10"/>
    <w:qFormat/>
    <w:pPr>
      <w:contextualSpacing/>
      <w:spacing w:before="300" w:after="200"/>
    </w:pPr>
    <w:rPr>
      <w:sz w:val="48"/>
      <w:szCs w:val="48"/>
    </w:rPr>
  </w:style>
  <w:style w:type="paragraph" w:styleId="780">
    <w:name w:val="annotation subject"/>
    <w:basedOn w:val="755"/>
    <w:next w:val="755"/>
    <w:link w:val="1082"/>
    <w:uiPriority w:val="99"/>
    <w:semiHidden/>
    <w:unhideWhenUsed/>
    <w:qFormat/>
    <w:rPr>
      <w:b/>
      <w:bCs/>
    </w:rPr>
  </w:style>
  <w:style w:type="paragraph" w:styleId="781">
    <w:name w:val="Body Text First Indent"/>
    <w:basedOn w:val="756"/>
    <w:uiPriority w:val="0"/>
    <w:qFormat/>
    <w:pPr>
      <w:ind w:firstLine="420"/>
      <w:spacing w:after="120" w:line="440" w:lineRule="exact"/>
    </w:pPr>
    <w:rPr>
      <w:sz w:val="24"/>
      <w:szCs w:val="2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51"/>
    <w:uiPriority w:val="0"/>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annotation reference"/>
    <w:basedOn w:val="751"/>
    <w:uiPriority w:val="99"/>
    <w:semiHidden/>
    <w:unhideWhenUsed/>
    <w:qFormat/>
    <w:rPr>
      <w:sz w:val="21"/>
      <w:szCs w:val="21"/>
    </w:rPr>
  </w:style>
  <w:style w:type="character" w:styleId="787">
    <w:name w:val="footnote reference"/>
    <w:uiPriority w:val="99"/>
    <w:unhideWhenUsed/>
    <w:qFormat/>
    <w:rPr>
      <w:vertAlign w:val="superscript"/>
    </w:rPr>
  </w:style>
  <w:style w:type="character" w:styleId="788" w:customStyle="1">
    <w:name w:val="Heading 1 Char"/>
    <w:basedOn w:val="751"/>
    <w:uiPriority w:val="9"/>
    <w:qFormat/>
    <w:rPr>
      <w:rFonts w:ascii="Arial" w:hAnsi="Arial" w:eastAsia="Arial" w:cs="Arial"/>
      <w:sz w:val="40"/>
      <w:szCs w:val="40"/>
    </w:rPr>
  </w:style>
  <w:style w:type="character" w:styleId="789" w:customStyle="1">
    <w:name w:val="Heading 2 Char"/>
    <w:basedOn w:val="751"/>
    <w:uiPriority w:val="9"/>
    <w:qFormat/>
    <w:rPr>
      <w:rFonts w:ascii="Arial" w:hAnsi="Arial" w:eastAsia="Arial" w:cs="Arial"/>
      <w:sz w:val="34"/>
    </w:rPr>
  </w:style>
  <w:style w:type="character" w:styleId="790" w:customStyle="1">
    <w:name w:val="Heading 3 Char"/>
    <w:basedOn w:val="751"/>
    <w:uiPriority w:val="9"/>
    <w:qFormat/>
    <w:rPr>
      <w:rFonts w:ascii="Arial" w:hAnsi="Arial" w:eastAsia="Arial" w:cs="Arial"/>
      <w:sz w:val="30"/>
      <w:szCs w:val="30"/>
    </w:rPr>
  </w:style>
  <w:style w:type="character" w:styleId="791" w:customStyle="1">
    <w:name w:val="Heading 4 Char"/>
    <w:basedOn w:val="751"/>
    <w:uiPriority w:val="9"/>
    <w:qFormat/>
    <w:rPr>
      <w:rFonts w:ascii="Arial" w:hAnsi="Arial" w:eastAsia="Arial" w:cs="Arial"/>
      <w:b/>
      <w:bCs/>
      <w:sz w:val="26"/>
      <w:szCs w:val="26"/>
    </w:rPr>
  </w:style>
  <w:style w:type="character" w:styleId="792" w:customStyle="1">
    <w:name w:val="Heading 5 Char"/>
    <w:basedOn w:val="751"/>
    <w:uiPriority w:val="9"/>
    <w:qFormat/>
    <w:rPr>
      <w:rFonts w:ascii="Arial" w:hAnsi="Arial" w:eastAsia="Arial" w:cs="Arial"/>
      <w:b/>
      <w:bCs/>
      <w:sz w:val="24"/>
      <w:szCs w:val="24"/>
    </w:rPr>
  </w:style>
  <w:style w:type="character" w:styleId="793" w:customStyle="1">
    <w:name w:val="Heading 6 Char"/>
    <w:basedOn w:val="751"/>
    <w:uiPriority w:val="9"/>
    <w:qFormat/>
    <w:rPr>
      <w:rFonts w:ascii="Arial" w:hAnsi="Arial" w:eastAsia="Arial" w:cs="Arial"/>
      <w:b/>
      <w:bCs/>
      <w:sz w:val="22"/>
      <w:szCs w:val="22"/>
    </w:rPr>
  </w:style>
  <w:style w:type="character" w:styleId="794" w:customStyle="1">
    <w:name w:val="Heading 7 Char"/>
    <w:basedOn w:val="751"/>
    <w:uiPriority w:val="9"/>
    <w:qFormat/>
    <w:rPr>
      <w:rFonts w:ascii="Arial" w:hAnsi="Arial" w:eastAsia="Arial" w:cs="Arial"/>
      <w:b/>
      <w:bCs/>
      <w:i/>
      <w:iCs/>
      <w:sz w:val="22"/>
      <w:szCs w:val="22"/>
    </w:rPr>
  </w:style>
  <w:style w:type="character" w:styleId="795" w:customStyle="1">
    <w:name w:val="Heading 8 Char"/>
    <w:basedOn w:val="751"/>
    <w:uiPriority w:val="9"/>
    <w:qFormat/>
    <w:rPr>
      <w:rFonts w:ascii="Arial" w:hAnsi="Arial" w:eastAsia="Arial" w:cs="Arial"/>
      <w:i/>
      <w:iCs/>
      <w:sz w:val="22"/>
      <w:szCs w:val="22"/>
    </w:rPr>
  </w:style>
  <w:style w:type="character" w:styleId="796" w:customStyle="1">
    <w:name w:val="Heading 9 Char"/>
    <w:basedOn w:val="751"/>
    <w:uiPriority w:val="9"/>
    <w:qFormat/>
    <w:rPr>
      <w:rFonts w:ascii="Arial" w:hAnsi="Arial" w:eastAsia="Arial" w:cs="Arial"/>
      <w:i/>
      <w:iCs/>
      <w:sz w:val="21"/>
      <w:szCs w:val="21"/>
    </w:rPr>
  </w:style>
  <w:style w:type="character" w:styleId="797" w:customStyle="1">
    <w:name w:val="Title Char"/>
    <w:basedOn w:val="751"/>
    <w:uiPriority w:val="10"/>
    <w:qFormat/>
    <w:rPr>
      <w:sz w:val="48"/>
      <w:szCs w:val="48"/>
    </w:rPr>
  </w:style>
  <w:style w:type="character" w:styleId="798" w:customStyle="1">
    <w:name w:val="Subtitle Char"/>
    <w:basedOn w:val="751"/>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1"/>
    <w:uiPriority w:val="99"/>
    <w:qFormat/>
  </w:style>
  <w:style w:type="character" w:styleId="802" w:customStyle="1">
    <w:name w:val="Caption Char"/>
    <w:uiPriority w:val="99"/>
    <w:qFormat/>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Heading"/>
    <w:uiPriority w:val="39"/>
    <w:unhideWhenUsed/>
    <w:qFormat/>
    <w:rPr>
      <w:rFonts w:hint="default" w:ascii="Times New Roman" w:hAnsi="Times New Roman" w:eastAsia="宋体" w:cs="Times New Roman"/>
    </w:rPr>
  </w:style>
  <w:style w:type="paragraph" w:styleId="806" w:customStyle="1">
    <w:name w:val="_Style 1"/>
    <w:basedOn w:val="741"/>
    <w:uiPriority w:val="0"/>
    <w:qFormat/>
    <w:pPr>
      <w:ind w:firstLine="420"/>
    </w:pPr>
    <w:rPr>
      <w:szCs w:val="22"/>
    </w:rPr>
  </w:style>
  <w:style w:type="paragraph" w:styleId="807" w:customStyle="1">
    <w:name w:val="正文文本缩进1"/>
    <w:basedOn w:val="741"/>
    <w:next w:val="741"/>
    <w:link w:val="991"/>
    <w:uiPriority w:val="0"/>
    <w:qFormat/>
    <w:pPr>
      <w:ind w:firstLine="645"/>
    </w:pPr>
    <w:rPr>
      <w:rFonts w:ascii="楷体_GB2312" w:eastAsia="楷体_GB2312"/>
      <w:sz w:val="32"/>
      <w:szCs w:val="32"/>
      <w:lang w:eastAsia="en-US"/>
    </w:rPr>
  </w:style>
  <w:style w:type="paragraph" w:styleId="808">
    <w:name w:val="List Paragraph"/>
    <w:basedOn w:val="741"/>
    <w:uiPriority w:val="34"/>
    <w:qFormat/>
    <w:pPr>
      <w:contextualSpacing/>
      <w:ind w:left="720"/>
    </w:pPr>
  </w:style>
  <w:style w:type="paragraph" w:styleId="809" w:customStyle="1">
    <w:name w:val="列出段落1"/>
    <w:basedOn w:val="741"/>
    <w:link w:val="1037"/>
    <w:uiPriority w:val="0"/>
    <w:qFormat/>
    <w:pPr>
      <w:contextualSpacing/>
      <w:ind w:left="720"/>
      <w:jc w:val="left"/>
      <w:widowControl/>
    </w:pPr>
    <w:rPr>
      <w:rFonts w:ascii="Calibri" w:hAnsi="Calibri"/>
      <w:sz w:val="24"/>
      <w:szCs w:val="24"/>
      <w:lang w:eastAsia="en-US" w:bidi="en-US"/>
    </w:rPr>
  </w:style>
  <w:style w:type="paragraph" w:styleId="810" w:customStyle="1">
    <w:name w:val="段"/>
    <w:next w:val="741"/>
    <w:uiPriority w:val="0"/>
    <w:qFormat/>
    <w:pPr>
      <w:ind w:firstLine="200"/>
      <w:jc w:val="both"/>
    </w:pPr>
    <w:rPr>
      <w:rFonts w:hint="default" w:ascii="宋体" w:hAnsi="Calibri" w:eastAsia="宋体" w:cs="Times New Roman"/>
      <w:sz w:val="21"/>
      <w:lang w:val="en-US" w:eastAsia="zh-CN" w:bidi="ar-SA"/>
    </w:rPr>
  </w:style>
  <w:style w:type="character" w:styleId="811" w:customStyle="1">
    <w:name w:val="标题 1 Char1"/>
    <w:link w:val="742"/>
    <w:uiPriority w:val="9"/>
    <w:qFormat/>
    <w:rPr>
      <w:rFonts w:ascii="Arial" w:hAnsi="Arial" w:eastAsia="Arial" w:cs="Arial"/>
      <w:sz w:val="40"/>
      <w:szCs w:val="40"/>
    </w:rPr>
  </w:style>
  <w:style w:type="character" w:styleId="812" w:customStyle="1">
    <w:name w:val="标题 2 Char1"/>
    <w:link w:val="743"/>
    <w:uiPriority w:val="9"/>
    <w:qFormat/>
    <w:rPr>
      <w:rFonts w:ascii="Arial" w:hAnsi="Arial" w:eastAsia="Arial" w:cs="Arial"/>
      <w:sz w:val="34"/>
    </w:rPr>
  </w:style>
  <w:style w:type="character" w:styleId="813" w:customStyle="1">
    <w:name w:val="标题 3 Char1"/>
    <w:link w:val="744"/>
    <w:uiPriority w:val="9"/>
    <w:qFormat/>
    <w:rPr>
      <w:rFonts w:ascii="Arial" w:hAnsi="Arial" w:eastAsia="Arial" w:cs="Arial"/>
      <w:sz w:val="30"/>
      <w:szCs w:val="30"/>
    </w:rPr>
  </w:style>
  <w:style w:type="character" w:styleId="814" w:customStyle="1">
    <w:name w:val="标题 4 Char1"/>
    <w:link w:val="745"/>
    <w:uiPriority w:val="9"/>
    <w:qFormat/>
    <w:rPr>
      <w:rFonts w:ascii="Arial" w:hAnsi="Arial" w:eastAsia="Arial" w:cs="Arial"/>
      <w:b/>
      <w:bCs/>
      <w:sz w:val="26"/>
      <w:szCs w:val="26"/>
    </w:rPr>
  </w:style>
  <w:style w:type="character" w:styleId="815" w:customStyle="1">
    <w:name w:val="标题 5 Char1"/>
    <w:link w:val="746"/>
    <w:uiPriority w:val="9"/>
    <w:qFormat/>
    <w:rPr>
      <w:rFonts w:ascii="Arial" w:hAnsi="Arial" w:eastAsia="Arial" w:cs="Arial"/>
      <w:b/>
      <w:bCs/>
      <w:sz w:val="24"/>
      <w:szCs w:val="24"/>
    </w:rPr>
  </w:style>
  <w:style w:type="character" w:styleId="816" w:customStyle="1">
    <w:name w:val="标题 6 Char1"/>
    <w:link w:val="747"/>
    <w:uiPriority w:val="9"/>
    <w:qFormat/>
    <w:rPr>
      <w:rFonts w:ascii="Arial" w:hAnsi="Arial" w:eastAsia="Arial" w:cs="Arial"/>
      <w:b/>
      <w:bCs/>
      <w:sz w:val="22"/>
      <w:szCs w:val="22"/>
    </w:rPr>
  </w:style>
  <w:style w:type="character" w:styleId="817" w:customStyle="1">
    <w:name w:val="标题 7 Char1"/>
    <w:link w:val="748"/>
    <w:uiPriority w:val="9"/>
    <w:qFormat/>
    <w:rPr>
      <w:rFonts w:ascii="Arial" w:hAnsi="Arial" w:eastAsia="Arial" w:cs="Arial"/>
      <w:b/>
      <w:bCs/>
      <w:i/>
      <w:iCs/>
      <w:sz w:val="22"/>
      <w:szCs w:val="22"/>
    </w:rPr>
  </w:style>
  <w:style w:type="character" w:styleId="818" w:customStyle="1">
    <w:name w:val="标题 8 Char1"/>
    <w:link w:val="749"/>
    <w:uiPriority w:val="9"/>
    <w:qFormat/>
    <w:rPr>
      <w:rFonts w:ascii="Arial" w:hAnsi="Arial" w:eastAsia="Arial" w:cs="Arial"/>
      <w:i/>
      <w:iCs/>
      <w:sz w:val="22"/>
      <w:szCs w:val="22"/>
    </w:rPr>
  </w:style>
  <w:style w:type="character" w:styleId="819" w:customStyle="1">
    <w:name w:val="标题 9 Char1"/>
    <w:link w:val="750"/>
    <w:uiPriority w:val="9"/>
    <w:qFormat/>
    <w:rPr>
      <w:rFonts w:ascii="Arial" w:hAnsi="Arial" w:eastAsia="Arial" w:cs="Arial"/>
      <w:i/>
      <w:iCs/>
      <w:sz w:val="21"/>
      <w:szCs w:val="21"/>
    </w:rPr>
  </w:style>
  <w:style w:type="paragraph" w:styleId="820">
    <w:name w:val="No Spacing"/>
    <w:uiPriority w:val="1"/>
    <w:qFormat/>
    <w:rPr>
      <w:rFonts w:hint="default" w:ascii="Calibri" w:hAnsi="Calibri" w:eastAsia="宋体" w:cs="Times New Roman"/>
      <w:lang w:val="en-US" w:eastAsia="zh-CN" w:bidi="ar-SA"/>
    </w:rPr>
  </w:style>
  <w:style w:type="character" w:styleId="821" w:customStyle="1">
    <w:name w:val="标题 Char"/>
    <w:link w:val="779"/>
    <w:uiPriority w:val="10"/>
    <w:qFormat/>
    <w:rPr>
      <w:sz w:val="48"/>
      <w:szCs w:val="48"/>
    </w:rPr>
  </w:style>
  <w:style w:type="character" w:styleId="822" w:customStyle="1">
    <w:name w:val="副标题 Char"/>
    <w:link w:val="770"/>
    <w:uiPriority w:val="11"/>
    <w:qFormat/>
    <w:rPr>
      <w:sz w:val="24"/>
      <w:szCs w:val="24"/>
    </w:rPr>
  </w:style>
  <w:style w:type="paragraph" w:styleId="823">
    <w:name w:val="Quote"/>
    <w:basedOn w:val="741"/>
    <w:next w:val="741"/>
    <w:link w:val="824"/>
    <w:uiPriority w:val="29"/>
    <w:qFormat/>
    <w:pPr>
      <w:ind w:left="720" w:right="720"/>
    </w:pPr>
    <w:rPr>
      <w:i/>
    </w:rPr>
  </w:style>
  <w:style w:type="character" w:styleId="824" w:customStyle="1">
    <w:name w:val="引用 Char"/>
    <w:link w:val="823"/>
    <w:uiPriority w:val="29"/>
    <w:qFormat/>
    <w:rPr>
      <w:i/>
    </w:rPr>
  </w:style>
  <w:style w:type="paragraph" w:styleId="825">
    <w:name w:val="Intense Quote"/>
    <w:basedOn w:val="741"/>
    <w:next w:val="741"/>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qFormat/>
    <w:rPr>
      <w:i/>
    </w:rPr>
  </w:style>
  <w:style w:type="character" w:styleId="827" w:customStyle="1">
    <w:name w:val="页眉 Char1"/>
    <w:link w:val="767"/>
    <w:uiPriority w:val="99"/>
    <w:qFormat/>
  </w:style>
  <w:style w:type="character" w:styleId="828" w:customStyle="1">
    <w:name w:val="Footer Char"/>
    <w:link w:val="766"/>
    <w:uiPriority w:val="99"/>
    <w:qFormat/>
  </w:style>
  <w:style w:type="character" w:styleId="829" w:customStyle="1">
    <w:name w:val="页脚 Char1"/>
    <w:link w:val="766"/>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Char"/>
    <w:link w:val="771"/>
    <w:uiPriority w:val="99"/>
    <w:qFormat/>
    <w:rPr>
      <w:sz w:val="18"/>
    </w:rPr>
  </w:style>
  <w:style w:type="character" w:styleId="956" w:customStyle="1">
    <w:name w:val="尾注文本 Char"/>
    <w:link w:val="764"/>
    <w:uiPriority w:val="99"/>
    <w:qFormat/>
    <w:rPr>
      <w:sz w:val="20"/>
    </w:rPr>
  </w:style>
  <w:style w:type="paragraph" w:styleId="957" w:customStyle="1">
    <w:name w:val="TOC 标题1"/>
    <w:uiPriority w:val="39"/>
    <w:unhideWhenUsed/>
    <w:qFormat/>
    <w:rPr>
      <w:rFonts w:hint="default" w:ascii="Calibri" w:hAnsi="Calibri" w:eastAsia="宋体" w:cs="Times New Roman"/>
      <w:lang w:val="en-US" w:eastAsia="zh-CN" w:bidi="ar-SA"/>
    </w:rPr>
  </w:style>
  <w:style w:type="paragraph" w:styleId="958" w:customStyle="1">
    <w:name w:val="标题 11"/>
    <w:basedOn w:val="741"/>
    <w:next w:val="741"/>
    <w:link w:val="970"/>
    <w:uiPriority w:val="0"/>
    <w:qFormat/>
    <w:pPr>
      <w:jc w:val="center"/>
      <w:keepNext/>
      <w:outlineLvl w:val="0"/>
    </w:pPr>
    <w:rPr>
      <w:rFonts w:ascii="楷体_GB2312" w:eastAsia="楷体_GB2312"/>
      <w:sz w:val="28"/>
      <w:szCs w:val="28"/>
      <w:lang w:eastAsia="en-US"/>
    </w:rPr>
  </w:style>
  <w:style w:type="paragraph" w:styleId="959" w:customStyle="1">
    <w:name w:val="标题 21"/>
    <w:basedOn w:val="741"/>
    <w:next w:val="960"/>
    <w:link w:val="97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60" w:customStyle="1">
    <w:name w:val="正文缩进1"/>
    <w:basedOn w:val="741"/>
    <w:link w:val="972"/>
    <w:uiPriority w:val="0"/>
    <w:qFormat/>
    <w:pPr>
      <w:ind w:firstLine="420"/>
    </w:pPr>
    <w:rPr>
      <w:sz w:val="20"/>
      <w:lang w:eastAsia="en-US"/>
    </w:rPr>
  </w:style>
  <w:style w:type="paragraph" w:styleId="961" w:customStyle="1">
    <w:name w:val="标题 31"/>
    <w:basedOn w:val="741"/>
    <w:next w:val="960"/>
    <w:link w:val="973"/>
    <w:uiPriority w:val="0"/>
    <w:qFormat/>
    <w:pPr>
      <w:keepLines/>
      <w:keepNext/>
      <w:spacing w:before="260" w:after="260" w:line="416" w:lineRule="auto"/>
      <w:outlineLvl w:val="2"/>
    </w:pPr>
    <w:rPr>
      <w:b/>
      <w:bCs/>
      <w:sz w:val="32"/>
      <w:szCs w:val="32"/>
      <w:lang w:eastAsia="en-US"/>
    </w:rPr>
  </w:style>
  <w:style w:type="paragraph" w:styleId="962" w:customStyle="1">
    <w:name w:val="标题 41"/>
    <w:basedOn w:val="741"/>
    <w:next w:val="741"/>
    <w:link w:val="974"/>
    <w:uiPriority w:val="0"/>
    <w:qFormat/>
    <w:pPr>
      <w:keepLines/>
      <w:keepNext/>
      <w:spacing w:before="280" w:after="290" w:line="376" w:lineRule="auto"/>
      <w:outlineLvl w:val="3"/>
    </w:pPr>
    <w:rPr>
      <w:rFonts w:ascii="Arial" w:hAnsi="Arial" w:eastAsia="黑体"/>
      <w:b/>
      <w:bCs/>
      <w:sz w:val="28"/>
      <w:szCs w:val="28"/>
      <w:lang w:eastAsia="en-US"/>
    </w:rPr>
  </w:style>
  <w:style w:type="paragraph" w:styleId="963" w:customStyle="1">
    <w:name w:val="标题 51"/>
    <w:basedOn w:val="741"/>
    <w:next w:val="960"/>
    <w:link w:val="975"/>
    <w:uiPriority w:val="0"/>
    <w:qFormat/>
    <w:pPr>
      <w:keepNext/>
      <w:outlineLvl w:val="4"/>
    </w:pPr>
    <w:rPr>
      <w:rFonts w:ascii="宋体"/>
      <w:color w:val="000000"/>
      <w:sz w:val="28"/>
      <w:szCs w:val="28"/>
      <w:lang w:eastAsia="en-US"/>
    </w:rPr>
  </w:style>
  <w:style w:type="paragraph" w:styleId="964" w:customStyle="1">
    <w:name w:val="标题 61"/>
    <w:basedOn w:val="741"/>
    <w:next w:val="741"/>
    <w:link w:val="97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5" w:customStyle="1">
    <w:name w:val="标题 71"/>
    <w:basedOn w:val="741"/>
    <w:next w:val="741"/>
    <w:link w:val="977"/>
    <w:uiPriority w:val="0"/>
    <w:qFormat/>
    <w:pPr>
      <w:numPr>
        <w:ilvl w:val="6"/>
        <w:numId w:val="1"/>
      </w:numPr>
      <w:keepLines/>
      <w:keepNext/>
      <w:spacing w:before="240" w:after="64" w:line="320" w:lineRule="auto"/>
      <w:outlineLvl w:val="6"/>
    </w:pPr>
    <w:rPr>
      <w:b/>
      <w:bCs/>
      <w:sz w:val="24"/>
      <w:szCs w:val="24"/>
      <w:lang w:eastAsia="en-US"/>
    </w:rPr>
  </w:style>
  <w:style w:type="paragraph" w:styleId="966" w:customStyle="1">
    <w:name w:val="标题 81"/>
    <w:basedOn w:val="741"/>
    <w:next w:val="741"/>
    <w:link w:val="97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7" w:customStyle="1">
    <w:name w:val="标题 91"/>
    <w:basedOn w:val="741"/>
    <w:next w:val="741"/>
    <w:link w:val="97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8" w:customStyle="1">
    <w:name w:val="默认段落字体1"/>
    <w:uiPriority w:val="1"/>
    <w:unhideWhenUsed/>
    <w:qFormat/>
  </w:style>
  <w:style w:type="table" w:styleId="969" w:customStyle="1">
    <w:name w:val="普通表格1"/>
    <w:uiPriority w:val="99"/>
    <w:unhideWhenUsed/>
    <w:qFormat/>
    <w:tblPr>
      <w:tblCellMar>
        <w:left w:w="0" w:type="dxa"/>
        <w:top w:w="0" w:type="dxa"/>
        <w:right w:w="0" w:type="dxa"/>
        <w:bottom w:w="0" w:type="dxa"/>
      </w:tblCellMar>
    </w:tblPr>
  </w:style>
  <w:style w:type="character" w:styleId="970" w:customStyle="1">
    <w:name w:val="标题 1 Char"/>
    <w:link w:val="958"/>
    <w:uiPriority w:val="0"/>
    <w:qFormat/>
    <w:rPr>
      <w:rFonts w:ascii="楷体_GB2312" w:hAnsi="Times New Roman" w:eastAsia="楷体_GB2312" w:cs="Times New Roman"/>
      <w:sz w:val="28"/>
      <w:szCs w:val="28"/>
    </w:rPr>
  </w:style>
  <w:style w:type="character" w:styleId="971" w:customStyle="1">
    <w:name w:val="标题 2 Char"/>
    <w:link w:val="959"/>
    <w:uiPriority w:val="0"/>
    <w:qFormat/>
    <w:rPr>
      <w:rFonts w:ascii="Arial" w:hAnsi="Arial" w:eastAsia="幼圆" w:cs="Arial"/>
      <w:b/>
      <w:bCs/>
      <w:sz w:val="44"/>
      <w:szCs w:val="44"/>
    </w:rPr>
  </w:style>
  <w:style w:type="character" w:styleId="972" w:customStyle="1">
    <w:name w:val="正文缩进 Char"/>
    <w:link w:val="960"/>
    <w:uiPriority w:val="0"/>
    <w:qFormat/>
    <w:rPr>
      <w:rFonts w:ascii="Times New Roman" w:hAnsi="Times New Roman" w:eastAsia="宋体" w:cs="Times New Roman"/>
      <w:szCs w:val="21"/>
    </w:rPr>
  </w:style>
  <w:style w:type="character" w:styleId="973" w:customStyle="1">
    <w:name w:val="标题 3 Char"/>
    <w:link w:val="961"/>
    <w:uiPriority w:val="0"/>
    <w:qFormat/>
    <w:rPr>
      <w:rFonts w:ascii="Times New Roman" w:hAnsi="Times New Roman" w:eastAsia="宋体" w:cs="Times New Roman"/>
      <w:b/>
      <w:bCs/>
      <w:sz w:val="32"/>
      <w:szCs w:val="32"/>
    </w:rPr>
  </w:style>
  <w:style w:type="character" w:styleId="974" w:customStyle="1">
    <w:name w:val="标题 4 Char"/>
    <w:link w:val="962"/>
    <w:uiPriority w:val="0"/>
    <w:qFormat/>
    <w:rPr>
      <w:rFonts w:ascii="Arial" w:hAnsi="Arial" w:eastAsia="黑体" w:cs="Arial"/>
      <w:b/>
      <w:bCs/>
      <w:sz w:val="28"/>
      <w:szCs w:val="28"/>
    </w:rPr>
  </w:style>
  <w:style w:type="character" w:styleId="975" w:customStyle="1">
    <w:name w:val="标题 5 Char"/>
    <w:link w:val="963"/>
    <w:uiPriority w:val="0"/>
    <w:qFormat/>
    <w:rPr>
      <w:rFonts w:ascii="宋体" w:hAnsi="Times New Roman" w:eastAsia="宋体" w:cs="Times New Roman"/>
      <w:color w:val="000000"/>
      <w:sz w:val="28"/>
      <w:szCs w:val="28"/>
    </w:rPr>
  </w:style>
  <w:style w:type="character" w:styleId="976" w:customStyle="1">
    <w:name w:val="标题 6 Char"/>
    <w:link w:val="964"/>
    <w:uiPriority w:val="0"/>
    <w:qFormat/>
    <w:rPr>
      <w:rFonts w:ascii="Arial" w:hAnsi="Arial" w:eastAsia="黑体" w:cs="Times New Roman"/>
      <w:b/>
      <w:bCs/>
      <w:sz w:val="24"/>
      <w:szCs w:val="24"/>
    </w:rPr>
  </w:style>
  <w:style w:type="character" w:styleId="977" w:customStyle="1">
    <w:name w:val="标题 7 Char"/>
    <w:link w:val="965"/>
    <w:uiPriority w:val="0"/>
    <w:qFormat/>
    <w:rPr>
      <w:rFonts w:ascii="Times New Roman" w:hAnsi="Times New Roman" w:eastAsia="宋体" w:cs="Times New Roman"/>
      <w:b/>
      <w:bCs/>
      <w:sz w:val="24"/>
      <w:szCs w:val="24"/>
    </w:rPr>
  </w:style>
  <w:style w:type="character" w:styleId="978" w:customStyle="1">
    <w:name w:val="标题 8 Char"/>
    <w:link w:val="966"/>
    <w:uiPriority w:val="0"/>
    <w:qFormat/>
    <w:rPr>
      <w:rFonts w:ascii="Arial" w:hAnsi="Arial" w:eastAsia="黑体" w:cs="Times New Roman"/>
      <w:sz w:val="24"/>
      <w:szCs w:val="24"/>
    </w:rPr>
  </w:style>
  <w:style w:type="character" w:styleId="979" w:customStyle="1">
    <w:name w:val="标题 9 Char"/>
    <w:link w:val="967"/>
    <w:uiPriority w:val="0"/>
    <w:qFormat/>
    <w:rPr>
      <w:rFonts w:ascii="Arial" w:hAnsi="Arial" w:eastAsia="黑体" w:cs="Times New Roman"/>
      <w:szCs w:val="21"/>
    </w:rPr>
  </w:style>
  <w:style w:type="paragraph" w:styleId="980" w:customStyle="1">
    <w:name w:val="列表 31"/>
    <w:basedOn w:val="741"/>
    <w:uiPriority w:val="0"/>
    <w:qFormat/>
    <w:pPr>
      <w:ind w:left="100" w:hanging="200"/>
    </w:pPr>
  </w:style>
  <w:style w:type="paragraph" w:styleId="981" w:customStyle="1">
    <w:name w:val="目录 71"/>
    <w:basedOn w:val="741"/>
    <w:next w:val="741"/>
    <w:uiPriority w:val="0"/>
    <w:semiHidden/>
    <w:qFormat/>
    <w:pPr>
      <w:ind w:left="1260"/>
      <w:jc w:val="left"/>
    </w:pPr>
  </w:style>
  <w:style w:type="paragraph" w:styleId="982" w:customStyle="1">
    <w:name w:val="文档结构图1"/>
    <w:basedOn w:val="741"/>
    <w:link w:val="983"/>
    <w:uiPriority w:val="0"/>
    <w:semiHidden/>
    <w:qFormat/>
    <w:pPr>
      <w:shd w:val="clear" w:color="auto" w:fill="000080"/>
    </w:pPr>
    <w:rPr>
      <w:sz w:val="20"/>
      <w:lang w:eastAsia="en-US"/>
    </w:r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41"/>
    <w:link w:val="985"/>
    <w:uiPriority w:val="0"/>
    <w:semiHidden/>
    <w:qFormat/>
    <w:pPr>
      <w:jc w:val="left"/>
    </w:pPr>
    <w:rPr>
      <w:sz w:val="20"/>
      <w:lang w:eastAsia="en-US"/>
    </w:rPr>
  </w:style>
  <w:style w:type="character" w:styleId="985" w:customStyle="1">
    <w:name w:val="批注文字 Char"/>
    <w:link w:val="984"/>
    <w:uiPriority w:val="0"/>
    <w:semiHidden/>
    <w:qFormat/>
    <w:rPr>
      <w:rFonts w:ascii="Times New Roman" w:hAnsi="Times New Roman" w:eastAsia="宋体" w:cs="Times New Roman"/>
      <w:szCs w:val="21"/>
    </w:rPr>
  </w:style>
  <w:style w:type="paragraph" w:styleId="986" w:customStyle="1">
    <w:name w:val="正文文本 31"/>
    <w:basedOn w:val="741"/>
    <w:link w:val="987"/>
    <w:uiPriority w:val="0"/>
    <w:qFormat/>
    <w:rPr>
      <w:rFonts w:ascii="仿宋_GB2312" w:hAnsi="Arial" w:eastAsia="仿宋_GB2312"/>
      <w:sz w:val="32"/>
      <w:szCs w:val="32"/>
      <w:lang w:eastAsia="en-US"/>
    </w:rPr>
  </w:style>
  <w:style w:type="character" w:styleId="987" w:customStyle="1">
    <w:name w:val="正文文本 3 Char"/>
    <w:link w:val="986"/>
    <w:uiPriority w:val="0"/>
    <w:qFormat/>
    <w:rPr>
      <w:rFonts w:ascii="仿宋_GB2312" w:hAnsi="Arial" w:eastAsia="仿宋_GB2312" w:cs="Times New Roman"/>
      <w:sz w:val="32"/>
      <w:szCs w:val="32"/>
    </w:rPr>
  </w:style>
  <w:style w:type="paragraph" w:styleId="988" w:customStyle="1">
    <w:name w:val="正文文本1"/>
    <w:basedOn w:val="741"/>
    <w:next w:val="989"/>
    <w:link w:val="990"/>
    <w:uiPriority w:val="0"/>
    <w:qFormat/>
    <w:rPr>
      <w:rFonts w:ascii="楷体_GB2312" w:hAnsi="Arial" w:eastAsia="楷体_GB2312"/>
      <w:sz w:val="28"/>
      <w:szCs w:val="28"/>
      <w:lang w:eastAsia="en-US"/>
    </w:rPr>
  </w:style>
  <w:style w:type="paragraph" w:styleId="989" w:customStyle="1">
    <w:name w:val="列表项目符号 51"/>
    <w:basedOn w:val="741"/>
    <w:uiPriority w:val="0"/>
    <w:qFormat/>
    <w:pPr>
      <w:numPr>
        <w:ilvl w:val="0"/>
        <w:numId w:val="1"/>
      </w:numPr>
    </w:pPr>
  </w:style>
  <w:style w:type="character" w:styleId="990" w:customStyle="1">
    <w:name w:val="正文文本 Char"/>
    <w:link w:val="988"/>
    <w:uiPriority w:val="0"/>
    <w:qFormat/>
    <w:rPr>
      <w:rFonts w:ascii="楷体_GB2312" w:hAnsi="Arial" w:eastAsia="楷体_GB2312" w:cs="Times New Roman"/>
      <w:sz w:val="28"/>
      <w:szCs w:val="28"/>
    </w:rPr>
  </w:style>
  <w:style w:type="character" w:styleId="991" w:customStyle="1">
    <w:name w:val="正文文本缩进 Char"/>
    <w:link w:val="807"/>
    <w:uiPriority w:val="0"/>
    <w:qFormat/>
    <w:rPr>
      <w:rFonts w:ascii="楷体_GB2312" w:hAnsi="Times New Roman" w:eastAsia="楷体_GB2312" w:cs="Times New Roman"/>
      <w:sz w:val="32"/>
      <w:szCs w:val="32"/>
    </w:rPr>
  </w:style>
  <w:style w:type="paragraph" w:styleId="992" w:customStyle="1">
    <w:name w:val="列表 21"/>
    <w:basedOn w:val="741"/>
    <w:uiPriority w:val="0"/>
    <w:qFormat/>
    <w:pPr>
      <w:ind w:left="100" w:hanging="200"/>
    </w:pPr>
  </w:style>
  <w:style w:type="paragraph" w:styleId="993" w:customStyle="1">
    <w:name w:val="目录 51"/>
    <w:basedOn w:val="741"/>
    <w:next w:val="741"/>
    <w:uiPriority w:val="0"/>
    <w:semiHidden/>
    <w:qFormat/>
    <w:pPr>
      <w:ind w:left="840"/>
      <w:jc w:val="left"/>
    </w:pPr>
  </w:style>
  <w:style w:type="paragraph" w:styleId="994" w:customStyle="1">
    <w:name w:val="目录 31"/>
    <w:basedOn w:val="741"/>
    <w:next w:val="741"/>
    <w:uiPriority w:val="0"/>
    <w:semiHidden/>
    <w:qFormat/>
    <w:pPr>
      <w:ind w:left="420"/>
      <w:jc w:val="left"/>
    </w:pPr>
    <w:rPr>
      <w:i/>
      <w:iCs/>
      <w:szCs w:val="24"/>
    </w:rPr>
  </w:style>
  <w:style w:type="paragraph" w:styleId="995" w:customStyle="1">
    <w:name w:val="纯文本1"/>
    <w:basedOn w:val="741"/>
    <w:link w:val="996"/>
    <w:uiPriority w:val="0"/>
    <w:qFormat/>
    <w:rPr>
      <w:rFonts w:ascii="宋体" w:hAnsi="Courier New"/>
      <w:sz w:val="20"/>
      <w:lang w:eastAsia="en-US"/>
    </w:rPr>
  </w:style>
  <w:style w:type="character" w:styleId="996" w:customStyle="1">
    <w:name w:val="纯文本 Char"/>
    <w:link w:val="995"/>
    <w:uiPriority w:val="0"/>
    <w:qFormat/>
    <w:rPr>
      <w:rFonts w:ascii="宋体" w:hAnsi="Courier New" w:eastAsia="宋体" w:cs="Courier New"/>
      <w:szCs w:val="21"/>
    </w:rPr>
  </w:style>
  <w:style w:type="paragraph" w:styleId="997" w:customStyle="1">
    <w:name w:val="目录 81"/>
    <w:basedOn w:val="741"/>
    <w:next w:val="741"/>
    <w:uiPriority w:val="0"/>
    <w:semiHidden/>
    <w:qFormat/>
    <w:pPr>
      <w:ind w:left="1470"/>
      <w:jc w:val="left"/>
    </w:pPr>
  </w:style>
  <w:style w:type="paragraph" w:styleId="998" w:customStyle="1">
    <w:name w:val="日期1"/>
    <w:basedOn w:val="741"/>
    <w:next w:val="741"/>
    <w:link w:val="999"/>
    <w:uiPriority w:val="0"/>
    <w:qFormat/>
    <w:rPr>
      <w:sz w:val="24"/>
      <w:szCs w:val="24"/>
      <w:lang w:eastAsia="en-US"/>
    </w:rPr>
  </w:style>
  <w:style w:type="character" w:styleId="999" w:customStyle="1">
    <w:name w:val="日期 Char"/>
    <w:link w:val="998"/>
    <w:uiPriority w:val="0"/>
    <w:qFormat/>
    <w:rPr>
      <w:rFonts w:ascii="Times New Roman" w:hAnsi="Times New Roman" w:eastAsia="宋体" w:cs="Times New Roman"/>
      <w:sz w:val="24"/>
      <w:szCs w:val="24"/>
    </w:rPr>
  </w:style>
  <w:style w:type="paragraph" w:styleId="1000" w:customStyle="1">
    <w:name w:val="正文文本缩进 21"/>
    <w:basedOn w:val="741"/>
    <w:link w:val="1001"/>
    <w:uiPriority w:val="0"/>
    <w:qFormat/>
    <w:pPr>
      <w:ind w:left="630" w:firstLine="645"/>
    </w:pPr>
    <w:rPr>
      <w:rFonts w:ascii="Arial" w:hAnsi="Arial" w:eastAsia="仿宋_GB2312"/>
      <w:sz w:val="32"/>
      <w:szCs w:val="32"/>
      <w:lang w:eastAsia="en-US"/>
    </w:rPr>
  </w:style>
  <w:style w:type="character" w:styleId="1001" w:customStyle="1">
    <w:name w:val="正文文本缩进 2 Char"/>
    <w:link w:val="1000"/>
    <w:uiPriority w:val="0"/>
    <w:qFormat/>
    <w:rPr>
      <w:rFonts w:ascii="Arial" w:hAnsi="Arial" w:eastAsia="仿宋_GB2312" w:cs="Arial"/>
      <w:sz w:val="32"/>
      <w:szCs w:val="32"/>
    </w:rPr>
  </w:style>
  <w:style w:type="paragraph" w:styleId="1002" w:customStyle="1">
    <w:name w:val="批注框文本1"/>
    <w:basedOn w:val="741"/>
    <w:link w:val="1003"/>
    <w:uiPriority w:val="0"/>
    <w:semiHidden/>
    <w:qFormat/>
    <w:rPr>
      <w:sz w:val="18"/>
      <w:szCs w:val="18"/>
      <w:lang w:eastAsia="en-US"/>
    </w:rPr>
  </w:style>
  <w:style w:type="character" w:styleId="1003" w:customStyle="1">
    <w:name w:val="批注框文本 Char"/>
    <w:link w:val="1002"/>
    <w:uiPriority w:val="0"/>
    <w:semiHidden/>
    <w:qFormat/>
    <w:rPr>
      <w:rFonts w:ascii="Times New Roman" w:hAnsi="Times New Roman" w:eastAsia="宋体" w:cs="Times New Roman"/>
      <w:sz w:val="18"/>
      <w:szCs w:val="18"/>
    </w:rPr>
  </w:style>
  <w:style w:type="paragraph" w:styleId="1004" w:customStyle="1">
    <w:name w:val="页脚1"/>
    <w:basedOn w:val="741"/>
    <w:link w:val="1005"/>
    <w:uiPriority w:val="0"/>
    <w:qFormat/>
    <w:pPr>
      <w:jc w:val="left"/>
      <w:tabs>
        <w:tab w:val="center" w:pos="4153" w:leader="none"/>
        <w:tab w:val="right" w:pos="8306" w:leader="none"/>
      </w:tabs>
    </w:pPr>
    <w:rPr>
      <w:sz w:val="18"/>
      <w:szCs w:val="18"/>
      <w:lang w:eastAsia="en-US"/>
    </w:rPr>
  </w:style>
  <w:style w:type="character" w:styleId="1005" w:customStyle="1">
    <w:name w:val="页脚 Char"/>
    <w:link w:val="1004"/>
    <w:uiPriority w:val="0"/>
    <w:qFormat/>
    <w:rPr>
      <w:rFonts w:ascii="Times New Roman" w:hAnsi="Times New Roman" w:eastAsia="宋体" w:cs="Times New Roman"/>
      <w:sz w:val="18"/>
      <w:szCs w:val="18"/>
    </w:rPr>
  </w:style>
  <w:style w:type="paragraph" w:styleId="1006" w:customStyle="1">
    <w:name w:val="页眉1"/>
    <w:basedOn w:val="741"/>
    <w:link w:val="100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07" w:customStyle="1">
    <w:name w:val="页眉 Char"/>
    <w:link w:val="1006"/>
    <w:uiPriority w:val="99"/>
    <w:qFormat/>
    <w:rPr>
      <w:rFonts w:ascii="Times New Roman" w:hAnsi="Times New Roman" w:eastAsia="宋体" w:cs="Times New Roman"/>
      <w:sz w:val="18"/>
      <w:szCs w:val="18"/>
    </w:rPr>
  </w:style>
  <w:style w:type="paragraph" w:styleId="1008"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1009" w:customStyle="1">
    <w:name w:val="目录 41"/>
    <w:basedOn w:val="741"/>
    <w:next w:val="741"/>
    <w:uiPriority w:val="0"/>
    <w:semiHidden/>
    <w:qFormat/>
    <w:pPr>
      <w:ind w:left="630"/>
      <w:jc w:val="left"/>
    </w:pPr>
  </w:style>
  <w:style w:type="paragraph" w:styleId="1010" w:customStyle="1">
    <w:name w:val="列表1"/>
    <w:basedOn w:val="741"/>
    <w:uiPriority w:val="0"/>
    <w:qFormat/>
    <w:pPr>
      <w:ind w:left="200" w:hanging="200"/>
    </w:pPr>
  </w:style>
  <w:style w:type="paragraph" w:styleId="1011" w:customStyle="1">
    <w:name w:val="目录 61"/>
    <w:basedOn w:val="741"/>
    <w:next w:val="741"/>
    <w:uiPriority w:val="0"/>
    <w:semiHidden/>
    <w:qFormat/>
    <w:pPr>
      <w:ind w:left="1050"/>
      <w:jc w:val="left"/>
    </w:pPr>
  </w:style>
  <w:style w:type="paragraph" w:styleId="1012" w:customStyle="1">
    <w:name w:val="正文文本缩进 31"/>
    <w:basedOn w:val="741"/>
    <w:link w:val="1013"/>
    <w:uiPriority w:val="0"/>
    <w:qFormat/>
    <w:pPr>
      <w:ind w:left="645" w:firstLine="645"/>
    </w:pPr>
    <w:rPr>
      <w:rFonts w:ascii="Arial" w:hAnsi="Arial" w:eastAsia="仿宋_GB2312"/>
      <w:color w:val="ffff00"/>
      <w:sz w:val="32"/>
      <w:szCs w:val="32"/>
      <w:lang w:eastAsia="en-US"/>
    </w:rPr>
  </w:style>
  <w:style w:type="character" w:styleId="1013" w:customStyle="1">
    <w:name w:val="正文文本缩进 3 Char"/>
    <w:link w:val="1012"/>
    <w:uiPriority w:val="0"/>
    <w:qFormat/>
    <w:rPr>
      <w:rFonts w:ascii="Arial" w:hAnsi="Arial" w:eastAsia="仿宋_GB2312" w:cs="Arial"/>
      <w:color w:val="ffff00"/>
      <w:sz w:val="32"/>
      <w:szCs w:val="32"/>
    </w:rPr>
  </w:style>
  <w:style w:type="paragraph" w:styleId="1014" w:customStyle="1">
    <w:name w:val="图表目录1"/>
    <w:basedOn w:val="741"/>
    <w:next w:val="741"/>
    <w:uiPriority w:val="0"/>
    <w:semiHidden/>
    <w:qFormat/>
    <w:pPr>
      <w:ind w:left="840" w:hanging="420"/>
    </w:pPr>
  </w:style>
  <w:style w:type="paragraph" w:styleId="1015" w:customStyle="1">
    <w:name w:val="目录 21"/>
    <w:basedOn w:val="741"/>
    <w:next w:val="741"/>
    <w:uiPriority w:val="0"/>
    <w:semiHidden/>
    <w:qFormat/>
    <w:pPr>
      <w:ind w:left="210"/>
      <w:jc w:val="left"/>
    </w:pPr>
    <w:rPr>
      <w:smallCaps/>
      <w:szCs w:val="24"/>
    </w:rPr>
  </w:style>
  <w:style w:type="paragraph" w:styleId="1016" w:customStyle="1">
    <w:name w:val="目录 91"/>
    <w:basedOn w:val="741"/>
    <w:next w:val="741"/>
    <w:uiPriority w:val="0"/>
    <w:semiHidden/>
    <w:qFormat/>
    <w:pPr>
      <w:ind w:left="1680"/>
      <w:jc w:val="left"/>
    </w:pPr>
  </w:style>
  <w:style w:type="paragraph" w:styleId="1017" w:customStyle="1">
    <w:name w:val="正文文本 21"/>
    <w:basedOn w:val="741"/>
    <w:link w:val="1018"/>
    <w:uiPriority w:val="0"/>
    <w:qFormat/>
    <w:pPr>
      <w:jc w:val="center"/>
      <w:widowControl/>
    </w:pPr>
    <w:rPr>
      <w:rFonts w:ascii="楷体_GB2312" w:eastAsia="楷体_GB2312"/>
      <w:sz w:val="28"/>
      <w:szCs w:val="28"/>
      <w:lang w:eastAsia="en-US"/>
    </w:rPr>
  </w:style>
  <w:style w:type="character" w:styleId="1018" w:customStyle="1">
    <w:name w:val="正文文本 2 Char"/>
    <w:link w:val="1017"/>
    <w:uiPriority w:val="0"/>
    <w:qFormat/>
    <w:rPr>
      <w:rFonts w:ascii="楷体_GB2312" w:hAnsi="Times New Roman" w:eastAsia="楷体_GB2312" w:cs="Times New Roman"/>
      <w:sz w:val="28"/>
      <w:szCs w:val="28"/>
    </w:rPr>
  </w:style>
  <w:style w:type="paragraph" w:styleId="1019"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20" w:customStyle="1">
    <w:name w:val="索引 11"/>
    <w:basedOn w:val="741"/>
    <w:next w:val="741"/>
    <w:uiPriority w:val="0"/>
    <w:semiHidden/>
    <w:qFormat/>
    <w:pPr>
      <w:spacing w:line="240" w:lineRule="atLeast"/>
    </w:pPr>
    <w:rPr>
      <w:b/>
      <w:bCs/>
    </w:rPr>
  </w:style>
  <w:style w:type="paragraph" w:styleId="1021" w:customStyle="1">
    <w:name w:val="批注主题1"/>
    <w:basedOn w:val="984"/>
    <w:next w:val="984"/>
    <w:link w:val="1022"/>
    <w:uiPriority w:val="0"/>
    <w:semiHidden/>
    <w:qFormat/>
    <w:rPr>
      <w:b/>
      <w:bCs/>
    </w:rPr>
  </w:style>
  <w:style w:type="character" w:styleId="1022" w:customStyle="1">
    <w:name w:val="批注主题 Char"/>
    <w:link w:val="1021"/>
    <w:uiPriority w:val="0"/>
    <w:semiHidden/>
    <w:qFormat/>
    <w:rPr>
      <w:rFonts w:ascii="Times New Roman" w:hAnsi="Times New Roman" w:eastAsia="宋体" w:cs="Times New Roman"/>
      <w:b/>
      <w:bCs/>
      <w:szCs w:val="21"/>
    </w:rPr>
  </w:style>
  <w:style w:type="paragraph" w:styleId="1023" w:customStyle="1">
    <w:name w:val="正文首行缩进1"/>
    <w:basedOn w:val="741"/>
    <w:link w:val="1024"/>
    <w:uiPriority w:val="0"/>
    <w:qFormat/>
    <w:pPr>
      <w:ind w:firstLine="200"/>
      <w:spacing w:line="360" w:lineRule="auto"/>
    </w:pPr>
    <w:rPr>
      <w:rFonts w:ascii="仿宋_GB2312" w:eastAsia="仿宋_GB2312"/>
      <w:sz w:val="30"/>
      <w:szCs w:val="30"/>
      <w:lang w:eastAsia="en-US"/>
    </w:rPr>
  </w:style>
  <w:style w:type="character" w:styleId="1024" w:customStyle="1">
    <w:name w:val="正文首行缩进 Char"/>
    <w:link w:val="1023"/>
    <w:uiPriority w:val="0"/>
    <w:qFormat/>
    <w:rPr>
      <w:rFonts w:ascii="仿宋_GB2312" w:hAnsi="Times New Roman" w:eastAsia="仿宋_GB2312" w:cs="Times New Roman"/>
      <w:sz w:val="30"/>
      <w:szCs w:val="30"/>
    </w:rPr>
  </w:style>
  <w:style w:type="paragraph" w:styleId="1025" w:customStyle="1">
    <w:name w:val="正文首行缩进 21"/>
    <w:basedOn w:val="807"/>
    <w:link w:val="1026"/>
    <w:uiPriority w:val="0"/>
    <w:qFormat/>
    <w:pPr>
      <w:ind w:firstLine="420"/>
      <w:spacing w:line="360" w:lineRule="auto"/>
    </w:pPr>
    <w:rPr>
      <w:rFonts w:ascii="宋体" w:hAnsi="宋体" w:eastAsia="宋体"/>
      <w:szCs w:val="20"/>
    </w:rPr>
  </w:style>
  <w:style w:type="character" w:styleId="1026" w:customStyle="1">
    <w:name w:val="正文首行缩进 2 Char"/>
    <w:link w:val="1025"/>
    <w:uiPriority w:val="0"/>
    <w:qFormat/>
    <w:rPr>
      <w:rFonts w:ascii="宋体" w:hAnsi="宋体" w:eastAsia="宋体" w:cs="Times New Roman"/>
      <w:sz w:val="32"/>
      <w:szCs w:val="20"/>
    </w:rPr>
  </w:style>
  <w:style w:type="table" w:styleId="1027" w:customStyle="1">
    <w:name w:val="网格型1"/>
    <w:basedOn w:val="969"/>
    <w:uiPriority w:val="0"/>
    <w:qFormat/>
    <w:pPr>
      <w:jc w:val="both"/>
      <w:widowControl w:val="off"/>
    </w:pPr>
    <w:tblPr>
      <w:tblCellMar>
        <w:left w:w="0" w:type="dxa"/>
        <w:top w:w="0" w:type="dxa"/>
        <w:right w:w="0" w:type="dxa"/>
        <w:bottom w:w="0" w:type="dxa"/>
      </w:tblCellMar>
    </w:tblPr>
  </w:style>
  <w:style w:type="character" w:styleId="1028" w:customStyle="1">
    <w:name w:val="要点1"/>
    <w:uiPriority w:val="0"/>
    <w:qFormat/>
    <w:rPr>
      <w:b/>
      <w:bCs/>
    </w:rPr>
  </w:style>
  <w:style w:type="character" w:styleId="1029" w:customStyle="1">
    <w:name w:val="页码1"/>
    <w:uiPriority w:val="0"/>
    <w:qFormat/>
  </w:style>
  <w:style w:type="character" w:styleId="1030" w:customStyle="1">
    <w:name w:val="已访问的超链接1"/>
    <w:uiPriority w:val="0"/>
    <w:qFormat/>
    <w:rPr>
      <w:color w:val="800080"/>
      <w:u w:val="single"/>
    </w:rPr>
  </w:style>
  <w:style w:type="character" w:styleId="1031" w:customStyle="1">
    <w:name w:val="HTML 打字机1"/>
    <w:uiPriority w:val="99"/>
    <w:qFormat/>
    <w:rPr>
      <w:rFonts w:ascii="宋体" w:hAnsi="宋体" w:eastAsia="宋体" w:cs="宋体"/>
      <w:sz w:val="24"/>
      <w:szCs w:val="24"/>
    </w:rPr>
  </w:style>
  <w:style w:type="character" w:styleId="1032" w:customStyle="1">
    <w:name w:val="超链接1"/>
    <w:uiPriority w:val="0"/>
    <w:qFormat/>
    <w:rPr>
      <w:color w:val="0000ff"/>
      <w:u w:val="single"/>
    </w:rPr>
  </w:style>
  <w:style w:type="character" w:styleId="1033" w:customStyle="1">
    <w:name w:val="批注引用1"/>
    <w:uiPriority w:val="0"/>
    <w:semiHidden/>
    <w:qFormat/>
    <w:rPr>
      <w:sz w:val="21"/>
      <w:szCs w:val="21"/>
    </w:rPr>
  </w:style>
  <w:style w:type="character" w:styleId="1034" w:customStyle="1">
    <w:name w:val="font5 Char"/>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rFonts w:ascii="Calibri" w:hAnsi="Calibri"/>
      <w:b/>
      <w:sz w:val="30"/>
      <w:szCs w:val="28"/>
    </w:rPr>
  </w:style>
  <w:style w:type="paragraph" w:styleId="1036" w:customStyle="1">
    <w:name w:val="二级目录"/>
    <w:next w:val="741"/>
    <w:link w:val="103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7" w:customStyle="1">
    <w:name w:val="列出段落 Char"/>
    <w:link w:val="809"/>
    <w:uiPriority w:val="0"/>
    <w:qFormat/>
    <w:rPr>
      <w:rFonts w:ascii="Calibri" w:hAnsi="Calibri"/>
      <w:sz w:val="24"/>
      <w:szCs w:val="24"/>
      <w:lang w:eastAsia="en-US" w:bidi="en-US"/>
    </w:rPr>
  </w:style>
  <w:style w:type="paragraph" w:styleId="1038" w:customStyle="1">
    <w:name w:val="Body Text(ch)"/>
    <w:basedOn w:val="741"/>
    <w:next w:val="988"/>
    <w:uiPriority w:val="0"/>
    <w:qFormat/>
    <w:pPr>
      <w:spacing w:after="120"/>
    </w:pPr>
    <w:rPr>
      <w:rFonts w:ascii="宋体" w:hAnsi="Arial"/>
      <w:bCs/>
      <w:iCs/>
      <w:szCs w:val="24"/>
    </w:rPr>
  </w:style>
  <w:style w:type="paragraph" w:styleId="1039"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1" w:customStyle="1">
    <w:name w:val="Char"/>
    <w:basedOn w:val="741"/>
    <w:uiPriority w:val="0"/>
    <w:qFormat/>
    <w:pPr>
      <w:ind w:firstLine="200"/>
      <w:tabs>
        <w:tab w:val="left" w:pos="360" w:leader="none"/>
      </w:tabs>
    </w:pPr>
    <w:rPr>
      <w:sz w:val="28"/>
      <w:szCs w:val="30"/>
    </w:rPr>
  </w:style>
  <w:style w:type="paragraph" w:styleId="1042" w:customStyle="1">
    <w:name w:val="Char1"/>
    <w:basedOn w:val="982"/>
    <w:uiPriority w:val="0"/>
    <w:qFormat/>
    <w:rPr>
      <w:rFonts w:ascii="Tahoma" w:hAnsi="Tahoma"/>
      <w:sz w:val="24"/>
      <w:szCs w:val="24"/>
    </w:rPr>
  </w:style>
  <w:style w:type="paragraph" w:styleId="1043"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44" w:customStyle="1">
    <w:name w:val="table_lines"/>
    <w:basedOn w:val="741"/>
    <w:uiPriority w:val="0"/>
    <w:qFormat/>
    <w:pPr>
      <w:jc w:val="left"/>
      <w:widowControl/>
    </w:pPr>
    <w:rPr>
      <w:sz w:val="20"/>
      <w:szCs w:val="20"/>
      <w:lang w:val="de-DE" w:eastAsia="de-DE"/>
    </w:rPr>
  </w:style>
  <w:style w:type="paragraph" w:styleId="10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6"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47" w:customStyle="1">
    <w:name w:val="Char Char Char Char"/>
    <w:basedOn w:val="982"/>
    <w:uiPriority w:val="0"/>
    <w:qFormat/>
    <w:pPr>
      <w:spacing w:line="360" w:lineRule="auto"/>
    </w:pPr>
    <w:rPr>
      <w:rFonts w:ascii="Tahoma" w:hAnsi="Tahoma"/>
      <w:sz w:val="24"/>
      <w:szCs w:val="24"/>
    </w:rPr>
  </w:style>
  <w:style w:type="paragraph" w:styleId="1048" w:customStyle="1">
    <w:name w:val="列出段落2"/>
    <w:basedOn w:val="741"/>
    <w:uiPriority w:val="99"/>
    <w:qFormat/>
    <w:pPr>
      <w:contextualSpacing/>
      <w:ind w:left="720"/>
      <w:jc w:val="left"/>
      <w:widowControl/>
    </w:pPr>
    <w:rPr>
      <w:rFonts w:ascii="Calibri" w:hAnsi="Calibri"/>
      <w:sz w:val="24"/>
      <w:szCs w:val="24"/>
      <w:lang w:eastAsia="en-US" w:bidi="en-US"/>
    </w:rPr>
  </w:style>
  <w:style w:type="paragraph" w:styleId="1049" w:customStyle="1">
    <w:name w:val="4"/>
    <w:basedOn w:val="741"/>
    <w:next w:val="1012"/>
    <w:uiPriority w:val="0"/>
    <w:qFormat/>
    <w:pPr>
      <w:ind w:firstLine="420"/>
      <w:spacing w:line="360" w:lineRule="auto"/>
    </w:pPr>
    <w:rPr>
      <w:color w:val="ff0000"/>
      <w:sz w:val="24"/>
      <w:szCs w:val="24"/>
    </w:rPr>
  </w:style>
  <w:style w:type="paragraph" w:styleId="1050"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51" w:customStyle="1">
    <w:name w:val="Char Char Char Char Char Char Char Char Char Char"/>
    <w:basedOn w:val="741"/>
    <w:uiPriority w:val="0"/>
    <w:qFormat/>
    <w:pPr>
      <w:spacing w:line="360" w:lineRule="auto"/>
    </w:pPr>
    <w:rPr>
      <w:sz w:val="24"/>
      <w:szCs w:val="20"/>
    </w:rPr>
  </w:style>
  <w:style w:type="paragraph" w:styleId="1052" w:customStyle="1">
    <w:name w:val="样式1"/>
    <w:basedOn w:val="741"/>
    <w:uiPriority w:val="0"/>
    <w:qFormat/>
    <w:pPr>
      <w:numPr>
        <w:ilvl w:val="0"/>
        <w:numId w:val="3"/>
      </w:numPr>
    </w:pPr>
    <w:rPr>
      <w:rFonts w:ascii="宋体" w:hAnsi="宋体"/>
    </w:rPr>
  </w:style>
  <w:style w:type="paragraph" w:styleId="1053"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54"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6"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57"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9"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60"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062"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63" w:customStyle="1">
    <w:name w:val="Char Char Char Char1"/>
    <w:basedOn w:val="982"/>
    <w:uiPriority w:val="0"/>
    <w:qFormat/>
    <w:pPr>
      <w:spacing w:line="360" w:lineRule="auto"/>
    </w:pPr>
    <w:rPr>
      <w:rFonts w:ascii="Tahoma" w:hAnsi="Tahoma"/>
      <w:sz w:val="24"/>
      <w:szCs w:val="24"/>
    </w:rPr>
  </w:style>
  <w:style w:type="paragraph" w:styleId="1064" w:customStyle="1">
    <w:name w:val="table_1stline"/>
    <w:basedOn w:val="741"/>
    <w:uiPriority w:val="0"/>
    <w:qFormat/>
    <w:pPr>
      <w:jc w:val="left"/>
      <w:spacing w:before="120"/>
      <w:widowControl/>
    </w:pPr>
    <w:rPr>
      <w:bCs/>
      <w:sz w:val="20"/>
      <w:szCs w:val="20"/>
      <w:lang w:val="de-DE" w:eastAsia="de-DE"/>
    </w:rPr>
  </w:style>
  <w:style w:type="paragraph" w:styleId="1065"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66"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9" w:customStyle="1">
    <w:name w:val="普通文字"/>
    <w:basedOn w:val="741"/>
    <w:next w:val="741"/>
    <w:uiPriority w:val="99"/>
    <w:qFormat/>
    <w:rPr>
      <w:rFonts w:ascii="宋体"/>
      <w:sz w:val="24"/>
      <w:szCs w:val="20"/>
    </w:rPr>
  </w:style>
  <w:style w:type="paragraph" w:styleId="1070" w:customStyle="1">
    <w:name w:val="目录 111"/>
    <w:basedOn w:val="741"/>
    <w:next w:val="741"/>
    <w:uiPriority w:val="39"/>
    <w:unhideWhenUsed/>
    <w:qFormat/>
    <w:pPr>
      <w:jc w:val="left"/>
      <w:spacing w:after="100" w:line="259" w:lineRule="auto"/>
      <w:widowControl/>
    </w:pPr>
    <w:rPr>
      <w:rFonts w:ascii="Calibri" w:hAnsi="Calibri"/>
      <w:sz w:val="22"/>
      <w:szCs w:val="22"/>
    </w:rPr>
  </w:style>
  <w:style w:type="paragraph" w:styleId="1071"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72" w:customStyle="1">
    <w:name w:val="引文目录1"/>
    <w:basedOn w:val="741"/>
    <w:next w:val="741"/>
    <w:uiPriority w:val="0"/>
    <w:qFormat/>
    <w:pPr>
      <w:ind w:left="420"/>
    </w:pPr>
  </w:style>
  <w:style w:type="paragraph" w:styleId="1073"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074" w:customStyle="1">
    <w:name w:val="NormalCharacter1"/>
    <w:link w:val="1075"/>
    <w:uiPriority w:val="99"/>
    <w:qFormat/>
  </w:style>
  <w:style w:type="paragraph" w:styleId="1075" w:customStyle="1">
    <w:name w:val="UserStyle_4"/>
    <w:basedOn w:val="741"/>
    <w:link w:val="1074"/>
    <w:uiPriority w:val="99"/>
    <w:qFormat/>
  </w:style>
  <w:style w:type="character" w:styleId="1076" w:customStyle="1">
    <w:name w:val="font41"/>
    <w:basedOn w:val="751"/>
    <w:uiPriority w:val="0"/>
    <w:qFormat/>
    <w:rPr>
      <w:rFonts w:hint="default" w:ascii="仿宋_GB2312" w:eastAsia="仿宋_GB2312" w:cs="仿宋_GB2312"/>
      <w:color w:val="000000"/>
      <w:sz w:val="21"/>
      <w:szCs w:val="21"/>
      <w:u w:val="single"/>
    </w:rPr>
  </w:style>
  <w:style w:type="character" w:styleId="1077" w:customStyle="1">
    <w:name w:val="font21"/>
    <w:basedOn w:val="751"/>
    <w:uiPriority w:val="0"/>
    <w:qFormat/>
    <w:rPr>
      <w:rFonts w:hint="default" w:ascii="仿宋_GB2312" w:eastAsia="仿宋_GB2312" w:cs="仿宋_GB2312"/>
      <w:color w:val="000000"/>
      <w:sz w:val="21"/>
      <w:szCs w:val="21"/>
      <w:u w:val="none"/>
    </w:rPr>
  </w:style>
  <w:style w:type="character" w:styleId="1078" w:customStyle="1">
    <w:name w:val="font11"/>
    <w:basedOn w:val="751"/>
    <w:uiPriority w:val="0"/>
    <w:qFormat/>
    <w:rPr>
      <w:rFonts w:hint="eastAsia" w:ascii="宋体" w:hAnsi="宋体" w:eastAsia="宋体" w:cs="宋体"/>
      <w:color w:val="000000"/>
      <w:sz w:val="28"/>
      <w:szCs w:val="28"/>
      <w:u w:val="none"/>
    </w:rPr>
  </w:style>
  <w:style w:type="character" w:styleId="1079" w:customStyle="1">
    <w:name w:val="font71"/>
    <w:basedOn w:val="751"/>
    <w:uiPriority w:val="0"/>
    <w:qFormat/>
    <w:rPr>
      <w:rFonts w:hint="eastAsia" w:ascii="宋体" w:hAnsi="宋体" w:eastAsia="宋体" w:cs="宋体"/>
      <w:b/>
      <w:bCs/>
      <w:color w:val="000000"/>
      <w:sz w:val="24"/>
      <w:szCs w:val="24"/>
      <w:u w:val="single"/>
    </w:rPr>
  </w:style>
  <w:style w:type="character" w:styleId="1080" w:customStyle="1">
    <w:name w:val="font81"/>
    <w:basedOn w:val="751"/>
    <w:uiPriority w:val="0"/>
    <w:qFormat/>
    <w:rPr>
      <w:rFonts w:hint="eastAsia" w:ascii="宋体" w:hAnsi="宋体" w:eastAsia="宋体" w:cs="宋体"/>
      <w:color w:val="000000"/>
      <w:sz w:val="24"/>
      <w:szCs w:val="24"/>
      <w:u w:val="single"/>
    </w:rPr>
  </w:style>
  <w:style w:type="character" w:styleId="1081" w:customStyle="1">
    <w:name w:val="批注文字 Char1"/>
    <w:basedOn w:val="751"/>
    <w:link w:val="755"/>
    <w:uiPriority w:val="99"/>
    <w:semiHidden/>
    <w:qFormat/>
    <w:rPr>
      <w:sz w:val="21"/>
      <w:szCs w:val="21"/>
    </w:rPr>
  </w:style>
  <w:style w:type="character" w:styleId="1082" w:customStyle="1">
    <w:name w:val="批注主题 Char1"/>
    <w:basedOn w:val="1081"/>
    <w:link w:val="780"/>
    <w:uiPriority w:val="0"/>
    <w:qFormat/>
  </w:style>
  <w:style w:type="character" w:styleId="1083" w:customStyle="1">
    <w:name w:val="批注框文本 Char1"/>
    <w:basedOn w:val="751"/>
    <w:link w:val="765"/>
    <w:uiPriority w:val="99"/>
    <w:semiHidden/>
    <w:qFormat/>
    <w:rPr>
      <w:sz w:val="18"/>
      <w:szCs w:val="18"/>
    </w:rPr>
  </w:style>
  <w:style w:type="character" w:styleId="1084" w:customStyle="1">
    <w:name w:val="font31"/>
    <w:basedOn w:val="751"/>
    <w:uiPriority w:val="0"/>
    <w:qFormat/>
    <w:rPr>
      <w:rFonts w:hint="eastAsia" w:ascii="宋体" w:hAnsi="宋体" w:eastAsia="宋体" w:cs="宋体"/>
      <w:color w:val="000000"/>
      <w:sz w:val="20"/>
      <w:szCs w:val="20"/>
      <w:u w:val="none"/>
    </w:rPr>
  </w:style>
  <w:style w:type="character" w:styleId="1085" w:customStyle="1">
    <w:name w:val="font61"/>
    <w:basedOn w:val="751"/>
    <w:uiPriority w:val="0"/>
    <w:qFormat/>
    <w:rPr>
      <w:rFonts w:hint="eastAsia" w:ascii="宋体" w:hAnsi="宋体" w:eastAsia="宋体" w:cs="宋体"/>
      <w:color w:val="ff0000"/>
      <w:sz w:val="20"/>
      <w:szCs w:val="20"/>
      <w:u w:val="none"/>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CD28697-B8CA-42F6-AD8A-6C4BA9EED4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顾方民</cp:lastModifiedBy>
  <cp:revision>6</cp:revision>
  <dcterms:created xsi:type="dcterms:W3CDTF">2026-07-03T05:54:00Z</dcterms:created>
  <dcterms:modified xsi:type="dcterms:W3CDTF">2026-10-27T07:40:33Z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D3A5867DA5CD43298DF30D9A6054FC02_13</vt:lpwstr>
  </property>
  <property fmtid="{D5CDD505-2E9C-101B-9397-08002B2CF9AE}" pid="4" name="KSOTemplateDocerSaveRecord">
    <vt:lpwstr>eyJoZGlkIjoiYzZkNzQ4ZWFiZmQ4NTRhOWRkZTk3YTMwMjlmMmZhYmUiLCJ1c2VySWQiOiI1ODQwMTgzODcifQ==</vt:lpwstr>
  </property>
</Properties>
</file>