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pageBreakBefore w:val="0"/>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60"/>
        <w:pageBreakBefore w:val="0"/>
        <w:spacing w:line="360" w:lineRule="auto"/>
        <w:rPr>
          <w:rFonts w:hint="eastAsia"/>
          <w:color w:val="000000"/>
          <w:highlight w:val="none"/>
        </w:rPr>
      </w:pPr>
      <w:r>
        <w:rPr>
          <w:rFonts w:hint="eastAsia"/>
          <w:color w:val="000000"/>
          <w:highlight w:val="none"/>
        </w:rPr>
      </w:r>
      <w:r/>
    </w:p>
    <w:p>
      <w:pPr>
        <w:pStyle w:val="757"/>
        <w:jc w:val="center"/>
        <w:pageBreakBefore w:val="0"/>
        <w:spacing w:line="360" w:lineRule="auto"/>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658"/>
        <w:ind w:firstLine="1506"/>
        <w:pageBreakBefore w:val="0"/>
        <w:spacing w:line="360" w:lineRule="auto"/>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高淳区淳溪中心小学送餐电梯采购</w:t>
      </w:r>
      <w:r>
        <w:rPr>
          <w:rFonts w:eastAsia="宋体" w:cs="Times New Roman"/>
          <w:b/>
          <w:color w:val="000000"/>
          <w:sz w:val="30"/>
          <w:szCs w:val="30"/>
          <w:highlight w:val="none"/>
          <w:u w:val="single"/>
          <w:lang w:val="en-US" w:eastAsia="zh-CN"/>
        </w:rPr>
      </w:r>
      <w:r/>
    </w:p>
    <w:p>
      <w:pPr>
        <w:pStyle w:val="658"/>
        <w:ind w:firstLine="1506"/>
        <w:pageBreakBefore w:val="0"/>
        <w:spacing w:line="360" w:lineRule="auto"/>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18</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0012</w:t>
      </w:r>
      <w:r>
        <w:rPr>
          <w:rFonts w:eastAsia="宋体" w:cs="Times New Roman"/>
          <w:b/>
          <w:color w:val="000000"/>
          <w:sz w:val="30"/>
          <w:szCs w:val="30"/>
          <w:highlight w:val="none"/>
          <w:lang w:val="en-US" w:eastAsia="zh-CN"/>
        </w:rPr>
      </w:r>
      <w:r/>
    </w:p>
    <w:p>
      <w:pPr>
        <w:pStyle w:val="658"/>
        <w:jc w:val="center"/>
        <w:pageBreakBefore w:val="0"/>
        <w:spacing w:line="360" w:lineRule="auto"/>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7"/>
        <w:ind w:firstLine="0"/>
        <w:jc w:val="center"/>
        <w:pageBreakBefore w:val="0"/>
        <w:spacing w:line="360" w:lineRule="auto"/>
        <w:rPr>
          <w:rFonts w:hint="eastAsia"/>
          <w:b/>
          <w:bCs/>
          <w:color w:val="000000"/>
          <w:sz w:val="32"/>
          <w:highlight w:val="none"/>
          <w:lang w:eastAsia="zh-CN"/>
        </w:rPr>
      </w:pPr>
      <w:r>
        <w:rPr>
          <w:rFonts w:hint="eastAsia"/>
          <w:b/>
          <w:bCs/>
          <w:color w:val="000000"/>
          <w:sz w:val="32"/>
          <w:highlight w:val="none"/>
          <w:lang w:eastAsia="zh-CN"/>
        </w:rPr>
        <w:t xml:space="preserve">南京市公共资源交易中心高淳分中心</w:t>
      </w:r>
      <w:r>
        <w:rPr>
          <w:rFonts w:hint="eastAsia"/>
          <w:b/>
          <w:bCs/>
          <w:color w:val="000000"/>
          <w:sz w:val="32"/>
          <w:highlight w:val="none"/>
          <w:lang w:eastAsia="zh-CN"/>
        </w:rPr>
      </w:r>
      <w:r/>
    </w:p>
    <w:p>
      <w:pPr>
        <w:pStyle w:val="658"/>
        <w:ind w:firstLine="0"/>
        <w:jc w:val="center"/>
        <w:pageBreakBefore w:val="0"/>
        <w:spacing w:line="360" w:lineRule="auto"/>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658"/>
        <w:jc w:val="left"/>
        <w:pageBreakBefore w:val="0"/>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8"/>
        <w:jc w:val="center"/>
        <w:pageBreakBefore w:val="0"/>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58"/>
        <w:jc w:val="left"/>
        <w:pageBreakBefore w:val="0"/>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658"/>
        <w:jc w:val="center"/>
        <w:pageBreakBefore w:val="0"/>
        <w:spacing w:line="36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658"/>
        <w:pageBreakBefore w:val="0"/>
        <w:spacing w:line="36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35</w:t>
      </w:r>
      <w:r>
        <w:rPr>
          <w:rFonts w:hint="eastAsia" w:ascii="黑体" w:hAnsi="宋体" w:eastAsia="黑体" w:cs="Times New Roman"/>
          <w:color w:val="000000"/>
          <w:sz w:val="36"/>
          <w:szCs w:val="21"/>
          <w:highlight w:val="none"/>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42</w:t>
      </w:r>
      <w:r>
        <w:rPr>
          <w:rFonts w:hint="eastAsia" w:ascii="黑体" w:hAnsi="宋体" w:eastAsia="黑体" w:cs="Times New Roman"/>
          <w:color w:val="000000"/>
          <w:sz w:val="36"/>
          <w:szCs w:val="21"/>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8"/>
        <w:ind w:right="840"/>
        <w:jc w:val="both"/>
        <w:pageBreakBefore w:val="0"/>
        <w:spacing w:line="36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ascii="宋体" w:hAnsi="宋体"/>
          <w:color w:val="000000"/>
          <w:sz w:val="24"/>
          <w:szCs w:val="24"/>
          <w:highlight w:val="none"/>
          <w:lang w:val="en-US"/>
        </w:rPr>
      </w:pPr>
      <w:r/>
      <w:bookmarkEnd w:id="11"/>
      <w:r/>
      <w:bookmarkStart w:id="12" w:name="_Toc35393622"/>
      <w:r/>
      <w:bookmarkStart w:id="13" w:name="_Toc28359080"/>
      <w:r/>
      <w:bookmarkStart w:id="14" w:name="_Toc35393791"/>
      <w:r/>
      <w:bookmarkStart w:id="15" w:name="_Toc38985264"/>
      <w:r/>
      <w:bookmarkStart w:id="16" w:name="_Toc28359003"/>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18</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0012</w:t>
      </w:r>
      <w:r>
        <w:rPr>
          <w:rFonts w:ascii="宋体" w:hAnsi="宋体"/>
          <w:color w:val="000000"/>
          <w:sz w:val="24"/>
          <w:szCs w:val="24"/>
          <w:highlight w:val="none"/>
          <w:lang w:val="en-US"/>
        </w:rPr>
      </w:r>
      <w:r/>
    </w:p>
    <w:p>
      <w:pPr>
        <w:pStyle w:val="658"/>
        <w:ind w:firstLine="48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高淳区淳溪中心小学送餐电梯采购</w:t>
      </w:r>
      <w:r>
        <w:rPr>
          <w:rFonts w:hint="eastAsia" w:ascii="宋体" w:hAnsi="宋体"/>
          <w:color w:val="000000"/>
          <w:sz w:val="24"/>
          <w:szCs w:val="24"/>
          <w:highlight w:val="none"/>
          <w:lang w:val="en-US" w:eastAsia="zh-CN"/>
        </w:rPr>
      </w:r>
      <w:r/>
    </w:p>
    <w:p>
      <w:pPr>
        <w:pStyle w:val="658"/>
        <w:ind w:firstLine="480"/>
        <w:pageBreakBefore w:val="0"/>
        <w:spacing w:line="360" w:lineRule="auto"/>
        <w:widowControl w:val="off"/>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60万元</w:t>
      </w:r>
      <w:r>
        <w:rPr>
          <w:rFonts w:ascii="宋体" w:hAnsi="宋体"/>
          <w:color w:val="000000"/>
          <w:sz w:val="24"/>
          <w:szCs w:val="24"/>
          <w:highlight w:val="none"/>
          <w:lang w:val="en-US"/>
        </w:rPr>
      </w:r>
      <w:r/>
    </w:p>
    <w:p>
      <w:pPr>
        <w:pStyle w:val="658"/>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60万元</w:t>
      </w:r>
      <w:r>
        <w:rPr>
          <w:rFonts w:hint="eastAsia" w:ascii="宋体" w:hAnsi="宋体" w:eastAsia="宋体" w:cs="宋体"/>
          <w:color w:val="000000"/>
          <w:sz w:val="24"/>
          <w:szCs w:val="24"/>
          <w:highlight w:val="none"/>
          <w:lang w:eastAsia="zh-CN"/>
        </w:rPr>
      </w:r>
      <w:r/>
    </w:p>
    <w:p>
      <w:pPr>
        <w:pStyle w:val="658"/>
        <w:ind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高淳区淳溪中心小学送餐电梯采购，本项目包含1部无机房电梯及电梯钢结构井道。</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658"/>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rPr>
        <w:t xml:space="preserve">合同签订生效之</w:t>
      </w:r>
      <w:r>
        <w:rPr>
          <w:rFonts w:hint="eastAsia" w:ascii="宋体" w:hAnsi="宋体" w:cs="宋体"/>
          <w:color w:val="000000"/>
          <w:sz w:val="24"/>
          <w:szCs w:val="24"/>
          <w:lang w:eastAsia="zh-CN"/>
        </w:rPr>
        <w:t xml:space="preserve">日起</w:t>
      </w:r>
      <w:r>
        <w:rPr>
          <w:rFonts w:hint="eastAsia" w:ascii="宋体" w:hAnsi="宋体"/>
          <w:color w:val="000000"/>
          <w:sz w:val="24"/>
          <w:szCs w:val="24"/>
          <w:highlight w:val="none"/>
          <w:lang w:val="en-US" w:eastAsia="zh-CN"/>
        </w:rPr>
        <w:t xml:space="preserve">120日内</w:t>
      </w:r>
      <w:r>
        <w:rPr>
          <w:rFonts w:hint="eastAsia" w:ascii="宋体" w:hAnsi="宋体" w:eastAsia="宋体"/>
          <w:color w:val="000000"/>
          <w:sz w:val="24"/>
          <w:szCs w:val="24"/>
          <w:highlight w:val="none"/>
          <w:lang w:eastAsia="zh-CN"/>
        </w:rPr>
      </w:r>
      <w:r/>
    </w:p>
    <w:p>
      <w:pPr>
        <w:pStyle w:val="658"/>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658"/>
        <w:ind w:firstLine="48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hint="eastAsia" w:ascii="宋体" w:hAnsi="宋体"/>
          <w:color w:val="00000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8"/>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8"/>
        <w:ind w:firstLine="48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658"/>
        <w:ind w:firstLine="48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1"/>
        <w:ind w:left="0" w:right="0" w:firstLine="482"/>
        <w:keepLines w:val="0"/>
        <w:keepNext w:val="0"/>
        <w:spacing w:before="0" w:beforeAutospacing="0" w:after="0" w:afterAutospacing="0"/>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rPr>
        <w:t xml:space="preserve">1.投标人如为设备制造商，则须具有有效期内的《中华人民共和国特种设备生产许可证》许可项目电梯制造(含安装、修理、改造；许可子项目曳引驱动乘客电梯)</w:t>
      </w:r>
      <w:r>
        <w:rPr>
          <w:rFonts w:hint="eastAsia" w:ascii="宋体" w:hAnsi="宋体" w:eastAsia="宋体" w:cs="宋体"/>
          <w:b/>
          <w:bCs/>
          <w:i w:val="0"/>
          <w:iCs w:val="0"/>
          <w:caps w:val="0"/>
          <w:color w:val="000000"/>
          <w:spacing w:val="0"/>
          <w:sz w:val="24"/>
          <w:szCs w:val="24"/>
        </w:rPr>
      </w:r>
      <w:r/>
    </w:p>
    <w:p>
      <w:pPr>
        <w:pStyle w:val="721"/>
        <w:ind w:left="0" w:right="0" w:firstLine="482"/>
        <w:keepLines w:val="0"/>
        <w:keepNext w:val="0"/>
        <w:spacing w:before="0" w:beforeAutospacing="0" w:after="0" w:afterAutospacing="0"/>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rPr>
        <w:t xml:space="preserve">2.投标人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w:t>
      </w:r>
      <w:r>
        <w:rPr>
          <w:rFonts w:hint="eastAsia" w:ascii="宋体" w:hAnsi="宋体" w:eastAsia="宋体" w:cs="宋体"/>
          <w:b/>
          <w:bCs/>
          <w:i w:val="0"/>
          <w:iCs w:val="0"/>
          <w:caps w:val="0"/>
          <w:color w:val="000000"/>
          <w:spacing w:val="0"/>
          <w:sz w:val="24"/>
          <w:szCs w:val="24"/>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ascii="宋体" w:hAnsi="宋体" w:cs="宋体"/>
          <w:color w:val="000000"/>
          <w:sz w:val="24"/>
          <w:szCs w:val="24"/>
          <w:highlight w:val="none"/>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658"/>
        <w:ind w:firstLine="48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07"/>
      <w:r/>
      <w:bookmarkStart w:id="29" w:name="_Toc28359084"/>
      <w:r/>
      <w:bookmarkStart w:id="30" w:name="_Toc3539379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bCs w:val="0"/>
          <w:color w:val="000000"/>
          <w:sz w:val="24"/>
          <w:szCs w:val="24"/>
          <w:highlight w:val="none"/>
          <w:u w:val="none"/>
          <w:lang w:val="en-US" w:eastAsia="zh-CN"/>
        </w:rPr>
        <w:t xml:space="preserve">26</w:t>
      </w:r>
      <w:r>
        <w:rPr>
          <w:rFonts w:hint="eastAsia" w:ascii="宋体" w:hAnsi="宋体"/>
          <w:b/>
          <w:bCs w:val="0"/>
          <w:color w:val="000000"/>
          <w:sz w:val="24"/>
          <w:szCs w:val="24"/>
          <w:highlight w:val="none"/>
          <w:u w:val="none"/>
        </w:rPr>
        <w:t xml:space="preserve">年</w:t>
      </w:r>
      <w:r>
        <w:rPr>
          <w:rFonts w:hint="eastAsia" w:ascii="宋体" w:hAnsi="宋体" w:eastAsia="宋体" w:cs="宋体"/>
          <w:b/>
          <w:bCs w:val="0"/>
          <w:color w:val="000000"/>
          <w:sz w:val="24"/>
          <w:szCs w:val="24"/>
          <w:highlight w:val="none"/>
          <w:u w:val="none"/>
          <w:lang w:val="en-US" w:eastAsia="zh-CN"/>
        </w:rPr>
        <w:t xml:space="preserve">11</w:t>
      </w:r>
      <w:r>
        <w:rPr>
          <w:rFonts w:hint="eastAsia" w:ascii="宋体" w:hAnsi="宋体"/>
          <w:b/>
          <w:bCs w:val="0"/>
          <w:color w:val="000000"/>
          <w:sz w:val="24"/>
          <w:szCs w:val="24"/>
          <w:highlight w:val="none"/>
          <w:u w:val="none"/>
        </w:rPr>
        <w:t xml:space="preserve">月</w:t>
      </w:r>
      <w:r>
        <w:rPr>
          <w:rFonts w:hint="eastAsia" w:ascii="宋体" w:hAnsi="宋体" w:eastAsia="宋体" w:cs="宋体"/>
          <w:b/>
          <w:bCs w:val="0"/>
          <w:color w:val="000000"/>
          <w:sz w:val="24"/>
          <w:szCs w:val="24"/>
          <w:highlight w:val="none"/>
          <w:u w:val="none"/>
          <w:lang w:val="en-US" w:eastAsia="zh-CN"/>
        </w:rPr>
        <w:t xml:space="preserve">03</w:t>
      </w:r>
      <w:r>
        <w:rPr>
          <w:rFonts w:hint="eastAsia" w:ascii="宋体" w:hAnsi="宋体"/>
          <w:b/>
          <w:bCs w:val="0"/>
          <w:color w:val="000000"/>
          <w:sz w:val="24"/>
          <w:szCs w:val="24"/>
          <w:highlight w:val="none"/>
          <w:u w:val="none"/>
        </w:rPr>
        <w:t xml:space="preserve">日</w:t>
      </w:r>
      <w:r>
        <w:rPr>
          <w:rFonts w:hint="eastAsia" w:ascii="宋体" w:hAnsi="宋体" w:eastAsia="宋体" w:cs="宋体"/>
          <w:b/>
          <w:bCs w:val="0"/>
          <w:color w:val="000000"/>
          <w:sz w:val="24"/>
          <w:szCs w:val="24"/>
          <w:highlight w:val="none"/>
          <w:u w:val="none"/>
          <w:lang w:val="en-US" w:eastAsia="zh-CN"/>
        </w:rPr>
        <w:t xml:space="preserve">09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ascii="宋体" w:hAnsi="宋体" w:eastAsia="宋体" w:cs="宋体"/>
          <w:b/>
          <w:bCs w:val="0"/>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658"/>
        <w:ind w:firstLine="480"/>
        <w:pageBreakBefore w:val="0"/>
        <w:spacing w:line="36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8985269"/>
      <w:r/>
      <w:bookmarkStart w:id="37" w:name="_Toc35393796"/>
      <w:r/>
      <w:bookmarkStart w:id="38" w:name="_Toc35393627"/>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658"/>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658"/>
        <w:ind w:firstLine="480"/>
        <w:pageBreakBefore w:val="0"/>
        <w:spacing w:line="36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658"/>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8"/>
        <w:ind w:firstLine="480"/>
        <w:pageBreakBefore w:val="0"/>
        <w:spacing w:line="36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658"/>
        <w:ind w:firstLine="480"/>
        <w:pageBreakBefore w:val="0"/>
        <w:spacing w:line="36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采购人《质疑函》收件人：杨平海，收件地址：南京市高淳区淳溪街道凤岭山庄15号，联系电话：13813055779。</w:t>
      </w:r>
      <w:r>
        <w:rPr>
          <w:rFonts w:hint="eastAsia" w:ascii="宋体" w:hAnsi="宋体" w:eastAsia="宋体" w:cs="Times New Roman"/>
          <w:b w:val="0"/>
          <w:bCs w:val="0"/>
          <w:color w:val="000000"/>
          <w:sz w:val="24"/>
          <w:highlight w:val="none"/>
          <w:lang w:val="en-US" w:eastAsia="zh-CN"/>
        </w:rPr>
      </w:r>
      <w:r/>
    </w:p>
    <w:p>
      <w:pPr>
        <w:pStyle w:val="658"/>
        <w:ind w:firstLine="480"/>
        <w:pageBreakBefore w:val="0"/>
        <w:spacing w:line="36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w:t>
      </w:r>
      <w:r>
        <w:rPr>
          <w:rFonts w:hint="eastAsia" w:ascii="宋体" w:hAnsi="宋体" w:eastAsia="宋体" w:cs="Times New Roman"/>
          <w:b w:val="0"/>
          <w:bCs w:val="0"/>
          <w:color w:val="000000"/>
          <w:sz w:val="24"/>
          <w:highlight w:val="none"/>
          <w:lang w:val="en-US" w:eastAsia="zh-CN"/>
        </w:rPr>
        <w:t xml:space="preserve">南京市公共资源交易中心高淳分中心</w:t>
      </w:r>
      <w:r>
        <w:rPr>
          <w:rFonts w:hint="eastAsia" w:ascii="宋体" w:hAnsi="宋体" w:eastAsia="宋体" w:cs="Times New Roman"/>
          <w:b w:val="0"/>
          <w:bCs w:val="0"/>
          <w:color w:val="000000"/>
          <w:sz w:val="24"/>
          <w:highlight w:val="none"/>
          <w:lang w:val="en-US"/>
        </w:rPr>
        <w:t xml:space="preserve">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科</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高淳区创新大道9号市民中心四楼B区B409</w:t>
      </w:r>
      <w:r>
        <w:rPr>
          <w:rFonts w:hint="eastAsia" w:ascii="宋体" w:hAnsi="宋体" w:eastAsia="宋体" w:cs="Times New Roman"/>
          <w:b w:val="0"/>
          <w:bCs w:val="0"/>
          <w:color w:val="000000"/>
          <w:sz w:val="24"/>
          <w:highlight w:val="none"/>
          <w:lang w:val="en-US"/>
        </w:rPr>
        <w:t xml:space="preserve">，联系电话：025-</w:t>
      </w:r>
      <w:r>
        <w:rPr>
          <w:rFonts w:hint="eastAsia" w:ascii="宋体" w:hAnsi="宋体" w:eastAsia="宋体" w:cs="Times New Roman"/>
          <w:b w:val="0"/>
          <w:bCs w:val="0"/>
          <w:color w:val="000000"/>
          <w:sz w:val="24"/>
          <w:highlight w:val="none"/>
          <w:lang w:val="en-US" w:eastAsia="zh-CN"/>
        </w:rPr>
        <w:t xml:space="preserve">56821765</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宋体"/>
          <w:color w:val="000000"/>
          <w:sz w:val="24"/>
          <w:szCs w:val="24"/>
          <w:highlight w:val="none"/>
          <w:u w:val="none"/>
          <w:lang w:val="en-US" w:eastAsia="zh-CN"/>
        </w:rPr>
        <w:t xml:space="preserve">南京市高淳区淳溪中心小学</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南京市高淳区淳溪街道凤岭山庄15号</w:t>
      </w:r>
      <w:r>
        <w:rPr>
          <w:rFonts w:hint="eastAsia" w:ascii="宋体" w:hAnsi="宋体" w:eastAsia="宋体" w:cs="宋体"/>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eastAsia="宋体" w:cs="宋体"/>
          <w:color w:val="000000"/>
          <w:sz w:val="24"/>
          <w:szCs w:val="24"/>
          <w:highlight w:val="none"/>
          <w:u w:val="none"/>
          <w:lang w:val="en-US" w:eastAsia="zh-CN"/>
        </w:rPr>
        <w:t xml:space="preserve">杨平海</w:t>
      </w:r>
      <w:r>
        <w:rPr>
          <w:rFonts w:hint="eastAsia" w:ascii="宋体" w:hAnsi="宋体" w:eastAsia="宋体" w:cs="宋体"/>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13813055779</w:t>
      </w:r>
      <w:r>
        <w:rPr>
          <w:rFonts w:hint="eastAsia" w:ascii="宋体" w:hAnsi="宋体" w:eastAsia="宋体" w:cs="宋体"/>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址：南京市高淳区创新大道9号市民中心四楼B409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杨女士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8"/>
        <w:ind w:firstLine="480"/>
        <w:pageBreakBefore w:val="0"/>
        <w:spacing w:line="36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lang w:val="zh-CN" w:eastAsia="zh-CN"/>
        </w:rPr>
        <w:t xml:space="preserve">025-</w:t>
      </w:r>
      <w:r>
        <w:rPr>
          <w:rFonts w:hint="eastAsia" w:ascii="宋体" w:hAnsi="宋体" w:eastAsia="宋体" w:cs="宋体"/>
          <w:color w:val="000000"/>
          <w:sz w:val="24"/>
          <w:szCs w:val="24"/>
          <w:highlight w:val="none"/>
          <w:lang w:val="en-US" w:eastAsia="zh-CN"/>
        </w:rPr>
        <w:t xml:space="preserve">56821765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760"/>
        <w:ind w:left="0" w:firstLine="0"/>
        <w:jc w:val="center"/>
        <w:pageBreakBefore w:val="0"/>
        <w:spacing w:line="360" w:lineRule="auto"/>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法定代表人授权委托书等</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658"/>
        <w:ind w:firstLine="490"/>
        <w:keepLines w:val="0"/>
        <w:keepNext w:val="0"/>
        <w:pageBreakBefore w:val="0"/>
        <w:spacing w:line="360" w:lineRule="auto"/>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1"/>
        <w:ind w:firstLine="465"/>
        <w:pageBreakBefore w:val="0"/>
        <w:spacing w:before="120" w:after="120" w:line="36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658"/>
        <w:ind w:firstLine="420"/>
        <w:pageBreakBefore w:val="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658"/>
        <w:ind w:left="0"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658"/>
        <w:ind w:firstLine="422"/>
        <w:keepLines w:val="0"/>
        <w:keepNext w:val="0"/>
        <w:pageBreakBefore w:val="0"/>
        <w:spacing w:line="36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658"/>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658"/>
        <w:ind w:firstLine="422"/>
        <w:keepLines w:val="0"/>
        <w:keepNext w:val="0"/>
        <w:pageBreakBefore w:val="0"/>
        <w:spacing w:line="36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658"/>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658"/>
        <w:ind w:firstLine="420"/>
        <w:pageBreakBefore w:val="0"/>
        <w:spacing w:line="360" w:lineRule="auto"/>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58"/>
        <w:ind w:firstLine="420"/>
        <w:pageBreakBefore w:val="0"/>
        <w:spacing w:line="36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658"/>
        <w:ind w:firstLine="422"/>
        <w:keepLines w:val="0"/>
        <w:keepNext w:val="0"/>
        <w:pageBreakBefore w:val="0"/>
        <w:spacing w:line="36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25.3中标人不得将合同标的进行转包，否则采购人有权取消其中标资格或终止合同。转包造成采购人损失的，中标人应承担相应赔偿责任。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5.4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658"/>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661"/>
        <w:ind w:firstLine="465"/>
        <w:pageBreakBefore w:val="0"/>
        <w:spacing w:before="120" w:after="120" w:line="36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8"/>
        <w:pageBreakBefore w:val="0"/>
        <w:spacing w:line="36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658"/>
        <w:pageBreakBefore w:val="0"/>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南京市高淳区财政局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661"/>
        <w:ind w:firstLine="465"/>
        <w:pageBreakBefore w:val="0"/>
        <w:spacing w:before="120" w:after="120" w:line="36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62"/>
        <w:ind w:firstLine="420"/>
        <w:pageBreakBefore w:val="0"/>
        <w:spacing w:before="0" w:after="0" w:line="36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658"/>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658"/>
        <w:ind w:firstLine="420"/>
        <w:pageBreakBefore w:val="0"/>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658"/>
        <w:ind w:firstLine="42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658"/>
        <w:ind w:firstLine="420"/>
        <w:keepLines w:val="0"/>
        <w:keepNext w:val="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658"/>
        <w:ind w:firstLine="42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658"/>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662"/>
        <w:ind w:firstLine="420"/>
        <w:pageBreakBefore w:val="0"/>
        <w:spacing w:before="0" w:after="0" w:line="36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62"/>
        <w:ind w:firstLine="420"/>
        <w:pageBreakBefore w:val="0"/>
        <w:spacing w:before="0" w:after="0" w:line="36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658"/>
        <w:ind w:firstLine="42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658"/>
        <w:ind w:firstLine="42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658"/>
        <w:ind w:firstLine="42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658"/>
        <w:ind w:firstLine="42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662"/>
        <w:ind w:firstLine="420"/>
        <w:pageBreakBefore w:val="0"/>
        <w:spacing w:before="0" w:after="0" w:line="36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658"/>
        <w:ind w:firstLine="42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662"/>
        <w:ind w:firstLine="420"/>
        <w:pageBreakBefore w:val="0"/>
        <w:spacing w:before="0" w:after="0" w:line="36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662"/>
        <w:ind w:firstLine="420"/>
        <w:pageBreakBefore w:val="0"/>
        <w:spacing w:before="0" w:after="0" w:line="36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658"/>
        <w:ind w:firstLine="420"/>
        <w:pageBreakBefore w:val="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658"/>
        <w:ind w:firstLine="42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658"/>
        <w:ind w:firstLine="422"/>
        <w:pageBreakBefore w:val="0"/>
        <w:spacing w:line="360" w:lineRule="auto"/>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658"/>
        <w:ind w:firstLine="42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658"/>
        <w:ind w:firstLine="420"/>
        <w:pageBreakBefore w:val="0"/>
        <w:spacing w:line="360" w:lineRule="auto"/>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658"/>
        <w:ind w:firstLine="420"/>
        <w:pageBreakBefore w:val="0"/>
        <w:spacing w:line="360" w:lineRule="auto"/>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658"/>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513029242"/>
      <w:r/>
      <w:bookmarkStart w:id="45" w:name="_Toc120614221"/>
      <w:r/>
      <w:bookmarkStart w:id="46" w:name="_Toc20823314"/>
      <w:r/>
      <w:bookmarkStart w:id="47" w:name="_Toc479757207"/>
      <w:r>
        <w:rPr>
          <w:rFonts w:hint="eastAsia" w:ascii="宋体" w:hAnsi="宋体" w:eastAsia="宋体" w:cs="Times New Roman"/>
          <w:color w:val="000000"/>
          <w:sz w:val="24"/>
          <w:highlight w:val="none"/>
          <w:lang w:val="zh-CN" w:eastAsia="zh-CN"/>
        </w:rPr>
      </w:r>
      <w:r/>
    </w:p>
    <w:p>
      <w:pPr>
        <w:pStyle w:val="76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658"/>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60"/>
        <w:ind w:left="0" w:firstLine="0"/>
        <w:jc w:val="center"/>
        <w:pageBreakBefore w:val="0"/>
        <w:spacing w:line="360" w:lineRule="auto"/>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658"/>
        <w:ind w:firstLine="480"/>
        <w:keepLines w:val="0"/>
        <w:keepNext w:val="0"/>
        <w:pageBreakBefore w:val="0"/>
        <w:spacing w:line="360" w:lineRule="auto"/>
        <w:widowControl w:val="off"/>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16938590"/>
      <w:r/>
      <w:bookmarkStart w:id="53" w:name="_Toc120614244"/>
      <w:r/>
      <w:bookmarkStart w:id="54" w:name="_Toc20823346"/>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658"/>
        <w:jc w:val="center"/>
        <w:keepLines w:val="0"/>
        <w:keepNext w:val="0"/>
        <w:pageBreakBefore w:val="0"/>
        <w:spacing w:before="145" w:after="145" w:line="36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658"/>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658"/>
        <w:jc w:val="left"/>
        <w:keepLines w:val="0"/>
        <w:keepNext w:val="0"/>
        <w:pageBreakBefore w:val="0"/>
        <w:spacing w:before="145" w:after="145" w:line="36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8"/>
        <w:keepLines w:val="0"/>
        <w:keepNext w:val="0"/>
        <w:pageBreakBefore w:val="0"/>
        <w:spacing w:before="145" w:after="145" w:line="36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8"/>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658"/>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南京市公共资源交易中心高淳分中心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58"/>
        <w:pageBreakBefore w:val="0"/>
        <w:spacing w:line="36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697"/>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8"/>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658"/>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line="36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供货结束，通过验收合格，取得市场监管部门核发</w:t>
      </w:r>
      <w:r>
        <w:rPr>
          <w:rFonts w:hint="eastAsia" w:hAnsi="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lang w:val="en-US" w:eastAsia="zh-CN"/>
        </w:rPr>
        <w:t xml:space="preserve">《特种设备使用登记证》，项目审计结束后30日内，甲方支付至合同总价的95%；</w:t>
      </w:r>
      <w:r>
        <w:rPr>
          <w:rFonts w:hint="eastAsia" w:ascii="宋体" w:hAnsi="宋体" w:eastAsia="宋体" w:cs="Courier New"/>
          <w:color w:val="000000"/>
          <w:sz w:val="24"/>
          <w:szCs w:val="24"/>
          <w:highlight w:val="none"/>
          <w:lang w:val="en-US" w:eastAsia="zh-CN"/>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合同质保期满，经甲方验收合格后，支付至合同总价的100%；</w:t>
      </w:r>
      <w:r>
        <w:rPr>
          <w:rFonts w:hint="eastAsia" w:ascii="宋体" w:hAnsi="宋体" w:eastAsia="宋体" w:cs="Courier New"/>
          <w:color w:val="000000"/>
          <w:sz w:val="24"/>
          <w:szCs w:val="24"/>
          <w:highlight w:val="none"/>
          <w:lang w:val="en-US" w:eastAsia="zh-CN"/>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697"/>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8"/>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12</w:t>
      </w:r>
      <w:r>
        <w:rPr>
          <w:rFonts w:hint="eastAsia" w:ascii="宋体" w:hAnsi="宋体" w:eastAsia="宋体" w:cs="Courier New"/>
          <w:color w:val="000000"/>
          <w:sz w:val="24"/>
          <w:szCs w:val="24"/>
          <w:highlight w:val="none"/>
          <w:u w:val="single"/>
        </w:rPr>
        <w:t xml:space="preserve">   </w:t>
      </w:r>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2</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658"/>
        <w:pageBreakBefore w:val="0"/>
        <w:spacing w:line="360"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highlight w:val="none"/>
          <w:lang w:val="en-US" w:eastAsia="zh-CN"/>
        </w:rPr>
      </w:r>
      <w:r/>
    </w:p>
    <w:p>
      <w:pPr>
        <w:pStyle w:val="658"/>
        <w:keepLines w:val="0"/>
        <w:keepNext w:val="0"/>
        <w:pageBreakBefore w:val="0"/>
        <w:spacing w:before="0" w:after="0" w:line="36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13.6乙方未按本合同第四章规定的维保时限要求履行售后服务义务的，每发生一次，应向甲方支付合同总价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lang w:val="en-US" w:eastAsia="zh-CN"/>
        </w:rPr>
        <w:t xml:space="preserve">的违约金；累计发生三次以上的，甲方有权委托第三方进行维修，所产生费用由乙方承担。</w:t>
      </w:r>
      <w:r>
        <w:rPr>
          <w:rFonts w:hint="eastAsia"/>
          <w:color w:val="000000"/>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8"/>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697"/>
        <w:keepLines w:val="0"/>
        <w:keepNext w:val="0"/>
        <w:pageBreakBefore w:val="0"/>
        <w:spacing w:before="120" w:after="120" w:line="360"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7"/>
        <w:ind w:firstLine="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7"/>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697"/>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697"/>
        <w:ind w:firstLine="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697"/>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7"/>
        <w:ind w:firstLine="480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658"/>
        <w:jc w:val="center"/>
        <w:keepLines w:val="0"/>
        <w:keepNext w:val="0"/>
        <w:pageBreakBefore w:val="0"/>
        <w:spacing w:before="145" w:after="145" w:line="36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658"/>
        <w:jc w:val="both"/>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658"/>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697"/>
        <w:ind w:firstLine="480"/>
        <w:jc w:val="left"/>
        <w:keepLines w:val="0"/>
        <w:keepNext w:val="0"/>
        <w:pageBreakBefore w:val="0"/>
        <w:spacing w:before="120" w:after="120" w:line="360"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658"/>
        <w:jc w:val="center"/>
        <w:pageBreakBefore w:val="0"/>
        <w:spacing w:before="120" w:after="120" w:line="360" w:lineRule="auto"/>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658"/>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658"/>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高淳区淳溪中心小学送餐电梯采购，本项目包含1部无机房电梯及电梯钢结构井道。</w:t>
      </w:r>
      <w:r>
        <w:rPr>
          <w:rFonts w:hint="eastAsia" w:ascii="宋体" w:hAnsi="宋体" w:eastAsia="宋体" w:cs="Times New Roman"/>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所投产品满足招标文件产品标准和规范要求及《特种设备安全监察条例》最新、《电梯检验规则》等最新的要求，同时应达到下列标准和规范最新版本的要求：</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《电梯制造与安装安全规范》GB/T 7588-2020</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《电梯主要参数及轿厢、井道、机房的型式与尺寸》(GB/T7025.1-3)</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《电梯技术条件》GB/T 10058-2009</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《电梯试验方法》GB/T 10059-2009</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《电梯安装验收规范》GB/T 10060-2011</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《电梯工程施工质量验收规范》(GB50310-2013)</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《电梯用钢丝绳》GB 8903-2018</w:t>
      </w:r>
      <w:r>
        <w:rPr>
          <w:rFonts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《电梯曳引机》GB/T 24478-2023</w:t>
      </w:r>
      <w:r>
        <w:rPr>
          <w:rFonts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《交流电梯电动机通用技术条件》GB/T 12974-2012</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《电梯操作装置、信号和附件》GB/T 30560-2014</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《特种设备安全监察条例》</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《特种设备质量监督与安全监察规定》</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《机电类特种设备安装改造维修许可规则》</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《电梯监督检验规程》</w:t>
      </w:r>
      <w:r>
        <w:rPr>
          <w:rFonts w:hint="eastAsia" w:ascii="宋体" w:hAnsi="宋体" w:eastAsia="宋体" w:cs="宋体"/>
          <w:bCs/>
          <w:color w:val="000000"/>
          <w:sz w:val="24"/>
          <w:szCs w:val="24"/>
          <w:highlight w:val="none"/>
          <w:lang w:val="en-US" w:eastAsia="zh-CN"/>
        </w:rPr>
      </w:r>
      <w:r/>
    </w:p>
    <w:p>
      <w:pPr>
        <w:pStyle w:val="658"/>
        <w:ind w:firstLine="480"/>
        <w:pageBreakBefore w:val="0"/>
        <w:spacing w:line="36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788"/>
        <w:tblW w:w="0" w:type="auto"/>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9"/>
        <w:gridCol w:w="1942"/>
        <w:gridCol w:w="724"/>
        <w:gridCol w:w="693"/>
        <w:gridCol w:w="1054"/>
        <w:gridCol w:w="1193"/>
        <w:gridCol w:w="1029"/>
        <w:gridCol w:w="1197"/>
        <w:gridCol w:w="1273"/>
      </w:tblGrid>
      <w:tr>
        <w:trPr>
          <w:trHeight w:val="470"/>
        </w:trPr>
        <w:tc>
          <w:tcPr>
            <w:tcW w:w="64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942"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724"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6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1054"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658"/>
              <w:jc w:val="center"/>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11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102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1197"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127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bidi="ar-SA"/>
              </w:rPr>
            </w:r>
            <w:r/>
          </w:p>
        </w:tc>
      </w:tr>
      <w:tr>
        <w:trPr>
          <w:trHeight w:val="398"/>
        </w:trPr>
        <w:tc>
          <w:tcPr>
            <w:tcW w:w="64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942" w:type="dxa"/>
            <w:vAlign w:val="center"/>
            <w:textDirection w:val="lrTb"/>
            <w:noWrap w:val="false"/>
          </w:tcPr>
          <w:p>
            <w:pPr>
              <w:pStyle w:val="65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无机房客梯</w:t>
            </w:r>
            <w:r>
              <w:rPr>
                <w:rFonts w:hint="eastAsia" w:ascii="宋体" w:hAnsi="宋体" w:eastAsia="宋体" w:cs="宋体"/>
                <w:bCs/>
                <w:color w:val="000000"/>
                <w:sz w:val="24"/>
                <w:szCs w:val="24"/>
                <w:highlight w:val="none"/>
              </w:rPr>
            </w:r>
            <w:r/>
          </w:p>
        </w:tc>
        <w:tc>
          <w:tcPr>
            <w:tcW w:w="724"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6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部</w:t>
            </w:r>
            <w:r>
              <w:rPr>
                <w:rFonts w:hint="eastAsia" w:ascii="宋体" w:hAnsi="宋体" w:eastAsia="宋体" w:cs="宋体"/>
                <w:bCs/>
                <w:color w:val="000000"/>
                <w:sz w:val="24"/>
                <w:szCs w:val="24"/>
                <w:highlight w:val="none"/>
                <w:lang w:val="en-US" w:eastAsia="zh-CN" w:bidi="ar-SA"/>
              </w:rPr>
            </w:r>
            <w:r/>
          </w:p>
        </w:tc>
        <w:tc>
          <w:tcPr>
            <w:tcW w:w="1054" w:type="dxa"/>
            <w:vAlign w:val="center"/>
            <w:vMerge w:val="restart"/>
            <w:textDirection w:val="lrTb"/>
            <w:noWrap w:val="false"/>
          </w:tcPr>
          <w:p>
            <w:pPr>
              <w:pStyle w:val="658"/>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600000</w:t>
            </w:r>
            <w:r>
              <w:rPr>
                <w:rFonts w:ascii="宋体" w:hAnsi="宋体" w:eastAsia="宋体" w:cs="宋体"/>
                <w:bCs/>
                <w:color w:val="000000"/>
                <w:sz w:val="24"/>
                <w:szCs w:val="24"/>
                <w:highlight w:val="none"/>
                <w:lang w:val="en-US" w:eastAsia="zh-CN" w:bidi="ar-SA"/>
              </w:rPr>
            </w:r>
            <w:r/>
          </w:p>
        </w:tc>
        <w:tc>
          <w:tcPr>
            <w:tcW w:w="11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102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197"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eastAsia="zh-CN"/>
              </w:rPr>
            </w:r>
            <w:r/>
          </w:p>
        </w:tc>
        <w:tc>
          <w:tcPr>
            <w:tcW w:w="127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bidi="ar-SA"/>
              </w:rPr>
            </w:r>
            <w:r/>
          </w:p>
        </w:tc>
      </w:tr>
      <w:tr>
        <w:trPr>
          <w:trHeight w:val="414"/>
        </w:trPr>
        <w:tc>
          <w:tcPr>
            <w:tcW w:w="64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p>
        </w:tc>
        <w:tc>
          <w:tcPr>
            <w:tcW w:w="1942" w:type="dxa"/>
            <w:vAlign w:val="center"/>
            <w:textDirection w:val="lrTb"/>
            <w:noWrap w:val="false"/>
          </w:tcPr>
          <w:p>
            <w:pPr>
              <w:pStyle w:val="658"/>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电梯钢结构井道</w:t>
            </w:r>
            <w:r>
              <w:rPr>
                <w:rFonts w:hint="eastAsia" w:ascii="宋体" w:hAnsi="宋体" w:eastAsia="宋体" w:cs="宋体"/>
                <w:bCs/>
                <w:color w:val="000000"/>
                <w:sz w:val="24"/>
                <w:szCs w:val="24"/>
                <w:highlight w:val="none"/>
                <w:lang w:val="en-US" w:eastAsia="zh-CN"/>
              </w:rPr>
            </w:r>
            <w:r/>
          </w:p>
          <w:p>
            <w:pPr>
              <w:pStyle w:val="658"/>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及幕墙</w:t>
            </w:r>
            <w:r>
              <w:rPr>
                <w:rFonts w:hint="eastAsia" w:ascii="宋体" w:hAnsi="宋体" w:eastAsia="宋体" w:cs="宋体"/>
                <w:bCs/>
                <w:color w:val="000000"/>
                <w:sz w:val="24"/>
                <w:szCs w:val="24"/>
                <w:highlight w:val="none"/>
                <w:lang w:val="en-US" w:eastAsia="zh-CN" w:bidi="ar-SA"/>
              </w:rPr>
            </w:r>
            <w:r/>
          </w:p>
        </w:tc>
        <w:tc>
          <w:tcPr>
            <w:tcW w:w="724"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bidi="ar-SA"/>
              </w:rPr>
            </w:r>
            <w:r/>
          </w:p>
        </w:tc>
        <w:tc>
          <w:tcPr>
            <w:tcW w:w="6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hint="eastAsia" w:ascii="宋体" w:hAnsi="宋体" w:eastAsia="宋体" w:cs="宋体"/>
                <w:bCs/>
                <w:color w:val="000000"/>
                <w:sz w:val="24"/>
                <w:szCs w:val="24"/>
                <w:highlight w:val="none"/>
                <w:lang w:val="en-US" w:eastAsia="zh-CN" w:bidi="ar-SA"/>
              </w:rPr>
            </w:r>
            <w:r/>
          </w:p>
        </w:tc>
        <w:tc>
          <w:tcPr>
            <w:tcW w:w="1054" w:type="dxa"/>
            <w:vAlign w:val="center"/>
            <w:vMerge w:val="continue"/>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193"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02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197"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73" w:type="dxa"/>
            <w:vAlign w:val="center"/>
            <w:textDirection w:val="lrTb"/>
            <w:noWrap w:val="false"/>
          </w:tcPr>
          <w:p>
            <w:pPr>
              <w:pStyle w:val="658"/>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否</w:t>
            </w:r>
            <w:r>
              <w:rPr>
                <w:rFonts w:ascii="宋体" w:hAnsi="宋体" w:eastAsia="宋体" w:cs="宋体"/>
                <w:bCs/>
                <w:color w:val="000000"/>
                <w:sz w:val="24"/>
                <w:szCs w:val="24"/>
                <w:highlight w:val="none"/>
                <w:lang w:val="en-US" w:eastAsia="zh-CN" w:bidi="ar-SA"/>
              </w:rPr>
            </w:r>
            <w:r/>
          </w:p>
        </w:tc>
      </w:tr>
    </w:tbl>
    <w:p>
      <w:pPr>
        <w:pStyle w:val="658"/>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658"/>
        <w:ind w:firstLine="480"/>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1544"/>
        <w:gridCol w:w="759"/>
        <w:gridCol w:w="1195"/>
        <w:gridCol w:w="1400"/>
        <w:gridCol w:w="3927"/>
      </w:tblGrid>
      <w:tr>
        <w:trPr>
          <w:trHeight w:val="90"/>
        </w:trPr>
        <w:tc>
          <w:tcPr>
            <w:shd w:val="clear" w:color="000000" w:fill="ffffff"/>
            <w:tcW w:w="1133" w:type="dxa"/>
            <w:vAlign w:val="center"/>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产品名称</w:t>
            </w:r>
            <w:r>
              <w:rPr>
                <w:rFonts w:hint="eastAsia" w:ascii="宋体" w:hAnsi="宋体"/>
                <w:color w:val="000000"/>
                <w:sz w:val="24"/>
                <w:szCs w:val="24"/>
                <w:lang w:val="zh-CN"/>
              </w:rPr>
            </w:r>
            <w:r/>
          </w:p>
        </w:tc>
        <w:tc>
          <w:tcPr>
            <w:shd w:val="clear" w:color="000000" w:fill="ffffff"/>
            <w:tcW w:w="1544" w:type="dxa"/>
            <w:vAlign w:val="center"/>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技术品目号</w:t>
            </w: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技术参数不低于以下要求</w:t>
            </w:r>
            <w:r>
              <w:rPr>
                <w:rFonts w:hint="eastAsia" w:ascii="宋体" w:hAnsi="宋体"/>
                <w:color w:val="000000"/>
                <w:sz w:val="24"/>
                <w:szCs w:val="24"/>
                <w:lang w:val="zh-CN"/>
              </w:rPr>
            </w:r>
            <w:r/>
          </w:p>
        </w:tc>
      </w:tr>
      <w:tr>
        <w:trPr>
          <w:trHeight w:val="1"/>
        </w:trPr>
        <w:tc>
          <w:tcPr>
            <w:shd w:val="clear" w:color="000000" w:fill="ffffff"/>
            <w:tcW w:w="1133"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rPr>
              <w:t xml:space="preserve">无</w:t>
            </w:r>
            <w:r>
              <w:rPr>
                <w:rFonts w:hint="eastAsia" w:ascii="宋体" w:hAnsi="宋体"/>
                <w:color w:val="000000"/>
                <w:sz w:val="24"/>
                <w:szCs w:val="24"/>
                <w:lang w:val="zh-CN"/>
              </w:rPr>
              <w:t xml:space="preserve">机房客梯</w:t>
            </w: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建筑尺寸（尺寸仅供参考，待中标后勘查现场</w:t>
            </w:r>
            <w:r>
              <w:rPr>
                <w:rFonts w:hint="eastAsia" w:ascii="宋体" w:hAnsi="宋体"/>
                <w:color w:val="000000"/>
                <w:sz w:val="24"/>
                <w:szCs w:val="24"/>
              </w:rPr>
              <w:t xml:space="preserve">确认最终尺寸</w:t>
            </w:r>
            <w:r>
              <w:rPr>
                <w:rFonts w:hint="eastAsia" w:ascii="宋体" w:hAnsi="宋体"/>
                <w:color w:val="000000"/>
                <w:sz w:val="24"/>
                <w:szCs w:val="24"/>
                <w:lang w:val="zh-CN"/>
              </w:rPr>
              <w:t xml:space="preserve">）</w:t>
            </w: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井道尺寸（宽*深mm）</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color w:val="000000"/>
                <w:sz w:val="24"/>
                <w:szCs w:val="24"/>
              </w:rPr>
              <w:t xml:space="preserve">2200*1950</w:t>
            </w:r>
            <w:r>
              <w:rPr>
                <w:rFonts w:hint="eastAsia" w:ascii="宋体" w:hAnsi="宋体"/>
                <w:color w:val="000000"/>
                <w:sz w:val="24"/>
                <w:szCs w:val="24"/>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厅门尺寸（</w:t>
            </w:r>
            <w:r>
              <w:rPr>
                <w:rFonts w:hint="eastAsia" w:ascii="宋体" w:hAnsi="宋体"/>
                <w:color w:val="000000"/>
                <w:sz w:val="24"/>
                <w:szCs w:val="24"/>
              </w:rPr>
              <w:t xml:space="preserve">宽</w:t>
            </w:r>
            <w:r>
              <w:rPr>
                <w:rFonts w:hint="eastAsia" w:ascii="宋体" w:hAnsi="宋体"/>
                <w:color w:val="000000"/>
                <w:sz w:val="24"/>
                <w:szCs w:val="24"/>
                <w:lang w:val="zh-CN"/>
              </w:rPr>
              <w:t xml:space="preserve">*</w:t>
            </w:r>
            <w:bookmarkStart w:id="60" w:name="OLE_LINK33"/>
            <w:r>
              <w:rPr>
                <w:rFonts w:hint="eastAsia" w:ascii="宋体" w:hAnsi="宋体"/>
                <w:color w:val="000000"/>
                <w:sz w:val="24"/>
                <w:szCs w:val="24"/>
              </w:rPr>
              <w:t xml:space="preserve">高</w:t>
            </w:r>
            <w:r>
              <w:rPr>
                <w:rFonts w:hint="eastAsia" w:ascii="宋体" w:hAnsi="宋体"/>
                <w:color w:val="000000"/>
                <w:sz w:val="24"/>
                <w:szCs w:val="24"/>
                <w:lang w:val="zh-CN"/>
              </w:rPr>
              <w:t xml:space="preserve">mm</w:t>
            </w:r>
            <w:bookmarkEnd w:id="60"/>
            <w:r>
              <w:rPr>
                <w:rFonts w:hint="eastAsia" w:ascii="宋体" w:hAnsi="宋体"/>
                <w:color w:val="000000"/>
                <w:sz w:val="24"/>
                <w:szCs w:val="24"/>
                <w:lang w:val="zh-CN"/>
              </w:rPr>
              <w:t xml:space="preserve">）</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800*2100</w:t>
            </w:r>
            <w:r>
              <w:rPr>
                <w:rFonts w:hint="eastAsia" w:ascii="宋体" w:hAnsi="宋体"/>
                <w:color w:val="000000"/>
                <w:sz w:val="24"/>
                <w:szCs w:val="24"/>
                <w:highlight w:val="none"/>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轿厢尺寸（宽*深mm）</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满足国标要求的基础上，做到最大</w:t>
            </w:r>
            <w:r>
              <w:rPr>
                <w:rFonts w:hint="eastAsia" w:ascii="宋体" w:hAnsi="宋体"/>
                <w:color w:val="000000"/>
                <w:sz w:val="24"/>
                <w:szCs w:val="24"/>
                <w:highlight w:val="none"/>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轿厢高度</w:t>
            </w:r>
            <w:r>
              <w:rPr>
                <w:rFonts w:hint="eastAsia" w:ascii="宋体" w:hAnsi="宋体"/>
                <w:color w:val="000000"/>
                <w:sz w:val="24"/>
                <w:szCs w:val="24"/>
                <w:lang w:val="zh-CN"/>
              </w:rPr>
              <w:t xml:space="preserve">（mm）</w:t>
            </w:r>
            <w:r>
              <w:rPr>
                <w:rFonts w:hint="eastAsia" w:ascii="宋体" w:hAnsi="宋体"/>
                <w:color w:val="000000"/>
                <w:sz w:val="24"/>
                <w:szCs w:val="24"/>
              </w:rPr>
            </w:r>
            <w:r/>
          </w:p>
        </w:tc>
        <w:tc>
          <w:tcPr>
            <w:shd w:val="clear" w:color="000000" w:fill="ffffff"/>
            <w:tcW w:w="3927" w:type="dxa"/>
            <w:vAlign w:val="center"/>
            <w:textDirection w:val="lrTb"/>
            <w:noWrap w:val="false"/>
          </w:tcPr>
          <w:p>
            <w:pPr>
              <w:pStyle w:val="658"/>
              <w:jc w:val="center"/>
              <w:pageBreakBefore w:val="0"/>
              <w:spacing w:line="360" w:lineRule="auto"/>
              <w:rPr>
                <w:color w:val="000000"/>
                <w:sz w:val="24"/>
                <w:szCs w:val="24"/>
              </w:rPr>
            </w:pPr>
            <w:r>
              <w:rPr>
                <w:rFonts w:hint="eastAsia"/>
                <w:color w:val="000000"/>
                <w:sz w:val="24"/>
                <w:szCs w:val="24"/>
              </w:rPr>
              <w:t xml:space="preserve">2400</w:t>
            </w:r>
            <w:r>
              <w:rPr>
                <w:color w:val="000000"/>
                <w:sz w:val="24"/>
                <w:szCs w:val="24"/>
              </w:rPr>
            </w:r>
            <w:r/>
          </w:p>
        </w:tc>
      </w:tr>
      <w:tr>
        <w:trPr>
          <w:trHeight w:val="244"/>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顶层高度（mm）</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color w:val="000000"/>
                <w:sz w:val="24"/>
                <w:szCs w:val="24"/>
              </w:rPr>
              <w:t xml:space="preserve">4600</w:t>
            </w:r>
            <w:r>
              <w:rPr>
                <w:rFonts w:hint="eastAsia" w:ascii="宋体" w:hAnsi="宋体"/>
                <w:color w:val="000000"/>
                <w:sz w:val="24"/>
                <w:szCs w:val="24"/>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底坑深度（mm）</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color w:val="000000"/>
                <w:sz w:val="24"/>
                <w:szCs w:val="24"/>
              </w:rPr>
              <w:t xml:space="preserve">1500</w:t>
            </w:r>
            <w:r>
              <w:rPr>
                <w:rFonts w:hint="eastAsia" w:ascii="宋体" w:hAnsi="宋体"/>
                <w:color w:val="000000"/>
                <w:sz w:val="24"/>
                <w:szCs w:val="24"/>
              </w:rPr>
            </w:r>
            <w:r/>
          </w:p>
        </w:tc>
      </w:tr>
      <w:tr>
        <w:trPr>
          <w:trHeight w:val="366"/>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提升高度（m）</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color w:val="000000"/>
                <w:sz w:val="24"/>
                <w:szCs w:val="24"/>
              </w:rPr>
            </w:pPr>
            <w:r>
              <w:rPr>
                <w:rFonts w:hint="eastAsia"/>
                <w:color w:val="000000"/>
                <w:sz w:val="24"/>
                <w:szCs w:val="24"/>
              </w:rPr>
              <w:t xml:space="preserve">10.5</w:t>
            </w:r>
            <w:r>
              <w:rPr>
                <w:color w:val="000000"/>
                <w:sz w:val="24"/>
                <w:szCs w:val="24"/>
              </w:rPr>
            </w:r>
            <w:r/>
          </w:p>
        </w:tc>
      </w:tr>
      <w:tr>
        <w:trPr>
          <w:trHeight w:val="366"/>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机房</w:t>
            </w:r>
            <w:r>
              <w:rPr>
                <w:rFonts w:hint="eastAsia" w:ascii="宋体" w:hAnsi="宋体"/>
                <w:color w:val="000000"/>
                <w:sz w:val="24"/>
                <w:szCs w:val="24"/>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无机房</w:t>
            </w:r>
            <w:r>
              <w:rPr>
                <w:rFonts w:hint="eastAsia" w:ascii="宋体" w:hAnsi="宋体" w:cs="宋体"/>
                <w:color w:val="000000"/>
                <w:sz w:val="24"/>
                <w:szCs w:val="24"/>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配置要求</w:t>
            </w: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载重（kg）</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速度（m/s）</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1.0m/s</w:t>
            </w:r>
            <w:r>
              <w:rPr>
                <w:rFonts w:hint="eastAsia" w:ascii="宋体" w:hAnsi="宋体" w:cs="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层站门</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4/4/4（无贯通门）</w:t>
            </w:r>
            <w:r>
              <w:rPr>
                <w:rFonts w:hint="eastAsia" w:ascii="宋体" w:hAnsi="宋体" w:cs="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驱动方式</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变频驱动</w:t>
            </w:r>
            <w:r>
              <w:rPr>
                <w:rFonts w:hint="eastAsia" w:ascii="宋体" w:hAnsi="宋体" w:cs="宋体"/>
                <w:color w:val="000000"/>
                <w:sz w:val="24"/>
                <w:szCs w:val="24"/>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传动方式</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永磁同步无齿轮曳引机</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门机系统</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变频变压调速（VVVF）,要求调速平滑，运行可靠</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开门方式</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双扇自动中分门</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门保护装置</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lang w:val="zh-CN"/>
              </w:rPr>
              <w:t xml:space="preserve">光幕，不小于128束</w:t>
            </w:r>
            <w:r>
              <w:rPr>
                <w:rFonts w:hint="eastAsia" w:ascii="宋体" w:hAnsi="宋体"/>
                <w:color w:val="000000"/>
                <w:sz w:val="24"/>
                <w:szCs w:val="24"/>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电源适应</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ind w:right="-164"/>
              <w:jc w:val="left"/>
              <w:pageBreakBefore w:val="0"/>
              <w:spacing w:line="360" w:lineRule="auto"/>
              <w:rPr>
                <w:rFonts w:hint="eastAsia" w:ascii="宋体" w:hAnsi="宋体"/>
                <w:color w:val="000000"/>
                <w:sz w:val="24"/>
                <w:szCs w:val="24"/>
              </w:rPr>
            </w:pPr>
            <w:r>
              <w:rPr>
                <w:rFonts w:hint="eastAsia" w:ascii="宋体" w:hAnsi="宋体"/>
                <w:color w:val="000000"/>
                <w:sz w:val="24"/>
                <w:szCs w:val="24"/>
                <w:lang w:val="zh-CN"/>
              </w:rPr>
              <w:t xml:space="preserve">拖动电源：交流三相五线380V±7%、50Hz；照明电源：交流单相220V±7%、50Hz</w:t>
            </w:r>
            <w:r>
              <w:rPr>
                <w:rFonts w:hint="eastAsia" w:ascii="宋体" w:hAnsi="宋体"/>
                <w:color w:val="000000"/>
                <w:sz w:val="24"/>
                <w:szCs w:val="24"/>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性能要求</w:t>
            </w: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额定速度允许误差</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乘客电梯轿厢运行时垂直方向和水平方向的振动加速度</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平层准确度</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354"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噪声</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362"/>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内外装饰</w:t>
            </w:r>
            <w:r>
              <w:rPr>
                <w:rFonts w:hint="eastAsia" w:ascii="宋体" w:hAnsi="宋体"/>
                <w:color w:val="000000"/>
                <w:sz w:val="24"/>
                <w:szCs w:val="24"/>
                <w:lang w:val="zh-CN"/>
              </w:rPr>
            </w:r>
            <w:r/>
          </w:p>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要求</w:t>
            </w:r>
            <w:r>
              <w:rPr>
                <w:rFonts w:hint="eastAsia" w:ascii="宋体" w:hAnsi="宋体"/>
                <w:color w:val="000000"/>
                <w:sz w:val="24"/>
                <w:szCs w:val="24"/>
                <w:lang w:val="zh-CN"/>
              </w:rPr>
            </w:r>
            <w:r/>
          </w:p>
        </w:tc>
        <w:tc>
          <w:tcPr>
            <w:shd w:val="clear" w:color="000000" w:fill="ffffff"/>
            <w:tcW w:w="759" w:type="dxa"/>
            <w:vAlign w:val="center"/>
            <w:vMerge w:val="restart"/>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w:t>
            </w: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轿厢顶</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tabs>
                <w:tab w:val="left" w:pos="736" w:leader="none"/>
              </w:tabs>
              <w:rPr>
                <w:rFonts w:hint="eastAsia" w:ascii="宋体" w:hAnsi="宋体"/>
                <w:color w:val="000000"/>
                <w:sz w:val="24"/>
                <w:szCs w:val="24"/>
                <w:lang w:val="zh-CN"/>
              </w:rPr>
            </w:pPr>
            <w:r>
              <w:rPr>
                <w:rFonts w:hint="eastAsia" w:ascii="宋体" w:hAnsi="宋体"/>
                <w:color w:val="000000"/>
                <w:sz w:val="24"/>
                <w:szCs w:val="24"/>
                <w:lang w:val="zh-CN"/>
              </w:rPr>
              <w:t xml:space="preserve">发纹不锈钢吊顶；隐藏式横流通风扇。顶部装饰要求简洁、明快、大方的标准轿顶，照明明亮美观（节能灯）</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轿厢壁</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轿厢门</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34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轿厢地面</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PVC</w:t>
            </w:r>
            <w:r>
              <w:rPr>
                <w:rFonts w:hint="eastAsia" w:ascii="宋体" w:hAnsi="宋体"/>
                <w:color w:val="000000"/>
                <w:sz w:val="24"/>
                <w:szCs w:val="24"/>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操作盘</w:t>
            </w: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面板</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显示器显示内容</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液晶显示器、显示楼层及运行方向</w:t>
            </w:r>
            <w:r>
              <w:rPr>
                <w:rFonts w:hint="eastAsia" w:ascii="宋体" w:hAnsi="宋体"/>
                <w:color w:val="000000"/>
                <w:sz w:val="24"/>
                <w:szCs w:val="24"/>
                <w:lang w:val="zh-CN"/>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操作功能</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紧急对讲按钮及隐藏式对讲机，开关门按钮，风扇及照明自动控制</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标示要求</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rPr>
            </w:pPr>
            <w:r>
              <w:rPr>
                <w:rFonts w:ascii="宋体" w:hAnsi="宋体"/>
                <w:color w:val="000000"/>
                <w:sz w:val="24"/>
                <w:szCs w:val="24"/>
              </w:rPr>
              <w:t xml:space="preserve">中文标示厂牌、用途、限乘人数、限载重量</w:t>
            </w:r>
            <w:r>
              <w:rPr>
                <w:rFonts w:hint="eastAsia" w:ascii="宋体" w:hAnsi="宋体"/>
                <w:color w:val="000000"/>
                <w:sz w:val="24"/>
                <w:szCs w:val="24"/>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按钮要求</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不锈钢按钮</w:t>
            </w:r>
            <w:r>
              <w:rPr>
                <w:rFonts w:hint="eastAsia" w:ascii="宋体" w:hAnsi="宋体"/>
                <w:color w:val="000000"/>
                <w:sz w:val="24"/>
                <w:szCs w:val="24"/>
                <w:lang w:val="zh-CN"/>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restart"/>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厅门及门套</w:t>
            </w: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rPr>
              <w:t xml:space="preserve">小</w:t>
            </w:r>
            <w:r>
              <w:rPr>
                <w:rFonts w:hint="eastAsia" w:ascii="宋体" w:hAnsi="宋体"/>
                <w:color w:val="000000"/>
                <w:sz w:val="24"/>
                <w:szCs w:val="24"/>
                <w:lang w:val="zh-CN"/>
              </w:rPr>
              <w:t xml:space="preserve">门套</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restart"/>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楼层召唤</w:t>
            </w: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显示内容</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液晶显示，显示楼层及运行方向</w:t>
            </w:r>
            <w:r>
              <w:rPr>
                <w:rFonts w:hint="eastAsia" w:ascii="宋体" w:hAnsi="宋体"/>
                <w:color w:val="000000"/>
                <w:sz w:val="24"/>
                <w:szCs w:val="24"/>
                <w:lang w:val="zh-CN"/>
              </w:rPr>
            </w:r>
            <w:r/>
          </w:p>
        </w:tc>
      </w:tr>
      <w:tr>
        <w:trPr>
          <w:trHeight w:val="335"/>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195"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00"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面板</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lang w:val="zh-CN"/>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59"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595"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地坎</w:t>
            </w:r>
            <w:r>
              <w:rPr>
                <w:rFonts w:hint="eastAsia" w:ascii="宋体" w:hAnsi="宋体"/>
                <w:color w:val="000000"/>
                <w:sz w:val="24"/>
                <w:szCs w:val="24"/>
                <w:lang w:val="zh-CN"/>
              </w:rPr>
            </w:r>
            <w:r/>
          </w:p>
        </w:tc>
        <w:tc>
          <w:tcPr>
            <w:shd w:val="clear" w:color="000000" w:fill="ffffff"/>
            <w:tcW w:w="3927" w:type="dxa"/>
            <w:vAlign w:val="center"/>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硬质铝合金</w:t>
            </w:r>
            <w:r>
              <w:rPr>
                <w:rFonts w:hint="eastAsia" w:ascii="宋体" w:hAnsi="宋体"/>
                <w:color w:val="000000"/>
                <w:sz w:val="24"/>
                <w:szCs w:val="24"/>
                <w:lang w:val="zh-CN"/>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textDirection w:val="lrTb"/>
            <w:noWrap w:val="false"/>
          </w:tcPr>
          <w:p>
            <w:pPr>
              <w:pStyle w:val="658"/>
              <w:ind w:right="-101"/>
              <w:jc w:val="left"/>
              <w:pageBreakBefore w:val="0"/>
              <w:spacing w:line="360" w:lineRule="auto"/>
              <w:rPr>
                <w:rFonts w:hint="eastAsia" w:ascii="宋体" w:hAnsi="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无障碍功能</w:t>
            </w:r>
            <w:r>
              <w:rPr>
                <w:rFonts w:hint="eastAsia" w:ascii="宋体" w:hAnsi="宋体"/>
                <w:color w:val="000000"/>
                <w:sz w:val="24"/>
                <w:szCs w:val="24"/>
              </w:rPr>
            </w:r>
            <w:r/>
          </w:p>
        </w:tc>
        <w:tc>
          <w:tcPr>
            <w:gridSpan w:val="4"/>
            <w:shd w:val="clear" w:color="000000" w:fill="ffffff"/>
            <w:tcW w:w="7281" w:type="dxa"/>
            <w:vAlign w:val="center"/>
            <w:textDirection w:val="lrTb"/>
            <w:noWrap w:val="false"/>
          </w:tcPr>
          <w:p>
            <w:pPr>
              <w:pStyle w:val="658"/>
              <w:pageBreakBefore w:val="0"/>
              <w:spacing w:line="360" w:lineRule="auto"/>
              <w:widowControl/>
              <w:rPr>
                <w:rFonts w:hint="eastAsia" w:ascii="宋体" w:hAnsi="宋体"/>
                <w:color w:val="000000"/>
                <w:sz w:val="24"/>
                <w:szCs w:val="24"/>
                <w:lang w:val="zh-CN"/>
              </w:rPr>
            </w:pPr>
            <w:r>
              <w:rPr>
                <w:rFonts w:hint="eastAsia" w:ascii="宋体" w:hAnsi="宋体"/>
                <w:color w:val="000000"/>
                <w:sz w:val="24"/>
                <w:szCs w:val="24"/>
              </w:rPr>
              <w:t xml:space="preserve">无障碍功能：1、语音报站  2、轿厢侧壁无障碍操纵盘 3、轿厢后壁一根扶手  4、轿厢后侧中间轿壁采用镜面不锈钢 5、轿厢按钮有盲文字片</w:t>
            </w:r>
            <w:r>
              <w:rPr>
                <w:rFonts w:hint="eastAsia" w:ascii="宋体" w:hAnsi="宋体"/>
                <w:color w:val="000000"/>
                <w:sz w:val="24"/>
                <w:szCs w:val="24"/>
                <w:lang w:val="zh-CN"/>
              </w:rPr>
            </w:r>
            <w:r/>
          </w:p>
        </w:tc>
      </w:tr>
      <w:tr>
        <w:trPr>
          <w:trHeight w:val="1204"/>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★其他要求</w:t>
            </w: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5"/>
              </w:numPr>
              <w:pageBreakBefore w:val="0"/>
              <w:spacing w:line="360" w:lineRule="auto"/>
              <w:rPr>
                <w:color w:val="000000"/>
                <w:sz w:val="24"/>
                <w:szCs w:val="24"/>
              </w:rPr>
            </w:pPr>
            <w:r>
              <w:rPr>
                <w:rFonts w:hint="eastAsia"/>
                <w:color w:val="000000"/>
                <w:sz w:val="24"/>
                <w:szCs w:val="24"/>
              </w:rPr>
              <w:t xml:space="preserve">厅门耐火完整性2小时</w:t>
            </w:r>
            <w:r>
              <w:rPr>
                <w:color w:val="000000"/>
                <w:sz w:val="24"/>
                <w:szCs w:val="24"/>
              </w:rPr>
            </w:r>
            <w:r/>
          </w:p>
          <w:p>
            <w:pPr>
              <w:pStyle w:val="773"/>
              <w:ind w:firstLine="0"/>
              <w:pageBreakBefore w:val="0"/>
              <w:spacing w:line="360" w:lineRule="auto"/>
              <w:rPr>
                <w:rFonts w:hint="eastAsia"/>
                <w:color w:val="000000"/>
              </w:rPr>
            </w:pPr>
            <w:r>
              <w:rPr>
                <w:rFonts w:hint="eastAsia"/>
                <w:color w:val="000000"/>
                <w:sz w:val="24"/>
                <w:szCs w:val="24"/>
              </w:rPr>
              <w:t xml:space="preserve">2、刷卡功能：</w:t>
            </w:r>
            <w:r>
              <w:rPr>
                <w:rFonts w:hint="eastAsia"/>
                <w:color w:val="000000"/>
                <w:sz w:val="24"/>
                <w:szCs w:val="24"/>
                <w:lang w:val="zh-CN"/>
              </w:rPr>
              <w:t xml:space="preserve">有,每层都有IC卡读卡器</w:t>
            </w:r>
            <w:r>
              <w:rPr>
                <w:rFonts w:hint="eastAsia"/>
                <w:color w:val="000000"/>
              </w:rPr>
            </w:r>
            <w:r/>
          </w:p>
          <w:p>
            <w:pPr>
              <w:pStyle w:val="658"/>
              <w:pageBreakBefore w:val="0"/>
              <w:spacing w:line="360" w:lineRule="auto"/>
              <w:rPr>
                <w:color w:val="000000"/>
                <w:sz w:val="24"/>
                <w:szCs w:val="24"/>
              </w:rPr>
            </w:pPr>
            <w:r>
              <w:rPr>
                <w:rFonts w:hint="eastAsia"/>
                <w:color w:val="000000"/>
                <w:sz w:val="24"/>
                <w:szCs w:val="24"/>
              </w:rPr>
              <w:t xml:space="preserve">3、轿厢视频监控电缆预留</w:t>
            </w:r>
            <w:r>
              <w:rPr>
                <w:color w:val="000000"/>
                <w:sz w:val="24"/>
                <w:szCs w:val="24"/>
              </w:rPr>
            </w:r>
            <w:r/>
          </w:p>
          <w:p>
            <w:pPr>
              <w:pStyle w:val="658"/>
              <w:jc w:val="left"/>
              <w:pageBreakBefore w:val="0"/>
              <w:spacing w:line="360" w:lineRule="auto"/>
              <w:rPr>
                <w:rFonts w:hint="eastAsia" w:ascii="宋体" w:hAnsi="宋体"/>
                <w:color w:val="000000"/>
                <w:sz w:val="24"/>
                <w:szCs w:val="24"/>
                <w:lang w:val="zh-CN"/>
              </w:rPr>
            </w:pPr>
            <w:r>
              <w:rPr>
                <w:rFonts w:hint="eastAsia"/>
                <w:color w:val="000000"/>
                <w:sz w:val="24"/>
                <w:szCs w:val="24"/>
              </w:rPr>
              <w:t xml:space="preserve">4、自动应急疏散装置</w:t>
            </w:r>
            <w:r>
              <w:rPr>
                <w:rFonts w:hint="eastAsia" w:ascii="宋体" w:hAnsi="宋体"/>
                <w:color w:val="000000"/>
                <w:sz w:val="24"/>
                <w:szCs w:val="24"/>
                <w:lang w:val="zh-CN"/>
              </w:rPr>
            </w:r>
            <w:r/>
          </w:p>
        </w:tc>
      </w:tr>
      <w:tr>
        <w:trPr>
          <w:trHeight w:val="311"/>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功能要求</w:t>
            </w: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集选运行：轿厢内选层指令和厅外楼层召唤指令，自动优选与轿厢运行方向一致的呼叫，并顺向依次应答的自助控制功能。</w:t>
            </w:r>
            <w:r>
              <w:rPr>
                <w:rFonts w:hint="eastAsia" w:ascii="宋体" w:hAnsi="宋体"/>
                <w:color w:val="000000"/>
                <w:sz w:val="24"/>
                <w:szCs w:val="24"/>
                <w:lang w:val="zh-CN"/>
              </w:rPr>
            </w:r>
            <w:r/>
          </w:p>
        </w:tc>
      </w:tr>
      <w:tr>
        <w:trPr>
          <w:trHeight w:val="9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称量启动：电梯根据轿厢内的载重自动调整力矩，以使电梯启动平稳。</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安全停靠：电梯因故障停在门区外时，控制器进行安全检测，若符合启动要求，则电梯就近厅层开门。</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警铃：该功能与对讲装置配合使用，当轿厢乘客遇到电梯故障时，可通过操纵箱上的警铃按钮，提示相关人员注意，电梯轿厢内乘客有帮助需求，并通过对讲机通话，进行解释或安抚。</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停层开门：电梯停层后自动开门。</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开门受阻保护：如果电梯开门受阻，立即关门。</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rPr>
                <w:rFonts w:hint="eastAsia" w:ascii="宋体" w:hAnsi="宋体"/>
                <w:color w:val="000000"/>
                <w:sz w:val="24"/>
                <w:szCs w:val="24"/>
                <w:lang w:val="zh-CN"/>
              </w:rPr>
            </w:r>
            <w:r/>
          </w:p>
        </w:tc>
      </w:tr>
      <w:tr>
        <w:trPr>
          <w:trHeight w:val="2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开门保持时间自动调整：根据层站召唤或轿内指令自动调整开门保持时间。</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门过载保护功能：当在电梯的开、关门过程中因受阻而导致开、关门动作力矩过大时，门过载保护开关动作，电梯门将往与原动作方向相反的方向动作，从而实现对门电机及障碍物的保护。</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实时关门：电梯停站开门后，按下关门按钮，门立即关闭。</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关门按钮响应指示：按下关门按钮时关门按钮同时点亮。</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门光幕保护功能：利用光幕保护，在关门期间监测到乘客或物体时，重新开门。</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超载报警及保护功能：当轿厢负载超过额定负载时，电梯不能关门，同时蜂鸣器鸣响。当负载降至额定负载以下时，电梯才能恢复正常运行。</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错误指令取消功能：电梯运行过程中，可以取消电梯乘客因误操作而登记的轿内指令。</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轿厢内反向指令消除：电梯自动运行时，当电梯沿途响应完最后一个轿内指令或层站召唤后，系统自动检查并消除余下轿内指令。</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轿厢应急照明：当正常照明电源断电时，立即提供轿厢照明。</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轿内照明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风扇自动控制：在一段特定时间内仍无人使用时，电梯会自动切断所有的轿厢照明、风扇，以减少能源浪费。</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自动泊梯：电梯在无召唤指令登记状态下，自动返回预先设定的层站并关门待机，方便以最快的速度为基站的乘客提供服务。</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自动再平层：轿厢地坎上平面与层门地坎上平面之间的垂直方向超过预定值时，电梯自动平层。</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轿内运行方向指示：在轿厢内用箭头表示电梯的运行方向。</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层站运行方向指示：在层站用箭头表示电梯的运行方向。</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消防迫降功能：在建筑发生火灾，电梯接收到消防信号立即自动返回消防避难层。</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超速保护：检测到电梯速度超出允许值时，则电梯停止运行。</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电气安全回路保护：串联在一起的电气安全装置一旦动作，则切断动力电源，停止电梯运行。</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电源故障保护：电源发生错缺相、欠压等故障时，则停止电梯运行。</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检修操作：仅供维修人员使用的检修运行模式。</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电动机空转保护功能：当电梯的轿厢（或对重）受障碍物阻挡而停止下行，会导致电动机空转 、曳引绳在曳引轮上打滑。当此故障发生，电梯系统将使电梯立即停止运行并保持停车状态。</w:t>
            </w:r>
            <w:r>
              <w:rPr>
                <w:rFonts w:hint="eastAsia" w:ascii="宋体" w:hAnsi="宋体"/>
                <w:color w:val="000000"/>
                <w:sz w:val="24"/>
                <w:szCs w:val="24"/>
                <w:lang w:val="zh-CN"/>
              </w:rPr>
            </w:r>
            <w:r/>
          </w:p>
        </w:tc>
      </w:tr>
      <w:tr>
        <w:trPr>
          <w:trHeight w:val="180"/>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numPr>
                <w:ilvl w:val="0"/>
                <w:numId w:val="6"/>
              </w:numPr>
              <w:jc w:val="left"/>
              <w:pageBreakBefore w:val="0"/>
              <w:spacing w:line="360" w:lineRule="auto"/>
              <w:widowControl/>
              <w:rPr>
                <w:rFonts w:hint="eastAsia" w:ascii="宋体" w:hAnsi="宋体"/>
                <w:color w:val="000000"/>
                <w:sz w:val="24"/>
                <w:szCs w:val="24"/>
                <w:lang w:val="zh-CN"/>
              </w:rPr>
            </w:pPr>
            <w:r>
              <w:rPr>
                <w:rFonts w:hint="eastAsia" w:ascii="宋体" w:hAnsi="宋体" w:cs="宋体"/>
                <w:color w:val="000000"/>
                <w:sz w:val="24"/>
                <w:szCs w:val="24"/>
              </w:rPr>
              <w:t xml:space="preserve">故障自动检测功能：系统自动检测电梯运行状态，当故障发生时，自动检测并判断故障原因。</w:t>
            </w:r>
            <w:r>
              <w:rPr>
                <w:rFonts w:hint="eastAsia" w:ascii="宋体" w:hAnsi="宋体"/>
                <w:color w:val="000000"/>
                <w:sz w:val="24"/>
                <w:szCs w:val="24"/>
                <w:lang w:val="zh-CN"/>
              </w:rPr>
            </w:r>
            <w:r/>
          </w:p>
        </w:tc>
      </w:tr>
      <w:tr>
        <w:trPr>
          <w:trHeight w:val="956"/>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pageBreakBefore w:val="0"/>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31）电梯物联网：电梯物联网获得信息系统安全等级保护认证，且认证等级为三级；</w:t>
            </w:r>
            <w:r>
              <w:rPr>
                <w:rFonts w:hint="eastAsia" w:ascii="宋体" w:hAnsi="宋体" w:cs="宋体"/>
                <w:color w:val="000000"/>
                <w:sz w:val="24"/>
                <w:szCs w:val="24"/>
                <w:highlight w:val="none"/>
                <w:lang w:val="zh-CN"/>
              </w:rPr>
            </w:r>
            <w:r/>
          </w:p>
        </w:tc>
      </w:tr>
      <w:tr>
        <w:trPr>
          <w:trHeight w:val="898"/>
        </w:trPr>
        <w:tc>
          <w:tcPr>
            <w:shd w:val="clear" w:color="000000" w:fill="ffffff"/>
            <w:tcW w:w="1133"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44" w:type="dxa"/>
            <w:vAlign w:val="center"/>
            <w:vMerge w:val="continue"/>
            <w:textDirection w:val="lrTb"/>
            <w:noWrap w:val="false"/>
          </w:tcPr>
          <w:p>
            <w:pPr>
              <w:pStyle w:val="658"/>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jc w:val="left"/>
              <w:pageBreakBefore w:val="0"/>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32）所投品牌电梯：曳引机能效等级为一级且主机温升不高于40K；</w:t>
            </w:r>
            <w:r>
              <w:rPr>
                <w:rFonts w:hint="eastAsia" w:ascii="宋体" w:hAnsi="宋体" w:cs="宋体"/>
                <w:color w:val="000000"/>
                <w:sz w:val="24"/>
                <w:szCs w:val="24"/>
                <w:highlight w:val="none"/>
                <w:lang w:val="zh-CN"/>
              </w:rPr>
            </w:r>
            <w:r/>
          </w:p>
        </w:tc>
      </w:tr>
      <w:tr>
        <w:trPr>
          <w:trHeight w:val="2206"/>
        </w:trPr>
        <w:tc>
          <w:tcPr>
            <w:shd w:val="clear" w:color="000000" w:fill="ffffff"/>
            <w:tcW w:w="1133" w:type="dxa"/>
            <w:vAlign w:val="center"/>
            <w:textDirection w:val="lrTb"/>
            <w:noWrap w:val="false"/>
          </w:tcPr>
          <w:p>
            <w:pPr>
              <w:pStyle w:val="658"/>
              <w:ind w:right="-103"/>
              <w:jc w:val="center"/>
              <w:pageBreakBefore w:val="0"/>
              <w:spacing w:line="360" w:lineRule="auto"/>
              <w:rPr>
                <w:rFonts w:hint="eastAsia" w:ascii="宋体" w:hAnsi="宋体"/>
                <w:color w:val="000000"/>
                <w:sz w:val="24"/>
                <w:szCs w:val="24"/>
                <w:lang w:val="zh-CN"/>
              </w:rPr>
            </w:pPr>
            <w:r>
              <w:rPr>
                <w:rFonts w:hint="eastAsia"/>
                <w:color w:val="000000"/>
                <w:sz w:val="24"/>
                <w:szCs w:val="24"/>
              </w:rPr>
              <w:t xml:space="preserve">电梯钢结构井道</w:t>
            </w:r>
            <w:r>
              <w:rPr>
                <w:rFonts w:hint="eastAsia" w:ascii="宋体" w:hAnsi="宋体"/>
                <w:color w:val="000000"/>
                <w:sz w:val="24"/>
                <w:szCs w:val="24"/>
                <w:lang w:val="zh-CN"/>
              </w:rPr>
            </w:r>
            <w:r/>
          </w:p>
        </w:tc>
        <w:tc>
          <w:tcPr>
            <w:shd w:val="clear" w:color="000000" w:fill="ffffff"/>
            <w:tcW w:w="1544" w:type="dxa"/>
            <w:vAlign w:val="center"/>
            <w:textDirection w:val="lrTb"/>
            <w:noWrap w:val="false"/>
          </w:tcPr>
          <w:p>
            <w:pPr>
              <w:pStyle w:val="658"/>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color w:val="000000"/>
                <w:sz w:val="24"/>
                <w:szCs w:val="24"/>
              </w:rPr>
              <w:t xml:space="preserve">钢结构井道要求</w:t>
            </w:r>
            <w:r>
              <w:rPr>
                <w:rFonts w:hint="eastAsia" w:ascii="宋体" w:hAnsi="宋体"/>
                <w:color w:val="000000"/>
                <w:sz w:val="24"/>
                <w:szCs w:val="24"/>
                <w:lang w:val="zh-CN"/>
              </w:rPr>
            </w:r>
            <w:r/>
          </w:p>
        </w:tc>
        <w:tc>
          <w:tcPr>
            <w:gridSpan w:val="4"/>
            <w:shd w:val="clear" w:color="000000" w:fill="ffffff"/>
            <w:tcW w:w="7281" w:type="dxa"/>
            <w:vAlign w:val="center"/>
            <w:textDirection w:val="lrTb"/>
            <w:noWrap w:val="false"/>
          </w:tcPr>
          <w:p>
            <w:pPr>
              <w:pStyle w:val="658"/>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包含电梯钢结构井道：勘测费、材料费、运费、安装费、基坑的开挖、回填、基坑支护费、税费，室外管井拆除并恢复费用，老建筑注浆回填费用，地面恢复费用，绿化恢复费用，上部脚手架的基础费用（脚手架搭在软土上）。</w:t>
            </w:r>
            <w:r>
              <w:rPr>
                <w:rFonts w:hint="eastAsia" w:ascii="宋体" w:hAnsi="宋体" w:cs="宋体"/>
                <w:b/>
                <w:bCs/>
                <w:color w:val="000000"/>
                <w:sz w:val="24"/>
                <w:szCs w:val="24"/>
              </w:rPr>
            </w:r>
            <w:r/>
          </w:p>
          <w:p>
            <w:pPr>
              <w:pStyle w:val="658"/>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)电梯钢结构井道材料及配套工程必须满足本项目的设计要求（详见：电梯钢结构井道图纸，见附件）。</w:t>
            </w:r>
            <w:r>
              <w:rPr>
                <w:rFonts w:hint="eastAsia" w:ascii="宋体" w:hAnsi="宋体" w:cs="宋体"/>
                <w:b/>
                <w:bCs/>
                <w:color w:val="000000"/>
                <w:sz w:val="24"/>
                <w:szCs w:val="24"/>
              </w:rPr>
            </w:r>
            <w:r/>
          </w:p>
          <w:p>
            <w:pPr>
              <w:pStyle w:val="658"/>
              <w:pageBreakBefore w:val="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3)电梯钢结构基坑需要做基坑支护桩，基坑支护费用必须包含在投标总价中。</w:t>
            </w:r>
            <w:r>
              <w:rPr>
                <w:rFonts w:ascii="宋体" w:hAnsi="宋体" w:cs="宋体"/>
                <w:b/>
                <w:bCs/>
                <w:color w:val="000000"/>
                <w:sz w:val="24"/>
                <w:szCs w:val="24"/>
              </w:rPr>
            </w:r>
            <w:r/>
          </w:p>
          <w:p>
            <w:pPr>
              <w:pStyle w:val="658"/>
              <w:jc w:val="left"/>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)效果图：投标人投标时需提供针对本项目客梯设计的井道彩色效果图，效果图必须以现场大楼为背景，井道外立面必须与大楼外立面的风格及颜色一致，如效果图未按要求设计，将不予认可。</w:t>
            </w:r>
            <w:r>
              <w:rPr>
                <w:rFonts w:hint="eastAsia" w:ascii="宋体" w:hAnsi="宋体" w:cs="宋体"/>
                <w:b/>
                <w:bCs/>
                <w:color w:val="000000"/>
                <w:sz w:val="24"/>
                <w:szCs w:val="24"/>
              </w:rPr>
            </w:r>
            <w:r/>
          </w:p>
          <w:p>
            <w:pPr>
              <w:pStyle w:val="658"/>
              <w:pageBreakBefore w:val="0"/>
              <w:spacing w:line="360"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5）现场施工只能利用节假日和周末时间施工，非施工期间必须做好全部安全防护措施，作业场地需要全封闭，避免师生误入</w:t>
            </w:r>
            <w:r>
              <w:rPr>
                <w:rFonts w:hint="eastAsia" w:ascii="宋体" w:hAnsi="宋体" w:cs="宋体"/>
                <w:b/>
                <w:bCs/>
                <w:color w:val="000000"/>
                <w:sz w:val="24"/>
                <w:szCs w:val="24"/>
              </w:rPr>
              <w:t xml:space="preserve">，相关费用已包含在本次报价中</w:t>
            </w:r>
            <w:r>
              <w:rPr>
                <w:rFonts w:ascii="宋体" w:hAnsi="宋体" w:eastAsia="宋体" w:cs="宋体"/>
                <w:b/>
                <w:bCs/>
                <w:color w:val="000000"/>
                <w:sz w:val="24"/>
                <w:szCs w:val="24"/>
                <w:lang w:val="en-US" w:eastAsia="zh-CN"/>
              </w:rPr>
            </w:r>
            <w:r/>
          </w:p>
          <w:p>
            <w:pPr>
              <w:pStyle w:val="658"/>
              <w:pageBreakBefore w:val="0"/>
              <w:spacing w:line="360" w:lineRule="auto"/>
              <w:rPr>
                <w:rFonts w:hint="eastAsia" w:ascii="宋体" w:hAnsi="宋体" w:cs="宋体"/>
                <w:color w:val="000000"/>
                <w:sz w:val="24"/>
                <w:szCs w:val="24"/>
                <w:highlight w:val="yellow"/>
                <w:lang w:val="zh-CN"/>
              </w:rPr>
            </w:pPr>
            <w:r>
              <w:rPr>
                <w:rFonts w:hint="eastAsia" w:ascii="宋体" w:hAnsi="宋体" w:cs="宋体"/>
                <w:b/>
                <w:bCs/>
                <w:color w:val="000000"/>
                <w:sz w:val="24"/>
                <w:szCs w:val="24"/>
              </w:rPr>
              <w:t xml:space="preserve">以上费用包含在投标总价中。</w:t>
            </w:r>
            <w:r>
              <w:rPr>
                <w:rFonts w:hint="eastAsia" w:ascii="宋体" w:hAnsi="宋体" w:cs="宋体"/>
                <w:color w:val="000000"/>
                <w:sz w:val="24"/>
                <w:szCs w:val="24"/>
                <w:highlight w:val="yellow"/>
                <w:lang w:val="zh-CN"/>
              </w:rPr>
            </w:r>
            <w:r/>
          </w:p>
        </w:tc>
      </w:tr>
    </w:tbl>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65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为固定总价，本项目不统一组织现场勘察，投标人如有需要可自行前往勘察，勘察费用及安全责任自负。招标文件中提供的尺寸仅供参考，投标人应自行核实。并充分考虑所有相关因素及各类市场风险和政策性调整确定风险系数计入投标总价，中标后不作调整。</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不提供办公、住宿场所，供应商自行考虑相关费用，现场施工只能利用节假日和周末时间施工，非施工期间必须做好全部安全防护措施，作业场地需要全封闭，避免师生误入，相关费用已包含在本次报价中。电梯施工用电费用，供应商自行考虑，相关费用已包含在本次报价中。电梯施工用水费用，供应商自行考虑，相关费用已包含在本次报价中。</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①供应商应保证货物是全新、未使用过的、符合国家质量检测标准的原装合格正品。</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④供应商提供的货物必须符合国家有关质量技术标准及相关法律、法规规定的要求。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①验收标准：供应商提供的设备必须符合我国最新颁布的与之相关的技术规范与标准，同时须符合投标文件响应内容。</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⑤产品配置必须符合投标文件承诺。</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本项目要求整体质保（维保）期2年，质保期自经政府部门验收合格、并取得南京市质监部门出具的验收报告和颁发的安全验收合格运行许可证之日起算。</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，按照《电梯维护保养规则》（TSG T5002-2017）的规定完成半月、季度、半年、年度维保项目，并做好维护保养记录。</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t xml:space="preserve">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负责。如</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⑤质保期内维修（人为因素除外）费用包含在投标总价中，质保期外提供不高于市场价格的终身维护。中标后提供质保期外配件价格明细表。</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⑥供应商所提供的设备发生故障后，一经采购人通知后应做到快速响应：</w:t>
      </w:r>
      <w:r>
        <w:rPr>
          <w:rFonts w:hint="eastAsia" w:ascii="宋体" w:hAnsi="宋体" w:eastAsia="宋体" w:cs="宋体"/>
          <w:b w:val="0"/>
          <w:bCs w:val="0"/>
          <w:color w:val="000000"/>
          <w:sz w:val="24"/>
          <w:szCs w:val="24"/>
          <w:highlight w:val="none"/>
          <w:u w:val="none"/>
          <w:lang w:val="en-US" w:eastAsia="zh-CN"/>
        </w:rPr>
        <w:t xml:space="preserve">电梯困人的救援</w:t>
      </w:r>
      <w:r>
        <w:rPr>
          <w:rFonts w:hint="eastAsia" w:ascii="宋体" w:hAnsi="宋体" w:eastAsia="宋体" w:cs="宋体"/>
          <w:b w:val="0"/>
          <w:bCs w:val="0"/>
          <w:color w:val="000000"/>
          <w:sz w:val="24"/>
          <w:szCs w:val="24"/>
          <w:highlight w:val="none"/>
          <w:lang w:val="en-US" w:eastAsia="zh-CN"/>
        </w:rPr>
        <w:t xml:space="preserve">时间不应超过30分钟；故障反应时间小于30分钟；一般故障修复时间小于60分钟；较大故障修复时间小于36小时。</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（5）保密要求</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供应商不得将在履行本合同中知悉的采购人任何信息随意泄露、擅自使用。如违反本条款规定，供应商应当承担相应的法律责任。</w:t>
      </w:r>
      <w:r>
        <w:rPr>
          <w:rFonts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cs="宋体"/>
          <w:color w:val="000000"/>
          <w:sz w:val="24"/>
          <w:szCs w:val="24"/>
        </w:rPr>
        <w:t xml:space="preserve">合同签订生效之</w:t>
      </w:r>
      <w:r>
        <w:rPr>
          <w:rFonts w:hint="eastAsia" w:ascii="宋体" w:hAnsi="宋体" w:cs="宋体"/>
          <w:color w:val="000000"/>
          <w:sz w:val="24"/>
          <w:szCs w:val="24"/>
          <w:lang w:eastAsia="zh-CN"/>
        </w:rPr>
        <w:t xml:space="preserve">日起</w:t>
      </w:r>
      <w:r>
        <w:rPr>
          <w:rFonts w:hint="eastAsia" w:ascii="宋体" w:hAnsi="宋体"/>
          <w:color w:val="000000"/>
          <w:sz w:val="24"/>
          <w:szCs w:val="24"/>
          <w:highlight w:val="none"/>
          <w:lang w:val="en-US" w:eastAsia="zh-CN"/>
        </w:rPr>
        <w:t xml:space="preserve">120日内</w:t>
      </w:r>
      <w:r>
        <w:rPr>
          <w:rFonts w:ascii="宋体" w:hAnsi="宋体" w:eastAsia="宋体" w:cs="宋体"/>
          <w:color w:val="000000"/>
          <w:sz w:val="24"/>
          <w:szCs w:val="24"/>
          <w:highlight w:val="none"/>
        </w:rPr>
        <w:t xml:space="preserve">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bookmarkStart w:id="61"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en-US" w:eastAsia="zh-CN"/>
        </w:rPr>
      </w:pPr>
      <w:r/>
      <w:bookmarkEnd w:id="61"/>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65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附件：图纸</w:t>
      </w:r>
      <w:r>
        <w:rPr>
          <w:rFonts w:hint="eastAsia" w:ascii="宋体" w:hAnsi="宋体" w:eastAsia="宋体" w:cs="宋体"/>
          <w:b/>
          <w:bCs/>
          <w:color w:val="000000"/>
          <w:sz w:val="24"/>
          <w:szCs w:val="24"/>
          <w:highlight w:val="none"/>
          <w:lang w:val="en-US" w:eastAsia="zh-CN"/>
        </w:rPr>
      </w:r>
      <w:r/>
    </w:p>
    <w:p>
      <w:pPr>
        <w:pStyle w:val="658"/>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链接: https://pan.baidu.com/s/1xtJ5LBQ9eAvqv5Kxvs5WdA?pwd=a93s 提取码: a93s</w:t>
      </w:r>
      <w:r>
        <w:rPr>
          <w:rFonts w:ascii="宋体" w:hAnsi="宋体" w:eastAsia="宋体" w:cs="宋体"/>
          <w:b/>
          <w:bCs/>
          <w:color w:val="000000"/>
          <w:sz w:val="24"/>
          <w:szCs w:val="24"/>
          <w:highlight w:val="none"/>
          <w:lang w:val="en-US" w:eastAsia="zh-CN"/>
        </w:rPr>
      </w:r>
      <w:r/>
    </w:p>
    <w:p>
      <w:pPr>
        <w:pStyle w:val="658"/>
        <w:ind w:right="840"/>
        <w:jc w:val="center"/>
        <w:pageBreakBefore w:val="0"/>
        <w:spacing w:before="0" w:after="0" w:line="360" w:lineRule="auto"/>
        <w:rPr>
          <w:rFonts w:hint="eastAsia" w:ascii="方正小标宋简体" w:hAnsi="方正小标宋简体" w:eastAsia="方正小标宋简体" w:cs="方正小标宋简体"/>
          <w:color w:val="000000"/>
          <w:sz w:val="36"/>
          <w:szCs w:val="36"/>
          <w:highlight w:val="none"/>
        </w:rPr>
        <w:outlineLvl w:val="0"/>
      </w:pPr>
      <w:r/>
      <w:bookmarkStart w:id="62"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ind w:firstLine="480"/>
        <w:pageBreakBefore w:val="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658"/>
        <w:ind w:firstLine="420"/>
        <w:pageBreakBefore w:val="0"/>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658"/>
        <w:ind w:firstLine="420"/>
        <w:pageBreakBefore w:val="0"/>
        <w:spacing w:line="360" w:lineRule="auto"/>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658"/>
        <w:ind w:firstLine="420"/>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658"/>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658"/>
        <w:ind w:firstLine="422"/>
        <w:keepLines w:val="0"/>
        <w:keepNext w:val="0"/>
        <w:pageBreakBefore w:val="0"/>
        <w:spacing w:line="36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b/>
          <w:bCs/>
          <w:color w:val="000000"/>
          <w:sz w:val="24"/>
          <w:szCs w:val="24"/>
          <w:highlight w:val="none"/>
          <w:u w:val="single"/>
        </w:rPr>
        <w:t xml:space="preserve">10%</w:t>
      </w:r>
      <w:r>
        <w:rPr>
          <w:rFonts w:hint="eastAsia" w:ascii="宋体" w:hAnsi="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br w:type="page" w:clear="all"/>
      </w: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pPr w:horzAnchor="page" w:tblpX="1104" w:vertAnchor="text" w:tblpY="696" w:leftFromText="180" w:topFromText="0" w:rightFromText="180" w:bottomFromText="0"/>
        <w:tblW w:w="975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1351"/>
        <w:gridCol w:w="6276"/>
        <w:gridCol w:w="732"/>
        <w:gridCol w:w="804"/>
      </w:tblGrid>
      <w:tr>
        <w:trPr>
          <w:trHeight w:val="501"/>
          <w:tblHeader/>
        </w:trPr>
        <w:tc>
          <w:tcPr>
            <w:tcW w:w="595" w:type="dxa"/>
            <w:vAlign w:val="center"/>
            <w:textDirection w:val="lrTb"/>
            <w:noWrap w:val="false"/>
          </w:tcPr>
          <w:p>
            <w:pPr>
              <w:pStyle w:val="658"/>
              <w:jc w:val="center"/>
              <w:pageBreakBefore w:val="0"/>
              <w:spacing w:before="68" w:line="360" w:lineRule="auto"/>
              <w:rPr>
                <w:rFonts w:hint="eastAsia" w:ascii="宋体" w:hAnsi="宋体" w:cs="宋体"/>
                <w:b/>
                <w:bCs/>
                <w:color w:val="000000"/>
                <w:spacing w:val="-3"/>
                <w:sz w:val="22"/>
                <w:szCs w:val="22"/>
              </w:rPr>
              <w:framePr w:vAnchor="text" w:hAnchor="page" w:x="1104" w:y="696"/>
            </w:pPr>
            <w:r>
              <w:rPr>
                <w:rFonts w:hint="eastAsia" w:ascii="宋体" w:hAnsi="宋体" w:cs="宋体"/>
                <w:b/>
                <w:bCs/>
                <w:color w:val="000000"/>
                <w:spacing w:val="-3"/>
                <w:sz w:val="22"/>
                <w:szCs w:val="22"/>
              </w:rPr>
              <w:t xml:space="preserve">序号</w:t>
            </w:r>
            <w:r>
              <w:rPr>
                <w:rFonts w:hint="eastAsia" w:ascii="宋体" w:hAnsi="宋体" w:cs="宋体"/>
                <w:b/>
                <w:bCs/>
                <w:color w:val="000000"/>
                <w:spacing w:val="-3"/>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b/>
                <w:bCs/>
                <w:color w:val="000000"/>
                <w:spacing w:val="-3"/>
                <w:sz w:val="22"/>
                <w:szCs w:val="22"/>
              </w:rPr>
              <w:framePr w:vAnchor="text" w:hAnchor="page" w:x="1104" w:y="696"/>
            </w:pPr>
            <w:r>
              <w:rPr>
                <w:rFonts w:hint="eastAsia" w:ascii="宋体" w:hAnsi="宋体" w:cs="宋体"/>
                <w:b/>
                <w:bCs/>
                <w:color w:val="000000"/>
                <w:spacing w:val="-3"/>
                <w:sz w:val="22"/>
                <w:szCs w:val="22"/>
              </w:rPr>
              <w:t xml:space="preserve">评审因素</w:t>
            </w:r>
            <w:r>
              <w:rPr>
                <w:rFonts w:hint="eastAsia" w:ascii="宋体" w:hAnsi="宋体" w:cs="宋体"/>
                <w:b/>
                <w:bCs/>
                <w:color w:val="000000"/>
                <w:spacing w:val="-3"/>
                <w:sz w:val="22"/>
                <w:szCs w:val="22"/>
              </w:rPr>
            </w:r>
            <w:r/>
          </w:p>
        </w:tc>
        <w:tc>
          <w:tcPr>
            <w:tcW w:w="6276" w:type="dxa"/>
            <w:vAlign w:val="center"/>
            <w:textDirection w:val="lrTb"/>
            <w:noWrap w:val="false"/>
          </w:tcPr>
          <w:p>
            <w:pPr>
              <w:pStyle w:val="658"/>
              <w:jc w:val="center"/>
              <w:pageBreakBefore w:val="0"/>
              <w:spacing w:before="68" w:line="360" w:lineRule="auto"/>
              <w:rPr>
                <w:rFonts w:hint="eastAsia" w:ascii="宋体" w:hAnsi="宋体" w:cs="宋体"/>
                <w:b/>
                <w:bCs/>
                <w:color w:val="000000"/>
                <w:spacing w:val="-3"/>
                <w:sz w:val="22"/>
                <w:szCs w:val="22"/>
              </w:rPr>
              <w:framePr w:vAnchor="text" w:hAnchor="page" w:x="1104" w:y="696"/>
            </w:pPr>
            <w:r>
              <w:rPr>
                <w:rFonts w:hint="eastAsia" w:ascii="宋体" w:hAnsi="宋体" w:cs="宋体"/>
                <w:b/>
                <w:bCs/>
                <w:color w:val="000000"/>
                <w:spacing w:val="-3"/>
                <w:sz w:val="22"/>
                <w:szCs w:val="22"/>
              </w:rPr>
              <w:t xml:space="preserve">评审细则</w:t>
            </w:r>
            <w:r>
              <w:rPr>
                <w:rFonts w:hint="eastAsia" w:ascii="宋体" w:hAnsi="宋体" w:cs="宋体"/>
                <w:b/>
                <w:bCs/>
                <w:color w:val="000000"/>
                <w:spacing w:val="-3"/>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b/>
                <w:bCs/>
                <w:color w:val="000000"/>
                <w:spacing w:val="-3"/>
                <w:sz w:val="22"/>
                <w:szCs w:val="22"/>
              </w:rPr>
              <w:framePr w:vAnchor="text" w:hAnchor="page" w:x="1104" w:y="696"/>
            </w:pPr>
            <w:r>
              <w:rPr>
                <w:rFonts w:hint="eastAsia" w:ascii="宋体" w:hAnsi="宋体" w:cs="宋体"/>
                <w:b/>
                <w:bCs/>
                <w:color w:val="000000"/>
                <w:spacing w:val="-3"/>
                <w:sz w:val="22"/>
                <w:szCs w:val="22"/>
              </w:rPr>
              <w:t xml:space="preserve">分值</w:t>
            </w:r>
            <w:r>
              <w:rPr>
                <w:rFonts w:hint="eastAsia" w:ascii="宋体" w:hAnsi="宋体" w:cs="宋体"/>
                <w:b/>
                <w:bCs/>
                <w:color w:val="000000"/>
                <w:spacing w:val="-3"/>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b/>
                <w:bCs/>
                <w:color w:val="000000"/>
                <w:spacing w:val="-3"/>
                <w:sz w:val="22"/>
                <w:szCs w:val="22"/>
              </w:rPr>
              <w:framePr w:vAnchor="text" w:hAnchor="page" w:x="1104" w:y="696"/>
            </w:pPr>
            <w:r>
              <w:rPr>
                <w:rFonts w:hint="eastAsia" w:ascii="宋体" w:hAnsi="宋体" w:cs="宋体"/>
                <w:b/>
                <w:bCs/>
                <w:color w:val="000000"/>
                <w:spacing w:val="-3"/>
                <w:sz w:val="22"/>
                <w:szCs w:val="22"/>
              </w:rPr>
              <w:t xml:space="preserve">类型</w:t>
            </w:r>
            <w:r>
              <w:rPr>
                <w:rFonts w:hint="eastAsia" w:ascii="宋体" w:hAnsi="宋体" w:cs="宋体"/>
                <w:b/>
                <w:bCs/>
                <w:color w:val="000000"/>
                <w:spacing w:val="-3"/>
                <w:sz w:val="22"/>
                <w:szCs w:val="22"/>
              </w:rPr>
            </w:r>
            <w:r/>
          </w:p>
        </w:tc>
      </w:tr>
      <w:tr>
        <w:trPr>
          <w:trHeight w:val="460"/>
        </w:trPr>
        <w:tc>
          <w:tcPr>
            <w:gridSpan w:val="5"/>
            <w:tcW w:w="9758" w:type="dxa"/>
            <w:vAlign w:val="top"/>
            <w:textDirection w:val="lrTb"/>
            <w:noWrap w:val="false"/>
          </w:tcPr>
          <w:p>
            <w:pPr>
              <w:pStyle w:val="658"/>
              <w:ind w:left="114"/>
              <w:pageBreakBefore w:val="0"/>
              <w:spacing w:before="122" w:line="360" w:lineRule="auto"/>
              <w:rPr>
                <w:rFonts w:hint="eastAsia" w:ascii="宋体" w:hAnsi="宋体" w:cs="宋体"/>
                <w:color w:val="000000"/>
                <w:sz w:val="22"/>
                <w:szCs w:val="22"/>
              </w:rPr>
              <w:framePr w:vAnchor="text" w:hAnchor="page" w:x="1104" w:y="696"/>
            </w:pPr>
            <w:r>
              <w:rPr>
                <w:rFonts w:hint="eastAsia" w:ascii="宋体" w:hAnsi="宋体" w:cs="宋体"/>
                <w:b/>
                <w:bCs/>
                <w:color w:val="000000"/>
                <w:spacing w:val="-3"/>
                <w:sz w:val="22"/>
                <w:szCs w:val="22"/>
              </w:rPr>
              <w:t xml:space="preserve">1.价</w:t>
            </w:r>
            <w:r>
              <w:rPr>
                <w:rFonts w:hint="eastAsia" w:ascii="宋体" w:hAnsi="宋体" w:cs="宋体"/>
                <w:b/>
                <w:bCs/>
                <w:color w:val="000000"/>
                <w:spacing w:val="-2"/>
                <w:sz w:val="22"/>
                <w:szCs w:val="22"/>
              </w:rPr>
              <w:t xml:space="preserve">格</w:t>
            </w:r>
            <w:r>
              <w:rPr>
                <w:rFonts w:hint="eastAsia" w:ascii="宋体" w:hAnsi="宋体" w:cs="宋体"/>
                <w:color w:val="000000"/>
                <w:sz w:val="22"/>
                <w:szCs w:val="22"/>
              </w:rPr>
            </w:r>
            <w:r/>
          </w:p>
        </w:tc>
      </w:tr>
      <w:tr>
        <w:trPr>
          <w:trHeight w:val="1030"/>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pacing w:val="-6"/>
                <w:sz w:val="22"/>
                <w:szCs w:val="22"/>
              </w:rPr>
              <w:t xml:space="preserve">1</w:t>
            </w:r>
            <w:r>
              <w:rPr>
                <w:rFonts w:hint="eastAsia" w:ascii="宋体" w:hAnsi="宋体" w:cs="宋体"/>
                <w:color w:val="000000"/>
                <w:spacing w:val="-5"/>
                <w:sz w:val="22"/>
                <w:szCs w:val="22"/>
              </w:rPr>
              <w:t xml:space="preserve">.1</w:t>
            </w:r>
            <w:r>
              <w:rPr>
                <w:rFonts w:hint="eastAsia" w:ascii="宋体" w:hAnsi="宋体" w:cs="宋体"/>
                <w:color w:val="000000"/>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z w:val="21"/>
                <w:szCs w:val="21"/>
              </w:rPr>
              <w:framePr w:vAnchor="text" w:hAnchor="page" w:x="1104" w:y="696"/>
            </w:pPr>
            <w:r>
              <w:rPr>
                <w:rFonts w:hint="eastAsia" w:ascii="宋体" w:hAnsi="宋体" w:cs="宋体"/>
                <w:color w:val="000000"/>
                <w:spacing w:val="-2"/>
                <w:sz w:val="21"/>
                <w:szCs w:val="21"/>
              </w:rPr>
              <w:t xml:space="preserve">价格分</w:t>
            </w:r>
            <w:r>
              <w:rPr>
                <w:rFonts w:hint="eastAsia" w:ascii="宋体" w:hAnsi="宋体" w:cs="宋体"/>
                <w:color w:val="000000"/>
                <w:sz w:val="21"/>
                <w:szCs w:val="21"/>
              </w:rPr>
            </w:r>
            <w:r/>
          </w:p>
        </w:tc>
        <w:tc>
          <w:tcPr>
            <w:tcW w:w="6276" w:type="dxa"/>
            <w:vAlign w:val="center"/>
            <w:textDirection w:val="lrTb"/>
            <w:noWrap w:val="false"/>
          </w:tcPr>
          <w:p>
            <w:pPr>
              <w:pStyle w:val="658"/>
              <w:jc w:val="left"/>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pacing w:val="1"/>
                <w:sz w:val="22"/>
                <w:szCs w:val="22"/>
              </w:rPr>
              <w:t xml:space="preserve">采用低价优先</w:t>
            </w:r>
            <w:r>
              <w:rPr>
                <w:rFonts w:hint="eastAsia" w:ascii="宋体" w:hAnsi="宋体" w:cs="宋体"/>
                <w:color w:val="000000"/>
                <w:sz w:val="22"/>
                <w:szCs w:val="22"/>
              </w:rPr>
              <w:t xml:space="preserve">法计算，即满足招标文件要求且投标价格最低的投标</w:t>
            </w:r>
            <w:r>
              <w:rPr>
                <w:rFonts w:hint="eastAsia" w:ascii="宋体" w:hAnsi="宋体" w:cs="宋体"/>
                <w:color w:val="000000"/>
                <w:spacing w:val="1"/>
                <w:sz w:val="22"/>
                <w:szCs w:val="22"/>
              </w:rPr>
              <w:t xml:space="preserve">报价为评标基准</w:t>
            </w:r>
            <w:r>
              <w:rPr>
                <w:rFonts w:hint="eastAsia" w:ascii="宋体" w:hAnsi="宋体" w:cs="宋体"/>
                <w:color w:val="000000"/>
                <w:sz w:val="22"/>
                <w:szCs w:val="22"/>
              </w:rPr>
              <w:t xml:space="preserve">价，其价格分为满分。其他投标人的价格分统一按</w:t>
            </w:r>
            <w:r>
              <w:rPr>
                <w:rFonts w:hint="eastAsia" w:ascii="宋体" w:hAnsi="宋体" w:cs="宋体"/>
                <w:color w:val="000000"/>
                <w:spacing w:val="-1"/>
                <w:sz w:val="22"/>
                <w:szCs w:val="22"/>
              </w:rPr>
              <w:t xml:space="preserve">照下列公</w:t>
            </w:r>
            <w:r>
              <w:rPr>
                <w:rFonts w:hint="eastAsia" w:ascii="宋体" w:hAnsi="宋体" w:cs="宋体"/>
                <w:color w:val="000000"/>
                <w:sz w:val="22"/>
                <w:szCs w:val="22"/>
              </w:rPr>
              <w:t xml:space="preserve">式计算：投标报价得分=(评标基准价/投标报价)×价格分值（小数点保留两位）</w:t>
            </w:r>
            <w:r>
              <w:rPr>
                <w:rFonts w:hint="eastAsia" w:ascii="宋体" w:hAnsi="宋体" w:cs="宋体"/>
                <w:color w:val="000000"/>
                <w:sz w:val="22"/>
                <w:szCs w:val="22"/>
              </w:rPr>
            </w:r>
            <w:r/>
          </w:p>
          <w:p>
            <w:pPr>
              <w:pStyle w:val="658"/>
              <w:jc w:val="left"/>
              <w:pageBreakBefore w:val="0"/>
              <w:spacing w:line="360" w:lineRule="auto"/>
              <w:rPr>
                <w:rFonts w:hint="eastAsia" w:ascii="宋体" w:hAnsi="宋体" w:cs="宋体"/>
                <w:color w:val="000000"/>
                <w:sz w:val="21"/>
                <w:szCs w:val="21"/>
              </w:rPr>
              <w:framePr w:vAnchor="text" w:hAnchor="page" w:x="1104" w:y="696"/>
            </w:pPr>
            <w:r>
              <w:rPr>
                <w:rFonts w:hint="eastAsia" w:ascii="宋体" w:hAnsi="宋体" w:eastAsia="宋体" w:cs="宋体"/>
                <w:color w:val="000000"/>
                <w:sz w:val="22"/>
                <w:szCs w:val="22"/>
                <w:highlight w:val="none"/>
                <w:lang w:val="en-US" w:eastAsia="zh-CN" w:bidi="ar-SA"/>
              </w:rPr>
              <w:t xml:space="preserve">因落实政府采购政策进行价格调整的，以调整后的价格计算评标基准价和投标报价。</w:t>
            </w:r>
            <w:r>
              <w:rPr>
                <w:rFonts w:hint="eastAsia" w:ascii="宋体" w:hAnsi="宋体" w:cs="宋体"/>
                <w:color w:val="000000"/>
                <w:sz w:val="21"/>
                <w:szCs w:val="21"/>
              </w:rPr>
            </w:r>
            <w:r/>
          </w:p>
        </w:tc>
        <w:tc>
          <w:tcPr>
            <w:tcW w:w="732" w:type="dxa"/>
            <w:vAlign w:val="center"/>
            <w:textDirection w:val="lrTb"/>
            <w:noWrap w:val="false"/>
          </w:tcPr>
          <w:p>
            <w:pPr>
              <w:pStyle w:val="658"/>
              <w:jc w:val="center"/>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30</w:t>
            </w:r>
            <w:r>
              <w:rPr>
                <w:rFonts w:hint="eastAsia" w:ascii="宋体" w:hAnsi="宋体" w:cs="宋体"/>
                <w:color w:val="000000"/>
                <w:sz w:val="22"/>
                <w:szCs w:val="22"/>
              </w:rPr>
            </w:r>
            <w:r/>
          </w:p>
        </w:tc>
        <w:tc>
          <w:tcPr>
            <w:tcW w:w="804" w:type="dxa"/>
            <w:vAlign w:val="center"/>
            <w:textDirection w:val="lrTb"/>
            <w:noWrap w:val="false"/>
          </w:tcPr>
          <w:p>
            <w:pPr>
              <w:pStyle w:val="658"/>
              <w:jc w:val="center"/>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价格分</w:t>
            </w:r>
            <w:r>
              <w:rPr>
                <w:rFonts w:hint="eastAsia" w:ascii="宋体" w:hAnsi="宋体" w:cs="宋体"/>
                <w:color w:val="000000"/>
                <w:sz w:val="22"/>
                <w:szCs w:val="22"/>
              </w:rPr>
            </w:r>
            <w:r/>
          </w:p>
        </w:tc>
      </w:tr>
      <w:tr>
        <w:trPr>
          <w:trHeight w:val="370"/>
        </w:trPr>
        <w:tc>
          <w:tcPr>
            <w:gridSpan w:val="5"/>
            <w:tcW w:w="9758" w:type="dxa"/>
            <w:vAlign w:val="top"/>
            <w:textDirection w:val="lrTb"/>
            <w:noWrap w:val="false"/>
          </w:tcPr>
          <w:p>
            <w:pPr>
              <w:pStyle w:val="658"/>
              <w:ind w:left="114"/>
              <w:pageBreakBefore w:val="0"/>
              <w:spacing w:before="123" w:line="360" w:lineRule="auto"/>
              <w:rPr>
                <w:rFonts w:hint="eastAsia" w:ascii="宋体" w:hAnsi="宋体" w:cs="宋体"/>
                <w:color w:val="000000"/>
                <w:sz w:val="22"/>
                <w:szCs w:val="22"/>
              </w:rPr>
              <w:framePr w:vAnchor="text" w:hAnchor="page" w:x="1104" w:y="696"/>
            </w:pPr>
            <w:r>
              <w:rPr>
                <w:rFonts w:hint="eastAsia" w:ascii="宋体" w:hAnsi="宋体" w:cs="宋体"/>
                <w:b/>
                <w:bCs/>
                <w:color w:val="000000"/>
                <w:spacing w:val="-3"/>
                <w:sz w:val="22"/>
                <w:szCs w:val="22"/>
              </w:rPr>
              <w:t xml:space="preserve">2.技术</w:t>
            </w:r>
            <w:r>
              <w:rPr>
                <w:rFonts w:hint="eastAsia" w:ascii="宋体" w:hAnsi="宋体" w:cs="宋体"/>
                <w:color w:val="000000"/>
                <w:sz w:val="22"/>
                <w:szCs w:val="22"/>
              </w:rPr>
            </w:r>
            <w:r/>
          </w:p>
        </w:tc>
      </w:tr>
      <w:tr>
        <w:trPr>
          <w:trHeight w:val="90"/>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2.1</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1"/>
                <w:sz w:val="22"/>
                <w:szCs w:val="22"/>
              </w:rPr>
              <w:t xml:space="preserve">技术规格、参数响应1</w:t>
            </w:r>
            <w:r>
              <w:rPr>
                <w:rFonts w:hint="eastAsia" w:ascii="宋体" w:hAnsi="宋体" w:cs="宋体"/>
                <w:color w:val="000000"/>
                <w:spacing w:val="-2"/>
                <w:sz w:val="22"/>
                <w:szCs w:val="22"/>
              </w:rPr>
            </w:r>
            <w:r/>
          </w:p>
        </w:tc>
        <w:tc>
          <w:tcPr>
            <w:tcW w:w="6276" w:type="dxa"/>
            <w:vAlign w:val="center"/>
            <w:textDirection w:val="lrTb"/>
            <w:noWrap w:val="false"/>
          </w:tcPr>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曳引媒介的耐用性：根据</w:t>
            </w:r>
            <w:r>
              <w:rPr>
                <w:rFonts w:ascii="宋体" w:hAnsi="宋体" w:cs="宋体"/>
                <w:color w:val="000000"/>
                <w:spacing w:val="-1"/>
                <w:sz w:val="22"/>
                <w:szCs w:val="22"/>
              </w:rPr>
              <w:t xml:space="preserve">所投</w:t>
            </w:r>
            <w:r>
              <w:rPr>
                <w:rFonts w:hint="eastAsia" w:ascii="宋体" w:hAnsi="宋体" w:cs="宋体"/>
                <w:color w:val="000000"/>
                <w:spacing w:val="-1"/>
                <w:sz w:val="22"/>
                <w:szCs w:val="22"/>
              </w:rPr>
              <w:t xml:space="preserve">品牌电梯曳引媒介（钢丝绳或钢带）疲劳测试折弯次数进行打分，测试次数≥4500万次的得5分，4500万次＞测试次数≥4000万次的得3分，4000万次＞测试次数≥3500万次的得</w:t>
            </w:r>
            <w:r>
              <w:rPr>
                <w:rFonts w:ascii="宋体" w:hAnsi="宋体" w:cs="宋体"/>
                <w:color w:val="000000"/>
                <w:spacing w:val="-1"/>
                <w:sz w:val="22"/>
                <w:szCs w:val="22"/>
              </w:rPr>
              <w:t xml:space="preserve">1</w:t>
            </w:r>
            <w:r>
              <w:rPr>
                <w:rFonts w:hint="eastAsia" w:ascii="宋体" w:hAnsi="宋体" w:cs="宋体"/>
                <w:color w:val="000000"/>
                <w:spacing w:val="-1"/>
                <w:sz w:val="22"/>
                <w:szCs w:val="22"/>
              </w:rPr>
              <w:t xml:space="preserve">分，其他不得分。</w:t>
            </w:r>
            <w:r>
              <w:rPr>
                <w:rFonts w:hint="eastAsia" w:ascii="宋体" w:hAnsi="宋体" w:cs="宋体"/>
                <w:color w:val="000000"/>
                <w:spacing w:val="-1"/>
                <w:sz w:val="22"/>
                <w:szCs w:val="22"/>
              </w:rPr>
            </w:r>
            <w:r/>
          </w:p>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出具的钢丝绳或钢带的试验报告为准，扫描件上传至投标文件中，未提供或提供不符合要求的不得分）。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5</w:t>
            </w:r>
            <w:r>
              <w:rPr>
                <w:rFonts w:hint="eastAsia" w:ascii="宋体" w:hAnsi="宋体" w:cs="宋体"/>
                <w:color w:val="000000"/>
                <w:spacing w:val="-2"/>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90"/>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2.2</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1"/>
                <w:sz w:val="22"/>
                <w:szCs w:val="22"/>
              </w:rPr>
              <w:t xml:space="preserve">技术规格、参数响应2</w:t>
            </w:r>
            <w:r>
              <w:rPr>
                <w:rFonts w:hint="eastAsia" w:ascii="宋体" w:hAnsi="宋体" w:cs="宋体"/>
                <w:color w:val="000000"/>
                <w:spacing w:val="-2"/>
                <w:sz w:val="22"/>
                <w:szCs w:val="22"/>
              </w:rPr>
            </w:r>
            <w:r/>
          </w:p>
        </w:tc>
        <w:tc>
          <w:tcPr>
            <w:tcW w:w="6276" w:type="dxa"/>
            <w:vAlign w:val="center"/>
            <w:textDirection w:val="lrTb"/>
            <w:noWrap w:val="false"/>
          </w:tcPr>
          <w:p>
            <w:pPr>
              <w:pStyle w:val="658"/>
              <w:pageBreakBefore w:val="0"/>
              <w:spacing w:line="360" w:lineRule="auto"/>
              <w:rPr>
                <w:rFonts w:hint="eastAsia" w:ascii="宋体" w:hAnsi="宋体"/>
                <w:color w:val="000000"/>
                <w:sz w:val="22"/>
                <w:szCs w:val="22"/>
              </w:rPr>
              <w:framePr w:vAnchor="text" w:hAnchor="page" w:x="1104" w:y="696"/>
            </w:pPr>
            <w:r>
              <w:rPr>
                <w:rFonts w:hint="eastAsia" w:ascii="宋体" w:hAnsi="宋体"/>
                <w:color w:val="000000"/>
                <w:sz w:val="22"/>
                <w:szCs w:val="22"/>
              </w:rPr>
              <w:t xml:space="preserve">1、重要部件的耐久性：</w:t>
            </w:r>
            <w:r>
              <w:rPr>
                <w:rFonts w:hint="eastAsia" w:ascii="宋体" w:hAnsi="宋体"/>
                <w:color w:val="000000"/>
                <w:sz w:val="22"/>
                <w:szCs w:val="22"/>
              </w:rPr>
            </w:r>
            <w:r/>
          </w:p>
          <w:p>
            <w:pPr>
              <w:pStyle w:val="658"/>
              <w:pageBreakBefore w:val="0"/>
              <w:spacing w:line="360" w:lineRule="auto"/>
              <w:rPr>
                <w:color w:val="000000"/>
                <w:sz w:val="22"/>
                <w:szCs w:val="22"/>
              </w:rPr>
              <w:framePr w:vAnchor="text" w:hAnchor="page" w:x="1104" w:y="696"/>
            </w:pPr>
            <w:r>
              <w:rPr>
                <w:rFonts w:hint="eastAsia" w:ascii="宋体" w:hAnsi="宋体"/>
                <w:color w:val="000000"/>
                <w:sz w:val="22"/>
                <w:szCs w:val="22"/>
              </w:rPr>
              <w:t xml:space="preserve">根据</w:t>
            </w:r>
            <w:r>
              <w:rPr>
                <w:rFonts w:ascii="宋体" w:hAnsi="宋体"/>
                <w:color w:val="000000"/>
                <w:sz w:val="22"/>
                <w:szCs w:val="22"/>
              </w:rPr>
              <w:t xml:space="preserve">所投</w:t>
            </w:r>
            <w:r>
              <w:rPr>
                <w:rFonts w:hint="eastAsia" w:ascii="宋体" w:hAnsi="宋体"/>
                <w:color w:val="000000"/>
                <w:sz w:val="22"/>
                <w:szCs w:val="22"/>
              </w:rPr>
              <w:t xml:space="preserve">品牌电梯的限速器模拟使用寿命年限进行打分，模拟试验寿命≥45年的得5分，45年＞模拟试验寿命＞40年的得3分，40年≥模拟试验寿命≥35年的得1分，其余不得分。</w:t>
            </w:r>
            <w:r>
              <w:rPr>
                <w:rFonts w:hint="eastAsia" w:ascii="宋体" w:hAnsi="宋体" w:cs="宋体"/>
                <w:color w:val="000000"/>
                <w:spacing w:val="-1"/>
                <w:sz w:val="22"/>
                <w:szCs w:val="22"/>
              </w:rPr>
              <w:t xml:space="preserve">（</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2、</w:t>
            </w:r>
            <w:r>
              <w:rPr>
                <w:rFonts w:hint="eastAsia" w:ascii="宋体" w:hAnsi="宋体"/>
                <w:color w:val="000000"/>
                <w:sz w:val="22"/>
                <w:szCs w:val="22"/>
              </w:rPr>
              <w:t xml:space="preserve">根据</w:t>
            </w:r>
            <w:r>
              <w:rPr>
                <w:rFonts w:ascii="宋体" w:hAnsi="宋体"/>
                <w:color w:val="000000"/>
                <w:sz w:val="22"/>
                <w:szCs w:val="22"/>
              </w:rPr>
              <w:t xml:space="preserve">所投</w:t>
            </w:r>
            <w:r>
              <w:rPr>
                <w:rFonts w:hint="eastAsia" w:ascii="宋体" w:hAnsi="宋体"/>
                <w:color w:val="000000"/>
                <w:sz w:val="22"/>
                <w:szCs w:val="22"/>
              </w:rPr>
              <w:t xml:space="preserve">品牌电梯的安全钳模拟使用寿命年限进行打分，模拟试验寿命≥45年的得5分，45年＞模拟试验寿命＞40年的得3分，40年≥模拟试验寿命≥35年的得1分，其余不得分。</w:t>
            </w:r>
            <w:r>
              <w:rPr>
                <w:rFonts w:hint="eastAsia" w:ascii="宋体" w:hAnsi="宋体" w:cs="宋体"/>
                <w:color w:val="000000"/>
                <w:spacing w:val="-1"/>
                <w:sz w:val="22"/>
                <w:szCs w:val="22"/>
              </w:rPr>
              <w:t xml:space="preserve">（</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color w:val="000000"/>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3、32位全电脑交流变频变压控制（VVVF），电梯控制柜控制驱动主机无负载连续运行, 记录其稳定运行次数，运行次数为A值：A＞1200万得5分，1200万≥A＞1100万得3分，1100万≥A＞1000万得1分，其余不得分。（</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15</w:t>
            </w:r>
            <w:r>
              <w:rPr>
                <w:rFonts w:hint="eastAsia" w:ascii="宋体" w:hAnsi="宋体" w:cs="宋体"/>
                <w:color w:val="000000"/>
                <w:spacing w:val="-2"/>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4512"/>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2.3</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1"/>
                <w:sz w:val="22"/>
                <w:szCs w:val="22"/>
              </w:rPr>
              <w:t xml:space="preserve">技术规格、参数响应3</w:t>
            </w:r>
            <w:r>
              <w:rPr>
                <w:rFonts w:hint="eastAsia" w:ascii="宋体" w:hAnsi="宋体" w:cs="宋体"/>
                <w:color w:val="000000"/>
                <w:spacing w:val="-2"/>
                <w:sz w:val="22"/>
                <w:szCs w:val="22"/>
              </w:rPr>
            </w:r>
            <w:r/>
          </w:p>
        </w:tc>
        <w:tc>
          <w:tcPr>
            <w:tcW w:w="6276" w:type="dxa"/>
            <w:vAlign w:val="center"/>
            <w:textDirection w:val="lrTb"/>
            <w:noWrap w:val="false"/>
          </w:tcPr>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1、电梯运行稳定性：</w:t>
            </w:r>
            <w:r>
              <w:rPr>
                <w:rFonts w:hint="eastAsia" w:ascii="宋体" w:hAnsi="宋体" w:cs="宋体"/>
                <w:color w:val="000000"/>
                <w:spacing w:val="-1"/>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bookmarkStart w:id="63" w:name="OLE_LINK5"/>
            <w:r>
              <w:rPr>
                <w:rFonts w:hint="eastAsia" w:ascii="宋体" w:hAnsi="宋体" w:cs="宋体"/>
                <w:color w:val="000000"/>
                <w:spacing w:val="-1"/>
                <w:sz w:val="22"/>
                <w:szCs w:val="22"/>
              </w:rPr>
              <w:t xml:space="preserve">所投品牌电梯驱动主机制动器无故障运行寿命打分，无故障运行次数为A值：A＞2</w:t>
            </w:r>
            <w:r>
              <w:rPr>
                <w:rFonts w:hint="eastAsia" w:ascii="宋体" w:hAnsi="宋体" w:cs="宋体"/>
                <w:color w:val="000000"/>
                <w:spacing w:val="-1"/>
                <w:sz w:val="22"/>
                <w:szCs w:val="22"/>
                <w:lang w:val="en-US" w:eastAsia="zh-CN"/>
              </w:rPr>
              <w:t xml:space="preserve">5</w:t>
            </w:r>
            <w:r>
              <w:rPr>
                <w:rFonts w:hint="eastAsia" w:ascii="宋体" w:hAnsi="宋体" w:cs="宋体"/>
                <w:color w:val="000000"/>
                <w:spacing w:val="-1"/>
                <w:sz w:val="22"/>
                <w:szCs w:val="22"/>
              </w:rPr>
              <w:t xml:space="preserve">00万，得5分；2</w:t>
            </w:r>
            <w:r>
              <w:rPr>
                <w:rFonts w:hint="eastAsia" w:ascii="宋体" w:hAnsi="宋体" w:cs="宋体"/>
                <w:color w:val="000000"/>
                <w:spacing w:val="-1"/>
                <w:sz w:val="22"/>
                <w:szCs w:val="22"/>
                <w:lang w:val="en-US" w:eastAsia="zh-CN"/>
              </w:rPr>
              <w:t xml:space="preserve">5</w:t>
            </w:r>
            <w:r>
              <w:rPr>
                <w:rFonts w:hint="eastAsia" w:ascii="宋体" w:hAnsi="宋体" w:cs="宋体"/>
                <w:color w:val="000000"/>
                <w:spacing w:val="-1"/>
                <w:sz w:val="22"/>
                <w:szCs w:val="22"/>
              </w:rPr>
              <w:t xml:space="preserve">00万≥A＞2</w:t>
            </w:r>
            <w:r>
              <w:rPr>
                <w:rFonts w:hint="eastAsia" w:ascii="宋体" w:hAnsi="宋体" w:cs="宋体"/>
                <w:color w:val="000000"/>
                <w:spacing w:val="-1"/>
                <w:sz w:val="22"/>
                <w:szCs w:val="22"/>
                <w:lang w:val="en-US" w:eastAsia="zh-CN"/>
              </w:rPr>
              <w:t xml:space="preserve">3</w:t>
            </w:r>
            <w:r>
              <w:rPr>
                <w:rFonts w:hint="eastAsia" w:ascii="宋体" w:hAnsi="宋体" w:cs="宋体"/>
                <w:color w:val="000000"/>
                <w:spacing w:val="-1"/>
                <w:sz w:val="22"/>
                <w:szCs w:val="22"/>
              </w:rPr>
              <w:t xml:space="preserve">00万，得3分；2</w:t>
            </w:r>
            <w:r>
              <w:rPr>
                <w:rFonts w:hint="eastAsia" w:ascii="宋体" w:hAnsi="宋体" w:cs="宋体"/>
                <w:color w:val="000000"/>
                <w:spacing w:val="-1"/>
                <w:sz w:val="22"/>
                <w:szCs w:val="22"/>
                <w:lang w:val="en-US" w:eastAsia="zh-CN"/>
              </w:rPr>
              <w:t xml:space="preserve">3</w:t>
            </w:r>
            <w:r>
              <w:rPr>
                <w:rFonts w:hint="eastAsia" w:ascii="宋体" w:hAnsi="宋体" w:cs="宋体"/>
                <w:color w:val="000000"/>
                <w:spacing w:val="-1"/>
                <w:sz w:val="22"/>
                <w:szCs w:val="22"/>
              </w:rPr>
              <w:t xml:space="preserve">00万≥A＞1500万，得1分；其余不得分。（</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bookmarkEnd w:id="63"/>
            <w:r>
              <w:rPr>
                <w:rFonts w:hint="eastAsia" w:ascii="宋体" w:hAnsi="宋体" w:cs="宋体"/>
                <w:color w:val="000000"/>
                <w:spacing w:val="-1"/>
                <w:sz w:val="22"/>
                <w:szCs w:val="22"/>
              </w:rPr>
              <w:t xml:space="preserve">。</w:t>
            </w:r>
            <w:r>
              <w:rPr>
                <w:rFonts w:hint="eastAsia" w:ascii="宋体" w:hAnsi="宋体" w:cs="宋体"/>
                <w:color w:val="000000"/>
                <w:spacing w:val="-1"/>
                <w:sz w:val="22"/>
                <w:szCs w:val="22"/>
              </w:rPr>
            </w:r>
            <w:r/>
          </w:p>
          <w:p>
            <w:pPr>
              <w:pStyle w:val="658"/>
              <w:jc w:val="left"/>
              <w:pageBreakBefore w:val="0"/>
              <w:spacing w:line="360" w:lineRule="auto"/>
              <w:rPr>
                <w:rFonts w:hint="eastAsia" w:ascii="宋体" w:hAnsi="宋体" w:eastAsia="宋体" w:cs="宋体"/>
                <w:color w:val="000000"/>
                <w:spacing w:val="-1"/>
                <w:sz w:val="22"/>
                <w:szCs w:val="22"/>
                <w:lang w:eastAsia="zh-CN"/>
              </w:rPr>
              <w:framePr w:vAnchor="text" w:hAnchor="page" w:x="1104" w:y="696"/>
            </w:pPr>
            <w:r>
              <w:rPr>
                <w:rFonts w:hint="eastAsia" w:ascii="宋体" w:hAnsi="宋体" w:cs="宋体"/>
                <w:color w:val="000000"/>
                <w:spacing w:val="-1"/>
                <w:sz w:val="22"/>
                <w:szCs w:val="22"/>
              </w:rPr>
              <w:t xml:space="preserve">2、按钮耐用性</w:t>
            </w:r>
            <w:r>
              <w:rPr>
                <w:rFonts w:hint="eastAsia" w:ascii="宋体" w:hAnsi="宋体" w:cs="宋体"/>
                <w:color w:val="000000"/>
                <w:spacing w:val="-1"/>
                <w:sz w:val="22"/>
                <w:szCs w:val="22"/>
                <w:lang w:eastAsia="zh-CN"/>
              </w:rPr>
              <w:t xml:space="preserve">：</w:t>
            </w:r>
            <w:r>
              <w:rPr>
                <w:rFonts w:hint="eastAsia" w:ascii="宋体" w:hAnsi="宋体" w:eastAsia="宋体" w:cs="宋体"/>
                <w:color w:val="000000"/>
                <w:spacing w:val="-1"/>
                <w:sz w:val="22"/>
                <w:szCs w:val="22"/>
                <w:lang w:eastAsia="zh-CN"/>
              </w:rPr>
            </w:r>
            <w:r/>
          </w:p>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按钮应在动作力大于10N的条件下，频率不低于2.0Hz，进行寿命测试实验，实验运行次数为A。A＞3300万，得5分；3300万≥A＞3000万，得3分；3000万≥A＞2700万，得1分；其余不得分（</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rFonts w:hint="eastAsia" w:ascii="宋体" w:hAnsi="宋体" w:cs="宋体"/>
                <w:color w:val="000000"/>
                <w:spacing w:val="-1"/>
                <w:sz w:val="22"/>
                <w:szCs w:val="22"/>
              </w:rPr>
            </w:r>
            <w:r/>
          </w:p>
          <w:p>
            <w:pPr>
              <w:pStyle w:val="658"/>
              <w:numPr>
                <w:ilvl w:val="0"/>
                <w:numId w:val="0"/>
              </w:numPr>
              <w:ind w:left="0" w:firstLine="0"/>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lang w:val="en-US" w:eastAsia="zh-CN"/>
              </w:rPr>
              <w:t xml:space="preserve">3、</w:t>
            </w:r>
            <w:r>
              <w:rPr>
                <w:rFonts w:hint="eastAsia" w:ascii="宋体" w:hAnsi="宋体" w:cs="宋体"/>
                <w:color w:val="000000"/>
                <w:spacing w:val="-1"/>
                <w:sz w:val="22"/>
                <w:szCs w:val="22"/>
              </w:rPr>
              <w:t xml:space="preserve">曳引系统的安全性:</w:t>
            </w:r>
            <w:r>
              <w:rPr>
                <w:rFonts w:hint="eastAsia" w:ascii="宋体" w:hAnsi="宋体" w:cs="宋体"/>
                <w:color w:val="000000"/>
                <w:spacing w:val="-1"/>
                <w:sz w:val="22"/>
                <w:szCs w:val="22"/>
              </w:rPr>
            </w:r>
            <w:r/>
          </w:p>
          <w:p>
            <w:pPr>
              <w:pStyle w:val="658"/>
              <w:numPr>
                <w:ilvl w:val="0"/>
                <w:numId w:val="0"/>
              </w:numPr>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轿厢内加载至250%的额定荷载后，停靠在平层位置，轿厢保持静止，主机制动器各部件应完好，曳引轮不转动，钢丝绳无打滑现象，轿厢未发生明显位移，制动器应保持良好的静态制动性能:可保持&gt;200min得5分</w:t>
            </w:r>
            <w:r>
              <w:rPr>
                <w:rFonts w:hint="eastAsia" w:ascii="宋体" w:hAnsi="宋体" w:cs="宋体"/>
                <w:color w:val="000000"/>
                <w:spacing w:val="-1"/>
                <w:sz w:val="22"/>
                <w:szCs w:val="22"/>
                <w:lang w:eastAsia="zh-CN"/>
              </w:rPr>
              <w:t xml:space="preserve">；</w:t>
            </w:r>
            <w:r>
              <w:rPr>
                <w:rFonts w:hint="eastAsia" w:ascii="宋体" w:hAnsi="宋体" w:cs="宋体"/>
                <w:color w:val="000000"/>
                <w:spacing w:val="-1"/>
                <w:sz w:val="22"/>
                <w:szCs w:val="22"/>
              </w:rPr>
              <w:t xml:space="preserve">190≤可保持≤200min得3分</w:t>
            </w:r>
            <w:r>
              <w:rPr>
                <w:rFonts w:hint="eastAsia" w:ascii="宋体" w:hAnsi="宋体" w:cs="宋体"/>
                <w:color w:val="000000"/>
                <w:spacing w:val="-1"/>
                <w:sz w:val="22"/>
                <w:szCs w:val="22"/>
                <w:lang w:eastAsia="zh-CN"/>
              </w:rPr>
              <w:t xml:space="preserve">；</w:t>
            </w:r>
            <w:r>
              <w:rPr>
                <w:rFonts w:hint="eastAsia" w:ascii="宋体" w:hAnsi="宋体" w:cs="宋体"/>
                <w:color w:val="000000"/>
                <w:spacing w:val="-1"/>
                <w:sz w:val="22"/>
                <w:szCs w:val="22"/>
              </w:rPr>
              <w:t xml:space="preserve">180≤可保持&lt;190min得1分</w:t>
            </w:r>
            <w:r>
              <w:rPr>
                <w:rFonts w:hint="eastAsia" w:ascii="宋体" w:hAnsi="宋体" w:cs="宋体"/>
                <w:color w:val="000000"/>
                <w:spacing w:val="-1"/>
                <w:sz w:val="22"/>
                <w:szCs w:val="22"/>
                <w:lang w:eastAsia="zh-CN"/>
              </w:rPr>
              <w:t xml:space="preserve">；</w:t>
            </w:r>
            <w:r>
              <w:rPr>
                <w:rFonts w:hint="eastAsia" w:ascii="宋体" w:hAnsi="宋体" w:cs="宋体"/>
                <w:color w:val="000000"/>
                <w:spacing w:val="-1"/>
                <w:sz w:val="22"/>
                <w:szCs w:val="22"/>
              </w:rPr>
              <w:t xml:space="preserve">其余不得分。(以国家电梯质量监督检验中心或国家电梯质量检验检测中心或国家电梯产品质量检验检测中心出具的试验报告为准，扫描件上传至投标文件中，未提供或提供不符合要求的不得分)。</w:t>
            </w:r>
            <w:r>
              <w:rPr>
                <w:rFonts w:hint="eastAsia" w:ascii="宋体" w:hAnsi="宋体" w:cs="宋体"/>
                <w:color w:val="000000"/>
                <w:spacing w:val="-1"/>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4、光幕系统的安全性：</w:t>
            </w:r>
            <w:r>
              <w:rPr>
                <w:rFonts w:hint="eastAsia" w:ascii="宋体" w:hAnsi="宋体" w:cs="宋体"/>
                <w:color w:val="000000"/>
                <w:spacing w:val="-1"/>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rPr>
                <w:rFonts w:ascii="宋体" w:hAnsi="宋体" w:cs="宋体"/>
                <w:color w:val="000000"/>
                <w:spacing w:val="-1"/>
                <w:sz w:val="22"/>
                <w:szCs w:val="22"/>
              </w:rPr>
              <w:t xml:space="preserve">所投</w:t>
            </w:r>
            <w:r>
              <w:rPr>
                <w:rFonts w:hint="eastAsia" w:ascii="宋体" w:hAnsi="宋体" w:cs="宋体"/>
                <w:color w:val="000000"/>
                <w:spacing w:val="-1"/>
                <w:sz w:val="22"/>
                <w:szCs w:val="22"/>
              </w:rPr>
              <w:t xml:space="preserve">品牌电梯光幕需为原厂原品牌，防护等级不小于IP65，最大光束不小于230束，以遮挡物进行遮挡试验，正常工作状态下无故障。遮挡次数＞2000万次的得5分，2000万次≥遮挡次数＞</w:t>
            </w:r>
            <w:r>
              <w:rPr>
                <w:rFonts w:ascii="宋体" w:hAnsi="宋体" w:cs="宋体"/>
                <w:color w:val="000000"/>
                <w:spacing w:val="-1"/>
                <w:sz w:val="22"/>
                <w:szCs w:val="22"/>
              </w:rPr>
              <w:t xml:space="preserve">18</w:t>
            </w:r>
            <w:r>
              <w:rPr>
                <w:rFonts w:hint="eastAsia" w:ascii="宋体" w:hAnsi="宋体" w:cs="宋体"/>
                <w:color w:val="000000"/>
                <w:spacing w:val="-1"/>
                <w:sz w:val="22"/>
                <w:szCs w:val="22"/>
              </w:rPr>
              <w:t xml:space="preserve">50万次的得3分，1850万次≥遮挡次数＞1600万次的得</w:t>
            </w:r>
            <w:r>
              <w:rPr>
                <w:rFonts w:ascii="宋体" w:hAnsi="宋体" w:cs="宋体"/>
                <w:color w:val="000000"/>
                <w:spacing w:val="-1"/>
                <w:sz w:val="22"/>
                <w:szCs w:val="22"/>
              </w:rPr>
              <w:t xml:space="preserve">1</w:t>
            </w:r>
            <w:r>
              <w:rPr>
                <w:rFonts w:hint="eastAsia" w:ascii="宋体" w:hAnsi="宋体" w:cs="宋体"/>
                <w:color w:val="000000"/>
                <w:spacing w:val="-1"/>
                <w:sz w:val="22"/>
                <w:szCs w:val="22"/>
              </w:rPr>
              <w:t xml:space="preserve">分，其他不得分。</w:t>
            </w:r>
            <w:r>
              <w:rPr>
                <w:rFonts w:hint="eastAsia" w:ascii="宋体" w:hAnsi="宋体" w:cs="宋体"/>
                <w:color w:val="000000"/>
                <w:spacing w:val="-1"/>
                <w:sz w:val="22"/>
                <w:szCs w:val="22"/>
              </w:rPr>
            </w:r>
            <w:r/>
          </w:p>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ascii="宋体" w:hAnsi="宋体" w:eastAsia="宋体" w:cs="宋体"/>
                <w:color w:val="000000"/>
                <w:spacing w:val="-2"/>
                <w:sz w:val="22"/>
                <w:szCs w:val="22"/>
                <w:lang w:val="en-US" w:eastAsia="zh-CN"/>
              </w:rPr>
              <w:framePr w:vAnchor="text" w:hAnchor="page" w:x="1104" w:y="696"/>
            </w:pPr>
            <w:r>
              <w:rPr>
                <w:rFonts w:hint="eastAsia" w:ascii="宋体" w:hAnsi="宋体" w:cs="宋体"/>
                <w:color w:val="000000"/>
                <w:spacing w:val="-2"/>
                <w:sz w:val="22"/>
                <w:szCs w:val="22"/>
                <w:lang w:val="en-US" w:eastAsia="zh-CN"/>
              </w:rPr>
              <w:t xml:space="preserve">20</w:t>
            </w:r>
            <w:r>
              <w:rPr>
                <w:rFonts w:ascii="宋体" w:hAnsi="宋体" w:eastAsia="宋体" w:cs="宋体"/>
                <w:color w:val="000000"/>
                <w:spacing w:val="-2"/>
                <w:sz w:val="22"/>
                <w:szCs w:val="22"/>
                <w:lang w:val="en-US" w:eastAsia="zh-CN"/>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889"/>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2.4</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pacing w:val="-1"/>
                <w:sz w:val="22"/>
                <w:szCs w:val="22"/>
              </w:rPr>
              <w:t xml:space="preserve">技术规格、参数响应4</w:t>
            </w:r>
            <w:r>
              <w:rPr>
                <w:rFonts w:hint="eastAsia" w:ascii="宋体" w:hAnsi="宋体" w:cs="宋体"/>
                <w:color w:val="000000"/>
                <w:sz w:val="22"/>
                <w:szCs w:val="22"/>
              </w:rPr>
            </w:r>
            <w:r/>
          </w:p>
        </w:tc>
        <w:tc>
          <w:tcPr>
            <w:tcW w:w="6276" w:type="dxa"/>
            <w:vAlign w:val="center"/>
            <w:textDirection w:val="lrTb"/>
            <w:noWrap w:val="false"/>
          </w:tcPr>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根据所投品牌电梯控制柜按控制柜的抗雷击浪涌能力需大于±20KV，冲击耐受试验次数＞300次得5分，300次≥冲击耐受试验次数＞290</w:t>
            </w:r>
            <w:r>
              <w:rPr>
                <w:rFonts w:hint="eastAsia" w:ascii="宋体" w:hAnsi="宋体" w:cs="宋体"/>
                <w:color w:val="000000"/>
                <w:spacing w:val="-1"/>
                <w:sz w:val="22"/>
                <w:szCs w:val="22"/>
                <w:lang w:val="en-US" w:eastAsia="zh-CN"/>
              </w:rPr>
              <w:t xml:space="preserve">次</w:t>
            </w:r>
            <w:r>
              <w:rPr>
                <w:rFonts w:hint="eastAsia" w:ascii="宋体" w:hAnsi="宋体" w:cs="宋体"/>
                <w:color w:val="000000"/>
                <w:spacing w:val="-1"/>
                <w:sz w:val="22"/>
                <w:szCs w:val="22"/>
              </w:rPr>
              <w:t xml:space="preserve">得3分，290次≥冲击耐受试验次数＞280</w:t>
            </w:r>
            <w:r>
              <w:rPr>
                <w:rFonts w:hint="eastAsia" w:ascii="宋体" w:hAnsi="宋体" w:cs="宋体"/>
                <w:color w:val="000000"/>
                <w:spacing w:val="-1"/>
                <w:sz w:val="22"/>
                <w:szCs w:val="22"/>
                <w:lang w:val="en-US" w:eastAsia="zh-CN"/>
              </w:rPr>
              <w:t xml:space="preserve">次</w:t>
            </w:r>
            <w:r>
              <w:rPr>
                <w:rFonts w:hint="eastAsia" w:ascii="宋体" w:hAnsi="宋体" w:cs="宋体"/>
                <w:color w:val="000000"/>
                <w:spacing w:val="-1"/>
                <w:sz w:val="22"/>
                <w:szCs w:val="22"/>
              </w:rPr>
              <w:t xml:space="preserve">得1分，其余不得分（</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5</w:t>
            </w:r>
            <w:r>
              <w:rPr>
                <w:rFonts w:hint="eastAsia" w:ascii="宋体" w:hAnsi="宋体" w:cs="宋体"/>
                <w:color w:val="000000"/>
                <w:spacing w:val="-2"/>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889"/>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2.5</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技术规格、参数响应5</w:t>
            </w:r>
            <w:r>
              <w:rPr>
                <w:rFonts w:hint="eastAsia" w:ascii="宋体" w:hAnsi="宋体" w:cs="宋体"/>
                <w:color w:val="000000"/>
                <w:spacing w:val="-1"/>
                <w:sz w:val="22"/>
                <w:szCs w:val="22"/>
              </w:rPr>
            </w:r>
            <w:r/>
          </w:p>
        </w:tc>
        <w:tc>
          <w:tcPr>
            <w:tcW w:w="6276" w:type="dxa"/>
            <w:vAlign w:val="center"/>
            <w:textDirection w:val="lrTb"/>
            <w:noWrap w:val="false"/>
          </w:tcPr>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所投品牌电梯控制装置类型为双32位微机控制，进行温湿度老化试验，试验满足:1、样品应处于工作状态；2、样品应由额定电压供电；3、样品在试验中和试验后应动作正常；4、试验温度在-25℃-80℃之间变化，试验湿度随温度变化。试验时间≧240h得5分，试验时间≧200h得3分，试验时间≧160h得1分，其余不得分。（</w:t>
            </w:r>
            <w:r>
              <w:rPr>
                <w:rFonts w:hint="eastAsia" w:ascii="宋体" w:hAnsi="宋体" w:cs="宋体"/>
                <w:color w:val="000000"/>
                <w:sz w:val="22"/>
                <w:szCs w:val="22"/>
              </w:rPr>
              <w:t xml:space="preserve">以国家电梯质量监督检验中心或国家电梯质量检验检测中心或国家电梯产品质量检验检测中心</w:t>
            </w:r>
            <w:r>
              <w:rPr>
                <w:rFonts w:hint="eastAsia" w:ascii="宋体" w:hAnsi="宋体" w:cs="宋体"/>
                <w:color w:val="000000"/>
                <w:spacing w:val="-1"/>
                <w:sz w:val="22"/>
                <w:szCs w:val="22"/>
              </w:rPr>
              <w:t xml:space="preserve">出具的试验报告为准，扫描件上传至投标文件中，未提供或提供不符合要求的不得分）。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5</w:t>
            </w:r>
            <w:r>
              <w:rPr>
                <w:rFonts w:hint="eastAsia" w:ascii="宋体" w:hAnsi="宋体" w:cs="宋体"/>
                <w:color w:val="000000"/>
                <w:spacing w:val="-2"/>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889"/>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2.6</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技术规格、参数响应6</w:t>
            </w:r>
            <w:r>
              <w:rPr>
                <w:rFonts w:hint="eastAsia" w:ascii="宋体" w:hAnsi="宋体" w:cs="宋体"/>
                <w:color w:val="000000"/>
                <w:spacing w:val="-1"/>
                <w:sz w:val="22"/>
                <w:szCs w:val="22"/>
              </w:rPr>
            </w:r>
            <w:r/>
          </w:p>
        </w:tc>
        <w:tc>
          <w:tcPr>
            <w:tcW w:w="6276" w:type="dxa"/>
            <w:vAlign w:val="center"/>
            <w:textDirection w:val="lrTb"/>
            <w:noWrap w:val="false"/>
          </w:tcPr>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所投品牌电梯自动应急疏散装置为：①原厂原品牌，②外壳防护等级不低于IP54，电梯处于自动救援操作状态，在轿厢地板中央上方1米处测试听觉信号，声级＜50dB，得5分，50dB≤声级＜55dB，得3分，</w:t>
            </w:r>
            <w:r>
              <w:rPr>
                <w:rFonts w:hint="eastAsia" w:ascii="宋体" w:hAnsi="宋体" w:cs="宋体"/>
                <w:color w:val="000000"/>
                <w:spacing w:val="-1"/>
                <w:sz w:val="22"/>
                <w:szCs w:val="22"/>
              </w:rPr>
            </w:r>
            <w:r/>
          </w:p>
          <w:p>
            <w:pPr>
              <w:pStyle w:val="658"/>
              <w:pageBreakBefore w:val="0"/>
              <w:spacing w:line="360" w:lineRule="auto"/>
              <w:rPr>
                <w:color w:val="000000"/>
                <w:sz w:val="22"/>
                <w:szCs w:val="22"/>
              </w:rPr>
              <w:framePr w:vAnchor="text" w:hAnchor="page" w:x="1104" w:y="696"/>
            </w:pPr>
            <w:r>
              <w:rPr>
                <w:rFonts w:hint="eastAsia" w:ascii="宋体" w:hAnsi="宋体" w:cs="宋体"/>
                <w:color w:val="000000"/>
                <w:spacing w:val="-1"/>
                <w:sz w:val="22"/>
                <w:szCs w:val="22"/>
              </w:rPr>
              <w:t xml:space="preserve">55dB≤声级＜60dB，得1分，其余不得分。（提供第三方出具的检测报告或试验报告）</w:t>
            </w:r>
            <w:r>
              <w:rPr>
                <w:color w:val="000000"/>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5</w:t>
            </w:r>
            <w:r>
              <w:rPr>
                <w:rFonts w:hint="eastAsia" w:ascii="宋体" w:hAnsi="宋体" w:cs="宋体"/>
                <w:color w:val="000000"/>
                <w:spacing w:val="-2"/>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客观分</w:t>
            </w:r>
            <w:r>
              <w:rPr>
                <w:rFonts w:hint="eastAsia" w:ascii="宋体" w:hAnsi="宋体" w:cs="宋体"/>
                <w:color w:val="000000"/>
                <w:spacing w:val="-2"/>
                <w:sz w:val="22"/>
                <w:szCs w:val="22"/>
              </w:rPr>
            </w:r>
            <w:r/>
          </w:p>
        </w:tc>
      </w:tr>
      <w:tr>
        <w:trPr>
          <w:trHeight w:val="472"/>
        </w:trPr>
        <w:tc>
          <w:tcPr>
            <w:gridSpan w:val="5"/>
            <w:tcW w:w="9758" w:type="dxa"/>
            <w:vAlign w:val="center"/>
            <w:textDirection w:val="lrTb"/>
            <w:noWrap w:val="false"/>
          </w:tcPr>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3.服务</w:t>
            </w:r>
            <w:r>
              <w:rPr>
                <w:rFonts w:hint="eastAsia" w:ascii="宋体" w:hAnsi="宋体" w:cs="宋体"/>
                <w:color w:val="000000"/>
                <w:spacing w:val="1"/>
                <w:sz w:val="22"/>
                <w:szCs w:val="22"/>
              </w:rPr>
            </w:r>
            <w:r/>
          </w:p>
        </w:tc>
      </w:tr>
      <w:tr>
        <w:trPr>
          <w:trHeight w:val="1763"/>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3.1 </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line="360" w:lineRule="auto"/>
              <w:rPr>
                <w:rFonts w:hint="eastAsia" w:ascii="宋体" w:hAnsi="宋体" w:cs="宋体"/>
                <w:color w:val="000000"/>
                <w:spacing w:val="-2"/>
                <w:sz w:val="22"/>
                <w:szCs w:val="22"/>
              </w:rPr>
              <w:framePr w:vAnchor="text" w:hAnchor="page" w:x="1104" w:y="696"/>
            </w:pPr>
            <w:r/>
            <w:bookmarkStart w:id="64" w:name="OLE_LINK6"/>
            <w:r/>
            <w:bookmarkStart w:id="65" w:name="OLE_LINK11"/>
            <w:r>
              <w:rPr>
                <w:rFonts w:hint="eastAsia" w:ascii="宋体" w:hAnsi="宋体" w:cs="宋体"/>
                <w:color w:val="000000"/>
                <w:sz w:val="22"/>
                <w:szCs w:val="22"/>
              </w:rPr>
              <w:t xml:space="preserve">实施方案</w:t>
            </w:r>
            <w:bookmarkEnd w:id="64"/>
            <w:r/>
            <w:bookmarkEnd w:id="65"/>
            <w:r>
              <w:rPr>
                <w:rFonts w:hint="eastAsia" w:ascii="宋体" w:hAnsi="宋体" w:cs="宋体"/>
                <w:color w:val="000000"/>
                <w:spacing w:val="-2"/>
                <w:sz w:val="22"/>
                <w:szCs w:val="22"/>
              </w:rPr>
            </w:r>
            <w:r/>
          </w:p>
        </w:tc>
        <w:tc>
          <w:tcPr>
            <w:tcW w:w="6276" w:type="dxa"/>
            <w:vAlign w:val="center"/>
            <w:textDirection w:val="lrTb"/>
            <w:noWrap w:val="false"/>
          </w:tcPr>
          <w:p>
            <w:pPr>
              <w:pStyle w:val="658"/>
              <w:jc w:val="left"/>
              <w:pageBreakBefore w:val="0"/>
              <w:spacing w:line="360" w:lineRule="auto"/>
              <w:rPr>
                <w:rFonts w:hint="eastAsia" w:ascii="宋体" w:hAnsi="宋体" w:cs="宋体"/>
                <w:color w:val="000000"/>
                <w:sz w:val="22"/>
                <w:szCs w:val="22"/>
              </w:rPr>
              <w:framePr w:vAnchor="text" w:hAnchor="page" w:x="1104" w:y="696"/>
            </w:pPr>
            <w:r/>
            <w:bookmarkStart w:id="66" w:name="OLE_LINK9"/>
            <w:r>
              <w:rPr>
                <w:rFonts w:hint="eastAsia" w:ascii="宋体" w:hAnsi="宋体" w:cs="宋体"/>
                <w:color w:val="000000"/>
                <w:sz w:val="22"/>
                <w:szCs w:val="22"/>
              </w:rPr>
              <w:t xml:space="preserve">评委根据投标人提供的本项目实施方案</w:t>
            </w:r>
            <w:bookmarkStart w:id="67" w:name="OLE_LINK12"/>
            <w:r>
              <w:rPr>
                <w:rFonts w:hint="eastAsia" w:ascii="宋体" w:hAnsi="宋体" w:cs="宋体"/>
                <w:color w:val="000000"/>
                <w:sz w:val="22"/>
                <w:szCs w:val="22"/>
              </w:rPr>
              <w:t xml:space="preserve">评分，包括</w:t>
            </w:r>
            <w:bookmarkEnd w:id="67"/>
            <w:r>
              <w:rPr>
                <w:rFonts w:hint="eastAsia" w:ascii="宋体" w:hAnsi="宋体" w:cs="宋体"/>
                <w:color w:val="000000"/>
                <w:sz w:val="22"/>
                <w:szCs w:val="22"/>
              </w:rPr>
              <w:t xml:space="preserve">：1、本项目人员配置；2、安装计划及进度工期；3、安装施工具体措施；4、安全文明施工措施；5、质量保证措施。</w:t>
            </w:r>
            <w:bookmarkStart w:id="68" w:name="OLE_LINK21"/>
            <w:r>
              <w:rPr>
                <w:rFonts w:hint="eastAsia" w:ascii="宋体" w:hAnsi="宋体" w:cs="宋体"/>
                <w:color w:val="000000"/>
                <w:sz w:val="22"/>
                <w:szCs w:val="22"/>
              </w:rPr>
              <w:t xml:space="preserve">以上每项内容逐条阐述。</w:t>
            </w:r>
            <w:bookmarkEnd w:id="68"/>
            <w:r>
              <w:rPr>
                <w:rFonts w:hint="eastAsia" w:ascii="宋体" w:hAnsi="宋体" w:cs="宋体"/>
                <w:color w:val="000000"/>
                <w:sz w:val="22"/>
                <w:szCs w:val="22"/>
              </w:rPr>
            </w:r>
            <w:r/>
          </w:p>
          <w:p>
            <w:pPr>
              <w:pStyle w:val="658"/>
              <w:pageBreakBefore w:val="0"/>
              <w:spacing w:line="360" w:lineRule="auto"/>
              <w:rPr>
                <w:rFonts w:hint="eastAsia" w:ascii="宋体" w:hAnsi="宋体" w:cs="宋体"/>
                <w:color w:val="000000"/>
                <w:sz w:val="22"/>
                <w:szCs w:val="22"/>
              </w:rPr>
              <w:framePr w:vAnchor="text" w:hAnchor="page" w:x="1104" w:y="696"/>
            </w:pPr>
            <w:r/>
            <w:bookmarkStart w:id="69" w:name="OLE_LINK13"/>
            <w:r>
              <w:rPr>
                <w:rFonts w:hint="eastAsia" w:ascii="宋体" w:hAnsi="宋体" w:cs="宋体"/>
                <w:color w:val="000000"/>
                <w:sz w:val="22"/>
                <w:szCs w:val="22"/>
              </w:rPr>
              <w:t xml:space="preserve">（1）以上每项</w:t>
            </w:r>
            <w:bookmarkEnd w:id="69"/>
            <w:r>
              <w:rPr>
                <w:rFonts w:hint="eastAsia" w:ascii="宋体" w:hAnsi="宋体" w:cs="宋体"/>
                <w:color w:val="000000"/>
                <w:sz w:val="22"/>
                <w:szCs w:val="22"/>
              </w:rPr>
              <w:t xml:space="preserve">方案内容全面、科学合理、</w:t>
            </w:r>
            <w:bookmarkStart w:id="70" w:name="OLE_LINK14"/>
            <w:r>
              <w:rPr>
                <w:rFonts w:hint="eastAsia" w:ascii="宋体" w:hAnsi="宋体" w:cs="宋体"/>
                <w:color w:val="000000"/>
                <w:sz w:val="22"/>
                <w:szCs w:val="22"/>
              </w:rPr>
              <w:t xml:space="preserve">操作性强的，得 1分</w:t>
            </w:r>
            <w:bookmarkEnd w:id="70"/>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8"/>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（2）以上每项方案内容较为全面、较为科学合理、操作性较强的，得0.8分；</w:t>
            </w:r>
            <w:r>
              <w:rPr>
                <w:rFonts w:hint="eastAsia" w:ascii="宋体" w:hAnsi="宋体" w:cs="宋体"/>
                <w:color w:val="000000"/>
                <w:sz w:val="22"/>
                <w:szCs w:val="22"/>
              </w:rPr>
            </w:r>
            <w:r/>
          </w:p>
          <w:p>
            <w:pPr>
              <w:pStyle w:val="658"/>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（3）以上每项方案包含基本内容、基本合理性、具有一定的可操作性，得0.5分；</w:t>
            </w:r>
            <w:r>
              <w:rPr>
                <w:rFonts w:hint="eastAsia" w:ascii="宋体" w:hAnsi="宋体" w:cs="宋体"/>
                <w:color w:val="000000"/>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z w:val="22"/>
                <w:szCs w:val="22"/>
              </w:rPr>
              <w:t xml:space="preserve">(4)以上每项内容不科学、不合理、不具备可操作性或未提供的不得分。</w:t>
            </w:r>
            <w:bookmarkEnd w:id="66"/>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主观分</w:t>
            </w:r>
            <w:r>
              <w:rPr>
                <w:rFonts w:hint="eastAsia" w:ascii="宋体" w:hAnsi="宋体" w:cs="宋体"/>
                <w:color w:val="000000"/>
                <w:sz w:val="22"/>
                <w:szCs w:val="22"/>
              </w:rPr>
            </w:r>
            <w:r/>
          </w:p>
        </w:tc>
      </w:tr>
      <w:tr>
        <w:trPr>
          <w:trHeight w:val="133"/>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3.2</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售后服务方案</w:t>
            </w:r>
            <w:r>
              <w:rPr>
                <w:rFonts w:hint="eastAsia" w:ascii="宋体" w:hAnsi="宋体" w:cs="宋体"/>
                <w:color w:val="000000"/>
                <w:spacing w:val="-2"/>
                <w:sz w:val="22"/>
                <w:szCs w:val="22"/>
              </w:rPr>
            </w:r>
            <w:r/>
          </w:p>
        </w:tc>
        <w:tc>
          <w:tcPr>
            <w:tcW w:w="6276" w:type="dxa"/>
            <w:vAlign w:val="center"/>
            <w:textDirection w:val="lrTb"/>
            <w:noWrap w:val="false"/>
          </w:tcPr>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评委根据投标人提供的本项目售后服务实施方案综合评分，包括：1</w:t>
            </w:r>
            <w:r>
              <w:rPr>
                <w:color w:val="000000"/>
                <w:sz w:val="22"/>
                <w:szCs w:val="22"/>
              </w:rPr>
              <w:t xml:space="preserve">、本项目售后服务人员配置；</w:t>
            </w:r>
            <w:r>
              <w:rPr>
                <w:rFonts w:hint="eastAsia"/>
                <w:color w:val="000000"/>
                <w:sz w:val="22"/>
                <w:szCs w:val="22"/>
              </w:rPr>
              <w:t xml:space="preserve">2</w:t>
            </w:r>
            <w:r>
              <w:rPr>
                <w:color w:val="000000"/>
                <w:sz w:val="22"/>
                <w:szCs w:val="22"/>
              </w:rPr>
              <w:t xml:space="preserve">、</w:t>
            </w:r>
            <w:r>
              <w:rPr>
                <w:rFonts w:hint="eastAsia"/>
                <w:color w:val="000000"/>
                <w:sz w:val="22"/>
                <w:szCs w:val="22"/>
              </w:rPr>
              <w:t xml:space="preserve">售后服务内容； 3</w:t>
            </w:r>
            <w:r>
              <w:rPr>
                <w:color w:val="000000"/>
                <w:sz w:val="22"/>
                <w:szCs w:val="22"/>
              </w:rPr>
              <w:t xml:space="preserve">、</w:t>
            </w:r>
            <w:r>
              <w:rPr>
                <w:rFonts w:hint="eastAsia"/>
                <w:color w:val="000000"/>
                <w:sz w:val="22"/>
                <w:szCs w:val="22"/>
              </w:rPr>
              <w:t xml:space="preserve">故障解决方案；4</w:t>
            </w:r>
            <w:r>
              <w:rPr>
                <w:color w:val="000000"/>
                <w:sz w:val="22"/>
                <w:szCs w:val="22"/>
              </w:rPr>
              <w:t xml:space="preserve">、应急响应预案</w:t>
            </w:r>
            <w:r>
              <w:rPr>
                <w:rFonts w:hint="eastAsia"/>
                <w:color w:val="000000"/>
                <w:sz w:val="22"/>
                <w:szCs w:val="22"/>
              </w:rPr>
              <w:t xml:space="preserve">；5</w:t>
            </w:r>
            <w:r>
              <w:rPr>
                <w:color w:val="000000"/>
                <w:sz w:val="22"/>
                <w:szCs w:val="22"/>
              </w:rPr>
              <w:t xml:space="preserve">、</w:t>
            </w:r>
            <w:r>
              <w:rPr>
                <w:rFonts w:hint="eastAsia"/>
                <w:color w:val="000000"/>
                <w:sz w:val="22"/>
                <w:szCs w:val="22"/>
              </w:rPr>
              <w:t xml:space="preserve">售后服务体系。以上每项内容逐条阐述。</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（1）以上每项方案内容全面、科学合理、操作性强的，得 1分；</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（2）以上每项方案内容较为全面、较为科学合理、操作性较强的，得0.8分；</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（3）以上每项方案包含基本内容、基本合理性、具有一定的可操作性，得0.5分；</w:t>
            </w:r>
            <w:r>
              <w:rPr>
                <w:color w:val="000000"/>
                <w:sz w:val="22"/>
                <w:szCs w:val="22"/>
              </w:rPr>
            </w:r>
            <w:r/>
          </w:p>
          <w:p>
            <w:pPr>
              <w:pStyle w:val="658"/>
              <w:pageBreakBefore w:val="0"/>
              <w:spacing w:line="360" w:lineRule="auto"/>
              <w:rPr>
                <w:rFonts w:hint="eastAsia" w:ascii="宋体" w:hAnsi="宋体" w:cs="宋体"/>
                <w:color w:val="000000"/>
                <w:sz w:val="22"/>
                <w:szCs w:val="22"/>
              </w:rPr>
              <w:framePr w:vAnchor="text" w:hAnchor="page" w:x="1104" w:y="696"/>
            </w:pPr>
            <w:r>
              <w:rPr>
                <w:rFonts w:hint="eastAsia"/>
                <w:color w:val="000000"/>
                <w:sz w:val="22"/>
                <w:szCs w:val="22"/>
              </w:rPr>
              <w:t xml:space="preserve">(4)以上每项内容不科学、不合理、不具备可操作性或未提供的不得分</w:t>
            </w:r>
            <w:r>
              <w:rPr>
                <w:rFonts w:hint="eastAsia" w:ascii="宋体" w:hAnsi="宋体" w:cs="宋体"/>
                <w:color w:val="000000"/>
                <w:sz w:val="22"/>
                <w:szCs w:val="22"/>
              </w:rPr>
              <w:t xml:space="preserve">。</w:t>
            </w:r>
            <w:r>
              <w:rPr>
                <w:rFonts w:hint="eastAsia" w:ascii="宋体" w:hAnsi="宋体" w:cs="宋体"/>
                <w:color w:val="000000"/>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主观分</w:t>
            </w:r>
            <w:r>
              <w:rPr>
                <w:rFonts w:hint="eastAsia" w:ascii="宋体" w:hAnsi="宋体" w:cs="宋体"/>
                <w:color w:val="000000"/>
                <w:sz w:val="22"/>
                <w:szCs w:val="22"/>
              </w:rPr>
            </w:r>
            <w:r/>
          </w:p>
        </w:tc>
      </w:tr>
      <w:tr>
        <w:trPr>
          <w:trHeight w:val="133"/>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3.3</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line="360" w:lineRule="auto"/>
              <w:rPr>
                <w:rFonts w:hint="eastAsia" w:ascii="宋体" w:hAnsi="宋体" w:cs="宋体"/>
                <w:color w:val="000000"/>
                <w:spacing w:val="-2"/>
                <w:sz w:val="22"/>
                <w:szCs w:val="22"/>
              </w:rPr>
              <w:framePr w:vAnchor="text" w:hAnchor="page" w:x="1104" w:y="696"/>
            </w:pPr>
            <w:r>
              <w:rPr>
                <w:rFonts w:hint="eastAsia" w:ascii="宋体" w:hAnsi="宋体"/>
                <w:color w:val="000000"/>
                <w:sz w:val="22"/>
                <w:szCs w:val="22"/>
              </w:rPr>
              <w:t xml:space="preserve">培训方案</w:t>
            </w:r>
            <w:r>
              <w:rPr>
                <w:rFonts w:hint="eastAsia" w:ascii="宋体" w:hAnsi="宋体" w:cs="宋体"/>
                <w:color w:val="000000"/>
                <w:spacing w:val="-2"/>
                <w:sz w:val="22"/>
                <w:szCs w:val="22"/>
              </w:rPr>
            </w:r>
            <w:r/>
          </w:p>
        </w:tc>
        <w:tc>
          <w:tcPr>
            <w:tcW w:w="6276" w:type="dxa"/>
            <w:vAlign w:val="center"/>
            <w:textDirection w:val="lrTb"/>
            <w:noWrap w:val="false"/>
          </w:tcPr>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评委根据投标人提供的本项目培训实施方案综合评分，包括</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：1.培训计划；2.培训内容。以上每项内容逐条阐述。</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（1）以上每项方案内容全面、科学合理、操作性强的，得 1.5分；</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（2）以上每项方案内容较为全面、较为科学合理、操作性较强的，得1分；</w:t>
            </w:r>
            <w:r>
              <w:rPr>
                <w:color w:val="000000"/>
                <w:sz w:val="22"/>
                <w:szCs w:val="22"/>
              </w:rPr>
            </w:r>
            <w:r/>
          </w:p>
          <w:p>
            <w:pPr>
              <w:pStyle w:val="658"/>
              <w:pageBreakBefore w:val="0"/>
              <w:spacing w:line="360" w:lineRule="auto"/>
              <w:rPr>
                <w:color w:val="000000"/>
                <w:sz w:val="22"/>
                <w:szCs w:val="22"/>
              </w:rPr>
              <w:framePr w:vAnchor="text" w:hAnchor="page" w:x="1104" w:y="696"/>
            </w:pPr>
            <w:r>
              <w:rPr>
                <w:rFonts w:hint="eastAsia"/>
                <w:color w:val="000000"/>
                <w:sz w:val="22"/>
                <w:szCs w:val="22"/>
              </w:rPr>
              <w:t xml:space="preserve">（3）以上每项方案包含基本内容、基本合理性、具有一定的可操作性，得0.8分；</w:t>
            </w:r>
            <w:r>
              <w:rPr>
                <w:color w:val="000000"/>
                <w:sz w:val="22"/>
                <w:szCs w:val="22"/>
              </w:rPr>
            </w:r>
            <w:r/>
          </w:p>
          <w:p>
            <w:pPr>
              <w:pStyle w:val="658"/>
              <w:pageBreakBefore w:val="0"/>
              <w:spacing w:line="360" w:lineRule="auto"/>
              <w:rPr>
                <w:rFonts w:hint="eastAsia" w:ascii="宋体" w:hAnsi="宋体" w:cs="宋体"/>
                <w:color w:val="000000"/>
                <w:spacing w:val="1"/>
                <w:sz w:val="22"/>
                <w:szCs w:val="22"/>
              </w:rPr>
              <w:framePr w:vAnchor="text" w:hAnchor="page" w:x="1104" w:y="696"/>
            </w:pPr>
            <w:r>
              <w:rPr>
                <w:rFonts w:hint="eastAsia"/>
                <w:color w:val="000000"/>
                <w:sz w:val="22"/>
                <w:szCs w:val="22"/>
              </w:rPr>
              <w:t xml:space="preserve">(4)以上每项内容不科学、不合理、不具备可操作性或未提供的不得分</w:t>
            </w:r>
            <w:r>
              <w:rPr>
                <w:rFonts w:hint="eastAsia" w:ascii="宋体" w:hAnsi="宋体" w:cs="宋体"/>
                <w:color w:val="000000"/>
                <w:sz w:val="22"/>
                <w:szCs w:val="22"/>
              </w:rPr>
              <w:t xml:space="preserve">。</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before="68" w:line="360" w:lineRule="auto"/>
              <w:rPr>
                <w:rFonts w:hint="eastAsia" w:ascii="宋体" w:hAnsi="宋体"/>
                <w:color w:val="000000"/>
                <w:sz w:val="22"/>
                <w:szCs w:val="22"/>
              </w:rPr>
              <w:framePr w:vAnchor="text" w:hAnchor="page" w:x="1104" w:y="696"/>
            </w:pPr>
            <w:r>
              <w:rPr>
                <w:rFonts w:hint="eastAsia" w:ascii="宋体" w:hAnsi="宋体" w:cs="宋体"/>
                <w:color w:val="000000"/>
                <w:sz w:val="22"/>
                <w:szCs w:val="22"/>
              </w:rPr>
              <w:t xml:space="preserve">3</w:t>
            </w:r>
            <w:r>
              <w:rPr>
                <w:rFonts w:hint="eastAsia" w:ascii="宋体" w:hAnsi="宋体"/>
                <w:color w:val="000000"/>
                <w:sz w:val="22"/>
                <w:szCs w:val="22"/>
              </w:rPr>
            </w:r>
            <w:r/>
          </w:p>
        </w:tc>
        <w:tc>
          <w:tcPr>
            <w:tcW w:w="804" w:type="dxa"/>
            <w:vAlign w:val="center"/>
            <w:textDirection w:val="lrTb"/>
            <w:noWrap w:val="false"/>
          </w:tcPr>
          <w:p>
            <w:pPr>
              <w:pStyle w:val="658"/>
              <w:jc w:val="center"/>
              <w:pageBreakBefore w:val="0"/>
              <w:spacing w:before="68" w:line="360" w:lineRule="auto"/>
              <w:rPr>
                <w:rFonts w:hint="eastAsia" w:ascii="宋体" w:hAnsi="宋体" w:cs="宋体"/>
                <w:color w:val="000000"/>
                <w:sz w:val="22"/>
                <w:szCs w:val="22"/>
              </w:rPr>
              <w:framePr w:vAnchor="text" w:hAnchor="page" w:x="1104" w:y="696"/>
            </w:pPr>
            <w:r>
              <w:rPr>
                <w:rFonts w:ascii="宋体" w:hAnsi="宋体" w:cs="宋体"/>
                <w:color w:val="000000"/>
                <w:sz w:val="22"/>
                <w:szCs w:val="22"/>
              </w:rPr>
              <w:t xml:space="preserve">主观分</w:t>
            </w:r>
            <w:r>
              <w:rPr>
                <w:rFonts w:hint="eastAsia" w:ascii="宋体" w:hAnsi="宋体" w:cs="宋体"/>
                <w:color w:val="000000"/>
                <w:sz w:val="22"/>
                <w:szCs w:val="22"/>
              </w:rPr>
            </w:r>
            <w:r/>
          </w:p>
        </w:tc>
      </w:tr>
      <w:tr>
        <w:trPr>
          <w:trHeight w:val="455"/>
        </w:trPr>
        <w:tc>
          <w:tcPr>
            <w:gridSpan w:val="5"/>
            <w:tcW w:w="9758" w:type="dxa"/>
            <w:vAlign w:val="center"/>
            <w:textDirection w:val="lrTb"/>
            <w:noWrap w:val="false"/>
          </w:tcPr>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ascii="宋体" w:hAnsi="宋体" w:cs="宋体"/>
                <w:color w:val="000000"/>
                <w:spacing w:val="1"/>
                <w:sz w:val="22"/>
                <w:szCs w:val="22"/>
              </w:rPr>
              <w:t xml:space="preserve">4.业绩</w:t>
            </w:r>
            <w:r>
              <w:rPr>
                <w:rFonts w:hint="eastAsia" w:ascii="宋体" w:hAnsi="宋体" w:cs="宋体"/>
                <w:color w:val="000000"/>
                <w:spacing w:val="1"/>
                <w:sz w:val="22"/>
                <w:szCs w:val="22"/>
              </w:rPr>
            </w:r>
            <w:r/>
          </w:p>
        </w:tc>
      </w:tr>
      <w:tr>
        <w:trPr>
          <w:trHeight w:val="90"/>
        </w:trPr>
        <w:tc>
          <w:tcPr>
            <w:tcW w:w="595" w:type="dxa"/>
            <w:vAlign w:val="center"/>
            <w:textDirection w:val="lrTb"/>
            <w:noWrap w:val="false"/>
          </w:tcPr>
          <w:p>
            <w:pPr>
              <w:pStyle w:val="658"/>
              <w:jc w:val="center"/>
              <w:pageBreakBefore w:val="0"/>
              <w:spacing w:before="68"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t xml:space="preserve">4.1</w:t>
            </w:r>
            <w:r>
              <w:rPr>
                <w:rFonts w:hint="eastAsia" w:ascii="宋体" w:hAnsi="宋体" w:cs="宋体"/>
                <w:color w:val="000000"/>
                <w:spacing w:val="-2"/>
                <w:sz w:val="22"/>
                <w:szCs w:val="22"/>
              </w:rPr>
            </w:r>
            <w:r/>
          </w:p>
        </w:tc>
        <w:tc>
          <w:tcPr>
            <w:tcW w:w="1351" w:type="dxa"/>
            <w:vAlign w:val="center"/>
            <w:textDirection w:val="lrTb"/>
            <w:noWrap w:val="false"/>
          </w:tcPr>
          <w:p>
            <w:pPr>
              <w:pStyle w:val="658"/>
              <w:jc w:val="center"/>
              <w:pageBreakBefore w:val="0"/>
              <w:spacing w:before="69"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1"/>
                <w:sz w:val="22"/>
                <w:szCs w:val="22"/>
              </w:rPr>
              <w:t xml:space="preserve">业绩</w:t>
            </w:r>
            <w:r>
              <w:rPr>
                <w:rFonts w:hint="eastAsia" w:ascii="宋体" w:hAnsi="宋体" w:cs="宋体"/>
                <w:color w:val="000000"/>
                <w:spacing w:val="-2"/>
                <w:sz w:val="22"/>
                <w:szCs w:val="22"/>
              </w:rPr>
            </w:r>
            <w:r/>
          </w:p>
        </w:tc>
        <w:tc>
          <w:tcPr>
            <w:tcW w:w="6276" w:type="dxa"/>
            <w:vAlign w:val="center"/>
            <w:textDirection w:val="lrTb"/>
            <w:noWrap w:val="false"/>
          </w:tcPr>
          <w:p>
            <w:pPr>
              <w:pStyle w:val="658"/>
              <w:jc w:val="left"/>
              <w:pageBreakBefore w:val="0"/>
              <w:spacing w:line="360" w:lineRule="auto"/>
              <w:rPr>
                <w:rFonts w:hint="eastAsia" w:ascii="宋体" w:hAnsi="宋体" w:cs="宋体"/>
                <w:color w:val="000000"/>
                <w:spacing w:val="1"/>
                <w:sz w:val="22"/>
                <w:szCs w:val="22"/>
              </w:rPr>
              <w:framePr w:vAnchor="text" w:hAnchor="page" w:x="1104" w:y="696"/>
            </w:pPr>
            <w:r>
              <w:rPr>
                <w:rFonts w:hint="eastAsia"/>
                <w:color w:val="000000"/>
                <w:sz w:val="22"/>
                <w:szCs w:val="22"/>
              </w:rPr>
              <w:t xml:space="preserve">投标人提供2023年1月1日（含）以来</w:t>
            </w:r>
            <w:r>
              <w:rPr>
                <w:rFonts w:hint="eastAsia"/>
                <w:color w:val="000000"/>
                <w:sz w:val="22"/>
                <w:szCs w:val="22"/>
                <w:lang w:val="zh-CN"/>
              </w:rPr>
              <w:t xml:space="preserve">承担过</w:t>
            </w:r>
            <w:r>
              <w:rPr>
                <w:rFonts w:hint="eastAsia"/>
                <w:color w:val="000000"/>
                <w:sz w:val="22"/>
                <w:szCs w:val="22"/>
                <w:lang w:val="en-US" w:eastAsia="zh-CN"/>
              </w:rPr>
              <w:t xml:space="preserve">类似</w:t>
            </w:r>
            <w:r>
              <w:rPr>
                <w:rFonts w:hint="eastAsia"/>
                <w:color w:val="000000"/>
                <w:sz w:val="22"/>
                <w:szCs w:val="22"/>
                <w:lang w:val="zh-CN"/>
              </w:rPr>
              <w:t xml:space="preserve">业绩</w:t>
            </w:r>
            <w:r>
              <w:rPr>
                <w:rFonts w:hint="eastAsia"/>
                <w:color w:val="000000"/>
                <w:sz w:val="22"/>
                <w:szCs w:val="22"/>
              </w:rPr>
              <w:t xml:space="preserve">，每提供1个得1分，最多得2分。（时间以合同签订时间为准，</w:t>
            </w:r>
            <w:r>
              <w:rPr>
                <w:rFonts w:hint="eastAsia"/>
                <w:color w:val="000000"/>
                <w:sz w:val="22"/>
                <w:szCs w:val="22"/>
                <w:lang w:val="zh-CN"/>
              </w:rPr>
              <w:t xml:space="preserve">提供合同</w:t>
            </w:r>
            <w:r>
              <w:rPr>
                <w:rFonts w:hint="eastAsia"/>
                <w:color w:val="000000"/>
                <w:sz w:val="22"/>
                <w:szCs w:val="22"/>
              </w:rPr>
              <w:t xml:space="preserve">和</w:t>
            </w:r>
            <w:r>
              <w:rPr>
                <w:rFonts w:hint="eastAsia"/>
                <w:color w:val="000000"/>
                <w:sz w:val="22"/>
                <w:szCs w:val="22"/>
                <w:lang w:val="zh-CN"/>
              </w:rPr>
              <w:t xml:space="preserve">竣工验收证明（电梯监督检验报告中的施工单位必须为投标人，</w:t>
            </w:r>
            <w:r>
              <w:rPr>
                <w:rFonts w:hint="eastAsia"/>
                <w:color w:val="000000"/>
                <w:sz w:val="22"/>
                <w:szCs w:val="22"/>
              </w:rPr>
              <w:t xml:space="preserve">证明材料缺项或未提供不得分）</w:t>
            </w:r>
            <w:r>
              <w:rPr>
                <w:rFonts w:hint="eastAsia" w:ascii="宋体" w:hAnsi="宋体" w:cs="宋体"/>
                <w:color w:val="000000"/>
                <w:spacing w:val="1"/>
                <w:sz w:val="22"/>
                <w:szCs w:val="22"/>
              </w:rPr>
            </w:r>
            <w:r/>
          </w:p>
        </w:tc>
        <w:tc>
          <w:tcPr>
            <w:tcW w:w="732" w:type="dxa"/>
            <w:vAlign w:val="center"/>
            <w:textDirection w:val="lrTb"/>
            <w:noWrap w:val="false"/>
          </w:tcPr>
          <w:p>
            <w:pPr>
              <w:pStyle w:val="658"/>
              <w:jc w:val="center"/>
              <w:pageBreakBefore w:val="0"/>
              <w:spacing w:line="360" w:lineRule="auto"/>
              <w:widowControl/>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804" w:type="dxa"/>
            <w:vAlign w:val="center"/>
            <w:textDirection w:val="lrTb"/>
            <w:noWrap w:val="false"/>
          </w:tcPr>
          <w:p>
            <w:pPr>
              <w:pStyle w:val="658"/>
              <w:jc w:val="center"/>
              <w:pageBreakBefore w:val="0"/>
              <w:spacing w:before="68" w:line="360" w:lineRule="auto"/>
              <w:widowControl/>
              <w:rPr>
                <w:rFonts w:hint="eastAsia" w:ascii="宋体" w:hAnsi="宋体" w:cs="宋体"/>
                <w:color w:val="000000"/>
                <w:sz w:val="22"/>
                <w:szCs w:val="22"/>
              </w:rPr>
              <w:framePr w:vAnchor="text" w:hAnchor="page" w:x="1104" w:y="696"/>
            </w:pPr>
            <w:r>
              <w:rPr>
                <w:rFonts w:hint="eastAsia" w:ascii="宋体" w:hAnsi="宋体" w:cs="宋体"/>
                <w:color w:val="000000"/>
                <w:sz w:val="22"/>
                <w:szCs w:val="22"/>
              </w:rPr>
              <w:t xml:space="preserve">客观分</w:t>
            </w:r>
            <w:r>
              <w:rPr>
                <w:rFonts w:hint="eastAsia" w:ascii="宋体" w:hAnsi="宋体" w:cs="宋体"/>
                <w:color w:val="000000"/>
                <w:sz w:val="22"/>
                <w:szCs w:val="22"/>
              </w:rPr>
            </w:r>
            <w:r/>
          </w:p>
        </w:tc>
      </w:tr>
      <w:tr>
        <w:trPr>
          <w:trHeight w:val="464"/>
        </w:trPr>
        <w:tc>
          <w:tcPr>
            <w:tcW w:w="595" w:type="dxa"/>
            <w:vAlign w:val="center"/>
            <w:textDirection w:val="lrTb"/>
            <w:noWrap w:val="false"/>
          </w:tcPr>
          <w:p>
            <w:pPr>
              <w:pStyle w:val="658"/>
              <w:jc w:val="center"/>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pacing w:val="-3"/>
                <w:sz w:val="22"/>
                <w:szCs w:val="22"/>
              </w:rPr>
              <w:t xml:space="preserve">合</w:t>
            </w:r>
            <w:r>
              <w:rPr>
                <w:rFonts w:hint="eastAsia" w:ascii="宋体" w:hAnsi="宋体" w:cs="宋体"/>
                <w:color w:val="000000"/>
                <w:spacing w:val="-2"/>
                <w:sz w:val="22"/>
                <w:szCs w:val="22"/>
              </w:rPr>
              <w:t xml:space="preserve">计</w:t>
            </w:r>
            <w:r>
              <w:rPr>
                <w:rFonts w:hint="eastAsia" w:ascii="宋体" w:hAnsi="宋体" w:cs="宋体"/>
                <w:color w:val="000000"/>
                <w:sz w:val="22"/>
                <w:szCs w:val="22"/>
              </w:rPr>
            </w:r>
            <w:r/>
          </w:p>
        </w:tc>
        <w:tc>
          <w:tcPr>
            <w:gridSpan w:val="2"/>
            <w:tcW w:w="7627" w:type="dxa"/>
            <w:vAlign w:val="center"/>
            <w:textDirection w:val="lrTb"/>
            <w:noWrap w:val="false"/>
          </w:tcPr>
          <w:p>
            <w:pPr>
              <w:pStyle w:val="658"/>
              <w:ind w:left="172"/>
              <w:jc w:val="center"/>
              <w:pageBreakBefore w:val="0"/>
              <w:spacing w:before="123" w:line="360" w:lineRule="auto"/>
              <w:rPr>
                <w:rFonts w:hint="eastAsia" w:ascii="宋体" w:hAnsi="宋体" w:cs="宋体"/>
                <w:color w:val="000000"/>
                <w:spacing w:val="-2"/>
                <w:sz w:val="22"/>
                <w:szCs w:val="22"/>
              </w:rPr>
              <w:framePr w:vAnchor="text" w:hAnchor="page" w:x="1104" w:y="696"/>
            </w:pPr>
            <w:r>
              <w:rPr>
                <w:rFonts w:hint="eastAsia" w:ascii="宋体" w:hAnsi="宋体" w:cs="宋体"/>
                <w:color w:val="000000"/>
                <w:spacing w:val="-2"/>
                <w:sz w:val="22"/>
                <w:szCs w:val="22"/>
              </w:rPr>
            </w:r>
            <w:r/>
          </w:p>
        </w:tc>
        <w:tc>
          <w:tcPr>
            <w:gridSpan w:val="2"/>
            <w:tcW w:w="1536" w:type="dxa"/>
            <w:vAlign w:val="center"/>
            <w:textDirection w:val="lrTb"/>
            <w:noWrap w:val="false"/>
          </w:tcPr>
          <w:p>
            <w:pPr>
              <w:pStyle w:val="658"/>
              <w:jc w:val="center"/>
              <w:pageBreakBefore w:val="0"/>
              <w:spacing w:line="360" w:lineRule="auto"/>
              <w:rPr>
                <w:rFonts w:hint="eastAsia" w:ascii="宋体" w:hAnsi="宋体" w:cs="宋体"/>
                <w:color w:val="000000"/>
                <w:sz w:val="22"/>
                <w:szCs w:val="22"/>
              </w:rPr>
              <w:framePr w:vAnchor="text" w:hAnchor="page" w:x="1104" w:y="696"/>
            </w:pPr>
            <w:r>
              <w:rPr>
                <w:rFonts w:hint="eastAsia" w:ascii="宋体" w:hAnsi="宋体" w:cs="宋体"/>
                <w:color w:val="000000"/>
                <w:spacing w:val="-11"/>
                <w:sz w:val="22"/>
                <w:szCs w:val="22"/>
              </w:rPr>
              <w:t xml:space="preserve">100分</w:t>
            </w:r>
            <w:r>
              <w:rPr>
                <w:rFonts w:hint="eastAsia" w:ascii="宋体" w:hAnsi="宋体" w:cs="宋体"/>
                <w:color w:val="000000"/>
                <w:sz w:val="22"/>
                <w:szCs w:val="22"/>
              </w:rPr>
            </w:r>
            <w:r/>
          </w:p>
        </w:tc>
      </w:tr>
    </w:tbl>
    <w:p>
      <w:pPr>
        <w:pStyle w:val="658"/>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58"/>
        <w:pageBreakBefore w:val="0"/>
        <w:spacing w:line="36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658"/>
        <w:ind w:right="840"/>
        <w:jc w:val="center"/>
        <w:pageBreakBefore w:val="0"/>
        <w:spacing w:before="0" w:after="0"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2"/>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658"/>
        <w:jc w:val="center"/>
        <w:pageBreakBefore w:val="0"/>
        <w:spacing w:line="360" w:lineRule="auto"/>
        <w:rPr>
          <w:rFonts w:hint="eastAsia" w:ascii="宋体" w:hAnsi="宋体"/>
          <w:b/>
          <w:color w:val="000000"/>
          <w:sz w:val="72"/>
          <w:szCs w:val="21"/>
          <w:highlight w:val="none"/>
        </w:rPr>
      </w:pPr>
      <w:r/>
      <w:bookmarkStart w:id="71" w:name="_Hlt26955039"/>
      <w:r/>
      <w:bookmarkEnd w:id="71"/>
      <w:r/>
      <w:bookmarkStart w:id="72" w:name="_Hlt26671244"/>
      <w:r/>
      <w:bookmarkEnd w:id="72"/>
      <w:r/>
      <w:bookmarkStart w:id="73" w:name="_Toc120614282"/>
      <w:r/>
      <w:bookmarkStart w:id="74" w:name="_Toc26554094"/>
      <w:r/>
      <w:bookmarkStart w:id="75" w:name="_Toc49090576"/>
      <w:r>
        <w:rPr>
          <w:rFonts w:hint="eastAsia" w:ascii="宋体" w:hAnsi="宋体"/>
          <w:b/>
          <w:color w:val="000000"/>
          <w:sz w:val="72"/>
          <w:szCs w:val="21"/>
          <w:highlight w:val="none"/>
        </w:rPr>
      </w:r>
      <w:r/>
    </w:p>
    <w:p>
      <w:pPr>
        <w:pStyle w:val="658"/>
        <w:jc w:val="center"/>
        <w:pageBreakBefore w:val="0"/>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658"/>
        <w:jc w:val="center"/>
        <w:pageBreakBefore w:val="0"/>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8"/>
        <w:jc w:val="center"/>
        <w:pageBreakBefore w:val="0"/>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8"/>
        <w:jc w:val="center"/>
        <w:pageBreakBefore w:val="0"/>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8"/>
        <w:jc w:val="center"/>
        <w:pageBreakBefore w:val="0"/>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8"/>
        <w:jc w:val="center"/>
        <w:pageBreakBefore w:val="0"/>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8"/>
        <w:ind w:firstLine="1084"/>
        <w:pageBreakBefore w:val="0"/>
        <w:spacing w:line="360" w:lineRule="auto"/>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658"/>
        <w:ind w:firstLine="1084"/>
        <w:pageBreakBefore w:val="0"/>
        <w:spacing w:line="360" w:lineRule="auto"/>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8"/>
        <w:pageBreakBefore w:val="0"/>
        <w:spacing w:line="360" w:lineRule="auto"/>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8"/>
        <w:pageBreakBefore w:val="0"/>
        <w:spacing w:line="360" w:lineRule="auto"/>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8"/>
        <w:jc w:val="center"/>
        <w:pageBreakBefore w:val="0"/>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8"/>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658"/>
        <w:jc w:val="center"/>
        <w:pageBreakBefore w:val="0"/>
        <w:spacing w:line="360" w:lineRule="auto"/>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73"/>
      <w:r/>
      <w:bookmarkEnd w:id="74"/>
      <w:r/>
      <w:bookmarkEnd w:id="75"/>
      <w:r>
        <w:rPr>
          <w:rFonts w:hint="eastAsia" w:ascii="方正黑体_GBK" w:hAnsi="方正黑体_GBK" w:eastAsia="方正黑体_GBK" w:cs="方正黑体_GBK"/>
          <w:b w:val="0"/>
          <w:bCs w:val="0"/>
          <w:color w:val="000000"/>
          <w:sz w:val="32"/>
          <w:szCs w:val="32"/>
          <w:highlight w:val="none"/>
        </w:rPr>
      </w:r>
      <w:r/>
    </w:p>
    <w:p>
      <w:pPr>
        <w:pStyle w:val="658"/>
        <w:ind w:firstLine="560"/>
        <w:pageBreakBefore w:val="0"/>
        <w:spacing w:line="360" w:lineRule="auto"/>
        <w:rPr>
          <w:rFonts w:hint="eastAsia" w:ascii="宋体" w:hAnsi="宋体" w:cs="宋体"/>
          <w:color w:val="000000"/>
          <w:sz w:val="28"/>
          <w:szCs w:val="28"/>
          <w:highlight w:val="none"/>
        </w:rPr>
      </w:pPr>
      <w: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658"/>
        <w:ind w:firstLine="560"/>
        <w:pageBreakBefore w:val="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658"/>
        <w:ind w:firstLine="560"/>
        <w:pageBreakBefore w:val="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658"/>
        <w:ind w:firstLine="560"/>
        <w:pageBreakBefore w:val="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val="0"/>
          <w:bCs w:val="0"/>
          <w:i w:val="0"/>
          <w:color w:val="000000"/>
          <w:sz w:val="28"/>
          <w:szCs w:val="28"/>
          <w:highlight w:val="none"/>
          <w:u w:val="none"/>
          <w:lang w:val="en-US" w:eastAsia="zh-CN"/>
        </w:rPr>
        <w:t xml:space="preserve">十一、关于符合本国产品标准的声明函（如有）</w:t>
      </w:r>
      <w:r>
        <w:rPr>
          <w:rFonts w:hint="eastAsia" w:ascii="宋体" w:hAnsi="宋体" w:eastAsia="宋体" w:cs="宋体"/>
          <w:color w:val="000000"/>
          <w:sz w:val="28"/>
          <w:szCs w:val="28"/>
          <w:highlight w:val="none"/>
        </w:rPr>
      </w:r>
      <w:r/>
    </w:p>
    <w:p>
      <w:pPr>
        <w:pStyle w:val="658"/>
        <w:ind w:firstLine="480"/>
        <w:pageBreakBefore w:val="0"/>
        <w:spacing w:line="360" w:lineRule="auto"/>
        <w:rPr>
          <w:rFonts w:ascii="宋体" w:hAnsi="宋体"/>
          <w:color w:val="000000"/>
          <w:sz w:val="24"/>
          <w:highlight w:val="none"/>
        </w:rPr>
      </w:pPr>
      <w:r>
        <w:rPr>
          <w:rFonts w:ascii="宋体" w:hAnsi="宋体"/>
          <w:color w:val="000000"/>
          <w:sz w:val="24"/>
          <w:highlight w:val="none"/>
        </w:rPr>
      </w:r>
      <w:r/>
    </w:p>
    <w:p>
      <w:pPr>
        <w:pStyle w:val="658"/>
        <w:ind w:firstLine="480"/>
        <w:pageBreakBefore w:val="0"/>
        <w:spacing w:line="360" w:lineRule="auto"/>
        <w:rPr>
          <w:rFonts w:ascii="宋体" w:hAnsi="宋体"/>
          <w:color w:val="000000"/>
          <w:sz w:val="24"/>
          <w:highlight w:val="none"/>
        </w:rPr>
      </w:pPr>
      <w:r>
        <w:rPr>
          <w:rFonts w:ascii="宋体" w:hAnsi="宋体"/>
          <w:color w:val="000000"/>
          <w:sz w:val="24"/>
          <w:highlight w:val="none"/>
        </w:rPr>
      </w:r>
      <w:r/>
    </w:p>
    <w:p>
      <w:pPr>
        <w:pStyle w:val="658"/>
        <w:ind w:firstLine="480"/>
        <w:pageBreakBefore w:val="0"/>
        <w:spacing w:line="360" w:lineRule="auto"/>
        <w:rPr>
          <w:rFonts w:ascii="宋体" w:hAnsi="宋体"/>
          <w:color w:val="000000"/>
          <w:sz w:val="24"/>
          <w:highlight w:val="none"/>
        </w:rPr>
      </w:pPr>
      <w:r>
        <w:rPr>
          <w:rFonts w:ascii="宋体" w:hAnsi="宋体"/>
          <w:color w:val="000000"/>
          <w:sz w:val="24"/>
          <w:highlight w:val="none"/>
        </w:rPr>
      </w:r>
      <w:r/>
    </w:p>
    <w:p>
      <w:pPr>
        <w:pStyle w:val="784"/>
        <w:pageBreakBefore w:val="0"/>
        <w:spacing w:line="360" w:lineRule="auto"/>
        <w:rPr>
          <w:rFonts w:ascii="宋体" w:hAnsi="宋体"/>
          <w:color w:val="000000"/>
          <w:sz w:val="24"/>
          <w:highlight w:val="none"/>
        </w:rPr>
      </w:pPr>
      <w:r>
        <w:rPr>
          <w:rFonts w:ascii="宋体" w:hAnsi="宋体"/>
          <w:color w:val="000000"/>
          <w:sz w:val="24"/>
          <w:highlight w:val="none"/>
        </w:rPr>
      </w:r>
      <w:r/>
    </w:p>
    <w:p>
      <w:pPr>
        <w:pStyle w:val="784"/>
        <w:pageBreakBefore w:val="0"/>
        <w:spacing w:line="360" w:lineRule="auto"/>
        <w:rPr>
          <w:rFonts w:ascii="宋体" w:hAnsi="宋体"/>
          <w:color w:val="000000"/>
          <w:sz w:val="24"/>
          <w:highlight w:val="none"/>
        </w:rPr>
      </w:pPr>
      <w:r>
        <w:rPr>
          <w:rFonts w:ascii="宋体" w:hAnsi="宋体"/>
          <w:color w:val="000000"/>
          <w:sz w:val="24"/>
          <w:highlight w:val="none"/>
        </w:rPr>
      </w:r>
      <w:r/>
    </w:p>
    <w:p>
      <w:pPr>
        <w:pStyle w:val="784"/>
        <w:pageBreakBefore w:val="0"/>
        <w:spacing w:line="360" w:lineRule="auto"/>
        <w:rPr>
          <w:rFonts w:ascii="宋体" w:hAnsi="宋体"/>
          <w:color w:val="000000"/>
          <w:sz w:val="24"/>
          <w:highlight w:val="none"/>
        </w:rPr>
      </w:pPr>
      <w:r>
        <w:rPr>
          <w:rFonts w:ascii="宋体" w:hAnsi="宋体"/>
          <w:color w:val="000000"/>
          <w:sz w:val="24"/>
          <w:highlight w:val="none"/>
        </w:rPr>
      </w:r>
      <w:r/>
    </w:p>
    <w:p>
      <w:pPr>
        <w:pStyle w:val="784"/>
        <w:pageBreakBefore w:val="0"/>
        <w:spacing w:line="360" w:lineRule="auto"/>
        <w:rPr>
          <w:rFonts w:ascii="宋体" w:hAnsi="宋体"/>
          <w:color w:val="000000"/>
          <w:sz w:val="24"/>
          <w:highlight w:val="none"/>
        </w:rPr>
      </w:pPr>
      <w:r>
        <w:rPr>
          <w:rFonts w:ascii="宋体" w:hAnsi="宋体"/>
          <w:color w:val="000000"/>
          <w:sz w:val="24"/>
          <w:highlight w:val="none"/>
        </w:rPr>
      </w:r>
      <w:r/>
    </w:p>
    <w:p>
      <w:pPr>
        <w:pStyle w:val="658"/>
        <w:pageBreakBefore w:val="0"/>
        <w:spacing w:line="360" w:lineRule="auto"/>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658"/>
        <w:pageBreakBefore w:val="0"/>
        <w:spacing w:line="360" w:lineRule="auto"/>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658"/>
        <w:ind w:firstLine="492"/>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8"/>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8"/>
        <w:ind w:firstLine="492"/>
        <w:pageBreakBefore w:val="0"/>
        <w:spacing w:line="360" w:lineRule="auto"/>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58"/>
        <w:ind w:firstLine="492"/>
        <w:pageBreakBefore w:val="0"/>
        <w:spacing w:line="360" w:lineRule="auto"/>
        <w:rPr>
          <w:color w:val="000000"/>
          <w:sz w:val="24"/>
          <w:szCs w:val="24"/>
          <w:highlight w:val="none"/>
        </w:rPr>
      </w:pPr>
      <w:r>
        <w:rPr>
          <w:color w:val="000000"/>
          <w:sz w:val="24"/>
          <w:szCs w:val="24"/>
          <w:highlight w:val="none"/>
        </w:rPr>
      </w:r>
      <w:r/>
    </w:p>
    <w:p>
      <w:pPr>
        <w:pStyle w:val="775"/>
        <w:pageBreakBefore w:val="0"/>
        <w:spacing w:line="360" w:lineRule="auto"/>
        <w:rPr>
          <w:color w:val="000000"/>
          <w:sz w:val="24"/>
          <w:szCs w:val="24"/>
          <w:highlight w:val="none"/>
        </w:rPr>
      </w:pPr>
      <w:r>
        <w:rPr>
          <w:color w:val="000000"/>
          <w:sz w:val="24"/>
          <w:szCs w:val="24"/>
          <w:highlight w:val="none"/>
        </w:rPr>
      </w:r>
      <w:r/>
    </w:p>
    <w:p>
      <w:pPr>
        <w:pStyle w:val="658"/>
        <w:ind w:right="180" w:firstLine="360"/>
        <w:jc w:val="righ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8"/>
        <w:ind w:firstLine="624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8"/>
        <w:pageBreakBefore w:val="0"/>
        <w:spacing w:line="360" w:lineRule="auto"/>
        <w:rPr>
          <w:color w:val="000000"/>
          <w:sz w:val="24"/>
          <w:szCs w:val="24"/>
          <w:highlight w:val="none"/>
        </w:rPr>
      </w:pPr>
      <w:r>
        <w:rPr>
          <w:color w:val="000000"/>
          <w:sz w:val="24"/>
          <w:szCs w:val="24"/>
          <w:highlight w:val="none"/>
        </w:rPr>
      </w:r>
      <w:r/>
    </w:p>
    <w:p>
      <w:pPr>
        <w:pStyle w:val="658"/>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747"/>
        <w:ind w:firstLine="480"/>
        <w:pageBreakBefore w:val="0"/>
        <w:spacing w:line="360" w:lineRule="auto"/>
        <w:tabs>
          <w:tab w:val="left" w:pos="360" w:leader="none"/>
        </w:tabs>
        <w:rPr>
          <w:rFonts w:hint="eastAsia"/>
          <w:color w:val="000000"/>
          <w:sz w:val="24"/>
          <w:szCs w:val="24"/>
          <w:highlight w:val="none"/>
        </w:rPr>
      </w:pPr>
      <w:r>
        <w:rPr>
          <w:rFonts w:hint="eastAsia"/>
          <w:color w:val="000000"/>
          <w:sz w:val="24"/>
          <w:szCs w:val="24"/>
          <w:highlight w:val="none"/>
        </w:rPr>
      </w:r>
      <w:r/>
    </w:p>
    <w:p>
      <w:pPr>
        <w:pStyle w:val="747"/>
        <w:ind w:firstLine="480"/>
        <w:pageBreakBefore w:val="0"/>
        <w:spacing w:line="360" w:lineRule="auto"/>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747"/>
        <w:ind w:firstLine="480"/>
        <w:pageBreakBefore w:val="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747"/>
        <w:ind w:firstLine="480"/>
        <w:pageBreakBefore w:val="0"/>
        <w:spacing w:line="360" w:lineRule="auto"/>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747"/>
        <w:ind w:firstLine="480"/>
        <w:pageBreakBefore w:val="0"/>
        <w:spacing w:line="360" w:lineRule="auto"/>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747"/>
        <w:ind w:firstLine="480"/>
        <w:pageBreakBefore w:val="0"/>
        <w:spacing w:line="360" w:lineRule="auto"/>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747"/>
        <w:ind w:firstLine="480"/>
        <w:pageBreakBefore w:val="0"/>
        <w:spacing w:line="360" w:lineRule="auto"/>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747"/>
        <w:ind w:firstLine="480"/>
        <w:pageBreakBefore w:val="0"/>
        <w:spacing w:line="360" w:lineRule="auto"/>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747"/>
        <w:ind w:firstLine="480"/>
        <w:pageBreakBefore w:val="0"/>
        <w:spacing w:line="360" w:lineRule="auto"/>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673"/>
        <w:ind w:firstLine="0"/>
        <w:pageBreakBefore w:val="0"/>
        <w:spacing w:line="360" w:lineRule="auto"/>
        <w:rPr>
          <w:rFonts w:hint="eastAsia"/>
          <w:color w:val="000000"/>
          <w:highlight w:val="none"/>
        </w:rPr>
      </w:pPr>
      <w:r>
        <w:rPr>
          <w:rFonts w:hint="eastAsia"/>
          <w:color w:val="000000"/>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747"/>
        <w:ind w:firstLine="480"/>
        <w:pageBreakBefore w:val="0"/>
        <w:spacing w:line="360" w:lineRule="auto"/>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658"/>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757"/>
        <w:ind w:firstLine="0"/>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757"/>
        <w:ind w:firstLine="480"/>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757"/>
        <w:pageBreakBefore w:val="0"/>
        <w:spacing w:before="0" w:after="0" w:line="360" w:lineRule="auto"/>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658"/>
        <w:ind w:firstLine="480"/>
        <w:jc w:val="left"/>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727"/>
        <w:pageBreakBefore w:val="0"/>
        <w:spacing w:line="360" w:lineRule="auto"/>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757"/>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757"/>
        <w:ind w:left="0" w:firstLine="480"/>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757"/>
        <w:ind w:left="0" w:firstLine="480"/>
        <w:pageBreakBefore w:val="0"/>
        <w:spacing w:before="0" w:after="0" w:line="360" w:lineRule="auto"/>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757"/>
        <w:ind w:left="0" w:firstLine="480"/>
        <w:pageBreakBefore w:val="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757"/>
        <w:ind w:left="0" w:firstLine="480"/>
        <w:pageBreakBefore w:val="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757"/>
        <w:ind w:left="0" w:firstLine="480"/>
        <w:pageBreakBefore w:val="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757"/>
        <w:ind w:left="0" w:firstLine="480"/>
        <w:pageBreakBefore w:val="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658"/>
        <w:ind w:right="180" w:firstLine="480"/>
        <w:jc w:val="both"/>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57"/>
        <w:ind w:left="0" w:firstLine="480"/>
        <w:pageBreakBefore w:val="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658"/>
        <w:ind w:firstLine="240"/>
        <w:jc w:val="center"/>
        <w:pageBreakBefore w:val="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58"/>
        <w:ind w:firstLine="240"/>
        <w:jc w:val="center"/>
        <w:pageBreakBefore w:val="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58"/>
        <w:ind w:firstLine="240"/>
        <w:jc w:val="center"/>
        <w:pageBreakBefore w:val="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firstLine="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658"/>
        <w:ind w:firstLine="0"/>
        <w:pageBreakBefore w:val="0"/>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58"/>
        <w:ind w:firstLine="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757"/>
              <w:ind w:firstLine="0"/>
              <w:pageBreakBefore w:val="0"/>
              <w:spacing w:before="0" w:after="0" w:line="360"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658"/>
        <w:pageBreakBefore w:val="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58"/>
        <w:ind w:firstLine="480"/>
        <w:pageBreakBefore w:val="0"/>
        <w:spacing w:line="36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658"/>
        <w:ind w:firstLine="480"/>
        <w:pageBreakBefore w:val="0"/>
        <w:spacing w:line="360" w:lineRule="auto"/>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760"/>
        <w:pageBreakBefore w:val="0"/>
        <w:spacing w:line="360" w:lineRule="auto"/>
        <w:rPr>
          <w:rFonts w:hint="eastAsia"/>
          <w:color w:val="000000"/>
          <w:highlight w:val="none"/>
        </w:rPr>
      </w:pPr>
      <w:r>
        <w:rPr>
          <w:rFonts w:hint="eastAsia"/>
          <w:color w:val="000000"/>
          <w:highlight w:val="none"/>
        </w:rPr>
      </w:r>
      <w:r/>
    </w:p>
    <w:p>
      <w:pPr>
        <w:pStyle w:val="760"/>
        <w:pageBreakBefore w:val="0"/>
        <w:spacing w:line="360" w:lineRule="auto"/>
        <w:rPr>
          <w:rFonts w:hint="eastAsia"/>
          <w:color w:val="000000"/>
          <w:highlight w:val="none"/>
        </w:rPr>
      </w:pPr>
      <w:r>
        <w:rPr>
          <w:rFonts w:hint="eastAsia"/>
          <w:color w:val="000000"/>
          <w:highlight w:val="none"/>
        </w:rPr>
      </w:r>
      <w:r/>
    </w:p>
    <w:p>
      <w:pPr>
        <w:pStyle w:val="658"/>
        <w:pageBreakBefore w:val="0"/>
        <w:spacing w:line="360" w:lineRule="auto"/>
        <w:rPr>
          <w:rFonts w:hint="eastAsia"/>
          <w:color w:val="000000"/>
          <w:highlight w:val="none"/>
        </w:rPr>
      </w:pPr>
      <w:r>
        <w:rPr>
          <w:rFonts w:hint="eastAsia"/>
          <w:color w:val="000000"/>
          <w:highlight w:val="none"/>
        </w:rPr>
      </w:r>
      <w:r/>
    </w:p>
    <w:p>
      <w:pPr>
        <w:pStyle w:val="658"/>
        <w:jc w:val="center"/>
        <w:pageBreakBefore w:val="0"/>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658"/>
        <w:jc w:val="center"/>
        <w:pageBreakBefore w:val="0"/>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658"/>
        <w:ind w:firstLine="0"/>
        <w:jc w:val="left"/>
        <w:pageBreakBefore w:val="0"/>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727"/>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7"/>
        <w:pageBreakBefore w:val="0"/>
        <w:spacing w:line="360" w:lineRule="auto"/>
        <w:rPr>
          <w:rFonts w:hint="eastAsia"/>
          <w:color w:val="000000"/>
          <w:highlight w:val="none"/>
          <w:lang w:val="en-US" w:eastAsia="zh-CN"/>
        </w:rPr>
      </w:pPr>
      <w:r>
        <w:rPr>
          <w:rFonts w:hint="eastAsia"/>
          <w:color w:val="000000"/>
          <w:highlight w:val="none"/>
          <w:lang w:val="en-US" w:eastAsia="zh-CN"/>
        </w:rPr>
      </w:r>
      <w:r/>
    </w:p>
    <w:p>
      <w:pPr>
        <w:pStyle w:val="658"/>
        <w:ind w:firstLine="0"/>
        <w:jc w:val="left"/>
        <w:pageBreakBefore w:val="0"/>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65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658"/>
        <w:ind w:right="180" w:firstLine="480"/>
        <w:pageBreakBefore w:val="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658"/>
              <w:jc w:val="center"/>
              <w:pageBreakBefore w:val="0"/>
              <w:spacing w:line="360" w:lineRule="auto"/>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658"/>
        <w:ind w:firstLine="482"/>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658"/>
        <w:ind w:firstLine="482"/>
        <w:pageBreakBefore w:val="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8"/>
        <w:numPr>
          <w:ilvl w:val="0"/>
          <w:numId w:val="0"/>
        </w:numPr>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235"/>
        <w:gridCol w:w="970"/>
        <w:gridCol w:w="1790"/>
        <w:gridCol w:w="1470"/>
        <w:gridCol w:w="830"/>
        <w:gridCol w:w="820"/>
        <w:gridCol w:w="826"/>
        <w:gridCol w:w="1434"/>
      </w:tblGrid>
      <w:tr>
        <w:trPr>
          <w:cantSplit/>
          <w:trHeight w:val="523"/>
        </w:trPr>
        <w:tc>
          <w:tcPr>
            <w:tcW w:w="586" w:type="dxa"/>
            <w:vAlign w:val="center"/>
            <w:vMerge w:val="restart"/>
            <w:textDirection w:val="lrTb"/>
            <w:noWrap w:val="false"/>
          </w:tcPr>
          <w:p>
            <w:pPr>
              <w:pStyle w:val="658"/>
              <w:ind w:right="180"/>
              <w:jc w:val="left"/>
              <w:pageBreakBefore w:val="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序号</w:t>
            </w:r>
            <w:r>
              <w:rPr>
                <w:rFonts w:ascii="宋体" w:hAnsi="宋体" w:eastAsia="宋体"/>
                <w:color w:val="000000"/>
                <w:sz w:val="24"/>
                <w:szCs w:val="24"/>
                <w:highlight w:val="none"/>
                <w:lang w:val="en-US" w:eastAsia="zh-CN"/>
              </w:rPr>
            </w:r>
            <w:r/>
          </w:p>
        </w:tc>
        <w:tc>
          <w:tcPr>
            <w:tcW w:w="1235" w:type="dxa"/>
            <w:vAlign w:val="center"/>
            <w:textDirection w:val="lrTb"/>
            <w:noWrap w:val="false"/>
          </w:tcPr>
          <w:p>
            <w:pPr>
              <w:pStyle w:val="658"/>
              <w:ind w:right="180" w:firstLine="480"/>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658"/>
              <w:ind w:right="180" w:firstLine="480"/>
              <w:jc w:val="left"/>
              <w:pageBreakBefore w:val="0"/>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658"/>
              <w:ind w:right="180" w:firstLine="480"/>
              <w:jc w:val="left"/>
              <w:pageBreakBefore w:val="0"/>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658"/>
              <w:ind w:right="180" w:firstLine="480"/>
              <w:jc w:val="left"/>
              <w:pageBreakBefore w:val="0"/>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658"/>
              <w:ind w:right="180" w:firstLine="480"/>
              <w:jc w:val="left"/>
              <w:pageBreakBefore w:val="0"/>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658"/>
              <w:ind w:right="180" w:firstLine="480"/>
              <w:jc w:val="left"/>
              <w:pageBreakBefore w:val="0"/>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658"/>
              <w:ind w:right="180" w:firstLine="480"/>
              <w:jc w:val="left"/>
              <w:pageBreakBefore w:val="0"/>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658"/>
              <w:ind w:right="180" w:firstLine="480"/>
              <w:jc w:val="left"/>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6" w:type="dxa"/>
            <w:vAlign w:val="center"/>
            <w:vMerge w:val="continue"/>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3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658"/>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3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3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3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75" w:type="dxa"/>
            <w:vAlign w:val="center"/>
            <w:textDirection w:val="lrTb"/>
            <w:noWrap w:val="false"/>
          </w:tcPr>
          <w:p>
            <w:pPr>
              <w:pStyle w:val="658"/>
              <w:jc w:val="both"/>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658"/>
              <w:jc w:val="both"/>
              <w:pageBreakBefore w:val="0"/>
              <w:spacing w:line="360" w:lineRule="auto"/>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658"/>
        <w:ind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2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7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658"/>
        <w:ind w:right="180" w:firstLine="480"/>
        <w:jc w:val="left"/>
        <w:pageBreakBefore w:val="0"/>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658"/>
              <w:jc w:val="center"/>
              <w:pageBreakBefore w:val="0"/>
              <w:spacing w:line="360" w:lineRule="auto"/>
              <w:rPr>
                <w:color w:val="000000"/>
                <w:highlight w:val="none"/>
              </w:rPr>
            </w:pPr>
            <w:r>
              <w:rPr>
                <w:color w:val="000000"/>
                <w:highlight w:val="none"/>
              </w:rPr>
            </w:r>
            <w:r/>
          </w:p>
          <w:p>
            <w:pPr>
              <w:pStyle w:val="727"/>
              <w:pageBreakBefore w:val="0"/>
              <w:spacing w:line="360" w:lineRule="auto"/>
              <w:rPr>
                <w:rFonts w:hint="eastAsia"/>
                <w:color w:val="000000"/>
                <w:highlight w:val="none"/>
              </w:rPr>
            </w:pPr>
            <w:r>
              <w:rPr>
                <w:rFonts w:hint="eastAsia"/>
                <w:color w:val="000000"/>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ind w:right="180" w:firstLine="480"/>
        <w:jc w:val="both"/>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72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ind w:firstLine="480"/>
        <w:jc w:val="both"/>
        <w:pageBreakBefore w:val="0"/>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21"/>
        <w:ind w:firstLine="482"/>
        <w:jc w:val="both"/>
        <w:pageBreakBefore w:val="0"/>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721"/>
        <w:ind w:firstLine="482"/>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721"/>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8"/>
        <w:jc w:val="left"/>
        <w:pageBreakBefore w:val="0"/>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658"/>
        <w:ind w:right="180" w:firstLine="480"/>
        <w:pageBreakBefore w:val="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8"/>
              <w:jc w:val="center"/>
              <w:pageBreakBefore w:val="0"/>
              <w:spacing w:line="360" w:lineRule="auto"/>
              <w:rPr>
                <w:color w:val="000000"/>
                <w:highlight w:val="none"/>
              </w:rPr>
            </w:pPr>
            <w:r>
              <w:rPr>
                <w:color w:val="000000"/>
                <w:highlight w:val="none"/>
              </w:rPr>
            </w:r>
            <w:r/>
          </w:p>
          <w:p>
            <w:pPr>
              <w:pStyle w:val="727"/>
              <w:pageBreakBefore w:val="0"/>
              <w:spacing w:line="360" w:lineRule="auto"/>
              <w:rPr>
                <w:rFonts w:hint="eastAsia"/>
                <w:color w:val="000000"/>
                <w:highlight w:val="none"/>
              </w:rPr>
            </w:pPr>
            <w:r>
              <w:rPr>
                <w:rFonts w:hint="eastAsia"/>
                <w:color w:val="000000"/>
                <w:highlight w:val="none"/>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8"/>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ind w:firstLine="48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1"/>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21"/>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721"/>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8"/>
        <w:pageBreakBefore w:val="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8"/>
        <w:jc w:val="left"/>
        <w:pageBreakBefore w:val="0"/>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的规定，相关企业的具体情况如下：</w:t>
      </w:r>
      <w:r>
        <w:rPr>
          <w:rFonts w:hint="eastAsia" w:ascii="宋体" w:hAnsi="宋体"/>
          <w:color w:val="000000"/>
          <w:sz w:val="24"/>
          <w:szCs w:val="24"/>
          <w:highlight w:val="none"/>
        </w:rPr>
      </w:r>
      <w:r/>
    </w:p>
    <w:p>
      <w:pPr>
        <w:pStyle w:val="658"/>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658"/>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65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58"/>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58"/>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658"/>
        <w:ind w:right="180" w:firstLine="360"/>
        <w:jc w:val="center"/>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8"/>
        <w:ind w:firstLine="600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58"/>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8"/>
        <w:ind w:firstLine="0"/>
        <w:jc w:val="left"/>
        <w:pageBreakBefore w:val="0"/>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658"/>
        <w:ind w:firstLine="480"/>
        <w:pageBreakBefore w:val="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65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6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8"/>
        <w:pageBreakBefore w:val="0"/>
        <w:spacing w:line="360" w:lineRule="auto"/>
        <w:rPr>
          <w:rFonts w:hint="eastAsia"/>
          <w:color w:val="000000"/>
          <w:highlight w:val="none"/>
          <w:lang w:eastAsia="zh-CN"/>
        </w:rPr>
      </w:pPr>
      <w:r>
        <w:rPr>
          <w:rFonts w:hint="eastAsia"/>
          <w:color w:val="000000"/>
          <w:highlight w:val="none"/>
          <w:lang w:eastAsia="zh-CN"/>
        </w:rPr>
      </w:r>
      <w:r/>
    </w:p>
    <w:p>
      <w:pPr>
        <w:pStyle w:val="65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8"/>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58"/>
        <w:ind w:firstLine="576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658"/>
        <w:numPr>
          <w:ilvl w:val="0"/>
          <w:numId w:val="0"/>
        </w:numPr>
        <w:jc w:val="left"/>
        <w:pageBreakBefore w:val="0"/>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721"/>
        <w:ind w:firstLine="420"/>
        <w:pageBreakBefore w:val="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21"/>
        <w:ind w:firstLine="420"/>
        <w:pageBreakBefore w:val="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733"/>
          <w:rFonts w:hint="eastAsia"/>
          <w:i w:val="0"/>
          <w:color w:val="000000"/>
          <w:highlight w:val="none"/>
          <w:u w:val="single"/>
          <w:shd w:val="clear" w:color="auto" w:fill="ffffff"/>
        </w:rPr>
        <w:t xml:space="preserve">（产品名称1）</w:t>
      </w:r>
      <w:r>
        <w:rPr>
          <w:rStyle w:val="733"/>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733"/>
          <w:rFonts w:hint="eastAsia"/>
          <w:i w:val="0"/>
          <w:color w:val="000000"/>
          <w:highlight w:val="none"/>
          <w:u w:val="single"/>
          <w:shd w:val="clear" w:color="auto" w:fill="ffffff"/>
        </w:rPr>
        <w:t xml:space="preserve">（厂名）</w:t>
      </w:r>
      <w:r>
        <w:rPr>
          <w:rStyle w:val="733"/>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3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3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733"/>
          <w:rFonts w:hint="eastAsia"/>
          <w:i/>
          <w:strike w:val="0"/>
          <w:color w:val="000000"/>
          <w:highlight w:val="none"/>
          <w:u w:val="single"/>
          <w:shd w:val="clear" w:color="auto" w:fill="ffffff"/>
        </w:rPr>
        <w:t xml:space="preserve">（规定比例）</w:t>
      </w:r>
      <w:r>
        <w:rPr>
          <w:rStyle w:val="733"/>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73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733"/>
          <w:rFonts w:hint="eastAsia"/>
          <w:i/>
          <w:strike w:val="0"/>
          <w:color w:val="000000"/>
          <w:highlight w:val="none"/>
          <w:u w:val="single"/>
          <w:shd w:val="clear" w:color="auto" w:fill="ffffff"/>
        </w:rPr>
        <w:t xml:space="preserve">（关键组件）</w:t>
      </w:r>
      <w:r>
        <w:rPr>
          <w:rStyle w:val="733"/>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733"/>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733"/>
          <w:rFonts w:hint="eastAsia"/>
          <w:i/>
          <w:strike w:val="0"/>
          <w:color w:val="000000"/>
          <w:highlight w:val="none"/>
          <w:u w:val="single"/>
          <w:shd w:val="clear" w:color="auto" w:fill="ffffff"/>
        </w:rPr>
        <w:t xml:space="preserve">（关键工序）</w:t>
      </w:r>
      <w:r>
        <w:rPr>
          <w:rStyle w:val="733"/>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721"/>
        <w:ind w:firstLine="420"/>
        <w:pageBreakBefore w:val="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733"/>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33"/>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3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3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733"/>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73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733"/>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733"/>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733"/>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721"/>
        <w:ind w:firstLine="420"/>
        <w:pageBreakBefore w:val="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721"/>
        <w:ind w:firstLine="420"/>
        <w:pageBreakBefore w:val="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21"/>
        <w:jc w:val="right"/>
        <w:pageBreakBefore w:val="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21"/>
        <w:jc w:val="right"/>
        <w:pageBreakBefore w:val="0"/>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721"/>
        <w:pageBreakBefore w:val="0"/>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721"/>
        <w:ind w:firstLine="420"/>
        <w:pageBreakBefore w:val="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721"/>
        <w:ind w:firstLine="420"/>
        <w:pageBreakBefore w:val="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721"/>
        <w:ind w:firstLine="420"/>
        <w:pageBreakBefore w:val="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721"/>
        <w:ind w:firstLine="420"/>
        <w:pageBreakBefore w:val="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721"/>
        <w:ind w:firstLine="420"/>
        <w:pageBreakBefore w:val="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7" w:name="OLE_LINK8"/>
      <w:r>
        <w:rPr>
          <w:rFonts w:hint="eastAsia"/>
          <w:b w:val="0"/>
          <w:bCs w:val="0"/>
          <w:color w:val="000000"/>
          <w:sz w:val="21"/>
          <w:szCs w:val="21"/>
          <w:highlight w:val="none"/>
          <w:shd w:val="clear" w:color="auto" w:fill="ffffff"/>
        </w:rPr>
      </w:r>
      <w:r/>
    </w:p>
    <w:p>
      <w:pPr>
        <w:pStyle w:val="658"/>
        <w:jc w:val="left"/>
        <w:keepLines w:val="0"/>
        <w:keepNext w:val="0"/>
        <w:pageBreakBefore w:val="0"/>
        <w:spacing w:line="360" w:lineRule="auto"/>
        <w:widowControl/>
        <w:rPr>
          <w:rFonts w:hint="eastAsia"/>
          <w:b w:val="0"/>
          <w:bCs w:val="0"/>
          <w:color w:val="000000"/>
          <w:sz w:val="21"/>
          <w:szCs w:val="21"/>
          <w:highlight w:val="none"/>
          <w:shd w:val="clear" w:color="auto" w:fill="ffffff"/>
        </w:rPr>
        <w:outlineLvl w:val="9"/>
      </w:pPr>
      <w:r/>
      <w:bookmarkEnd w:id="77"/>
      <w:r>
        <w:rPr>
          <w:rFonts w:hint="eastAsia"/>
          <w:b w:val="0"/>
          <w:bCs w:val="0"/>
          <w:color w:val="000000"/>
          <w:sz w:val="21"/>
          <w:szCs w:val="21"/>
          <w:highlight w:val="none"/>
          <w:shd w:val="clear" w:color="auto" w:fill="ffffff"/>
        </w:rPr>
        <w:br w:type="page" w:clear="all"/>
      </w:r>
      <w:r>
        <w:rPr>
          <w:rFonts w:hint="eastAsia"/>
          <w:b w:val="0"/>
          <w:bCs w:val="0"/>
          <w:color w:val="000000"/>
          <w:sz w:val="21"/>
          <w:szCs w:val="21"/>
          <w:highlight w:val="none"/>
          <w:shd w:val="clear" w:color="auto" w:fill="ffffff"/>
        </w:rPr>
      </w:r>
      <w:r/>
    </w:p>
    <w:p>
      <w:pPr>
        <w:pStyle w:val="658"/>
        <w:jc w:val="center"/>
        <w:pageBreakBefore w:val="0"/>
        <w:spacing w:line="360" w:lineRule="auto"/>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58"/>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8"/>
        <w:pageBreakBefore w:val="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58"/>
        <w:pageBreakBefore w:val="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658"/>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658"/>
        <w:pageBreakBefore w:val="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658"/>
        <w:ind w:firstLine="480"/>
        <w:pageBreakBefore w:val="0"/>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8"/>
        <w:ind w:firstLine="480"/>
        <w:pageBreakBefore w:val="0"/>
        <w:spacing w:line="360" w:lineRule="auto"/>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lang w:val="zh-CN"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val="zh-CN" w:eastAsia="zh-CN"/>
        </w:rPr>
      </w:r>
      <w:r/>
    </w:p>
    <w:p>
      <w:pPr>
        <w:pStyle w:val="658"/>
        <w:pageBreakBefore w:val="0"/>
        <w:spacing w:line="360" w:lineRule="auto"/>
        <w:rPr>
          <w:rFonts w:ascii="宋体" w:hAnsi="宋体" w:eastAsia="宋体" w:cs="仿宋"/>
          <w:b w:val="0"/>
          <w:bCs w:val="0"/>
          <w:color w:val="000000"/>
          <w:sz w:val="24"/>
          <w:szCs w:val="24"/>
          <w:highlight w:val="none"/>
          <w:lang w:val="en-US" w:eastAsia="zh-CN"/>
        </w:rPr>
      </w:pPr>
      <w:r>
        <w:rPr>
          <w:rFonts w:ascii="宋体" w:hAnsi="宋体" w:eastAsia="宋体" w:cs="仿宋"/>
          <w:b w:val="0"/>
          <w:bCs w:val="0"/>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NTKO" w:date="2026-10-09T09:20:52Z" w:initials="N">
    <w:p w14:paraId="00000001" w14:textId="00000001">
      <w:pPr>
        <w:spacing w:line="240" w:after="0" w:lineRule="auto" w:before="0"/>
        <w:ind w:firstLine="0" w:left="0" w:right="0"/>
        <w:jc w:val="left"/>
      </w:pPr>
      <w:r>
        <w:rPr>
          <w:rFonts w:eastAsia="Arial" w:ascii="Arial" w:hAnsi="Arial" w:cs="Arial"/>
          <w:sz w:val="22"/>
        </w:rPr>
        <w:t xml:space="preserve">同上</w:t>
      </w:r>
    </w:p>
  </w:comment>
  <w:comment w:id="1" w:author="NTKO" w:date="2026-10-09T09:20:52Z" w:initials="N">
    <w:p w14:paraId="00000002" w14:textId="00000002">
      <w:pPr>
        <w:spacing w:line="240" w:after="0" w:lineRule="auto" w:before="0"/>
        <w:ind w:firstLine="0" w:left="0" w:right="0"/>
        <w:jc w:val="left"/>
      </w:pPr>
      <w:r>
        <w:rPr>
          <w:rFonts w:eastAsia="Arial" w:ascii="Arial" w:hAnsi="Arial" w:cs="Arial"/>
          <w:sz w:val="22"/>
        </w:rPr>
        <w:t xml:space="preserve">合同模板空缺处应补充完整</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72BD095"/>
  <w16cid:commentId w16cid:paraId="00000002" w16cid:durableId="561625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rPr>
        <w:rStyle w:val="731"/>
        <w:rFonts w:ascii="宋体" w:hAnsi="宋体"/>
      </w:rPr>
      <w:framePr w:wrap="around" w:vAnchor="text" w:hAnchor="margin" w:xAlign="center" w:y="1"/>
    </w:pPr>
    <w:r>
      <w:rPr>
        <w:rFonts w:ascii="宋体" w:hAnsi="宋体"/>
      </w:rPr>
      <w:fldChar w:fldCharType="begin"/>
    </w:r>
    <w:r>
      <w:rPr>
        <w:rStyle w:val="731"/>
        <w:rFonts w:ascii="宋体" w:hAnsi="宋体"/>
      </w:rPr>
      <w:instrText xml:space="preserve">PAGE  </w:instrText>
    </w:r>
    <w:r>
      <w:rPr>
        <w:rFonts w:ascii="宋体" w:hAnsi="宋体"/>
      </w:rPr>
      <w:fldChar w:fldCharType="separate"/>
    </w:r>
    <w:r>
      <w:rPr>
        <w:rStyle w:val="731"/>
        <w:rFonts w:ascii="宋体" w:hAnsi="宋体"/>
      </w:rPr>
      <w:t xml:space="preserve">４２</w:t>
    </w:r>
    <w:r>
      <w:rPr>
        <w:rFonts w:ascii="宋体" w:hAnsi="宋体"/>
      </w:rPr>
      <w:fldChar w:fldCharType="end"/>
    </w:r>
    <w:r>
      <w:rPr>
        <w:rStyle w:val="731"/>
        <w:rFonts w:ascii="宋体" w:hAnsi="宋体"/>
      </w:rPr>
    </w:r>
    <w:r/>
  </w:p>
  <w:p>
    <w:pPr>
      <w:pStyle w:val="7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rPr>
        <w:rStyle w:val="731"/>
      </w:rPr>
    </w:r>
    <w:r/>
  </w:p>
  <w:p>
    <w:pPr>
      <w:pStyle w:val="7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58"/>
        <w:ind w:left="0" w:firstLine="0"/>
      </w:p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3">
    <w:multiLevelType w:val="hybridMultilevel"/>
    <w:lvl w:ilvl="0">
      <w:start w:val="1"/>
      <w:numFmt w:val="upperLetter"/>
      <w:pStyle w:val="738"/>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4"/>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0"/>
    <w:qFormat/>
    <w:pPr>
      <w:jc w:val="center"/>
      <w:keepNext/>
      <w:outlineLvl w:val="0"/>
    </w:pPr>
    <w:rPr>
      <w:rFonts w:ascii="楷体_GB2312" w:hAnsi="Times New Roman" w:eastAsia="楷体_GB2312" w:cs="Times New Roman"/>
      <w:sz w:val="28"/>
      <w:szCs w:val="28"/>
    </w:rPr>
  </w:style>
  <w:style w:type="paragraph" w:styleId="660">
    <w:name w:val="标题 2"/>
    <w:basedOn w:val="658"/>
    <w:next w:val="658"/>
    <w:link w:val="671"/>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3"/>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3"/>
    <w:link w:val="675"/>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3"/>
    <w:link w:val="676"/>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7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7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0"/>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70">
    <w:name w:val="标题 1 Char"/>
    <w:next w:val="670"/>
    <w:link w:val="659"/>
    <w:rPr>
      <w:rFonts w:ascii="楷体_GB2312" w:hAnsi="Times New Roman" w:eastAsia="楷体_GB2312" w:cs="Times New Roman"/>
      <w:sz w:val="28"/>
      <w:szCs w:val="28"/>
    </w:rPr>
  </w:style>
  <w:style w:type="character" w:styleId="671">
    <w:name w:val="标题 2 Char"/>
    <w:next w:val="671"/>
    <w:link w:val="660"/>
    <w:rPr>
      <w:rFonts w:ascii="Arial" w:hAnsi="Arial" w:eastAsia="幼圆" w:cs="Arial"/>
      <w:b/>
      <w:bCs/>
      <w:sz w:val="44"/>
      <w:szCs w:val="44"/>
    </w:rPr>
  </w:style>
  <w:style w:type="character" w:styleId="672">
    <w:name w:val="标题 3 Char"/>
    <w:next w:val="672"/>
    <w:link w:val="661"/>
    <w:rPr>
      <w:rFonts w:ascii="Times New Roman" w:hAnsi="Times New Roman" w:eastAsia="宋体" w:cs="Times New Roman"/>
      <w:b/>
      <w:bCs/>
      <w:sz w:val="32"/>
      <w:szCs w:val="32"/>
    </w:rPr>
  </w:style>
  <w:style w:type="paragraph" w:styleId="673">
    <w:name w:val="正文缩进"/>
    <w:basedOn w:val="658"/>
    <w:next w:val="673"/>
    <w:link w:val="674"/>
    <w:pPr>
      <w:ind w:firstLine="420"/>
    </w:pPr>
    <w:rPr>
      <w:szCs w:val="21"/>
    </w:rPr>
  </w:style>
  <w:style w:type="character" w:styleId="674">
    <w:name w:val="正文缩进 Char"/>
    <w:next w:val="674"/>
    <w:link w:val="673"/>
    <w:rPr>
      <w:szCs w:val="21"/>
    </w:rPr>
  </w:style>
  <w:style w:type="character" w:styleId="675">
    <w:name w:val="标题 4 Char"/>
    <w:next w:val="675"/>
    <w:link w:val="662"/>
    <w:rPr>
      <w:rFonts w:ascii="Arial" w:hAnsi="Arial" w:eastAsia="黑体" w:cs="Arial"/>
      <w:b/>
      <w:bCs/>
      <w:sz w:val="28"/>
      <w:szCs w:val="28"/>
    </w:rPr>
  </w:style>
  <w:style w:type="character" w:styleId="676">
    <w:name w:val="标题 5 Char"/>
    <w:next w:val="676"/>
    <w:link w:val="663"/>
    <w:rPr>
      <w:rFonts w:ascii="宋体" w:hAnsi="Times New Roman" w:eastAsia="宋体" w:cs="Times New Roman"/>
      <w:color w:val="000000"/>
      <w:sz w:val="28"/>
      <w:szCs w:val="28"/>
    </w:rPr>
  </w:style>
  <w:style w:type="character" w:styleId="677">
    <w:name w:val="标题 6 Char"/>
    <w:next w:val="677"/>
    <w:link w:val="664"/>
    <w:rPr>
      <w:rFonts w:ascii="Arial" w:hAnsi="Arial" w:eastAsia="黑体" w:cs="Times New Roman"/>
      <w:b/>
      <w:bCs/>
      <w:sz w:val="24"/>
      <w:szCs w:val="24"/>
    </w:rPr>
  </w:style>
  <w:style w:type="character" w:styleId="678">
    <w:name w:val="标题 7 Char"/>
    <w:next w:val="678"/>
    <w:link w:val="665"/>
    <w:rPr>
      <w:rFonts w:ascii="Times New Roman" w:hAnsi="Times New Roman" w:eastAsia="宋体" w:cs="Times New Roman"/>
      <w:b/>
      <w:bCs/>
      <w:sz w:val="24"/>
      <w:szCs w:val="24"/>
    </w:rPr>
  </w:style>
  <w:style w:type="character" w:styleId="679">
    <w:name w:val="标题 8 Char"/>
    <w:next w:val="679"/>
    <w:link w:val="666"/>
    <w:rPr>
      <w:rFonts w:ascii="Arial" w:hAnsi="Arial" w:eastAsia="黑体" w:cs="Times New Roman"/>
      <w:sz w:val="24"/>
      <w:szCs w:val="24"/>
    </w:rPr>
  </w:style>
  <w:style w:type="character" w:styleId="680">
    <w:name w:val="标题 9 Char"/>
    <w:next w:val="680"/>
    <w:link w:val="667"/>
    <w:rPr>
      <w:rFonts w:ascii="Arial" w:hAnsi="Arial" w:eastAsia="黑体" w:cs="Times New Roman"/>
      <w:szCs w:val="21"/>
    </w:rPr>
  </w:style>
  <w:style w:type="paragraph" w:styleId="681">
    <w:name w:val="列表 3"/>
    <w:basedOn w:val="658"/>
    <w:next w:val="681"/>
    <w:link w:val="658"/>
    <w:pPr>
      <w:ind w:left="100" w:hanging="200"/>
    </w:pPr>
    <w:rPr>
      <w:rFonts w:ascii="Times New Roman" w:hAnsi="Times New Roman" w:eastAsia="宋体" w:cs="Times New Roman"/>
      <w:szCs w:val="21"/>
    </w:rPr>
  </w:style>
  <w:style w:type="paragraph" w:styleId="682">
    <w:name w:val="目录 7"/>
    <w:basedOn w:val="658"/>
    <w:next w:val="658"/>
    <w:link w:val="658"/>
    <w:semiHidden/>
    <w:pPr>
      <w:ind w:left="1260"/>
      <w:jc w:val="left"/>
    </w:pPr>
    <w:rPr>
      <w:rFonts w:ascii="Times New Roman" w:hAnsi="Times New Roman" w:eastAsia="宋体" w:cs="Times New Roman"/>
      <w:szCs w:val="21"/>
    </w:rPr>
  </w:style>
  <w:style w:type="paragraph" w:styleId="683">
    <w:name w:val="文档结构图"/>
    <w:basedOn w:val="658"/>
    <w:next w:val="683"/>
    <w:link w:val="684"/>
    <w:semiHidden/>
    <w:pPr>
      <w:shd w:val="clear" w:color="auto" w:fill="000080"/>
    </w:pPr>
    <w:rPr>
      <w:rFonts w:ascii="Times New Roman" w:hAnsi="Times New Roman" w:eastAsia="宋体" w:cs="Times New Roman"/>
      <w:szCs w:val="21"/>
    </w:rPr>
  </w:style>
  <w:style w:type="character" w:styleId="684">
    <w:name w:val="文档结构图 Char"/>
    <w:next w:val="684"/>
    <w:link w:val="683"/>
    <w:semiHidden/>
    <w:rPr>
      <w:rFonts w:ascii="Times New Roman" w:hAnsi="Times New Roman" w:eastAsia="宋体" w:cs="Times New Roman"/>
      <w:szCs w:val="21"/>
      <w:shd w:val="clear" w:color="auto" w:fill="000080"/>
    </w:rPr>
  </w:style>
  <w:style w:type="paragraph" w:styleId="685">
    <w:name w:val="批注文字"/>
    <w:basedOn w:val="658"/>
    <w:next w:val="685"/>
    <w:link w:val="68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6">
    <w:name w:val="批注文字 字符"/>
    <w:basedOn w:val="668"/>
    <w:next w:val="686"/>
    <w:link w:val="685"/>
    <w:rPr>
      <w:rFonts w:ascii="Calibri" w:hAnsi="Calibri" w:eastAsia="宋体" w:cs="Times New Roman"/>
      <w:sz w:val="21"/>
      <w:szCs w:val="24"/>
    </w:rPr>
  </w:style>
  <w:style w:type="paragraph" w:styleId="687">
    <w:name w:val="正文文本 3"/>
    <w:basedOn w:val="658"/>
    <w:next w:val="687"/>
    <w:link w:val="688"/>
    <w:rPr>
      <w:rFonts w:ascii="仿宋_GB2312" w:hAnsi="Arial" w:eastAsia="仿宋_GB2312" w:cs="Times New Roman"/>
      <w:sz w:val="32"/>
      <w:szCs w:val="32"/>
    </w:rPr>
  </w:style>
  <w:style w:type="character" w:styleId="688">
    <w:name w:val="正文文本 3 Char"/>
    <w:next w:val="688"/>
    <w:link w:val="687"/>
    <w:rPr>
      <w:rFonts w:ascii="仿宋_GB2312" w:hAnsi="Arial" w:eastAsia="仿宋_GB2312" w:cs="Times New Roman"/>
      <w:sz w:val="32"/>
      <w:szCs w:val="32"/>
    </w:rPr>
  </w:style>
  <w:style w:type="paragraph" w:styleId="689">
    <w:name w:val="正文文本"/>
    <w:basedOn w:val="658"/>
    <w:next w:val="689"/>
    <w:link w:val="690"/>
    <w:rPr>
      <w:rFonts w:ascii="楷体_GB2312" w:hAnsi="Arial" w:eastAsia="楷体_GB2312" w:cs="Times New Roman"/>
      <w:sz w:val="28"/>
      <w:szCs w:val="28"/>
    </w:rPr>
  </w:style>
  <w:style w:type="character" w:styleId="690">
    <w:name w:val="正文文本 Char"/>
    <w:next w:val="690"/>
    <w:link w:val="689"/>
    <w:rPr>
      <w:rFonts w:ascii="楷体_GB2312" w:hAnsi="Arial" w:eastAsia="楷体_GB2312" w:cs="Times New Roman"/>
      <w:sz w:val="28"/>
      <w:szCs w:val="28"/>
    </w:rPr>
  </w:style>
  <w:style w:type="paragraph" w:styleId="691">
    <w:name w:val="正文文本缩进"/>
    <w:basedOn w:val="658"/>
    <w:next w:val="693"/>
    <w:link w:val="692"/>
    <w:unhideWhenUsed/>
    <w:pPr>
      <w:ind w:left="420"/>
      <w:spacing w:after="120"/>
    </w:pPr>
  </w:style>
  <w:style w:type="character" w:styleId="692">
    <w:name w:val="正文文本缩进 Char"/>
    <w:basedOn w:val="668"/>
    <w:next w:val="692"/>
    <w:link w:val="691"/>
    <w:uiPriority w:val="99"/>
    <w:semiHidden/>
  </w:style>
  <w:style w:type="paragraph" w:styleId="693">
    <w:name w:val="寄信人地址"/>
    <w:basedOn w:val="658"/>
    <w:next w:val="693"/>
    <w:link w:val="658"/>
    <w:qFormat/>
    <w:rPr>
      <w:rFonts w:ascii="Arial" w:hAnsi="Arial" w:eastAsia="宋体" w:cs="宋体"/>
    </w:rPr>
  </w:style>
  <w:style w:type="paragraph" w:styleId="694">
    <w:name w:val="列表 2"/>
    <w:basedOn w:val="658"/>
    <w:next w:val="694"/>
    <w:link w:val="658"/>
    <w:pPr>
      <w:ind w:left="100" w:hanging="200"/>
    </w:pPr>
    <w:rPr>
      <w:rFonts w:ascii="Times New Roman" w:hAnsi="Times New Roman" w:eastAsia="宋体" w:cs="Times New Roman"/>
      <w:szCs w:val="21"/>
    </w:rPr>
  </w:style>
  <w:style w:type="paragraph" w:styleId="695">
    <w:name w:val="目录 5"/>
    <w:basedOn w:val="658"/>
    <w:next w:val="658"/>
    <w:link w:val="658"/>
    <w:semiHidden/>
    <w:pPr>
      <w:ind w:left="840"/>
      <w:jc w:val="left"/>
    </w:pPr>
    <w:rPr>
      <w:rFonts w:ascii="Times New Roman" w:hAnsi="Times New Roman" w:eastAsia="宋体" w:cs="Times New Roman"/>
      <w:szCs w:val="21"/>
    </w:rPr>
  </w:style>
  <w:style w:type="paragraph" w:styleId="696">
    <w:name w:val="目录 3"/>
    <w:basedOn w:val="658"/>
    <w:next w:val="658"/>
    <w:link w:val="658"/>
    <w:semiHidden/>
    <w:pPr>
      <w:ind w:left="420"/>
      <w:jc w:val="left"/>
    </w:pPr>
    <w:rPr>
      <w:rFonts w:ascii="Times New Roman" w:hAnsi="Times New Roman" w:eastAsia="宋体" w:cs="Times New Roman"/>
      <w:i/>
      <w:iCs/>
      <w:szCs w:val="24"/>
    </w:rPr>
  </w:style>
  <w:style w:type="paragraph" w:styleId="697">
    <w:name w:val="纯文本"/>
    <w:basedOn w:val="658"/>
    <w:next w:val="697"/>
    <w:link w:val="698"/>
    <w:rPr>
      <w:rFonts w:ascii="宋体" w:hAnsi="Courier New" w:eastAsia="宋体" w:cs="Courier New"/>
      <w:szCs w:val="21"/>
    </w:rPr>
  </w:style>
  <w:style w:type="character" w:styleId="698">
    <w:name w:val="纯文本 Char"/>
    <w:next w:val="698"/>
    <w:link w:val="697"/>
    <w:rPr>
      <w:rFonts w:ascii="宋体" w:hAnsi="Courier New" w:eastAsia="宋体" w:cs="Courier New"/>
      <w:szCs w:val="21"/>
    </w:rPr>
  </w:style>
  <w:style w:type="paragraph" w:styleId="699">
    <w:name w:val="目录 8"/>
    <w:basedOn w:val="658"/>
    <w:next w:val="658"/>
    <w:link w:val="658"/>
    <w:semiHidden/>
    <w:pPr>
      <w:ind w:left="1470"/>
      <w:jc w:val="left"/>
    </w:pPr>
    <w:rPr>
      <w:rFonts w:ascii="Times New Roman" w:hAnsi="Times New Roman" w:eastAsia="宋体" w:cs="Times New Roman"/>
      <w:szCs w:val="21"/>
    </w:rPr>
  </w:style>
  <w:style w:type="paragraph" w:styleId="700">
    <w:name w:val="日期"/>
    <w:basedOn w:val="658"/>
    <w:next w:val="658"/>
    <w:link w:val="701"/>
    <w:rPr>
      <w:rFonts w:ascii="Times New Roman" w:hAnsi="Times New Roman" w:eastAsia="宋体" w:cs="Times New Roman"/>
      <w:sz w:val="24"/>
      <w:szCs w:val="24"/>
    </w:rPr>
  </w:style>
  <w:style w:type="character" w:styleId="701">
    <w:name w:val="日期 Char"/>
    <w:next w:val="701"/>
    <w:link w:val="700"/>
    <w:rPr>
      <w:rFonts w:ascii="Times New Roman" w:hAnsi="Times New Roman" w:eastAsia="宋体" w:cs="Times New Roman"/>
      <w:sz w:val="24"/>
      <w:szCs w:val="24"/>
    </w:rPr>
  </w:style>
  <w:style w:type="paragraph" w:styleId="702">
    <w:name w:val="正文文本缩进 2"/>
    <w:basedOn w:val="658"/>
    <w:next w:val="702"/>
    <w:link w:val="703"/>
    <w:pPr>
      <w:ind w:left="630" w:firstLine="645"/>
    </w:pPr>
    <w:rPr>
      <w:rFonts w:ascii="Arial" w:hAnsi="Arial" w:eastAsia="仿宋_GB2312" w:cs="Arial"/>
      <w:sz w:val="32"/>
      <w:szCs w:val="32"/>
    </w:rPr>
  </w:style>
  <w:style w:type="character" w:styleId="703">
    <w:name w:val="正文文本缩进 2 Char"/>
    <w:next w:val="703"/>
    <w:link w:val="702"/>
    <w:rPr>
      <w:rFonts w:ascii="Arial" w:hAnsi="Arial" w:eastAsia="仿宋_GB2312" w:cs="Arial"/>
      <w:sz w:val="32"/>
      <w:szCs w:val="32"/>
    </w:rPr>
  </w:style>
  <w:style w:type="paragraph" w:styleId="704">
    <w:name w:val="批注框文本"/>
    <w:basedOn w:val="658"/>
    <w:next w:val="704"/>
    <w:link w:val="705"/>
    <w:semiHidden/>
    <w:rPr>
      <w:rFonts w:ascii="Times New Roman" w:hAnsi="Times New Roman" w:eastAsia="宋体" w:cs="Times New Roman"/>
      <w:sz w:val="18"/>
      <w:szCs w:val="18"/>
    </w:rPr>
  </w:style>
  <w:style w:type="character" w:styleId="705">
    <w:name w:val="批注框文本 Char"/>
    <w:next w:val="705"/>
    <w:link w:val="704"/>
    <w:semiHidden/>
    <w:rPr>
      <w:rFonts w:ascii="Times New Roman" w:hAnsi="Times New Roman" w:eastAsia="宋体" w:cs="Times New Roman"/>
      <w:sz w:val="18"/>
      <w:szCs w:val="18"/>
    </w:rPr>
  </w:style>
  <w:style w:type="paragraph" w:styleId="706">
    <w:name w:val="页脚"/>
    <w:basedOn w:val="658"/>
    <w:next w:val="706"/>
    <w:link w:val="707"/>
    <w:pPr>
      <w:jc w:val="left"/>
      <w:tabs>
        <w:tab w:val="center" w:pos="4153" w:leader="none"/>
        <w:tab w:val="right" w:pos="8306" w:leader="none"/>
      </w:tabs>
    </w:pPr>
    <w:rPr>
      <w:rFonts w:ascii="Times New Roman" w:hAnsi="Times New Roman" w:eastAsia="宋体" w:cs="Times New Roman"/>
      <w:sz w:val="18"/>
      <w:szCs w:val="18"/>
    </w:rPr>
  </w:style>
  <w:style w:type="character" w:styleId="707">
    <w:name w:val="页脚 Char"/>
    <w:next w:val="707"/>
    <w:link w:val="706"/>
    <w:rPr>
      <w:rFonts w:ascii="Times New Roman" w:hAnsi="Times New Roman" w:eastAsia="宋体" w:cs="Times New Roman"/>
      <w:sz w:val="18"/>
      <w:szCs w:val="18"/>
    </w:rPr>
  </w:style>
  <w:style w:type="paragraph" w:styleId="708">
    <w:name w:val="页眉"/>
    <w:basedOn w:val="658"/>
    <w:next w:val="708"/>
    <w:link w:val="70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9">
    <w:name w:val="页眉 Char"/>
    <w:next w:val="709"/>
    <w:link w:val="708"/>
    <w:rPr>
      <w:rFonts w:ascii="Times New Roman" w:hAnsi="Times New Roman" w:eastAsia="宋体" w:cs="Times New Roman"/>
      <w:sz w:val="18"/>
      <w:szCs w:val="18"/>
    </w:rPr>
  </w:style>
  <w:style w:type="paragraph" w:styleId="710">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1">
    <w:name w:val="目录 4"/>
    <w:basedOn w:val="658"/>
    <w:next w:val="658"/>
    <w:link w:val="658"/>
    <w:semiHidden/>
    <w:pPr>
      <w:ind w:left="630"/>
      <w:jc w:val="left"/>
    </w:pPr>
    <w:rPr>
      <w:rFonts w:ascii="Times New Roman" w:hAnsi="Times New Roman" w:eastAsia="宋体" w:cs="Times New Roman"/>
      <w:szCs w:val="21"/>
    </w:rPr>
  </w:style>
  <w:style w:type="paragraph" w:styleId="712">
    <w:name w:val="列表"/>
    <w:basedOn w:val="658"/>
    <w:next w:val="712"/>
    <w:link w:val="658"/>
    <w:pPr>
      <w:ind w:left="200" w:hanging="200"/>
    </w:pPr>
    <w:rPr>
      <w:rFonts w:ascii="Times New Roman" w:hAnsi="Times New Roman" w:eastAsia="宋体" w:cs="Times New Roman"/>
      <w:szCs w:val="21"/>
    </w:rPr>
  </w:style>
  <w:style w:type="paragraph" w:styleId="713">
    <w:name w:val="目录 6"/>
    <w:basedOn w:val="658"/>
    <w:next w:val="658"/>
    <w:link w:val="658"/>
    <w:semiHidden/>
    <w:pPr>
      <w:ind w:left="1050"/>
      <w:jc w:val="left"/>
    </w:pPr>
    <w:rPr>
      <w:rFonts w:ascii="Times New Roman" w:hAnsi="Times New Roman" w:eastAsia="宋体" w:cs="Times New Roman"/>
      <w:szCs w:val="21"/>
    </w:rPr>
  </w:style>
  <w:style w:type="paragraph" w:styleId="714">
    <w:name w:val="正文文本缩进 3"/>
    <w:basedOn w:val="658"/>
    <w:next w:val="714"/>
    <w:link w:val="715"/>
    <w:pPr>
      <w:ind w:left="645" w:firstLine="645"/>
    </w:pPr>
    <w:rPr>
      <w:rFonts w:ascii="Arial" w:hAnsi="Arial" w:eastAsia="仿宋_GB2312" w:cs="Arial"/>
      <w:color w:val="ffff00"/>
      <w:sz w:val="32"/>
      <w:szCs w:val="32"/>
    </w:rPr>
  </w:style>
  <w:style w:type="character" w:styleId="715">
    <w:name w:val="正文文本缩进 3 Char"/>
    <w:next w:val="715"/>
    <w:link w:val="714"/>
    <w:rPr>
      <w:rFonts w:ascii="Arial" w:hAnsi="Arial" w:eastAsia="仿宋_GB2312" w:cs="Arial"/>
      <w:color w:val="ffff00"/>
      <w:sz w:val="32"/>
      <w:szCs w:val="32"/>
    </w:rPr>
  </w:style>
  <w:style w:type="paragraph" w:styleId="716">
    <w:name w:val="图表目录"/>
    <w:basedOn w:val="658"/>
    <w:next w:val="658"/>
    <w:link w:val="658"/>
    <w:semiHidden/>
    <w:pPr>
      <w:ind w:left="840" w:hanging="420"/>
    </w:pPr>
    <w:rPr>
      <w:rFonts w:ascii="Times New Roman" w:hAnsi="Times New Roman" w:eastAsia="宋体" w:cs="Times New Roman"/>
      <w:szCs w:val="21"/>
    </w:rPr>
  </w:style>
  <w:style w:type="paragraph" w:styleId="717">
    <w:name w:val="目录 2"/>
    <w:basedOn w:val="658"/>
    <w:next w:val="658"/>
    <w:link w:val="658"/>
    <w:semiHidden/>
    <w:pPr>
      <w:ind w:left="210"/>
      <w:jc w:val="left"/>
    </w:pPr>
    <w:rPr>
      <w:rFonts w:ascii="Times New Roman" w:hAnsi="Times New Roman" w:eastAsia="宋体" w:cs="Times New Roman"/>
      <w:smallCaps/>
      <w:szCs w:val="24"/>
    </w:rPr>
  </w:style>
  <w:style w:type="paragraph" w:styleId="718">
    <w:name w:val="目录 9"/>
    <w:basedOn w:val="658"/>
    <w:next w:val="658"/>
    <w:link w:val="658"/>
    <w:semiHidden/>
    <w:pPr>
      <w:ind w:left="1680"/>
      <w:jc w:val="left"/>
    </w:pPr>
    <w:rPr>
      <w:rFonts w:ascii="Times New Roman" w:hAnsi="Times New Roman" w:eastAsia="宋体" w:cs="Times New Roman"/>
      <w:szCs w:val="21"/>
    </w:rPr>
  </w:style>
  <w:style w:type="paragraph" w:styleId="719">
    <w:name w:val="正文文本 2"/>
    <w:basedOn w:val="658"/>
    <w:next w:val="719"/>
    <w:link w:val="720"/>
    <w:pPr>
      <w:jc w:val="center"/>
      <w:widowControl/>
    </w:pPr>
    <w:rPr>
      <w:rFonts w:ascii="楷体_GB2312" w:hAnsi="Times New Roman" w:eastAsia="楷体_GB2312" w:cs="Times New Roman"/>
      <w:sz w:val="28"/>
      <w:szCs w:val="28"/>
    </w:rPr>
  </w:style>
  <w:style w:type="character" w:styleId="720">
    <w:name w:val="正文文本 2 Char"/>
    <w:next w:val="720"/>
    <w:link w:val="719"/>
    <w:rPr>
      <w:rFonts w:ascii="楷体_GB2312" w:hAnsi="Times New Roman" w:eastAsia="楷体_GB2312" w:cs="Times New Roman"/>
      <w:sz w:val="28"/>
      <w:szCs w:val="28"/>
    </w:rPr>
  </w:style>
  <w:style w:type="paragraph" w:styleId="721">
    <w:name w:val="普通(网站)"/>
    <w:basedOn w:val="658"/>
    <w:next w:val="721"/>
    <w:link w:val="658"/>
    <w:uiPriority w:val="99"/>
    <w:pPr>
      <w:jc w:val="left"/>
      <w:spacing w:before="100" w:beforeAutospacing="1" w:after="100" w:afterAutospacing="1"/>
      <w:widowControl/>
    </w:pPr>
    <w:rPr>
      <w:rFonts w:ascii="宋体" w:hAnsi="宋体" w:eastAsia="宋体" w:cs="宋体"/>
      <w:sz w:val="24"/>
      <w:szCs w:val="24"/>
    </w:rPr>
  </w:style>
  <w:style w:type="paragraph" w:styleId="722">
    <w:name w:val="索引 1"/>
    <w:basedOn w:val="658"/>
    <w:next w:val="658"/>
    <w:link w:val="658"/>
    <w:semiHidden/>
    <w:pPr>
      <w:spacing w:line="240" w:lineRule="atLeast"/>
    </w:pPr>
    <w:rPr>
      <w:rFonts w:ascii="Times New Roman" w:hAnsi="Times New Roman" w:eastAsia="宋体" w:cs="Times New Roman"/>
      <w:b/>
      <w:bCs/>
      <w:szCs w:val="21"/>
    </w:rPr>
  </w:style>
  <w:style w:type="paragraph" w:styleId="723">
    <w:name w:val="批注主题"/>
    <w:basedOn w:val="685"/>
    <w:next w:val="685"/>
    <w:link w:val="724"/>
    <w:semiHidden/>
    <w:rPr>
      <w:rFonts w:ascii="Times New Roman" w:hAnsi="Times New Roman" w:eastAsia="宋体" w:cs="Times New Roman"/>
      <w:b/>
      <w:bCs/>
      <w:szCs w:val="21"/>
    </w:rPr>
  </w:style>
  <w:style w:type="character" w:styleId="724">
    <w:name w:val="批注主题 Char"/>
    <w:next w:val="724"/>
    <w:link w:val="723"/>
    <w:semiHidden/>
    <w:rPr>
      <w:rFonts w:ascii="Times New Roman" w:hAnsi="Times New Roman" w:eastAsia="宋体" w:cs="Times New Roman"/>
      <w:b/>
      <w:bCs/>
      <w:szCs w:val="21"/>
    </w:rPr>
  </w:style>
  <w:style w:type="paragraph" w:styleId="725">
    <w:name w:val="正文首行缩进"/>
    <w:basedOn w:val="658"/>
    <w:next w:val="725"/>
    <w:link w:val="726"/>
    <w:pPr>
      <w:ind w:firstLine="200"/>
      <w:spacing w:line="360" w:lineRule="auto"/>
    </w:pPr>
    <w:rPr>
      <w:rFonts w:ascii="仿宋_GB2312" w:hAnsi="Times New Roman" w:eastAsia="仿宋_GB2312" w:cs="Times New Roman"/>
      <w:sz w:val="30"/>
      <w:szCs w:val="30"/>
    </w:rPr>
  </w:style>
  <w:style w:type="character" w:styleId="726">
    <w:name w:val="正文首行缩进 Char"/>
    <w:next w:val="726"/>
    <w:link w:val="725"/>
    <w:rPr>
      <w:rFonts w:ascii="仿宋_GB2312" w:hAnsi="Times New Roman" w:eastAsia="仿宋_GB2312" w:cs="Times New Roman"/>
      <w:sz w:val="30"/>
      <w:szCs w:val="30"/>
    </w:rPr>
  </w:style>
  <w:style w:type="paragraph" w:styleId="727">
    <w:name w:val="正文首行缩进 2"/>
    <w:basedOn w:val="691"/>
    <w:next w:val="658"/>
    <w:link w:val="728"/>
    <w:pPr>
      <w:ind w:left="0" w:firstLine="420"/>
      <w:spacing w:after="0" w:line="360" w:lineRule="auto"/>
    </w:pPr>
    <w:rPr>
      <w:rFonts w:ascii="宋体" w:hAnsi="宋体" w:eastAsia="宋体" w:cs="Times New Roman"/>
      <w:szCs w:val="20"/>
    </w:rPr>
  </w:style>
  <w:style w:type="character" w:styleId="728">
    <w:name w:val="正文首行缩进 2 Char"/>
    <w:next w:val="728"/>
    <w:link w:val="727"/>
    <w:rPr>
      <w:rFonts w:ascii="宋体" w:hAnsi="宋体" w:eastAsia="宋体" w:cs="Times New Roman"/>
      <w:szCs w:val="20"/>
    </w:rPr>
  </w:style>
  <w:style w:type="table" w:styleId="729">
    <w:name w:val="网格型"/>
    <w:basedOn w:val="669"/>
    <w:next w:val="729"/>
    <w:link w:val="658"/>
    <w:pPr>
      <w:jc w:val="both"/>
      <w:widowControl w:val="off"/>
    </w:pPr>
    <w:rPr>
      <w:rFonts w:ascii="Times New Roman" w:hAnsi="Times New Roman" w:eastAsia="宋体" w:cs="Times New Roman"/>
      <w:sz w:val="20"/>
      <w:szCs w:val="20"/>
    </w:rPr>
    <w:tblPr/>
  </w:style>
  <w:style w:type="character" w:styleId="730">
    <w:name w:val="要点"/>
    <w:next w:val="730"/>
    <w:link w:val="658"/>
    <w:qFormat/>
    <w:rPr>
      <w:b/>
      <w:bCs/>
    </w:rPr>
  </w:style>
  <w:style w:type="character" w:styleId="731">
    <w:name w:val="页码"/>
    <w:next w:val="731"/>
    <w:link w:val="658"/>
  </w:style>
  <w:style w:type="character" w:styleId="732">
    <w:name w:val="已访问的超链接"/>
    <w:next w:val="732"/>
    <w:link w:val="658"/>
    <w:rPr>
      <w:color w:val="800080"/>
      <w:u w:val="single"/>
    </w:rPr>
  </w:style>
  <w:style w:type="character" w:styleId="733">
    <w:name w:val="强调"/>
    <w:next w:val="733"/>
    <w:link w:val="658"/>
    <w:qFormat/>
    <w:rPr>
      <w:i/>
    </w:rPr>
  </w:style>
  <w:style w:type="character" w:styleId="734">
    <w:name w:val="超链接"/>
    <w:next w:val="734"/>
    <w:link w:val="658"/>
    <w:rPr>
      <w:color w:val="0000ff"/>
      <w:u w:val="single"/>
    </w:rPr>
  </w:style>
  <w:style w:type="character" w:styleId="735">
    <w:name w:val="批注引用"/>
    <w:next w:val="735"/>
    <w:link w:val="658"/>
    <w:semiHidden/>
    <w:rPr>
      <w:sz w:val="21"/>
      <w:szCs w:val="21"/>
    </w:rPr>
  </w:style>
  <w:style w:type="character" w:styleId="736">
    <w:name w:val="批注文字 Char"/>
    <w:basedOn w:val="668"/>
    <w:next w:val="736"/>
    <w:link w:val="658"/>
    <w:uiPriority w:val="99"/>
    <w:semiHidden/>
  </w:style>
  <w:style w:type="character" w:styleId="737">
    <w:name w:val="二级目录 Char"/>
    <w:next w:val="737"/>
    <w:link w:val="738"/>
    <w:rPr>
      <w:b/>
      <w:sz w:val="30"/>
      <w:szCs w:val="28"/>
    </w:rPr>
  </w:style>
  <w:style w:type="paragraph" w:styleId="738">
    <w:name w:val="二级目录"/>
    <w:next w:val="658"/>
    <w:link w:val="737"/>
    <w:pPr>
      <w:numPr>
        <w:ilvl w:val="0"/>
        <w:numId w:val="2"/>
      </w:numPr>
      <w:tabs>
        <w:tab w:val="left" w:pos="907" w:leader="none"/>
        <w:tab w:val="left" w:pos="1145" w:leader="none"/>
      </w:tabs>
      <w:outlineLvl w:val="1"/>
    </w:pPr>
    <w:rPr>
      <w:b/>
      <w:sz w:val="30"/>
      <w:szCs w:val="28"/>
      <w:lang w:val="en-US" w:eastAsia="zh-CN" w:bidi="ar-SA"/>
    </w:rPr>
  </w:style>
  <w:style w:type="character" w:styleId="739">
    <w:name w:val="font5 Char"/>
    <w:next w:val="739"/>
    <w:link w:val="658"/>
    <w:rPr>
      <w:rFonts w:ascii="宋体" w:hAnsi="宋体" w:eastAsia="宋体"/>
      <w:sz w:val="28"/>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8"/>
    <w:next w:val="741"/>
    <w:link w:val="740"/>
    <w:qFormat/>
    <w:pPr>
      <w:contextualSpacing/>
      <w:ind w:left="720"/>
      <w:jc w:val="left"/>
      <w:widowControl/>
    </w:pPr>
    <w:rPr>
      <w:rFonts w:ascii="Calibri" w:hAnsi="Calibri"/>
      <w:sz w:val="24"/>
      <w:szCs w:val="24"/>
      <w:lang w:eastAsia="en-US" w:bidi="en-US"/>
    </w:rPr>
  </w:style>
  <w:style w:type="paragraph" w:styleId="742">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43">
    <w:name w:val="table_lines"/>
    <w:basedOn w:val="658"/>
    <w:next w:val="743"/>
    <w:link w:val="658"/>
    <w:pPr>
      <w:jc w:val="left"/>
      <w:widowControl/>
    </w:pPr>
    <w:rPr>
      <w:rFonts w:ascii="Times New Roman" w:hAnsi="Times New Roman" w:eastAsia="宋体" w:cs="Times New Roman"/>
      <w:sz w:val="20"/>
      <w:szCs w:val="20"/>
      <w:lang w:val="de-DE" w:eastAsia="de-DE"/>
    </w:rPr>
  </w:style>
  <w:style w:type="paragraph" w:styleId="744">
    <w:name w:val=" Char Char Char Char"/>
    <w:basedOn w:val="683"/>
    <w:next w:val="744"/>
    <w:link w:val="658"/>
    <w:pPr>
      <w:spacing w:line="360" w:lineRule="auto"/>
    </w:pPr>
    <w:rPr>
      <w:rFonts w:ascii="Tahoma" w:hAnsi="Tahoma"/>
      <w:sz w:val="24"/>
      <w:szCs w:val="24"/>
    </w:rPr>
  </w:style>
  <w:style w:type="paragraph" w:styleId="745">
    <w:name w:val="font7"/>
    <w:basedOn w:val="658"/>
    <w:next w:val="745"/>
    <w:link w:val="658"/>
    <w:pPr>
      <w:jc w:val="left"/>
      <w:spacing w:before="100" w:beforeAutospacing="1" w:after="100" w:afterAutospacing="1"/>
      <w:widowControl/>
    </w:pPr>
    <w:rPr>
      <w:rFonts w:hint="eastAsia" w:ascii="宋体" w:hAnsi="宋体" w:eastAsia="宋体" w:cs="Times New Roman"/>
      <w:sz w:val="18"/>
      <w:szCs w:val="18"/>
    </w:rPr>
  </w:style>
  <w:style w:type="paragraph" w:styleId="746">
    <w:name w:val="正文1"/>
    <w:basedOn w:val="658"/>
    <w:next w:val="746"/>
    <w:link w:val="658"/>
    <w:qFormat/>
    <w:pPr>
      <w:ind w:left="350" w:firstLine="0"/>
    </w:pPr>
    <w:rPr>
      <w:rFonts w:cs="Times New Roman"/>
      <w:sz w:val="20"/>
      <w:szCs w:val="24"/>
    </w:rPr>
  </w:style>
  <w:style w:type="paragraph" w:styleId="747">
    <w:name w:val="Char"/>
    <w:basedOn w:val="658"/>
    <w:next w:val="747"/>
    <w:link w:val="658"/>
    <w:pPr>
      <w:ind w:firstLine="200"/>
      <w:tabs>
        <w:tab w:val="left" w:pos="360" w:leader="none"/>
      </w:tabs>
    </w:pPr>
    <w:rPr>
      <w:rFonts w:ascii="Times New Roman" w:hAnsi="Times New Roman" w:eastAsia="宋体" w:cs="Times New Roman"/>
      <w:sz w:val="28"/>
      <w:szCs w:val="30"/>
    </w:rPr>
  </w:style>
  <w:style w:type="paragraph" w:styleId="748">
    <w:name w:val="xl25"/>
    <w:basedOn w:val="658"/>
    <w:next w:val="748"/>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49">
    <w:name w:val="xl26"/>
    <w:basedOn w:val="658"/>
    <w:next w:val="749"/>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0">
    <w:name w:val="Char Char Char Char Char Char Char Char"/>
    <w:basedOn w:val="658"/>
    <w:next w:val="750"/>
    <w:link w:val="658"/>
    <w:pPr>
      <w:jc w:val="left"/>
      <w:spacing w:after="160" w:line="240" w:lineRule="exact"/>
      <w:widowControl/>
    </w:pPr>
    <w:rPr>
      <w:rFonts w:ascii="Verdana" w:hAnsi="Verdana" w:eastAsia="宋体" w:cs="Times New Roman"/>
      <w:sz w:val="20"/>
      <w:szCs w:val="20"/>
      <w:lang w:eastAsia="en-US"/>
    </w:rPr>
  </w:style>
  <w:style w:type="paragraph" w:styleId="751">
    <w:name w:val="xl30"/>
    <w:basedOn w:val="658"/>
    <w:next w:val="751"/>
    <w:link w:val="658"/>
    <w:pPr>
      <w:jc w:val="center"/>
      <w:spacing w:before="100" w:beforeAutospacing="1" w:after="100" w:afterAutospacing="1"/>
      <w:widowControl/>
    </w:pPr>
    <w:rPr>
      <w:rFonts w:ascii="宋体" w:hAnsi="宋体" w:eastAsia="宋体" w:cs="Times New Roman"/>
      <w:b/>
      <w:bCs/>
      <w:sz w:val="36"/>
      <w:szCs w:val="36"/>
    </w:rPr>
  </w:style>
  <w:style w:type="paragraph" w:styleId="752">
    <w:name w:val="xl28"/>
    <w:basedOn w:val="658"/>
    <w:next w:val="752"/>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3">
    <w:name w:val=" Char Char Char Char Char Char Char Char"/>
    <w:basedOn w:val="658"/>
    <w:next w:val="753"/>
    <w:link w:val="658"/>
    <w:pPr>
      <w:jc w:val="left"/>
      <w:spacing w:after="160" w:line="240" w:lineRule="exact"/>
      <w:widowControl/>
    </w:pPr>
    <w:rPr>
      <w:rFonts w:ascii="Verdana" w:hAnsi="Verdana" w:eastAsia="宋体" w:cs="Times New Roman"/>
      <w:sz w:val="20"/>
      <w:szCs w:val="20"/>
      <w:lang w:eastAsia="en-US"/>
    </w:rPr>
  </w:style>
  <w:style w:type="paragraph" w:styleId="754">
    <w:name w:val="xl29"/>
    <w:basedOn w:val="658"/>
    <w:next w:val="754"/>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5">
    <w:name w:val="font6"/>
    <w:basedOn w:val="658"/>
    <w:next w:val="755"/>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6">
    <w:name w:val="xl27"/>
    <w:basedOn w:val="658"/>
    <w:next w:val="756"/>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普通正文"/>
    <w:basedOn w:val="658"/>
    <w:next w:val="757"/>
    <w:link w:val="658"/>
    <w:pPr>
      <w:ind w:firstLine="480"/>
      <w:jc w:val="left"/>
      <w:spacing w:before="120" w:after="120" w:line="360" w:lineRule="auto"/>
    </w:pPr>
    <w:rPr>
      <w:rFonts w:ascii="Arial" w:hAnsi="Arial" w:eastAsia="宋体" w:cs="Times New Roman"/>
      <w:sz w:val="24"/>
      <w:szCs w:val="24"/>
    </w:rPr>
  </w:style>
  <w:style w:type="paragraph" w:styleId="758">
    <w:name w:val="附录1"/>
    <w:next w:val="758"/>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9">
    <w:name w:val="普通 (Web)"/>
    <w:basedOn w:val="658"/>
    <w:next w:val="759"/>
    <w:link w:val="658"/>
    <w:pPr>
      <w:jc w:val="left"/>
      <w:spacing w:before="100" w:beforeAutospacing="1" w:after="100" w:afterAutospacing="1"/>
      <w:widowControl/>
    </w:pPr>
    <w:rPr>
      <w:rFonts w:ascii="宋体" w:hAnsi="宋体" w:eastAsia="宋体" w:cs="Times New Roman"/>
      <w:sz w:val="24"/>
      <w:szCs w:val="24"/>
    </w:rPr>
  </w:style>
  <w:style w:type="paragraph" w:styleId="760">
    <w:name w:val="索引 41"/>
    <w:basedOn w:val="658"/>
    <w:next w:val="658"/>
    <w:link w:val="658"/>
    <w:semiHidden/>
    <w:qFormat/>
    <w:pPr>
      <w:ind w:left="1260"/>
    </w:pPr>
    <w:rPr>
      <w:rFonts w:ascii="Calibri" w:hAnsi="Calibri" w:eastAsia="Calibri" w:cs="宋体"/>
      <w:sz w:val="20"/>
      <w:lang w:val="zh-CN"/>
    </w:rPr>
  </w:style>
  <w:style w:type="paragraph" w:styleId="761">
    <w:name w:val="Body Text(ch)"/>
    <w:basedOn w:val="658"/>
    <w:next w:val="689"/>
    <w:link w:val="658"/>
    <w:pPr>
      <w:spacing w:after="120"/>
    </w:pPr>
    <w:rPr>
      <w:rFonts w:ascii="宋体" w:hAnsi="Arial" w:eastAsia="宋体" w:cs="Times New Roman"/>
      <w:bCs/>
      <w:iCs/>
      <w:szCs w:val="24"/>
    </w:rPr>
  </w:style>
  <w:style w:type="paragraph" w:styleId="762">
    <w:name w:val="正文文本1"/>
    <w:basedOn w:val="658"/>
    <w:next w:val="658"/>
    <w:link w:val="658"/>
    <w:semiHidden/>
    <w:qFormat/>
    <w:rPr>
      <w:rFonts w:ascii="Arial" w:hAnsi="Arial" w:eastAsia="Arial" w:cs="Arial"/>
      <w:sz w:val="21"/>
      <w:szCs w:val="21"/>
      <w:lang w:val="en-US" w:eastAsia="en-US" w:bidi="ar-SA"/>
    </w:rPr>
  </w:style>
  <w:style w:type="paragraph" w:styleId="763">
    <w:name w:val=" Char"/>
    <w:basedOn w:val="683"/>
    <w:next w:val="763"/>
    <w:link w:val="658"/>
    <w:rPr>
      <w:rFonts w:ascii="Tahoma" w:hAnsi="Tahoma"/>
      <w:sz w:val="24"/>
      <w:szCs w:val="24"/>
    </w:rPr>
  </w:style>
  <w:style w:type="paragraph" w:styleId="764">
    <w:name w:val="正文首行缩进 211"/>
    <w:basedOn w:val="765"/>
    <w:next w:val="658"/>
    <w:link w:val="658"/>
    <w:qFormat/>
    <w:pPr>
      <w:ind w:left="0" w:firstLine="420"/>
      <w:spacing w:after="0" w:line="360" w:lineRule="auto"/>
    </w:pPr>
    <w:rPr>
      <w:rFonts w:ascii="宋体" w:hAnsi="宋体" w:eastAsia="宋体" w:cs="Times New Roman"/>
      <w:szCs w:val="20"/>
    </w:rPr>
  </w:style>
  <w:style w:type="paragraph" w:styleId="765">
    <w:name w:val="正文文本缩进11"/>
    <w:basedOn w:val="658"/>
    <w:next w:val="766"/>
    <w:link w:val="658"/>
    <w:unhideWhenUsed/>
    <w:qFormat/>
    <w:pPr>
      <w:ind w:left="420"/>
      <w:spacing w:after="120"/>
    </w:pPr>
  </w:style>
  <w:style w:type="paragraph" w:styleId="766">
    <w:name w:val="寄信人地址1"/>
    <w:basedOn w:val="658"/>
    <w:next w:val="766"/>
    <w:link w:val="658"/>
    <w:qFormat/>
    <w:rPr>
      <w:rFonts w:ascii="Arial" w:hAnsi="Arial" w:eastAsia="宋体" w:cs="宋体"/>
    </w:rPr>
  </w:style>
  <w:style w:type="paragraph" w:styleId="767">
    <w:name w:val="Table Paragraph"/>
    <w:basedOn w:val="658"/>
    <w:next w:val="767"/>
    <w:link w:val="658"/>
    <w:uiPriority w:val="1"/>
    <w:qFormat/>
    <w:pPr>
      <w:jc w:val="left"/>
    </w:pPr>
    <w:rPr>
      <w:rFonts w:ascii="宋体" w:hAnsi="宋体" w:eastAsia="宋体" w:cs="宋体"/>
      <w:sz w:val="22"/>
      <w:szCs w:val="22"/>
      <w:lang w:val="zh-CN" w:bidi="zh-CN"/>
    </w:rPr>
  </w:style>
  <w:style w:type="paragraph" w:styleId="768">
    <w:name w:val="font5"/>
    <w:basedOn w:val="658"/>
    <w:next w:val="768"/>
    <w:link w:val="658"/>
    <w:pPr>
      <w:jc w:val="left"/>
      <w:spacing w:before="100" w:beforeAutospacing="1" w:after="100" w:afterAutospacing="1"/>
      <w:widowControl/>
    </w:pPr>
    <w:rPr>
      <w:rFonts w:hint="eastAsia" w:ascii="宋体" w:hAnsi="宋体" w:eastAsia="宋体" w:cs="Times New Roman"/>
      <w:sz w:val="28"/>
      <w:szCs w:val="28"/>
    </w:rPr>
  </w:style>
  <w:style w:type="paragraph" w:styleId="769">
    <w:name w:val="列出段落"/>
    <w:basedOn w:val="658"/>
    <w:next w:val="769"/>
    <w:link w:val="658"/>
    <w:qFormat/>
    <w:pPr>
      <w:contextualSpacing/>
      <w:ind w:left="720"/>
      <w:jc w:val="left"/>
      <w:widowControl/>
    </w:pPr>
    <w:rPr>
      <w:rFonts w:ascii="Calibri" w:hAnsi="Calibri" w:eastAsia="宋体" w:cs="Times New Roman"/>
      <w:sz w:val="24"/>
      <w:szCs w:val="24"/>
      <w:lang w:eastAsia="en-US" w:bidi="en-US"/>
    </w:rPr>
  </w:style>
  <w:style w:type="paragraph" w:styleId="770">
    <w:name w:val="4"/>
    <w:basedOn w:val="658"/>
    <w:next w:val="714"/>
    <w:link w:val="658"/>
    <w:pPr>
      <w:ind w:firstLine="420"/>
      <w:spacing w:line="360" w:lineRule="auto"/>
    </w:pPr>
    <w:rPr>
      <w:rFonts w:ascii="Times New Roman" w:hAnsi="Times New Roman" w:eastAsia="宋体" w:cs="Times New Roman"/>
      <w:color w:val="ff0000"/>
      <w:sz w:val="24"/>
      <w:szCs w:val="24"/>
    </w:rPr>
  </w:style>
  <w:style w:type="paragraph" w:styleId="771">
    <w:name w:val=" Char Char Char Char Char Char Char Char Char Char"/>
    <w:basedOn w:val="658"/>
    <w:next w:val="771"/>
    <w:link w:val="658"/>
    <w:pPr>
      <w:spacing w:line="360" w:lineRule="auto"/>
    </w:pPr>
    <w:rPr>
      <w:rFonts w:ascii="Times New Roman" w:hAnsi="Times New Roman" w:eastAsia="宋体" w:cs="Times New Roman"/>
      <w:sz w:val="24"/>
      <w:szCs w:val="20"/>
    </w:rPr>
  </w:style>
  <w:style w:type="paragraph" w:styleId="772">
    <w:name w:val="正文文本缩进1"/>
    <w:basedOn w:val="658"/>
    <w:next w:val="773"/>
    <w:link w:val="658"/>
    <w:unhideWhenUsed/>
    <w:qFormat/>
    <w:pPr>
      <w:ind w:left="420"/>
      <w:spacing w:after="120"/>
    </w:pPr>
  </w:style>
  <w:style w:type="paragraph" w:styleId="773">
    <w:name w:val="正文首行缩进 21"/>
    <w:basedOn w:val="772"/>
    <w:next w:val="773"/>
    <w:link w:val="658"/>
    <w:qFormat/>
    <w:pPr>
      <w:ind w:left="0" w:firstLine="420"/>
      <w:spacing w:after="0" w:line="360" w:lineRule="auto"/>
    </w:pPr>
    <w:rPr>
      <w:rFonts w:ascii="宋体" w:hAnsi="宋体"/>
      <w:szCs w:val="20"/>
    </w:rPr>
  </w:style>
  <w:style w:type="paragraph" w:styleId="774">
    <w:name w:val="样式1"/>
    <w:basedOn w:val="658"/>
    <w:next w:val="774"/>
    <w:link w:val="658"/>
    <w:pPr>
      <w:numPr>
        <w:ilvl w:val="0"/>
        <w:numId w:val="3"/>
      </w:numPr>
      <w:tabs>
        <w:tab w:val="left" w:pos="709" w:leader="none"/>
      </w:tabs>
    </w:pPr>
    <w:rPr>
      <w:rFonts w:ascii="宋体" w:hAnsi="宋体" w:eastAsia="宋体" w:cs="Times New Roman"/>
      <w:szCs w:val="21"/>
    </w:rPr>
  </w:style>
  <w:style w:type="paragraph" w:styleId="775">
    <w:name w:val="正文文本 211"/>
    <w:basedOn w:val="658"/>
    <w:next w:val="775"/>
    <w:link w:val="658"/>
    <w:uiPriority w:val="99"/>
    <w:qFormat/>
    <w:pPr>
      <w:jc w:val="center"/>
    </w:pPr>
    <w:rPr>
      <w:b/>
      <w:bCs/>
      <w:sz w:val="20"/>
      <w:szCs w:val="20"/>
    </w:rPr>
  </w:style>
  <w:style w:type="paragraph" w:styleId="776">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7">
    <w:name w:val="xl24"/>
    <w:basedOn w:val="658"/>
    <w:next w:val="777"/>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Char Char Char Char"/>
    <w:basedOn w:val="683"/>
    <w:next w:val="778"/>
    <w:link w:val="658"/>
    <w:pPr>
      <w:spacing w:line="360" w:lineRule="auto"/>
    </w:pPr>
    <w:rPr>
      <w:rFonts w:ascii="Tahoma" w:hAnsi="Tahoma"/>
      <w:sz w:val="24"/>
      <w:szCs w:val="24"/>
    </w:rPr>
  </w:style>
  <w:style w:type="paragraph" w:styleId="779">
    <w:name w:val="正文文本首行缩进 2"/>
    <w:basedOn w:val="772"/>
    <w:next w:val="779"/>
    <w:link w:val="658"/>
    <w:qFormat/>
    <w:pPr>
      <w:ind w:left="0" w:firstLine="420"/>
      <w:spacing w:after="0" w:line="360" w:lineRule="auto"/>
    </w:pPr>
    <w:rPr>
      <w:rFonts w:ascii="宋体" w:hAnsi="宋体"/>
      <w:sz w:val="20"/>
      <w:szCs w:val="20"/>
      <w:lang w:val="en-US" w:eastAsia="en-US"/>
    </w:rPr>
  </w:style>
  <w:style w:type="paragraph" w:styleId="780">
    <w:name w:val="table_1stline"/>
    <w:basedOn w:val="658"/>
    <w:next w:val="780"/>
    <w:link w:val="658"/>
    <w:pPr>
      <w:jc w:val="left"/>
      <w:spacing w:before="120"/>
      <w:widowControl/>
    </w:pPr>
    <w:rPr>
      <w:rFonts w:ascii="Times New Roman" w:hAnsi="Times New Roman" w:eastAsia="宋体" w:cs="Times New Roman"/>
      <w:bCs/>
      <w:sz w:val="20"/>
      <w:szCs w:val="20"/>
      <w:lang w:val="de-DE" w:eastAsia="de-DE"/>
    </w:rPr>
  </w:style>
  <w:style w:type="paragraph" w:styleId="781">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2">
    <w:name w:val="修订"/>
    <w:next w:val="782"/>
    <w:link w:val="658"/>
    <w:uiPriority w:val="99"/>
    <w:semiHidden/>
    <w:rPr>
      <w:rFonts w:ascii="Times New Roman" w:hAnsi="Times New Roman"/>
      <w:sz w:val="21"/>
      <w:szCs w:val="21"/>
      <w:lang w:val="en-US" w:eastAsia="zh-CN" w:bidi="ar-SA"/>
    </w:rPr>
  </w:style>
  <w:style w:type="paragraph" w:styleId="783">
    <w:name w:val="无间隔"/>
    <w:next w:val="783"/>
    <w:link w:val="658"/>
    <w:uiPriority w:val="99"/>
    <w:qFormat/>
    <w:pPr>
      <w:jc w:val="both"/>
      <w:widowControl w:val="off"/>
    </w:pPr>
    <w:rPr>
      <w:rFonts w:ascii="Times New Roman" w:hAnsi="Times New Roman"/>
      <w:sz w:val="21"/>
      <w:szCs w:val="21"/>
      <w:lang w:val="en-US" w:eastAsia="zh-CN" w:bidi="ar-SA"/>
    </w:rPr>
  </w:style>
  <w:style w:type="paragraph" w:styleId="784">
    <w:name w:val="正文文本12"/>
    <w:basedOn w:val="658"/>
    <w:next w:val="784"/>
    <w:link w:val="658"/>
    <w:uiPriority w:val="1"/>
    <w:qFormat/>
    <w:pPr>
      <w:ind w:left="120"/>
    </w:pPr>
    <w:rPr>
      <w:rFonts w:ascii="宋体" w:hAnsi="宋体" w:eastAsia="宋体" w:cs="宋体"/>
      <w:sz w:val="21"/>
      <w:szCs w:val="21"/>
      <w:lang w:val="zh-CN" w:eastAsia="zh-CN" w:bidi="zh-CN"/>
    </w:rPr>
  </w:style>
  <w:style w:type="table" w:styleId="785">
    <w:name w:val="网格型1"/>
    <w:basedOn w:val="786"/>
    <w:next w:val="785"/>
    <w:link w:val="658"/>
    <w:qFormat/>
    <w:pPr>
      <w:jc w:val="both"/>
      <w:widowControl w:val="off"/>
    </w:pPr>
    <w:tblPr/>
  </w:style>
  <w:style w:type="table" w:styleId="786">
    <w:name w:val="普通表格1"/>
    <w:next w:val="786"/>
    <w:link w:val="658"/>
    <w:uiPriority w:val="99"/>
    <w:unhideWhenUsed/>
    <w:qFormat/>
    <w:tblPr/>
  </w:style>
  <w:style w:type="table" w:styleId="787">
    <w:name w:val="Table Normal_0"/>
    <w:next w:val="787"/>
    <w:link w:val="658"/>
    <w:qFormat/>
    <w:tblPr/>
  </w:style>
  <w:style w:type="table" w:styleId="788">
    <w:name w:val="Table Normal"/>
    <w:next w:val="788"/>
    <w:link w:val="658"/>
    <w:qFormat/>
    <w:tblPr/>
  </w:style>
  <w:style w:type="character" w:styleId="12188" w:default="1">
    <w:name w:val="Default Paragraph Font"/>
    <w:uiPriority w:val="1"/>
    <w:semiHidden/>
    <w:unhideWhenUsed/>
  </w:style>
  <w:style w:type="numbering" w:styleId="12189" w:default="1">
    <w:name w:val="No List"/>
    <w:uiPriority w:val="99"/>
    <w:semiHidden/>
    <w:unhideWhenUsed/>
  </w:style>
  <w:style w:type="table" w:styleId="121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杨平</cp:lastModifiedBy>
  <cp:revision>3</cp:revision>
  <dcterms:created xsi:type="dcterms:W3CDTF">2023-03-16T02:13:00Z</dcterms:created>
  <dcterms:modified xsi:type="dcterms:W3CDTF">2026-10-09T09:20:39Z</dcterms:modified>
</cp:coreProperties>
</file>