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2"/>
        <w:ind w:firstLine="0"/>
        <w:jc w:val="both"/>
        <w:rPr>
          <w:rFonts w:eastAsia="黑体"/>
          <w:b/>
          <w:bCs/>
          <w:color w:val="000000"/>
          <w:sz w:val="84"/>
        </w:rPr>
      </w:pPr>
      <w:r>
        <w:rPr>
          <w:rFonts w:eastAsia="黑体"/>
          <w:b/>
          <w:bCs/>
          <w:color w:val="000000"/>
          <w:sz w:val="84"/>
        </w:rPr>
      </w:r>
      <w:r/>
    </w:p>
    <w:p>
      <w:pPr>
        <w:pStyle w:val="1222"/>
        <w:ind w:firstLine="0"/>
        <w:jc w:val="center"/>
        <w:rPr>
          <w:rFonts w:eastAsia="黑体"/>
          <w:b/>
          <w:bCs/>
          <w:color w:val="000000"/>
          <w:sz w:val="84"/>
        </w:rPr>
      </w:pPr>
      <w:r>
        <w:rPr>
          <w:rFonts w:hint="eastAsia" w:eastAsia="黑体"/>
          <w:b/>
          <w:bCs/>
          <w:color w:val="000000"/>
          <w:sz w:val="84"/>
        </w:rPr>
        <w:t xml:space="preserve">招　标　文　件</w:t>
      </w:r>
      <w:r/>
    </w:p>
    <w:p>
      <w:pPr>
        <w:pStyle w:val="1222"/>
        <w:ind w:firstLine="1285"/>
        <w:jc w:val="both"/>
        <w:rPr>
          <w:b/>
          <w:bCs/>
          <w:color w:val="000000"/>
          <w:sz w:val="32"/>
        </w:rPr>
      </w:pPr>
      <w:r>
        <w:rPr>
          <w:b/>
          <w:bCs/>
          <w:color w:val="000000"/>
          <w:sz w:val="32"/>
        </w:rPr>
      </w:r>
      <w:r/>
    </w:p>
    <w:p>
      <w:pPr>
        <w:pStyle w:val="1222"/>
        <w:ind w:firstLine="1285"/>
        <w:jc w:val="both"/>
        <w:rPr>
          <w:b/>
          <w:bCs/>
          <w:color w:val="000000"/>
          <w:sz w:val="32"/>
        </w:rPr>
      </w:pPr>
      <w:r>
        <w:rPr>
          <w:b/>
          <w:bCs/>
          <w:color w:val="000000"/>
          <w:sz w:val="32"/>
        </w:rPr>
      </w:r>
      <w:r/>
    </w:p>
    <w:p>
      <w:pPr>
        <w:pStyle w:val="1222"/>
        <w:ind w:firstLine="1285"/>
        <w:jc w:val="both"/>
        <w:rPr>
          <w:b/>
          <w:bCs/>
          <w:color w:val="000000"/>
          <w:sz w:val="32"/>
        </w:rPr>
      </w:pPr>
      <w:r>
        <w:rPr>
          <w:b/>
          <w:bCs/>
          <w:color w:val="000000"/>
          <w:sz w:val="32"/>
        </w:rPr>
      </w:r>
      <w:r/>
    </w:p>
    <w:p>
      <w:pPr>
        <w:pStyle w:val="1222"/>
        <w:ind w:firstLine="1285"/>
        <w:jc w:val="both"/>
        <w:rPr>
          <w:b/>
          <w:bCs/>
          <w:color w:val="000000"/>
          <w:sz w:val="32"/>
        </w:rPr>
      </w:pPr>
      <w:r>
        <w:rPr>
          <w:b/>
          <w:bCs/>
          <w:color w:val="000000"/>
          <w:sz w:val="32"/>
        </w:rPr>
      </w:r>
      <w:r/>
    </w:p>
    <w:p>
      <w:pPr>
        <w:pStyle w:val="1222"/>
        <w:ind w:firstLine="1285"/>
        <w:jc w:val="both"/>
        <w:rPr>
          <w:b/>
          <w:bCs/>
          <w:color w:val="000000"/>
          <w:sz w:val="32"/>
        </w:rPr>
      </w:pPr>
      <w:r>
        <w:rPr>
          <w:b/>
          <w:bCs/>
          <w:color w:val="000000"/>
          <w:sz w:val="32"/>
        </w:rPr>
      </w:r>
      <w:r/>
    </w:p>
    <w:p>
      <w:pPr>
        <w:pStyle w:val="1222"/>
        <w:ind w:firstLine="1285"/>
        <w:jc w:val="both"/>
        <w:rPr>
          <w:b/>
          <w:bCs/>
          <w:color w:val="000000"/>
          <w:sz w:val="32"/>
        </w:rPr>
      </w:pPr>
      <w:r>
        <w:rPr>
          <w:b/>
          <w:bCs/>
          <w:color w:val="000000"/>
          <w:sz w:val="32"/>
        </w:rPr>
      </w:r>
      <w:r/>
    </w:p>
    <w:p>
      <w:pPr>
        <w:pStyle w:val="1222"/>
        <w:ind w:firstLine="0"/>
        <w:jc w:val="both"/>
        <w:rPr>
          <w:b/>
          <w:bCs/>
          <w:color w:val="000000"/>
          <w:sz w:val="32"/>
        </w:rPr>
      </w:pPr>
      <w:r>
        <w:rPr>
          <w:rFonts w:hint="eastAsia"/>
          <w:b/>
          <w:bCs/>
          <w:color w:val="000000"/>
          <w:sz w:val="32"/>
        </w:rPr>
        <w:t xml:space="preserve">项目名称：扬州市人力资源和社会保障局AI员工服务—劳动仲裁智能助手项目</w:t>
      </w:r>
      <w:r/>
    </w:p>
    <w:p>
      <w:pPr>
        <w:ind w:firstLine="0"/>
        <w:rPr>
          <w:b/>
          <w:bCs/>
          <w:color w:val="000000"/>
          <w:sz w:val="32"/>
        </w:rPr>
      </w:pPr>
      <w:r>
        <w:rPr>
          <w:rFonts w:hint="eastAsia"/>
          <w:b/>
          <w:bCs/>
          <w:color w:val="000000"/>
          <w:sz w:val="32"/>
        </w:rPr>
        <w:t xml:space="preserve">项目编号：JSZC-321000-JZCG-G2026-0104</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222"/>
        <w:ind w:firstLine="0"/>
        <w:spacing w:before="0" w:after="0"/>
        <w:rPr>
          <w:rFonts w:ascii="宋体" w:hAnsi="宋体"/>
          <w:color w:val="000000"/>
        </w:rPr>
      </w:pPr>
      <w:r>
        <w:rPr>
          <w:rFonts w:ascii="宋体" w:hAnsi="宋体"/>
          <w:color w:val="000000"/>
        </w:rPr>
      </w:r>
      <w:r/>
    </w:p>
    <w:p>
      <w:pPr>
        <w:pStyle w:val="1222"/>
        <w:ind w:firstLine="0"/>
        <w:spacing w:before="0" w:after="0"/>
        <w:rPr>
          <w:rFonts w:ascii="宋体" w:hAnsi="宋体"/>
          <w:color w:val="000000"/>
        </w:rPr>
      </w:pPr>
      <w:r>
        <w:rPr>
          <w:rFonts w:ascii="宋体" w:hAnsi="宋体"/>
          <w:color w:val="000000"/>
        </w:rPr>
      </w:r>
      <w:r/>
    </w:p>
    <w:p>
      <w:pPr>
        <w:pStyle w:val="1222"/>
        <w:ind w:firstLine="0"/>
        <w:spacing w:before="0" w:after="0"/>
        <w:rPr>
          <w:rFonts w:ascii="宋体" w:hAnsi="宋体"/>
          <w:color w:val="000000"/>
        </w:rPr>
      </w:pPr>
      <w:r>
        <w:rPr>
          <w:rFonts w:ascii="宋体" w:hAnsi="宋体"/>
          <w:color w:val="000000"/>
        </w:rPr>
      </w:r>
      <w:r/>
    </w:p>
    <w:p>
      <w:pPr>
        <w:pStyle w:val="1222"/>
        <w:ind w:firstLine="0"/>
        <w:spacing w:before="0" w:after="0"/>
        <w:rPr>
          <w:rFonts w:ascii="宋体" w:hAnsi="宋体"/>
          <w:color w:val="000000"/>
        </w:rPr>
      </w:pPr>
      <w:r>
        <w:rPr>
          <w:rFonts w:ascii="宋体" w:hAnsi="宋体"/>
          <w:color w:val="000000"/>
        </w:rPr>
      </w:r>
      <w:r/>
    </w:p>
    <w:p>
      <w:pPr>
        <w:pStyle w:val="1222"/>
        <w:ind w:firstLine="0"/>
        <w:jc w:val="center"/>
        <w:rPr>
          <w:b/>
          <w:bCs/>
          <w:color w:val="000000"/>
          <w:sz w:val="32"/>
        </w:rPr>
      </w:pPr>
      <w:r>
        <w:rPr>
          <w:rFonts w:hint="eastAsia"/>
          <w:b/>
          <w:bCs/>
          <w:color w:val="000000"/>
          <w:sz w:val="32"/>
        </w:rPr>
        <w:t xml:space="preserve">扬州市公共资源交易中心</w:t>
      </w:r>
      <w:r/>
    </w:p>
    <w:p>
      <w:pPr>
        <w:pStyle w:val="1222"/>
        <w:ind w:firstLine="0"/>
        <w:jc w:val="center"/>
        <w:rPr>
          <w:b/>
          <w:bCs/>
          <w:color w:val="000000"/>
          <w:sz w:val="32"/>
        </w:rPr>
      </w:pPr>
      <w:r>
        <w:rPr>
          <w:rFonts w:hint="eastAsia"/>
          <w:b/>
          <w:bCs/>
          <w:color w:val="000000"/>
          <w:sz w:val="32"/>
          <w:u w:val="single"/>
        </w:rPr>
        <w:t xml:space="preserve">  2026  </w:t>
      </w:r>
      <w:r>
        <w:rPr>
          <w:rFonts w:hint="eastAsia"/>
          <w:b/>
          <w:bCs/>
          <w:color w:val="000000"/>
          <w:sz w:val="32"/>
        </w:rPr>
        <w:t xml:space="preserve">年</w:t>
      </w:r>
      <w:r>
        <w:rPr>
          <w:rFonts w:hint="eastAsia"/>
          <w:b/>
          <w:bCs/>
          <w:color w:val="000000"/>
          <w:sz w:val="32"/>
          <w:u w:val="single"/>
        </w:rPr>
        <w:t xml:space="preserve">  9  </w:t>
      </w:r>
      <w:r>
        <w:rPr>
          <w:rFonts w:hint="eastAsia"/>
          <w:b/>
          <w:bCs/>
          <w:color w:val="000000"/>
          <w:sz w:val="32"/>
        </w:rPr>
        <w:t xml:space="preserve">月</w:t>
      </w:r>
      <w:r/>
    </w:p>
    <w:p>
      <w:pPr>
        <w:pStyle w:val="1222"/>
        <w:ind w:firstLine="0"/>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0" w:name="_Toc120614210"/>
      <w:r/>
      <w:bookmarkStart w:id="1" w:name="_Toc523127445"/>
      <w:r/>
      <w:bookmarkStart w:id="2" w:name="_Toc20823272"/>
      <w:r/>
      <w:bookmarkStart w:id="3" w:name="_Toc16938516"/>
      <w:r/>
      <w:bookmarkStart w:id="4" w:name="_Toc513029200"/>
      <w:r/>
      <w:bookmarkStart w:id="5" w:name="_Toc479757206"/>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6"/>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6"/>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6"/>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6"/>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numPr>
          <w:ilvl w:val="0"/>
          <w:numId w:val="6"/>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………………………53</w:t>
      </w:r>
      <w:r/>
    </w:p>
    <w:p>
      <w:pPr>
        <w:numPr>
          <w:ilvl w:val="0"/>
          <w:numId w:val="6"/>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………………………………56</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79"/>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人力资源和社会保障局]的委托，扬州市公共资源交易中心就[扬州市人力资源和社会保障局AI员工服务—劳动仲裁智能助手项目](JSZC-321000-JZCG-G2026-0104)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（扬州市人力资源和社会保障局AI员工服务—劳动仲裁智能助手项目）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ff0000"/>
          <w:sz w:val="24"/>
          <w:szCs w:val="24"/>
          <w:u w:val="single"/>
        </w:rPr>
        <w:t xml:space="preserve">2026</w:t>
      </w:r>
      <w:r>
        <w:rPr>
          <w:rFonts w:hint="eastAsia" w:ascii="宋体" w:hAnsi="宋体"/>
          <w:bCs/>
          <w:color w:val="ff0000"/>
          <w:sz w:val="24"/>
          <w:szCs w:val="24"/>
          <w:u w:val="single"/>
        </w:rPr>
        <w:t xml:space="preserve">年10月23日9点30分（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81"/>
        <w:ind w:firstLine="498"/>
        <w:spacing w:before="145" w:after="145" w:line="400" w:lineRule="exact"/>
        <w:rPr>
          <w:color w:val="00000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1.项目编号：JSZC-321000-JZCG-G2026-0104</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扬州市人力资源和社会保障局AI员工服务—劳动仲裁智能助手项目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Style w:val="94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35</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94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35</w:t>
            </w:r>
            <w:r/>
          </w:p>
        </w:tc>
      </w:tr>
    </w:tbl>
    <w:p>
      <w:pPr>
        <w:numPr>
          <w:ilvl w:val="0"/>
          <w:numId w:val="7"/>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w:t>
      </w:r>
      <w:r/>
    </w:p>
    <w:p>
      <w:pPr>
        <w:ind w:firstLine="480"/>
        <w:jc w:val="left"/>
        <w:spacing w:line="440" w:lineRule="exact"/>
        <w:widowControl/>
        <w:rPr>
          <w:rFonts w:ascii="宋体" w:hAnsi="宋体"/>
          <w:color w:val="000000"/>
          <w:sz w:val="24"/>
          <w:szCs w:val="24"/>
        </w:rPr>
      </w:pPr>
      <w:r>
        <w:rPr>
          <w:rFonts w:hint="eastAsia" w:ascii="宋体" w:hAnsi="宋体" w:cs="宋体"/>
          <w:color w:val="000000"/>
          <w:sz w:val="24"/>
          <w:szCs w:val="24"/>
        </w:rPr>
        <w:t xml:space="preserve">本项目聚焦劳动仲裁核心办案智能化需求，开发建设法律法规推荐模块、仲裁案例库模块、案件智能分析模块、文书智能生成模块4个核心功能模块以及闭源大模型适配与模型训练，完成系统在扬州市电子政务外网的部署集成、与市级业务管理平台的数据对接、安全合规建设、用户培训及项目验收；同步提供验收后3年全周期运维服务（含模块运维、数据更新、故障处置、安全保障），确保系统满足全市仲裁机构日常智能化办案需求，通过网络安全等级保护二级测评、商用密码应用安全性评估、软件测评。</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6.合同履行期限：在合同签订之日起5个月内（含试运行）完成扬州市人力资源和社会保障局AI员工服务—劳动仲裁智能助手项目的全部工作。</w:t>
      </w:r>
      <w:r/>
    </w:p>
    <w:p>
      <w:pPr>
        <w:pStyle w:val="981"/>
        <w:ind w:firstLine="498"/>
        <w:spacing w:before="145" w:after="145" w:line="400" w:lineRule="exact"/>
        <w:rPr>
          <w:color w:val="000000"/>
        </w:rPr>
      </w:pPr>
      <w:r/>
      <w:bookmarkStart w:id="12" w:name="_Toc38985264"/>
      <w:r/>
      <w:bookmarkStart w:id="13" w:name="_Toc28359080"/>
      <w:r/>
      <w:bookmarkStart w:id="14" w:name="_Toc35393791"/>
      <w:r/>
      <w:bookmarkStart w:id="15" w:name="_Toc28359003"/>
      <w:r/>
      <w:bookmarkStart w:id="16" w:name="_Toc35393622"/>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94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94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4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981"/>
        <w:ind w:firstLine="498"/>
        <w:spacing w:before="145" w:after="145" w:line="400" w:lineRule="exact"/>
        <w:rPr>
          <w:color w:val="000000"/>
        </w:rPr>
      </w:pPr>
      <w:r/>
      <w:bookmarkStart w:id="22" w:name="_Toc28359005"/>
      <w:r/>
      <w:bookmarkStart w:id="23" w:name="_Toc28359082"/>
      <w:r/>
      <w:bookmarkStart w:id="24" w:name="_Toc35393793"/>
      <w:r/>
      <w:bookmarkStart w:id="25" w:name="_Toc35393624"/>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ff0000"/>
          <w:sz w:val="24"/>
          <w:szCs w:val="24"/>
          <w:u w:val="single"/>
        </w:rPr>
        <w:t xml:space="preserve">2026年10月23日9点30分</w:t>
      </w:r>
      <w:r>
        <w:rPr>
          <w:rFonts w:hint="eastAsia" w:ascii="宋体" w:hAnsi="宋体"/>
          <w:bCs/>
          <w:color w:val="ff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5393794"/>
      <w:r/>
      <w:bookmarkStart w:id="29" w:name="_Toc28359007"/>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81"/>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81"/>
        <w:ind w:firstLine="498"/>
        <w:spacing w:before="145" w:after="145" w:line="400" w:lineRule="exact"/>
        <w:rPr>
          <w:color w:val="000000"/>
        </w:rPr>
      </w:pPr>
      <w:r/>
      <w:bookmarkStart w:id="35" w:name="_Toc35393796"/>
      <w:r/>
      <w:bookmarkStart w:id="36" w:name="_Toc28359085"/>
      <w:r/>
      <w:bookmarkStart w:id="37" w:name="_Toc38985269"/>
      <w:r/>
      <w:bookmarkStart w:id="38" w:name="_Toc28359008"/>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s="宋体"/>
          <w:color w:val="000000"/>
          <w:sz w:val="24"/>
          <w:u w:val="single"/>
        </w:rPr>
        <w:t xml:space="preserve">扬州市人力资源和社会保障局</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s="宋体"/>
          <w:color w:val="000000"/>
          <w:sz w:val="24"/>
          <w:u w:val="single"/>
        </w:rPr>
        <w:t xml:space="preserve">扬州市邗江区瘦西湖路53号3楼</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s="宋体"/>
          <w:color w:val="000000"/>
          <w:sz w:val="24"/>
          <w:u w:val="single"/>
        </w:rPr>
        <w:t xml:space="preserve">茅磊</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s="宋体"/>
          <w:color w:val="000000"/>
          <w:sz w:val="24"/>
          <w:u w:val="single"/>
        </w:rPr>
        <w:t xml:space="preserve">0514-80978306</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李育谦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color w:val="000000"/>
          <w:sz w:val="24"/>
          <w:u w:val="single"/>
        </w:rPr>
        <w:t xml:space="preserve">0514-820871</w:t>
      </w:r>
      <w:r>
        <w:rPr>
          <w:rFonts w:hint="eastAsia"/>
          <w:color w:val="000000"/>
          <w:sz w:val="24"/>
          <w:u w:val="single"/>
        </w:rPr>
        <w:t xml:space="preserve">96 </w:t>
      </w:r>
      <w:bookmarkEnd w:id="40"/>
      <w:r/>
      <w:bookmarkEnd w:id="41"/>
      <w:r/>
      <w:r/>
    </w:p>
    <w:p>
      <w:pPr>
        <w:pStyle w:val="98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133"/>
        <w:ind w:firstLine="2426"/>
        <w:jc w:val="both"/>
        <w:spacing w:line="240" w:lineRule="auto"/>
        <w:rPr>
          <w:rFonts w:ascii="黑体" w:eastAsia="黑体"/>
          <w:b w:val="0"/>
          <w:bCs w:val="0"/>
          <w:color w:val="000000"/>
        </w:rPr>
        <w:outlineLvl w:val="0"/>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981"/>
        <w:ind w:firstLine="498"/>
        <w:spacing w:before="145" w:after="145" w:line="400" w:lineRule="exact"/>
        <w:rPr>
          <w:color w:val="000000"/>
        </w:rPr>
      </w:pPr>
      <w:r/>
      <w:bookmarkStart w:id="49" w:name="_Toc513029203"/>
      <w:r/>
      <w:bookmarkStart w:id="50" w:name="_Toc20823275"/>
      <w:r/>
      <w:bookmarkStart w:id="51" w:name="_Toc120614214"/>
      <w:r/>
      <w:bookmarkStart w:id="52" w:name="_Toc16938519"/>
      <w:r>
        <w:rPr>
          <w:rFonts w:hint="eastAsia"/>
          <w:color w:val="000000"/>
        </w:rPr>
        <w:t xml:space="preserve">一、总则</w:t>
      </w:r>
      <w:bookmarkEnd w:id="49"/>
      <w:r/>
      <w:bookmarkEnd w:id="50"/>
      <w:r/>
      <w:bookmarkEnd w:id="51"/>
      <w:r/>
      <w:bookmarkEnd w:id="52"/>
      <w:r/>
      <w:r/>
    </w:p>
    <w:p>
      <w:pPr>
        <w:pStyle w:val="1134"/>
        <w:ind w:firstLine="420"/>
        <w:spacing w:before="0" w:after="0" w:line="400" w:lineRule="exact"/>
        <w:rPr>
          <w:b w:val="0"/>
          <w:bCs w:val="0"/>
          <w:color w:val="00000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134"/>
        <w:ind w:firstLine="420"/>
        <w:spacing w:before="0" w:after="0" w:line="400" w:lineRule="exact"/>
        <w:rPr>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134"/>
        <w:ind w:firstLine="420"/>
        <w:spacing w:before="0" w:after="0" w:line="400" w:lineRule="exact"/>
        <w:rPr>
          <w:b w:val="0"/>
          <w:bCs w:val="0"/>
          <w:color w:val="000000"/>
        </w:rPr>
      </w:pPr>
      <w:r/>
      <w:bookmarkStart w:id="61" w:name="_Toc513029206"/>
      <w:r/>
      <w:bookmarkStart w:id="62" w:name="_Toc16938522"/>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134"/>
        <w:ind w:firstLine="420"/>
        <w:spacing w:before="0" w:after="0" w:line="400" w:lineRule="exact"/>
        <w:rPr>
          <w:b w:val="0"/>
          <w:bCs w:val="0"/>
          <w:color w:val="000000"/>
        </w:rPr>
      </w:pPr>
      <w:r/>
      <w:bookmarkStart w:id="64" w:name="_Toc16938523"/>
      <w:r/>
      <w:bookmarkStart w:id="65" w:name="_Toc513029207"/>
      <w:r/>
      <w:bookmarkStart w:id="66" w:name="_Toc462564067"/>
      <w:r/>
      <w:bookmarkStart w:id="67" w:name="_Toc20823279"/>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134"/>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81"/>
        <w:ind w:firstLine="321"/>
        <w:spacing w:before="145" w:after="145" w:line="400" w:lineRule="exact"/>
        <w:rPr>
          <w:color w:val="000000"/>
        </w:rPr>
      </w:pPr>
      <w:r/>
      <w:bookmarkStart w:id="68" w:name="_Toc120614215"/>
      <w:r/>
      <w:bookmarkStart w:id="69" w:name="_Toc16938525"/>
      <w:r/>
      <w:bookmarkStart w:id="70" w:name="_Toc20823281"/>
      <w:r/>
      <w:bookmarkStart w:id="71" w:name="_Toc513029209"/>
      <w:r>
        <w:rPr>
          <w:rFonts w:hint="eastAsia"/>
          <w:color w:val="000000"/>
        </w:rPr>
        <w:t xml:space="preserve">二、招标文件</w:t>
      </w:r>
      <w:bookmarkEnd w:id="68"/>
      <w:r/>
      <w:bookmarkEnd w:id="69"/>
      <w:r/>
      <w:bookmarkEnd w:id="70"/>
      <w:r/>
      <w:bookmarkEnd w:id="71"/>
      <w:r/>
      <w:r/>
    </w:p>
    <w:p>
      <w:pPr>
        <w:pStyle w:val="1134"/>
        <w:ind w:firstLine="420"/>
        <w:spacing w:before="0" w:after="0" w:line="400" w:lineRule="exact"/>
        <w:rPr>
          <w:b w:val="0"/>
          <w:bCs w:val="0"/>
          <w:color w:val="000000"/>
        </w:rPr>
      </w:pPr>
      <w:r/>
      <w:bookmarkStart w:id="72" w:name="_Toc20823282"/>
      <w:r/>
      <w:bookmarkStart w:id="73" w:name="_Toc16938526"/>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34"/>
        <w:ind w:firstLine="560"/>
        <w:spacing w:before="0" w:after="0" w:line="400" w:lineRule="exact"/>
        <w:rPr>
          <w:b w:val="0"/>
          <w:bCs w:val="0"/>
          <w:color w:val="000000"/>
        </w:rPr>
      </w:pPr>
      <w:r/>
      <w:bookmarkStart w:id="75" w:name="_Toc16938528"/>
      <w:r/>
      <w:bookmarkStart w:id="76" w:name="_Toc513029212"/>
      <w:r/>
      <w:bookmarkStart w:id="77" w:name="_Toc20823284"/>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81"/>
        <w:ind w:firstLine="482"/>
        <w:spacing w:before="145" w:after="145" w:line="400" w:lineRule="exact"/>
        <w:rPr>
          <w:color w:val="000000"/>
        </w:rPr>
      </w:pPr>
      <w:r/>
      <w:bookmarkStart w:id="79" w:name="_Toc120614216"/>
      <w:r/>
      <w:bookmarkStart w:id="80" w:name="_Toc16938529"/>
      <w:r/>
      <w:bookmarkStart w:id="81" w:name="_Toc20823285"/>
      <w:r/>
      <w:bookmarkStart w:id="82" w:name="_Toc462564072"/>
      <w:r/>
      <w:bookmarkStart w:id="83" w:name="_Toc513029213"/>
      <w:r>
        <w:rPr>
          <w:rFonts w:hint="eastAsia"/>
          <w:color w:val="000000"/>
        </w:rPr>
        <w:t xml:space="preserve">三、投标文件的编制</w:t>
      </w:r>
      <w:bookmarkEnd w:id="79"/>
      <w:r/>
      <w:bookmarkEnd w:id="80"/>
      <w:r/>
      <w:bookmarkEnd w:id="81"/>
      <w:r/>
      <w:bookmarkEnd w:id="82"/>
      <w:r/>
      <w:bookmarkEnd w:id="83"/>
      <w:r/>
      <w:r/>
    </w:p>
    <w:p>
      <w:pPr>
        <w:pStyle w:val="1134"/>
        <w:ind w:firstLine="560"/>
        <w:spacing w:before="0" w:after="0" w:line="400" w:lineRule="exact"/>
        <w:rPr>
          <w:bCs w:val="0"/>
          <w:color w:val="000000"/>
        </w:rPr>
      </w:pPr>
      <w:r/>
      <w:bookmarkStart w:id="84" w:name="_Toc16938530"/>
      <w:r/>
      <w:bookmarkStart w:id="85" w:name="_Toc513029214"/>
      <w:r/>
      <w:bookmarkStart w:id="86" w:name="_Toc462564073"/>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r>
      <w:r>
        <w:rPr>
          <w:rFonts w:hint="eastAsia" w:ascii="宋体" w:hAnsi="宋体"/>
          <w:color w:val="000000"/>
          <w:sz w:val="24"/>
        </w:rPr>
        <w:t xml:space="preserve"> </w:t>
      </w:r>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134"/>
        <w:ind w:firstLine="420"/>
        <w:spacing w:before="0" w:after="0" w:line="400" w:lineRule="exact"/>
        <w:rPr>
          <w:b w:val="0"/>
          <w:bCs w:val="0"/>
          <w:color w:val="000000"/>
        </w:rPr>
      </w:pPr>
      <w:r/>
      <w:bookmarkStart w:id="88" w:name="_Toc462564074"/>
      <w:r/>
      <w:bookmarkStart w:id="89" w:name="_Toc16938531"/>
      <w:r/>
      <w:bookmarkStart w:id="90" w:name="_Toc513029215"/>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969"/>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1134"/>
        <w:ind w:firstLine="420"/>
        <w:spacing w:before="0" w:after="0" w:line="400" w:lineRule="exact"/>
        <w:rPr>
          <w:b w:val="0"/>
          <w:bCs w:val="0"/>
          <w:color w:val="000000"/>
        </w:rPr>
      </w:pPr>
      <w:r/>
      <w:bookmarkStart w:id="92" w:name="_Hlt26668975"/>
      <w:r/>
      <w:bookmarkEnd w:id="92"/>
      <w:r/>
      <w:bookmarkStart w:id="93" w:name="_Hlt26670360"/>
      <w:r/>
      <w:bookmarkEnd w:id="93"/>
      <w:r/>
      <w:bookmarkStart w:id="94" w:name="_Hlt26954838"/>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13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134"/>
        <w:ind w:firstLine="420"/>
        <w:spacing w:before="0" w:after="0" w:line="400" w:lineRule="exact"/>
        <w:rPr>
          <w:b w:val="0"/>
          <w:bCs w:val="0"/>
          <w:color w:val="000000"/>
        </w:rPr>
      </w:pPr>
      <w:r/>
      <w:bookmarkStart w:id="106" w:name="_Hlt26954844"/>
      <w:r/>
      <w:bookmarkEnd w:id="106"/>
      <w:r/>
      <w:bookmarkStart w:id="107" w:name="_Hlt26670425"/>
      <w:r/>
      <w:bookmarkEnd w:id="107"/>
      <w:r/>
      <w:bookmarkStart w:id="108" w:name="_Hlt26670482"/>
      <w:r/>
      <w:bookmarkEnd w:id="108"/>
      <w:r/>
      <w:bookmarkStart w:id="109" w:name="_Hlt26670403"/>
      <w:r/>
      <w:bookmarkEnd w:id="109"/>
      <w:r/>
      <w:bookmarkStart w:id="110" w:name="_Hlt26954846"/>
      <w:r/>
      <w:bookmarkEnd w:id="110"/>
      <w:r/>
      <w:bookmarkStart w:id="111" w:name="_Hlt26954848"/>
      <w:r/>
      <w:bookmarkEnd w:id="111"/>
      <w:r/>
      <w:bookmarkStart w:id="112" w:name="_Hlt26954731"/>
      <w:r/>
      <w:bookmarkEnd w:id="112"/>
      <w:r/>
      <w:bookmarkStart w:id="113" w:name="_Hlt26954842"/>
      <w:r/>
      <w:bookmarkEnd w:id="113"/>
      <w:r/>
      <w:bookmarkStart w:id="114" w:name="_Hlt26670486"/>
      <w:r/>
      <w:bookmarkEnd w:id="114"/>
      <w:r/>
      <w:bookmarkStart w:id="115" w:name="_Hlt2666898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13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134"/>
        <w:ind w:firstLine="420"/>
        <w:spacing w:before="0" w:after="0" w:line="400" w:lineRule="exact"/>
        <w:rPr>
          <w:b w:val="0"/>
          <w:bCs w:val="0"/>
          <w:color w:val="00000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13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81"/>
        <w:ind w:firstLine="482"/>
        <w:spacing w:before="145" w:after="145" w:line="400" w:lineRule="exact"/>
        <w:rPr>
          <w:color w:val="000000"/>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color w:val="000000"/>
        </w:rPr>
        <w:t xml:space="preserve">四、投标文件的递交</w:t>
      </w:r>
      <w:bookmarkEnd w:id="125"/>
      <w:r/>
      <w:bookmarkEnd w:id="126"/>
      <w:r/>
      <w:bookmarkEnd w:id="127"/>
      <w:r/>
      <w:bookmarkEnd w:id="128"/>
      <w:r/>
      <w:r/>
    </w:p>
    <w:p>
      <w:pPr>
        <w:pStyle w:val="1134"/>
        <w:ind w:firstLine="560"/>
        <w:spacing w:before="0" w:after="0" w:line="400" w:lineRule="exact"/>
        <w:rPr>
          <w:rFonts w:ascii="黑体"/>
          <w:b w:val="0"/>
          <w:bCs w:val="0"/>
          <w:color w:val="000000"/>
        </w:rPr>
      </w:pPr>
      <w:r/>
      <w:bookmarkStart w:id="129" w:name="_Toc462564084"/>
      <w:r/>
      <w:bookmarkStart w:id="130" w:name="_Toc20823297"/>
      <w:r/>
      <w:bookmarkStart w:id="131" w:name="_Toc513029225"/>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1134"/>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134"/>
        <w:ind w:firstLine="420"/>
        <w:spacing w:before="0" w:after="0" w:line="400" w:lineRule="exact"/>
        <w:rPr>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134"/>
        <w:ind w:firstLine="420"/>
        <w:spacing w:before="0" w:after="0" w:line="400" w:lineRule="exact"/>
        <w:rPr>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81"/>
        <w:ind w:firstLine="482"/>
        <w:spacing w:before="145" w:after="145" w:line="400" w:lineRule="exact"/>
        <w:rPr>
          <w:color w:val="000000"/>
        </w:rPr>
      </w:pPr>
      <w:r/>
      <w:bookmarkStart w:id="142" w:name="_Toc120614218"/>
      <w:r/>
      <w:bookmarkStart w:id="143" w:name="_Toc20823301"/>
      <w:r/>
      <w:bookmarkStart w:id="144" w:name="_Toc513029229"/>
      <w:r/>
      <w:bookmarkStart w:id="145" w:name="_Toc16938545"/>
      <w:r>
        <w:rPr>
          <w:rFonts w:hint="eastAsia"/>
          <w:color w:val="000000"/>
        </w:rPr>
        <w:t xml:space="preserve">五、开标与评标</w:t>
      </w:r>
      <w:bookmarkEnd w:id="142"/>
      <w:r/>
      <w:bookmarkEnd w:id="143"/>
      <w:r/>
      <w:bookmarkEnd w:id="144"/>
      <w:r/>
      <w:bookmarkEnd w:id="145"/>
      <w:r/>
      <w:r/>
    </w:p>
    <w:p>
      <w:pPr>
        <w:pStyle w:val="1134"/>
        <w:ind w:firstLine="420"/>
        <w:spacing w:before="0" w:after="0" w:line="400" w:lineRule="exact"/>
        <w:rPr>
          <w:b w:val="0"/>
          <w:bCs w:val="0"/>
          <w:color w:val="000000"/>
        </w:rPr>
      </w:pPr>
      <w:r/>
      <w:bookmarkStart w:id="146" w:name="_Toc513029230"/>
      <w:r/>
      <w:bookmarkStart w:id="147" w:name="_Toc20823302"/>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134"/>
        <w:ind w:firstLine="420"/>
        <w:spacing w:before="0" w:after="0" w:line="400" w:lineRule="exact"/>
        <w:rPr>
          <w:b w:val="0"/>
          <w:bCs w:val="0"/>
          <w:color w:val="000000"/>
        </w:rPr>
      </w:pPr>
      <w:r/>
      <w:bookmarkStart w:id="149" w:name="_Toc20823303"/>
      <w:r/>
      <w:bookmarkStart w:id="150" w:name="_Toc16938547"/>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134"/>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134"/>
        <w:ind w:firstLine="420"/>
        <w:spacing w:before="0" w:after="0" w:line="400" w:lineRule="exact"/>
        <w:rPr>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134"/>
        <w:ind w:firstLine="420"/>
        <w:spacing w:before="0" w:after="0" w:line="400" w:lineRule="exact"/>
        <w:rPr>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134"/>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00" w:lineRule="exact"/>
        <w:rPr>
          <w:rFonts w:ascii="宋体" w:hAnsi="宋体"/>
          <w:bCs/>
          <w:color w:val="000000"/>
          <w:sz w:val="24"/>
        </w:rPr>
      </w:pPr>
      <w:r>
        <w:rPr>
          <w:rFonts w:hint="eastAsia" w:ascii="宋体" w:hAnsi="宋体"/>
          <w:bCs/>
          <w:color w:val="00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Cs/>
          <w:color w:val="000000"/>
          <w:sz w:val="24"/>
        </w:rPr>
      </w:pPr>
      <w:r>
        <w:rPr>
          <w:rFonts w:hint="eastAsia" w:ascii="宋体" w:hAnsi="宋体"/>
          <w:bCs/>
          <w:color w:val="00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ascii="宋体" w:hAnsi="宋体"/>
          <w:bCs/>
          <w:color w:val="ff0000"/>
          <w:sz w:val="24"/>
          <w:highlight w:val="yellow"/>
        </w:rPr>
      </w:pPr>
      <w:r>
        <w:rPr>
          <w:rFonts w:ascii="宋体" w:hAnsi="宋体"/>
          <w:bCs/>
          <w:color w:val="ff0000"/>
          <w:sz w:val="24"/>
          <w:highlight w:val="yellow"/>
        </w:rPr>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81"/>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134"/>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13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及资格审查结果、中标人诚信履约的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13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81"/>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bookmarkEnd w:id="170"/>
      <w:r/>
      <w:bookmarkEnd w:id="171"/>
      <w:r/>
      <w:bookmarkEnd w:id="172"/>
      <w:r/>
      <w:r/>
    </w:p>
    <w:p>
      <w:pPr>
        <w:pStyle w:val="1134"/>
        <w:ind w:firstLine="600"/>
        <w:spacing w:before="0" w:after="0" w:line="400" w:lineRule="exact"/>
        <w:rPr>
          <w:rFonts w:ascii="黑体" w:hAnsi="宋体" w:cs="Times New Roman"/>
          <w:b w:val="0"/>
          <w:color w:val="000000"/>
          <w:sz w:val="30"/>
          <w:szCs w:val="30"/>
        </w:rPr>
      </w:pPr>
      <w:r/>
      <w:bookmarkStart w:id="173" w:name="_Toc16938553"/>
      <w:r/>
      <w:bookmarkStart w:id="174" w:name="_Toc20823309"/>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134"/>
        <w:ind w:firstLine="600"/>
        <w:spacing w:before="0" w:after="0" w:line="400" w:lineRule="exact"/>
        <w:rPr>
          <w:rFonts w:ascii="黑体" w:hAnsi="宋体" w:cs="Times New Roman"/>
          <w:b w:val="0"/>
          <w:color w:val="000000"/>
          <w:sz w:val="30"/>
          <w:szCs w:val="30"/>
        </w:rPr>
      </w:pPr>
      <w:r/>
      <w:bookmarkStart w:id="176" w:name="_Toc20823314"/>
      <w:r/>
      <w:bookmarkStart w:id="177" w:name="_Toc16938558"/>
      <w:r/>
      <w:bookmarkStart w:id="178" w:name="_Toc479757207"/>
      <w:r/>
      <w:bookmarkStart w:id="179" w:name="_Toc513029242"/>
      <w:r/>
      <w:bookmarkStart w:id="180" w:name="_Toc120614221"/>
      <w:r>
        <w:rPr>
          <w:rFonts w:hint="eastAsia" w:ascii="黑体" w:hAnsi="宋体" w:cs="Times New Roman"/>
          <w:b w:val="0"/>
          <w:color w:val="000000"/>
          <w:sz w:val="30"/>
          <w:szCs w:val="30"/>
        </w:rPr>
        <w:t xml:space="preserve">30、政府采购履约资金扶持政策</w:t>
      </w:r>
      <w:r/>
    </w:p>
    <w:p>
      <w:pPr>
        <w:pStyle w:val="982"/>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79"/>
        <w:jc w:val="both"/>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ascii="黑体" w:eastAsia="黑体"/>
          <w:bCs/>
          <w:color w:val="000000"/>
          <w:sz w:val="44"/>
        </w:rPr>
      </w:r>
      <w:r/>
    </w:p>
    <w:p>
      <w:pPr>
        <w:pStyle w:val="979"/>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color w:val="000000"/>
          <w:sz w:val="30"/>
        </w:rPr>
      </w:pPr>
      <w:r/>
      <w:bookmarkStart w:id="181" w:name="_Toc20823315"/>
      <w:r/>
      <w:bookmarkStart w:id="182" w:name="_Toc513029243"/>
      <w:r/>
      <w:bookmarkStart w:id="183" w:name="_Toc16938559"/>
      <w:r/>
      <w:r/>
    </w:p>
    <w:p>
      <w:pPr>
        <w:jc w:val="center"/>
        <w:spacing w:before="145" w:after="145"/>
        <w:rPr>
          <w:rFonts w:ascii="宋体" w:hAnsi="宋体"/>
          <w:b/>
          <w:bCs/>
          <w:color w:val="000000"/>
          <w:sz w:val="30"/>
          <w:szCs w:val="20"/>
        </w:rPr>
        <w:outlineLvl w:val="1"/>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17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74"/>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7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7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7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74"/>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174"/>
        <w:spacing w:before="120" w:after="120"/>
        <w:rPr>
          <w:rFonts w:hAnsi="宋体"/>
          <w:color w:val="000000"/>
          <w:sz w:val="24"/>
          <w:szCs w:val="24"/>
        </w:rPr>
      </w:pPr>
      <w:r>
        <w:rPr>
          <w:rFonts w:hint="eastAsia" w:hAnsi="宋体"/>
          <w:color w:val="000000"/>
          <w:sz w:val="24"/>
          <w:szCs w:val="24"/>
        </w:rPr>
        <w:t xml:space="preserve">1.3 标的数量（规模）：</w:t>
      </w:r>
      <w:r/>
    </w:p>
    <w:p>
      <w:pPr>
        <w:pStyle w:val="1174"/>
        <w:spacing w:before="120" w:after="120"/>
        <w:rPr>
          <w:rFonts w:hAnsi="宋体"/>
          <w:color w:val="000000"/>
          <w:sz w:val="24"/>
          <w:szCs w:val="24"/>
        </w:rPr>
      </w:pPr>
      <w:r>
        <w:rPr>
          <w:rFonts w:hint="eastAsia" w:hAnsi="宋体"/>
          <w:color w:val="000000"/>
          <w:sz w:val="24"/>
          <w:szCs w:val="24"/>
        </w:rPr>
        <w:t xml:space="preserve">1.4 履行时间（期限）：</w:t>
      </w:r>
      <w:r/>
    </w:p>
    <w:p>
      <w:pPr>
        <w:pStyle w:val="1174"/>
        <w:spacing w:before="120" w:after="120"/>
        <w:rPr>
          <w:rFonts w:hAnsi="宋体"/>
          <w:color w:val="000000"/>
          <w:sz w:val="24"/>
          <w:szCs w:val="24"/>
        </w:rPr>
      </w:pPr>
      <w:r>
        <w:rPr>
          <w:rFonts w:hint="eastAsia" w:hAnsi="宋体"/>
          <w:color w:val="000000"/>
          <w:sz w:val="24"/>
          <w:szCs w:val="24"/>
        </w:rPr>
        <w:t xml:space="preserve">1.5 履行地点：</w:t>
      </w:r>
      <w:r/>
    </w:p>
    <w:p>
      <w:pPr>
        <w:pStyle w:val="11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74"/>
        <w:spacing w:before="120" w:after="120"/>
        <w:rPr>
          <w:rFonts w:hAnsi="宋体"/>
          <w:b/>
          <w:color w:val="000000"/>
          <w:sz w:val="24"/>
          <w:szCs w:val="24"/>
        </w:rPr>
      </w:pPr>
      <w:r>
        <w:rPr>
          <w:rFonts w:hAnsi="宋体"/>
          <w:b/>
          <w:color w:val="000000"/>
          <w:sz w:val="24"/>
          <w:szCs w:val="24"/>
        </w:rPr>
        <w:t xml:space="preserve">二、合同金额</w:t>
      </w:r>
      <w:r/>
    </w:p>
    <w:p>
      <w:pPr>
        <w:pStyle w:val="117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74"/>
        <w:spacing w:before="120" w:after="120"/>
        <w:rPr>
          <w:rFonts w:hAnsi="宋体"/>
          <w:b/>
          <w:color w:val="000000"/>
          <w:sz w:val="24"/>
          <w:szCs w:val="24"/>
        </w:rPr>
      </w:pPr>
      <w:r>
        <w:rPr>
          <w:rFonts w:hAnsi="宋体"/>
          <w:b/>
          <w:color w:val="000000"/>
          <w:sz w:val="24"/>
          <w:szCs w:val="24"/>
        </w:rPr>
        <w:t xml:space="preserve">三、技术资料</w:t>
      </w:r>
      <w:r/>
    </w:p>
    <w:p>
      <w:pPr>
        <w:pStyle w:val="1174"/>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7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7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74"/>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74"/>
        <w:ind w:left="408" w:hanging="408"/>
        <w:spacing w:before="120" w:after="120"/>
        <w:rPr>
          <w:rFonts w:hAnsi="宋体"/>
          <w:color w:val="000000"/>
          <w:sz w:val="24"/>
          <w:szCs w:val="24"/>
        </w:rPr>
      </w:pPr>
      <w:r>
        <w:rPr>
          <w:rFonts w:hint="eastAsia" w:hAnsi="宋体"/>
          <w:color w:val="000000"/>
          <w:sz w:val="24"/>
          <w:szCs w:val="24"/>
        </w:rPr>
        <w:t xml:space="preserve">4.2所有项目资料及工作成果（中标人原有产品除外）的知识产权权利归采购人所有。</w:t>
      </w:r>
      <w:r/>
    </w:p>
    <w:p>
      <w:pPr>
        <w:pStyle w:val="1174"/>
        <w:spacing w:before="120" w:after="120"/>
        <w:rPr>
          <w:rFonts w:hAnsi="宋体"/>
          <w:color w:val="000000"/>
          <w:sz w:val="24"/>
          <w:szCs w:val="24"/>
          <w:u w:val="single"/>
        </w:rPr>
      </w:pPr>
      <w:r>
        <w:rPr>
          <w:rFonts w:hAnsi="宋体"/>
          <w:b/>
          <w:color w:val="000000"/>
          <w:sz w:val="24"/>
          <w:szCs w:val="24"/>
        </w:rPr>
        <w:t xml:space="preserve">五、产权担保</w:t>
      </w:r>
      <w:r/>
    </w:p>
    <w:p>
      <w:pPr>
        <w:pStyle w:val="117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17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174"/>
        <w:ind w:left="408" w:hanging="408"/>
        <w:spacing w:before="120" w:after="120"/>
        <w:rPr>
          <w:rFonts w:hAnsi="宋体"/>
          <w:color w:val="0000ff"/>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174"/>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174"/>
        <w:ind w:left="408" w:hanging="408"/>
        <w:spacing w:before="120" w:after="120"/>
        <w:rPr>
          <w:rFonts w:hAnsi="宋体"/>
          <w:color w:val="0000ff"/>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174"/>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174"/>
        <w:ind w:left="408" w:hanging="408"/>
        <w:spacing w:before="120" w:after="120"/>
        <w:rPr>
          <w:rFonts w:hAnsi="宋体"/>
          <w:color w:val="0000ff"/>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174"/>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174"/>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7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174"/>
        <w:spacing w:before="120" w:after="120"/>
        <w:rPr>
          <w:rFonts w:hAnsi="宋体"/>
          <w:sz w:val="24"/>
          <w:szCs w:val="24"/>
          <w:u w:val="single"/>
        </w:rPr>
      </w:pPr>
      <w:r>
        <w:rPr>
          <w:rFonts w:hint="eastAsia" w:hAnsi="宋体"/>
          <w:sz w:val="24"/>
          <w:szCs w:val="24"/>
          <w:u w:val="single"/>
        </w:rPr>
        <w:t xml:space="preserve">8.1.1 预付款支付时间：合同签订，甲方自收到发票后10个工作日内，支付合同金额30%的预付款。</w:t>
      </w:r>
      <w:r/>
    </w:p>
    <w:p>
      <w:pPr>
        <w:pStyle w:val="1174"/>
        <w:spacing w:before="120" w:after="120"/>
        <w:rPr>
          <w:rFonts w:hAnsi="宋体"/>
          <w:sz w:val="24"/>
          <w:szCs w:val="24"/>
          <w:u w:val="single"/>
        </w:rPr>
      </w:pPr>
      <w:r>
        <w:rPr>
          <w:rFonts w:hint="eastAsia" w:hAnsi="宋体"/>
          <w:sz w:val="24"/>
          <w:szCs w:val="24"/>
          <w:u w:val="single"/>
        </w:rPr>
        <w:t xml:space="preserve">8.1.2项目试运行后：甲方自收到发票后10个工作日内，支付合同总价的40%；</w:t>
      </w:r>
      <w:r/>
    </w:p>
    <w:p>
      <w:pPr>
        <w:pStyle w:val="1174"/>
        <w:spacing w:before="120" w:after="120"/>
        <w:rPr>
          <w:rFonts w:hAnsi="宋体"/>
          <w:sz w:val="24"/>
          <w:szCs w:val="24"/>
          <w:u w:val="single"/>
        </w:rPr>
      </w:pPr>
      <w:r>
        <w:rPr>
          <w:rFonts w:hint="eastAsia" w:hAnsi="宋体"/>
          <w:sz w:val="24"/>
          <w:szCs w:val="24"/>
          <w:u w:val="single"/>
        </w:rPr>
        <w:t xml:space="preserve">8.1.3尾款支付时间：项目结束并验收合格,甲方自收到发票后10个工作日内，支付合同总价的30%。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74"/>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1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1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1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1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74"/>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7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7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7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74"/>
        <w:ind w:firstLine="240"/>
        <w:spacing w:before="120" w:after="120" w:line="0" w:lineRule="atLeast"/>
        <w:rPr>
          <w:color w:val="000000"/>
          <w:sz w:val="24"/>
          <w:szCs w:val="24"/>
        </w:rPr>
      </w:pPr>
      <w:r>
        <w:rPr>
          <w:rFonts w:hint="eastAsia" w:hAnsi="宋体"/>
          <w:color w:val="000000"/>
          <w:sz w:val="24"/>
          <w:szCs w:val="24"/>
        </w:rPr>
        <w:t xml:space="preserve">联系电话：                    联系电话： </w:t>
      </w:r>
      <w:r>
        <w:rPr>
          <w:rFonts w:hint="eastAsia"/>
          <w:color w:val="000000"/>
          <w:sz w:val="24"/>
          <w:szCs w:val="24"/>
        </w:rPr>
        <w:t xml:space="preserve"> </w:t>
      </w:r>
      <w:r/>
    </w:p>
    <w:p>
      <w:pPr>
        <w:pStyle w:val="1174"/>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Hlt16619350"/>
      <w:r/>
      <w:bookmarkStart w:id="187" w:name="_Toc120614244"/>
      <w:r/>
      <w:bookmarkStart w:id="188" w:name="_Toc20823346"/>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49090575"/>
      <w:r/>
      <w:bookmarkStart w:id="192" w:name="_Toc120614281"/>
      <w:r/>
      <w:bookmarkStart w:id="193" w:name="_Toc26554093"/>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outlineLvl w:val="0"/>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扬州市人力资源和社会保障局AI员工服务—劳动仲裁智能助手项目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pStyle w:val="956"/>
        <w:ind w:firstLine="482"/>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二、政府采购中实施本国产品标准及相关政策</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1.政策依据</w:t>
      </w:r>
      <w:r>
        <w:rPr>
          <w:rFonts w:hint="eastAsia" w:ascii="宋体" w:hAnsi="宋体" w:cs="宋体"/>
          <w:sz w:val="24"/>
          <w:szCs w:val="24"/>
          <w:lang w:bidi="ar"/>
        </w:rPr>
        <w:t xml:space="preserve">《国务院办公厅关于在政府采购中实施本国产品标准及相关政策的通知》（国办发〔2025〕34号）。</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9"/>
        <w:jc w:val="both"/>
        <w:spacing w:beforeAutospacing="0" w:afterAutospacing="0" w:line="0" w:lineRule="atLeast"/>
        <w:rPr>
          <w:rFonts w:ascii="宋体" w:hAnsi="宋体" w:cs="宋体"/>
          <w:b/>
          <w:bCs/>
          <w:color w:val="000000"/>
          <w:szCs w:val="24"/>
        </w:rPr>
      </w:pPr>
      <w:r>
        <w:rPr>
          <w:rFonts w:ascii="宋体" w:hAnsi="宋体" w:cs="宋体"/>
          <w:b/>
          <w:bCs/>
          <w:color w:val="000000"/>
          <w:szCs w:val="24"/>
        </w:rPr>
      </w:r>
      <w:r/>
    </w:p>
    <w:p>
      <w:pPr>
        <w:pStyle w:val="969"/>
        <w:jc w:val="both"/>
        <w:spacing w:beforeAutospacing="0" w:afterAutospacing="0" w:line="0" w:lineRule="atLeast"/>
      </w:pPr>
      <w:r>
        <w:rPr>
          <w:rFonts w:hint="eastAsia" w:ascii="宋体" w:hAnsi="宋体" w:cs="宋体"/>
          <w:b/>
          <w:bCs/>
          <w:color w:val="000000"/>
          <w:szCs w:val="24"/>
        </w:rPr>
        <w:t xml:space="preserve">三、技术要求</w:t>
      </w:r>
      <w:r/>
    </w:p>
    <w:p>
      <w:pPr>
        <w:pStyle w:val="969"/>
        <w:jc w:val="both"/>
        <w:spacing w:beforeAutospacing="0" w:afterAutospacing="0" w:line="0" w:lineRule="atLeast"/>
        <w:rPr>
          <w:rFonts w:ascii="宋体" w:hAnsi="宋体" w:cs="宋体"/>
          <w:b/>
          <w:bCs/>
          <w:color w:val="ff0000"/>
          <w:szCs w:val="24"/>
        </w:rPr>
      </w:pPr>
      <w:r>
        <w:rPr>
          <w:rFonts w:hint="eastAsia" w:ascii="宋体" w:hAnsi="宋体" w:cs="宋体"/>
          <w:color w:val="000000"/>
          <w:szCs w:val="24"/>
        </w:rPr>
        <w:t xml:space="preserve">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pStyle w:val="941"/>
      </w:pPr>
      <w:r>
        <w:rPr>
          <w:rFonts w:hint="eastAsia" w:eastAsia="宋体"/>
        </w:rPr>
        <w:t xml:space="preserve">一</w:t>
      </w:r>
      <w:r>
        <w:rPr>
          <w:rFonts w:hint="eastAsia"/>
        </w:rPr>
        <w:t xml:space="preserve">、项目建设背景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当前，国家层面正全面推进法治政府与数字政府建设深度融合，明确要求司法与行政执法领域借助智能化手段提升公共服务效能，推动矛盾纠纷高效化解。人力资源和社会保障部在《人力资源和社会保障事业发展“十四五”规划》中明确提出，要“提升案件处理智能化水平和服务当事人能力”“大力推进数字仲裁庭、智能仲裁院建设”，为劳动仲裁领域数字化、智能化转型指明了方向。</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江苏省持续推进人社一体化信息平台建设，要求各地市依托省级平台底座，深化业务场景智能化应用，推动劳动仲裁业务全流程线上化、规范化。扬州市人社局已建成市级业务管理平台，实现劳动仲裁案件受理、立案、庭审、结案、归档等基础流程的线上化管理，年均处理仲裁案件约3000件，覆盖劳动合同、工资报酬、社会保险、工伤待遇等各类劳动争议。</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但当前仲裁业务仍以人工办理为核心，文书撰写、法条核对、案例检索、证据分析等核心环节高度依赖仲裁员个人经验，存在文书制作效率低、知识复用率低、裁量标准统一度低、人工重复工作量高的“三低一高”痛点，“案多人少”的矛盾日益突出。同时，现有系统智能化能力缺失，海量历史案件、文书、证据数据未实现结构化治理，数据价值未能有效释放，难以支撑仲裁业务高质量发展。</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在此背景下，扬州市人社局拟依托国家级司法领域商用大模型能力，在市级业务管理平台框架内建设劳动仲裁智能助手子模块，通过AI技术赋能仲裁全流程，破解当前业务发展瓶颈，推动扬州市劳动仲裁工作向规范化、高效化、智能化方向转型升级。</w:t>
      </w:r>
      <w:r/>
    </w:p>
    <w:p>
      <w:pPr>
        <w:pStyle w:val="941"/>
      </w:pPr>
      <w:r>
        <w:rPr>
          <w:rFonts w:hint="eastAsia" w:eastAsia="宋体"/>
        </w:rPr>
        <w:t xml:space="preserve">二</w:t>
      </w:r>
      <w:r>
        <w:rPr>
          <w:rFonts w:hint="eastAsia"/>
        </w:rPr>
        <w:t xml:space="preserve">、项目建设目标</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以提升扬州市劳动人事争议仲裁办案质效为核心，依托人工智能、法律基座大模型与政务信息化支撑能力，建成覆盖全流程、操作便捷化、支撑智能化、安全合规化的劳动仲裁智能助手系统，实现案件信息智能提取、仲裁文书一键生成、法律法规智能推荐、类案精准推送、文书质量自动校验，全面减轻人工重复工作量，规范仲裁裁量标准，提升办案效率与服务公信力，推动扬州劳动仲裁工作数字化、智能化、规范化转型升级。</w:t>
      </w:r>
      <w:r/>
    </w:p>
    <w:p>
      <w:pPr>
        <w:pStyle w:val="941"/>
        <w:rPr>
          <w:rFonts w:eastAsia="宋体"/>
        </w:rPr>
      </w:pPr>
      <w:r>
        <w:rPr>
          <w:rFonts w:hint="eastAsia" w:eastAsia="宋体"/>
        </w:rPr>
        <w:t xml:space="preserve">三</w:t>
      </w:r>
      <w:r>
        <w:rPr>
          <w:rFonts w:hint="eastAsia"/>
        </w:rPr>
        <w:t xml:space="preserve">、现状和</w:t>
      </w:r>
      <w:r>
        <w:rPr>
          <w:rFonts w:hint="eastAsia" w:asciiTheme="minorEastAsia" w:hAnsiTheme="minorEastAsia" w:eastAsiaTheme="minorEastAsia"/>
        </w:rPr>
        <w:t xml:space="preserve">需求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本项目为全新立项建设的扬州市劳动人事争议仲裁智能助手专项项目，此前无本地自建仲裁业务专用信息化系统，项目建设前，扬州市本</w:t>
      </w:r>
      <w:r>
        <w:rPr>
          <w:rFonts w:hint="eastAsia" w:ascii="宋体" w:hAnsi="宋体" w:cs="宋体"/>
          <w:sz w:val="24"/>
          <w:szCs w:val="24"/>
        </w:rPr>
        <w:t xml:space="preserve">级及各县（市、区）仲裁院劳动人事争议仲裁全流程业务，仅依托江苏省人力资源社会保障一体化信息平台（以下简称“省一体化平台”）仲裁业务模块开展，该模块仅具备基础案件流程办理功能，无任何AI智能化辅助办案能力。本项目建成后将部署于扬州市电子政务外网，严格遵循国家及省市政务外网建设管理规范，所有计算、存储、算力资源均依托扬州市政务外网国产化政务云资源池，不单独采购任何服务器、GPU、存储等硬件设备。本次现状分析严格围绕项目涉及的业务领域、数字基础设施、前期关联系统、运维管理、网络安全、标准规范等维度展开，具体如下：</w:t>
      </w:r>
      <w:r/>
    </w:p>
    <w:p>
      <w:pPr>
        <w:ind w:firstLine="480"/>
        <w:jc w:val="left"/>
        <w:spacing w:line="44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1.业务现状</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覆盖扬州市劳动人事争议仲裁全业务领域，服务范围包含市本级及下辖6个县（市、区）劳动人事争议仲裁机构，年均受理仲裁案件约3000件左右，核心业务类型涵盖劳动合同纠纷、劳动报酬争议、社会保险争议、工伤保险待遇争议、经济补偿/赔偿金争议、解除/终止劳动关系争议六大类，覆盖仲裁案件从立案受理到结案归档的全流程业务环节。</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当前仲裁全流程业务均在省一体化平台仲裁业务模块中完成线上办理，主流程为：立案受理→材料审核→组庭排期→庭审记录→文书撰写→文书送达→结案归档。但省一体化平台仅实现了上述流程的基础信息录入、状态跟踪、台账统计功能，核心的文书撰写、法条适配、类案参考、争议焦点研判等环节，完全依赖人工线下完成，平台无任何AI智能化辅助能力。</w:t>
      </w:r>
      <w:r/>
    </w:p>
    <w:p>
      <w:pPr>
        <w:ind w:firstLine="480"/>
        <w:jc w:val="left"/>
        <w:spacing w:line="44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2.业务需求</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次建设系统需满足劳动人事争议仲裁全流程文书处理的业务需求，具体包括案件信息管理、文书智能生成、文书质量控制、知识支持以及文书流转归档等核心环节。在案件信息管理方面，系统应支持从现有案件管理平台或电子卷宗中自动提取案件基本信息、当事人信</w:t>
      </w:r>
      <w:r>
        <w:rPr>
          <w:rFonts w:hint="eastAsia" w:ascii="宋体" w:hAnsi="宋体" w:cs="宋体"/>
          <w:color w:val="000000" w:themeColor="text1"/>
          <w:sz w:val="24"/>
          <w:szCs w:val="24"/>
          <w14:textFill>
            <w14:solidFill>
              <w14:schemeClr w14:val="tx1"/>
            </w14:solidFill>
          </w14:textFill>
        </w:rPr>
        <w:t xml:space="preserve">息、仲裁请求、事实与理由、证据材料等关键案情要素，并支持人工补充与修正，确保生成文书所需基础数据的完整性与准确性。文书智能生成是核心业务需求，系统应通过AI智能系统自动提取仲裁全流程的电子档案，包括但不限于仲裁申请书、答辩状、证据清单、证据材料、庭审笔录等各类材料要素来生成仲裁裁决书内容要素。并进一步基于提取的案情要素和法律依据，自动完成文书结构搭建、事实认定部分撰写、争议焦点归纳，并根据案件类型智能匹配裁判规则，生成初步的裁决理由和结果。对于程序性文书，应实现一键生成，并支持根据案件具体情况进行灵活调整。</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文书质量控制需求体现在系统需具备多重校验机制，包括格式规范性校验，自动检查文书字体、字号、行距、页码</w:t>
      </w:r>
      <w:r>
        <w:rPr>
          <w:rFonts w:hint="eastAsia" w:ascii="宋体" w:hAnsi="宋体" w:cs="宋体"/>
          <w:color w:val="000000" w:themeColor="text1"/>
          <w:sz w:val="24"/>
          <w:szCs w:val="24"/>
          <w14:textFill>
            <w14:solidFill>
              <w14:schemeClr w14:val="tx1"/>
            </w14:solidFill>
          </w14:textFill>
        </w:rPr>
        <w:t xml:space="preserve">等格式要素是否符合标准；内容完整性校验，对文书中必填项、关键要素缺失等情况进行提示；法律法规匹配能力确保引用的法律法规条文准确、有效，对已废止或修改的条款进行及时更新；知识支持需求要求系统整合法律法规库、典型案例库等知识资源，在文书制作过程中，能够根据案情要素自动推送相关的法律条文、类似案例及裁判要旨，为仲裁员撰写文书提供精准的知识参考，辅助其准确适用法律、统一裁判尺度。文书流转归档需求与仲裁业务系统、档案管理系统的无缝对接，实现文书从生成到最终归档的全流程电子化流转与管理，确保文书信息的安全性与可追溯性。</w:t>
      </w:r>
      <w:r/>
    </w:p>
    <w:p>
      <w:pPr>
        <w:pStyle w:val="941"/>
        <w:rPr>
          <w:rFonts w:eastAsia="宋体"/>
          <w:color w:val="000000"/>
        </w:rPr>
      </w:pPr>
      <w:r>
        <w:rPr>
          <w:rFonts w:hint="eastAsia" w:eastAsia="宋体"/>
          <w:color w:val="000000"/>
        </w:rPr>
        <w:t xml:space="preserve">四</w:t>
      </w:r>
      <w:r>
        <w:rPr>
          <w:rFonts w:hint="eastAsia"/>
          <w:color w:val="000000"/>
        </w:rPr>
        <w:t xml:space="preserve">、项目建设内容</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聚焦劳动仲裁核心办案智能化需求，开</w:t>
      </w:r>
      <w:r>
        <w:rPr>
          <w:rFonts w:hint="eastAsia" w:ascii="宋体" w:hAnsi="宋体" w:cs="宋体"/>
          <w:color w:val="000000"/>
          <w:sz w:val="24"/>
          <w:szCs w:val="24"/>
        </w:rPr>
        <w:t xml:space="preserve">发建设法律法规推荐模块、仲裁案例库模块、案件智能分析模块、文书智能生成模块4个核心功能模块以及闭源大模型适配与模型训练，完成系统在扬州市电子政务外网的部署集成、与市级业务管理平台的数据对接、安全合规建设、用户培训及项目验收；同步提供验收后3年全周期运维服务（含模块运维、数据更新、故障处置、安全保障），确保系统满足全市仲裁机构日常智能化办案需求，通过网络安全等级保护二级测评、商用密码应用安全性评估、软件测评。本项目部署于扬州市大数据中心，相关算力与云资源由中心提供，不另外采购任何物理服务器、GPU等硬件设备。</w:t>
      </w:r>
      <w:r/>
    </w:p>
    <w:p>
      <w:pPr>
        <w:pStyle w:val="942"/>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（一）建设范围</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功能建设范围：</w:t>
      </w:r>
      <w:r>
        <w:rPr>
          <w:rFonts w:hint="eastAsia" w:ascii="宋体" w:hAnsi="宋体" w:cs="宋体"/>
          <w:color w:val="000000" w:themeColor="text1"/>
          <w:sz w:val="24"/>
          <w:szCs w:val="24"/>
          <w14:textFill>
            <w14:solidFill>
              <w14:schemeClr w14:val="tx1"/>
            </w14:solidFill>
          </w14:textFill>
        </w:rPr>
        <w:t xml:space="preserve">建设包含法律法规推荐模块、仲裁案例库模块、案件智能分析模块、文书智能生成模块。</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部署与应用范围：</w:t>
      </w:r>
      <w:r>
        <w:rPr>
          <w:rFonts w:hint="eastAsia" w:ascii="宋体" w:hAnsi="宋体" w:cs="宋体"/>
          <w:color w:val="000000" w:themeColor="text1"/>
          <w:sz w:val="24"/>
          <w:szCs w:val="24"/>
          <w14:textFill>
            <w14:solidFill>
              <w14:schemeClr w14:val="tx1"/>
            </w14:solidFill>
          </w14:textFill>
        </w:rPr>
        <w:t xml:space="preserve">系统整体部署于扬州市电子政务外网，应用覆盖扬州市人社局市本级及各县（市、区）劳动人事争议仲裁机构。</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数据建设范围：</w:t>
      </w:r>
      <w:r>
        <w:rPr>
          <w:rFonts w:hint="eastAsia" w:ascii="宋体" w:hAnsi="宋体" w:cs="宋体"/>
          <w:color w:val="000000" w:themeColor="text1"/>
          <w:sz w:val="24"/>
          <w:szCs w:val="24"/>
          <w14:textFill>
            <w14:solidFill>
              <w14:schemeClr w14:val="tx1"/>
            </w14:solidFill>
          </w14:textFill>
        </w:rPr>
        <w:t xml:space="preserve">完成仲裁案件数据、法律法规数据、仲裁案例数据、文书模板数据的对接，构建仲裁专用法规库、案例库、文书模板库。</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服务范围：</w:t>
      </w:r>
      <w:r>
        <w:rPr>
          <w:rFonts w:hint="eastAsia" w:ascii="宋体" w:hAnsi="宋体" w:cs="宋体"/>
          <w:color w:val="000000" w:themeColor="text1"/>
          <w:sz w:val="24"/>
          <w:szCs w:val="24"/>
          <w14:textFill>
            <w14:solidFill>
              <w14:schemeClr w14:val="tx1"/>
            </w14:solidFill>
          </w14:textFill>
        </w:rPr>
        <w:t xml:space="preserve">包含需求调研、模块开发、部署调试、接口对接、安全测评、用户培训、验收交付及3年配套运维服务，运维服务周期与项目建设同步规划、同步落地。</w:t>
      </w:r>
      <w:r/>
    </w:p>
    <w:p>
      <w:pPr>
        <w:pStyle w:val="942"/>
        <w:rPr>
          <w:rFonts w:ascii="微软雅黑" w:hAnsi="微软雅黑" w:eastAsia="微软雅黑" w:cs="微软雅黑"/>
          <w:sz w:val="24"/>
          <w:szCs w:val="24"/>
        </w:rPr>
      </w:pPr>
      <w:r>
        <w:rPr>
          <w:rFonts w:hint="eastAsia" w:ascii="微软雅黑" w:hAnsi="微软雅黑" w:eastAsia="微软雅黑" w:cs="微软雅黑"/>
          <w:sz w:val="24"/>
          <w:szCs w:val="24"/>
        </w:rPr>
        <w:t xml:space="preserve">（二）建设规模</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业务支撑规模：</w:t>
      </w:r>
      <w:r>
        <w:rPr>
          <w:rFonts w:hint="eastAsia" w:ascii="宋体" w:hAnsi="宋体" w:cs="宋体"/>
          <w:color w:val="000000" w:themeColor="text1"/>
          <w:sz w:val="24"/>
          <w:szCs w:val="24"/>
          <w14:textFill>
            <w14:solidFill>
              <w14:schemeClr w14:val="tx1"/>
            </w14:solidFill>
          </w14:textFill>
        </w:rPr>
        <w:t xml:space="preserve">可支撑全市年均不少于3000件劳动人事争议仲裁案件智能化办理，满足日常办案人员并发在线使用需求。</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系统建设规模：</w:t>
      </w:r>
      <w:r>
        <w:rPr>
          <w:rFonts w:hint="eastAsia" w:ascii="宋体" w:hAnsi="宋体" w:cs="宋体"/>
          <w:color w:val="000000" w:themeColor="text1"/>
          <w:sz w:val="24"/>
          <w:szCs w:val="24"/>
          <w14:textFill>
            <w14:solidFill>
              <w14:schemeClr w14:val="tx1"/>
            </w14:solidFill>
          </w14:textFill>
        </w:rPr>
        <w:t xml:space="preserve">完成4个核心功能模块定制开发，实现与扬州市人社局市级业务管理平台标准化数据对接，构建仲裁专属法律法规库、案例库、文书模板库。</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资源使用规模：</w:t>
      </w:r>
      <w:r>
        <w:rPr>
          <w:rFonts w:hint="eastAsia" w:ascii="宋体" w:hAnsi="宋体" w:cs="宋体"/>
          <w:color w:val="000000" w:themeColor="text1"/>
          <w:sz w:val="24"/>
          <w:szCs w:val="24"/>
          <w14:textFill>
            <w14:solidFill>
              <w14:schemeClr w14:val="tx1"/>
            </w14:solidFill>
          </w14:textFill>
        </w:rPr>
        <w:t xml:space="preserve">全面复用政务外网云资源，租赁市级政务智算资源0.5PFLOPS，不采购任何物理服务器、GPU等硬件设备。</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安全建设规模：</w:t>
      </w:r>
      <w:r>
        <w:rPr>
          <w:rFonts w:hint="eastAsia" w:ascii="宋体" w:hAnsi="宋体" w:cs="宋体"/>
          <w:color w:val="000000" w:themeColor="text1"/>
          <w:sz w:val="24"/>
          <w:szCs w:val="24"/>
          <w14:textFill>
            <w14:solidFill>
              <w14:schemeClr w14:val="tx1"/>
            </w14:solidFill>
          </w14:textFill>
        </w:rPr>
        <w:t xml:space="preserve">按照等保二级、密评要求完成安全防护建设，通过第三方安全测评、密码应用评估、软件测评。</w:t>
      </w:r>
      <w:r/>
    </w:p>
    <w:p>
      <w:pPr>
        <w:pStyle w:val="942"/>
        <w:rPr>
          <w:rFonts w:ascii="微软雅黑" w:hAnsi="微软雅黑" w:eastAsia="微软雅黑" w:cs="微软雅黑"/>
          <w:sz w:val="24"/>
          <w:szCs w:val="24"/>
          <w:highlight w:val="yellow"/>
        </w:rPr>
      </w:pPr>
      <w:r>
        <w:rPr>
          <w:rFonts w:hint="eastAsia" w:ascii="微软雅黑" w:hAnsi="微软雅黑" w:eastAsia="微软雅黑" w:cs="微软雅黑"/>
          <w:sz w:val="24"/>
          <w:szCs w:val="24"/>
        </w:rPr>
        <w:t xml:space="preserve">（三）建设内容</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本项目建设内容包含</w:t>
      </w:r>
      <w:r>
        <w:rPr>
          <w:rFonts w:hint="eastAsia" w:ascii="宋体" w:hAnsi="宋体" w:cs="宋体"/>
          <w:b/>
          <w:bCs/>
          <w:color w:val="000000" w:themeColor="text1"/>
          <w:sz w:val="24"/>
          <w:szCs w:val="24"/>
          <w14:textFill>
            <w14:solidFill>
              <w14:schemeClr w14:val="tx1"/>
            </w14:solidFill>
          </w14:textFill>
        </w:rPr>
        <w:t xml:space="preserve">法律法规推荐、仲裁案例库、案件智能分析、文书智能生成</w:t>
      </w:r>
      <w:r>
        <w:rPr>
          <w:rFonts w:hint="eastAsia" w:ascii="宋体" w:hAnsi="宋体" w:cs="宋体"/>
          <w:color w:val="000000" w:themeColor="text1"/>
          <w:sz w:val="24"/>
          <w:szCs w:val="24"/>
          <w14:textFill>
            <w14:solidFill>
              <w14:schemeClr w14:val="tx1"/>
            </w14:solidFill>
          </w14:textFill>
        </w:rPr>
        <w:t xml:space="preserve">四大核心功能模块和</w:t>
      </w:r>
      <w:r>
        <w:rPr>
          <w:rFonts w:hint="eastAsia" w:ascii="宋体" w:hAnsi="宋体" w:cs="宋体"/>
          <w:b/>
          <w:bCs/>
          <w:color w:val="000000" w:themeColor="text1"/>
          <w:sz w:val="24"/>
          <w:szCs w:val="24"/>
          <w14:textFill>
            <w14:solidFill>
              <w14:schemeClr w14:val="tx1"/>
            </w14:solidFill>
          </w14:textFill>
        </w:rPr>
        <w:t xml:space="preserve">闭源大模型适配与模型训练</w:t>
      </w:r>
      <w:r>
        <w:rPr>
          <w:rFonts w:hint="eastAsia" w:ascii="宋体" w:hAnsi="宋体" w:cs="宋体"/>
          <w:color w:val="000000" w:themeColor="text1"/>
          <w:sz w:val="24"/>
          <w:szCs w:val="24"/>
          <w14:textFill>
            <w14:solidFill>
              <w14:schemeClr w14:val="tx1"/>
            </w14:solidFill>
          </w14:textFill>
        </w:rPr>
        <w:t xml:space="preserve">，具体如下：</w:t>
      </w:r>
      <w:r/>
    </w:p>
    <w:p>
      <w:pPr>
        <w:pStyle w:val="943"/>
      </w:pPr>
      <w:r>
        <w:rPr>
          <w:rFonts w:hint="eastAsia"/>
        </w:rPr>
        <w:t xml:space="preserve">3.1</w:t>
      </w:r>
      <w:r>
        <w:t xml:space="preserve">法律法规推荐模块</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依托法律知识图谱与法律基座大模型语义理解能力，构建全覆盖、可核验、智能关联的法规支撑体系：</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基础法规服务：收录国家及地方劳动人事争议相关法律、法规、规章与规范性文件，支持检索、条款查阅等；</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智能法条适配：根据案件案由、仲裁请求、争议焦点自动匹配关联法律条文。</w:t>
      </w:r>
      <w:r/>
    </w:p>
    <w:p>
      <w:pPr>
        <w:pStyle w:val="944"/>
      </w:pPr>
      <w:r>
        <w:rPr>
          <w:rFonts w:hint="eastAsia"/>
        </w:rPr>
        <w:t xml:space="preserve">3.1.1法律法规库全量构建</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覆盖劳动人事争议仲裁领域全部生效法律文件，包括国际层面、国家层面、地方层面法规及相关条款。</w:t>
      </w:r>
      <w:r/>
    </w:p>
    <w:p>
      <w:pPr>
        <w:pStyle w:val="1251"/>
        <w:numPr>
          <w:ilvl w:val="0"/>
          <w:numId w:val="8"/>
        </w:numPr>
        <w:spacing w:before="120" w:after="120" w:line="580" w:lineRule="exact"/>
        <w:rPr>
          <w:rFonts w:ascii="Times New Roman" w:eastAsia="方正仿宋_GBK"/>
          <w:sz w:val="32"/>
          <w:szCs w:val="32"/>
        </w:rPr>
      </w:pPr>
      <w:r>
        <w:rPr>
          <w:rFonts w:hint="eastAsia" w:hAnsi="宋体" w:cs="宋体"/>
          <w:color w:val="000000" w:themeColor="text1"/>
          <w:sz w:val="24"/>
          <w:szCs w:val="24"/>
          <w14:textFill>
            <w14:solidFill>
              <w14:schemeClr w14:val="tx1"/>
            </w14:solidFill>
          </w14:textFill>
        </w:rPr>
        <w:t xml:space="preserve">数据维度：每条法规包含12项核心元数据，具体如下表：</w:t>
      </w:r>
      <w:r/>
    </w:p>
    <w:tbl>
      <w:tblPr>
        <w:tblStyle w:val="947"/>
        <w:tblW w:w="8393" w:type="dxa"/>
        <w:jc w:val="center"/>
        <w:tblLayout w:type="fixed"/>
        <w:tblCellMar>
          <w:left w:w="96" w:type="dxa"/>
          <w:top w:w="45" w:type="dxa"/>
          <w:right w:w="96" w:type="dxa"/>
          <w:bottom w:w="45" w:type="dxa"/>
        </w:tblCellMar>
        <w:tblLook w:val="04A0" w:firstRow="1" w:lastRow="0" w:firstColumn="1" w:lastColumn="0" w:noHBand="0" w:noVBand="1"/>
      </w:tblPr>
      <w:tblGrid>
        <w:gridCol w:w="1867"/>
        <w:gridCol w:w="6526"/>
      </w:tblGrid>
      <w:tr>
        <w:trPr>
          <w:jc w:val="center"/>
          <w:trHeight w:val="481"/>
        </w:trPr>
        <w:tc>
          <w:tcPr>
            <w:tcBorders>
              <w:top w:val="single" w:color="auto" w:sz="4" w:space="0"/>
              <w:left w:val="single" w:color="auto" w:sz="0"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元数据项</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说明</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法规名称</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全称（如《中华人民共和国劳动合同法》）及简称（如《劳动合同法》）</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颁布机关</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立法主体（如全国人大常委会、人社部、江苏省政府）</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效力层级</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法律/行政法规/司法解释/地方性法规/规章/规范性文件</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颁布日期/实施日期</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精确到日，支持时间范围检索</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条款内容</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原文文本，支持分段标注（如第38条第1款第2项）</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效力状态</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有效/已修订/已废止/部分失效，标注修订历史（如2012年修订版）</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关联领域</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标签化分类（如“劳动关系认定”“经济补偿”“加班费”“工伤赔偿”）</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适用地域</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全国/江苏省/扬州市/特定区域（如长三角地区）</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关联法条</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引用关系（如《劳动合同法》第38条与《劳动法》第32条的衔接）</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典型案例引用</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引用该法条的指导性案例编号（如最高法指导案例147号）</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修订历史记录</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历次修订内容对比（如2008年版与2012年修订版的条款差异）</w:t>
            </w:r>
            <w:r/>
          </w:p>
        </w:tc>
      </w:tr>
      <w:tr>
        <w:trPr>
          <w:jc w:val="center"/>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官方解读链接</w:t>
            </w:r>
            <w:r/>
          </w:p>
        </w:tc>
        <w:tc>
          <w:tcPr>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51"/>
              <w:numPr>
                <w:ilvl w:val="3"/>
                <w:numId w:val="0"/>
              </w:numPr>
              <w:spacing w:before="120" w:after="120" w:line="58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立法机关发布的权威解读</w:t>
            </w:r>
            <w:r/>
          </w:p>
        </w:tc>
      </w:tr>
    </w:tbl>
    <w:p>
      <w:pPr>
        <w:pStyle w:val="984"/>
      </w:pPr>
      <w:r/>
      <w:r/>
    </w:p>
    <w:p>
      <w:pPr>
        <w:pStyle w:val="944"/>
      </w:pPr>
      <w:r>
        <w:rPr>
          <w:rFonts w:hint="eastAsia"/>
        </w:rPr>
        <w:t xml:space="preserve">3.1.2智能检索与精准匹配</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（1）多模态检索入口：支持关键词检索、条款号检索、自然语言问句检索、场景化检索</w:t>
      </w:r>
      <w:r>
        <w:rPr>
          <w:rFonts w:hint="eastAsia"/>
        </w:rPr>
        <w:t xml:space="preserve"></w:t>
      </w:r>
      <w:r>
        <w:rPr>
          <w:rFonts w:hint="eastAsia" w:ascii="宋体" w:hAnsi="宋体" w:cs="宋体"/>
          <w:color w:val="000000" w:themeColor="text1"/>
          <w:sz w:val="24"/>
          <w:szCs w:val="24"/>
          <w14:textFill>
            <w14:solidFill>
              <w14:schemeClr w14:val="tx1"/>
            </w14:solidFill>
          </w14:textFill>
        </w:rPr>
        <w:t xml:space="preserve">（如“疫情期间工资支付标准”）。</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（2）语义理解增强：基于法律基座大模型微调的检索算法，支持同义词识别、模糊匹配、上下文关联（如检索“加班费”时同步关联“考勤记录”“工资标准”等相关要素）。</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（3）多维度筛选：检索结果支持按效力层级（优先显示法律/行政法规）、时间范围（近3年修订）、地域范围（扬州市适用）、关联领域（精准定位“工伤赔偿”）等条件二次筛选，筛选条件支持组合筛选。</w:t>
      </w:r>
      <w:r>
        <w:rPr>
          <w:rFonts w:hint="eastAsia"/>
        </w:rPr>
        <w:t xml:space="preserve">（如“江苏省2020年后有效经济补偿”）</w:t>
      </w:r>
      <w:r/>
    </w:p>
    <w:p>
      <w:pPr>
        <w:pStyle w:val="944"/>
      </w:pPr>
      <w:r>
        <w:rPr>
          <w:rFonts w:hint="eastAsia"/>
        </w:rPr>
        <w:t xml:space="preserve">3.1.3动态更新与版本管理</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更新频率：国家层面法规实时监控（立法机关官网爬虫），地方层面法规每日更新（江苏省人社厅、扬州市政府官网同步），规范性文件每周更新，确保新法发布后24小时内完成系统录入。</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更新机制：采用“自动抓取+人工核验”双轨制：</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自动抓取：通过Python爬虫技术定向爬取权威来源（中国人大网、人社部官网、江苏政务服务网）的法规发布页面，提取文本及元数据；</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人工核验：由法律专业团队（3人以上）对自动抓取内容进行校验，重点核查效力状态（如是否废止）、条款完整性（如是否遗漏附则）、元数据准确性（如实施日期是否正确），核验记录纳入操作日志。</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版本管理采用Git-like版本控制机制，保存法规历史版本，支持版本对比，用户可查看任意历史版本内容。</w:t>
      </w:r>
      <w:r/>
    </w:p>
    <w:p>
      <w:pPr>
        <w:pStyle w:val="944"/>
      </w:pPr>
      <w:r>
        <w:rPr>
          <w:rFonts w:hint="eastAsia"/>
        </w:rPr>
        <w:t xml:space="preserve">3.1.4法条关联与知识图谱</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基于知识图谱技术构建“法条-法条”“法条-案例”“法条-场景”的关联关系，通过知识图谱可视化界面，以节点-连线形式展示法条关联关系，用户可点击任意节点查看详情，支持层级展开（如从“劳动关系解除”展开至具体法条、案例、场景）。</w:t>
      </w:r>
      <w:r/>
    </w:p>
    <w:p>
      <w:pPr>
        <w:pStyle w:val="944"/>
      </w:pPr>
      <w:r>
        <w:rPr>
          <w:rFonts w:hint="eastAsia"/>
        </w:rPr>
        <w:t xml:space="preserve">3.1.5个性化法规推荐</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（1）案情驱动推荐：基于案件信息智能采集模块提取的要素，自动匹配关联法条，按相关性排序。</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（2）历史行为学习：记录用户检索习惯，结合案件类型推送个性化法规包，减少重复检索操作。</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（3）预警提示：对即将修订或废止的法规，提前30天向用户推送预警，并附修订草案对比。</w:t>
      </w:r>
      <w:r/>
    </w:p>
    <w:p>
      <w:pPr>
        <w:pStyle w:val="943"/>
      </w:pPr>
      <w:r>
        <w:rPr>
          <w:rFonts w:hint="eastAsia"/>
        </w:rPr>
        <w:t xml:space="preserve">3.2</w:t>
      </w:r>
      <w:r>
        <w:t xml:space="preserve">仲裁案例库模块</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依托AI多维度相似度匹配算法，构建本地化、结构化、可复用的案例支撑体系：</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案例结构化管理：对本地仲裁案例、典型指导案例进行入库，支持按案件名称、案由进行检索；</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类案智能推送：基于当前案件案情要素、证据情况、争议焦点，自动匹配相似历史案例，推送裁判规则与处理逻辑，辅助统一裁量尺度。</w:t>
      </w:r>
      <w:r/>
    </w:p>
    <w:p>
      <w:r/>
      <w:r/>
    </w:p>
    <w:p>
      <w:pPr>
        <w:pStyle w:val="944"/>
      </w:pPr>
      <w:r>
        <w:rPr>
          <w:rFonts w:hint="eastAsia"/>
        </w:rPr>
        <w:t xml:space="preserve">3.2.1案例数据全量采集与结构化</w:t>
      </w:r>
      <w:r/>
    </w:p>
    <w:p>
      <w:pPr>
        <w:numPr>
          <w:ilvl w:val="0"/>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案例来源范围：</w:t>
      </w:r>
      <w:r/>
    </w:p>
    <w:p>
      <w:pPr>
        <w:numPr>
          <w:ilvl w:val="1"/>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官方案例库：最高人民法院劳动争议指导案例、江苏省高级人民法院公报案例、扬州市中级人民法院发布的典型案例；</w:t>
      </w:r>
      <w:r/>
    </w:p>
    <w:p>
      <w:pPr>
        <w:numPr>
          <w:ilvl w:val="1"/>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本地仲裁案例：扬州市及下辖县（区）劳动人事争议仲裁委员会2015年以来审结的仲裁案例（含裁决书、调解书）；</w:t>
      </w:r>
      <w:r/>
    </w:p>
    <w:p>
      <w:pPr>
        <w:numPr>
          <w:ilvl w:val="1"/>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公开裁判文书：中国裁判文书网、江苏法院网发布的劳动争议民事判决书（与仲裁案例关联对照）；</w:t>
      </w:r>
      <w:r/>
    </w:p>
    <w:p>
      <w:pPr>
        <w:numPr>
          <w:ilvl w:val="1"/>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特殊案例：涉外劳动争议案例、新型疑难案例（如平台用工关系认定）、群体性劳动争议案例。</w:t>
      </w:r>
      <w:r/>
    </w:p>
    <w:p>
      <w:pPr>
        <w:numPr>
          <w:ilvl w:val="0"/>
          <w:numId w:val="9"/>
        </w:num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案例结构化要素：每个案例包含28项核心要素，分为基础信息、案情要素、裁决要素三大类，具体如下：</w:t>
      </w:r>
      <w:r/>
    </w:p>
    <w:tbl>
      <w:tblPr>
        <w:tblStyle w:val="947"/>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30" w:type="dxa"/>
          <w:top w:w="79" w:type="dxa"/>
          <w:right w:w="130" w:type="dxa"/>
          <w:bottom w:w="79" w:type="dxa"/>
        </w:tblCellMar>
        <w:tblLook w:val="04A0" w:firstRow="1" w:lastRow="0" w:firstColumn="1" w:lastColumn="0" w:noHBand="0" w:noVBand="1"/>
      </w:tblPr>
      <w:tblGrid>
        <w:gridCol w:w="1309"/>
        <w:gridCol w:w="4501"/>
        <w:gridCol w:w="3573"/>
      </w:tblGrid>
      <w:tr>
        <w:trPr>
          <w:jc w:val="center"/>
          <w:tblHeader/>
        </w:trPr>
        <w:tc>
          <w:tcPr>
            <w:tcW w:w="1293" w:type="dxa"/>
            <w:vAlign w:val="center"/>
            <w:textDirection w:val="lrTb"/>
            <w:noWrap w:val="false"/>
          </w:tcPr>
          <w:p>
            <w:pPr>
              <w:jc w:val="center"/>
              <w:widowControl/>
              <w:rPr>
                <w:rFonts w:ascii="宋体" w:hAnsi="宋体" w:cs="宋体"/>
                <w:b/>
                <w:bCs/>
                <w:sz w:val="24"/>
                <w:szCs w:val="24"/>
              </w:rPr>
            </w:pPr>
            <w:r>
              <w:rPr>
                <w:rStyle w:val="973"/>
                <w:rFonts w:hint="eastAsia" w:ascii="宋体" w:hAnsi="宋体" w:cs="宋体"/>
                <w:sz w:val="24"/>
                <w:szCs w:val="24"/>
              </w:rPr>
              <w:t xml:space="preserve">要素类别</w:t>
            </w:r>
            <w:r/>
          </w:p>
        </w:tc>
        <w:tc>
          <w:tcPr>
            <w:tcW w:w="4443" w:type="dxa"/>
            <w:vAlign w:val="center"/>
            <w:textDirection w:val="lrTb"/>
            <w:noWrap w:val="false"/>
          </w:tcPr>
          <w:p>
            <w:pPr>
              <w:jc w:val="center"/>
              <w:widowControl/>
              <w:rPr>
                <w:rFonts w:ascii="宋体" w:hAnsi="宋体" w:cs="宋体"/>
                <w:b/>
                <w:bCs/>
                <w:sz w:val="24"/>
                <w:szCs w:val="24"/>
              </w:rPr>
            </w:pPr>
            <w:r>
              <w:rPr>
                <w:rStyle w:val="973"/>
                <w:rFonts w:hint="eastAsia" w:ascii="宋体" w:hAnsi="宋体" w:cs="宋体"/>
                <w:sz w:val="24"/>
                <w:szCs w:val="24"/>
              </w:rPr>
              <w:t xml:space="preserve">关键要素</w:t>
            </w:r>
            <w:r/>
          </w:p>
        </w:tc>
        <w:tc>
          <w:tcPr>
            <w:tcW w:w="3527" w:type="dxa"/>
            <w:vAlign w:val="center"/>
            <w:textDirection w:val="lrTb"/>
            <w:noWrap w:val="false"/>
          </w:tcPr>
          <w:p>
            <w:pPr>
              <w:jc w:val="center"/>
              <w:widowControl/>
              <w:rPr>
                <w:rFonts w:ascii="宋体" w:hAnsi="宋体" w:cs="宋体"/>
                <w:b/>
                <w:bCs/>
                <w:sz w:val="24"/>
                <w:szCs w:val="24"/>
              </w:rPr>
            </w:pPr>
            <w:r>
              <w:rPr>
                <w:rStyle w:val="973"/>
                <w:rFonts w:hint="eastAsia" w:ascii="宋体" w:hAnsi="宋体" w:cs="宋体"/>
                <w:sz w:val="24"/>
                <w:szCs w:val="24"/>
              </w:rPr>
              <w:t xml:space="preserve">说明</w:t>
            </w:r>
            <w:r/>
          </w:p>
        </w:tc>
      </w:tr>
      <w:tr>
        <w:trPr>
          <w:jc w:val="center"/>
        </w:trPr>
        <w:tc>
          <w:tcPr>
            <w:tcW w:w="129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基础信息</w:t>
            </w:r>
            <w:r/>
          </w:p>
        </w:tc>
        <w:tc>
          <w:tcPr>
            <w:tcW w:w="444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案例编号、案由、案号、审理机构、审理日期、文书类型（裁决书/调解书）、效力状态</w:t>
            </w:r>
            <w:r/>
          </w:p>
        </w:tc>
        <w:tc>
          <w:tcPr>
            <w:tcW w:w="352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案号格式标准化（如“扬劳人仲案字〔2023〕第XXX号”）</w:t>
            </w:r>
            <w:r/>
          </w:p>
        </w:tc>
      </w:tr>
      <w:tr>
        <w:trPr>
          <w:jc w:val="center"/>
        </w:trPr>
        <w:tc>
          <w:tcPr>
            <w:tcW w:w="129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案情要素</w:t>
            </w:r>
            <w:r/>
          </w:p>
        </w:tc>
        <w:tc>
          <w:tcPr>
            <w:tcW w:w="444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当事人信息、争议焦点、证据材料、案情描述、仲裁请求、答辩意见</w:t>
            </w:r>
            <w:r/>
          </w:p>
        </w:tc>
        <w:tc>
          <w:tcPr>
            <w:tcW w:w="352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争议焦点标签化（如“劳动关系确认”“加班费支付”“违法解除赔偿”）</w:t>
            </w:r>
            <w:r/>
          </w:p>
        </w:tc>
      </w:tr>
      <w:tr>
        <w:trPr>
          <w:jc w:val="center"/>
        </w:trPr>
        <w:tc>
          <w:tcPr>
            <w:tcW w:w="129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裁决要素</w:t>
            </w:r>
            <w:r/>
          </w:p>
        </w:tc>
        <w:tc>
          <w:tcPr>
            <w:tcW w:w="444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裁决结果、法律依据、裁判理由、赔偿金额（如有）、履行期限、上诉情况</w:t>
            </w:r>
            <w:r/>
          </w:p>
        </w:tc>
        <w:tc>
          <w:tcPr>
            <w:tcW w:w="352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裁决结果分类（支持/驳回/部分支持仲裁请求）</w:t>
            </w:r>
            <w:r/>
          </w:p>
        </w:tc>
      </w:tr>
    </w:tbl>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944"/>
      </w:pPr>
      <w:r>
        <w:rPr>
          <w:rFonts w:hint="eastAsia"/>
        </w:rPr>
        <w:t xml:space="preserve">3.2.2案例相似度智能匹配</w:t>
      </w:r>
      <w:r/>
    </w:p>
    <w:p>
      <w:pPr>
        <w:ind w:firstLine="480"/>
        <w:jc w:val="left"/>
        <w:spacing w:line="440" w:lineRule="exact"/>
        <w:widowControl/>
      </w:pPr>
      <w:r>
        <w:rPr>
          <w:rFonts w:hint="eastAsia" w:ascii="宋体" w:hAnsi="宋体" w:cs="宋体"/>
          <w:color w:val="000000" w:themeColor="text1"/>
          <w:sz w:val="24"/>
          <w:szCs w:val="24"/>
          <w14:textFill>
            <w14:solidFill>
              <w14:schemeClr w14:val="tx1"/>
            </w14:solidFill>
          </w14:textFill>
        </w:rPr>
        <w:t xml:space="preserve">基于案情要素实现“语义+结构+要素”三重匹配，具体包括语义相似度、结构相似度、要素相似度、相似度评分机制。</w:t>
      </w:r>
      <w:r/>
    </w:p>
    <w:p>
      <w:pPr>
        <w:numPr>
          <w:ilvl w:val="0"/>
          <w:numId w:val="10"/>
        </w:numPr>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语义相似度：通过BERT模型计算案例案情描述文本的语义向量相似度（如“未签劳动合同”与“未订立书面劳动合同”）；</w:t>
      </w:r>
      <w:r/>
    </w:p>
    <w:p>
      <w:pPr>
        <w:numPr>
          <w:ilvl w:val="0"/>
          <w:numId w:val="10"/>
        </w:numPr>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结构相似度：对比案由、争议焦点、证据类型的结构化标签重合度（如案由均为“劳动合同纠纷”，争议焦点均包含“经济补偿”）；</w:t>
      </w:r>
      <w:r/>
    </w:p>
    <w:p>
      <w:pPr>
        <w:numPr>
          <w:ilvl w:val="0"/>
          <w:numId w:val="10"/>
        </w:numPr>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要素相似度：量化匹配关键数值型要素（如“工作年限2年”与“工作年限2.5年”的差异度）、地域要素（如均为扬州市邗江区案例）。</w:t>
      </w:r>
      <w:r/>
    </w:p>
    <w:p>
      <w:pPr>
        <w:numPr>
          <w:ilvl w:val="0"/>
          <w:numId w:val="10"/>
        </w:numPr>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相似度评分机制：综合三重匹配结果生成0-100分的相似度得分，具体权重如下表：</w:t>
      </w:r>
      <w:r/>
    </w:p>
    <w:tbl>
      <w:tblPr>
        <w:tblStyle w:val="947"/>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30" w:type="dxa"/>
          <w:top w:w="79" w:type="dxa"/>
          <w:right w:w="130" w:type="dxa"/>
          <w:bottom w:w="79" w:type="dxa"/>
        </w:tblCellMar>
        <w:tblLook w:val="04A0" w:firstRow="1" w:lastRow="0" w:firstColumn="1" w:lastColumn="0" w:noHBand="0" w:noVBand="1"/>
      </w:tblPr>
      <w:tblGrid>
        <w:gridCol w:w="1552"/>
        <w:gridCol w:w="1327"/>
        <w:gridCol w:w="5514"/>
      </w:tblGrid>
      <w:tr>
        <w:trPr>
          <w:jc w:val="center"/>
          <w:tblHeader/>
        </w:trPr>
        <w:tc>
          <w:tcPr>
            <w:tcW w:w="1530" w:type="dxa"/>
            <w:vAlign w:val="center"/>
            <w:textDirection w:val="lrTb"/>
            <w:noWrap w:val="false"/>
          </w:tcPr>
          <w:p>
            <w:pPr>
              <w:jc w:val="center"/>
              <w:widowControl/>
              <w:rPr>
                <w:rFonts w:ascii="方正仿宋_GBK" w:hAnsi="方正仿宋_GBK" w:eastAsia="方正仿宋_GBK" w:cs="方正仿宋_GBK"/>
                <w:b/>
                <w:bCs/>
                <w:sz w:val="24"/>
                <w:szCs w:val="24"/>
              </w:rPr>
            </w:pPr>
            <w:r>
              <w:rPr>
                <w:rStyle w:val="973"/>
                <w:rFonts w:hint="eastAsia" w:ascii="方正仿宋_GBK" w:hAnsi="方正仿宋_GBK" w:eastAsia="方正仿宋_GBK" w:cs="方正仿宋_GBK"/>
                <w:sz w:val="24"/>
                <w:szCs w:val="24"/>
              </w:rPr>
              <w:t xml:space="preserve">匹配维度</w:t>
            </w:r>
            <w:r/>
          </w:p>
        </w:tc>
        <w:tc>
          <w:tcPr>
            <w:tcW w:w="1308" w:type="dxa"/>
            <w:vAlign w:val="center"/>
            <w:textDirection w:val="lrTb"/>
            <w:noWrap w:val="false"/>
          </w:tcPr>
          <w:p>
            <w:pPr>
              <w:jc w:val="center"/>
              <w:widowControl/>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权重占比</w:t>
            </w:r>
            <w:r/>
          </w:p>
        </w:tc>
        <w:tc>
          <w:tcPr>
            <w:tcW w:w="5435" w:type="dxa"/>
            <w:vAlign w:val="center"/>
            <w:textDirection w:val="lrTb"/>
            <w:noWrap w:val="false"/>
          </w:tcPr>
          <w:p>
            <w:pPr>
              <w:jc w:val="center"/>
              <w:widowControl/>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计算方式</w:t>
            </w:r>
            <w:r/>
          </w:p>
        </w:tc>
      </w:tr>
      <w:tr>
        <w:trPr>
          <w:jc w:val="center"/>
        </w:trPr>
        <w:tc>
          <w:tcPr>
            <w:tcW w:w="1530"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语义相似度</w:t>
            </w:r>
            <w:r/>
          </w:p>
        </w:tc>
        <w:tc>
          <w:tcPr>
            <w:tcW w:w="1308"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40%</w:t>
            </w:r>
            <w:r/>
          </w:p>
        </w:tc>
        <w:tc>
          <w:tcPr>
            <w:tcW w:w="5435" w:type="dxa"/>
            <w:vAlign w:val="center"/>
            <w:textDirection w:val="lrTb"/>
            <w:noWrap w:val="false"/>
          </w:tcPr>
          <w:p>
            <w:pPr>
              <w:jc w:val="lef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Sentence-BERT向量余弦相似度×40</w:t>
            </w:r>
            <w:r/>
          </w:p>
        </w:tc>
      </w:tr>
      <w:tr>
        <w:trPr>
          <w:jc w:val="center"/>
        </w:trPr>
        <w:tc>
          <w:tcPr>
            <w:tcW w:w="1530"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结构相似度</w:t>
            </w:r>
            <w:r/>
          </w:p>
        </w:tc>
        <w:tc>
          <w:tcPr>
            <w:tcW w:w="1308"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35%</w:t>
            </w:r>
            <w:r/>
          </w:p>
        </w:tc>
        <w:tc>
          <w:tcPr>
            <w:tcW w:w="5435" w:type="dxa"/>
            <w:vAlign w:val="center"/>
            <w:textDirection w:val="lrTb"/>
            <w:noWrap w:val="false"/>
          </w:tcPr>
          <w:p>
            <w:pPr>
              <w:jc w:val="lef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标签重合度（如争议焦点重合数量/总标签数）×35</w:t>
            </w:r>
            <w:r/>
          </w:p>
        </w:tc>
      </w:tr>
      <w:tr>
        <w:trPr>
          <w:jc w:val="center"/>
        </w:trPr>
        <w:tc>
          <w:tcPr>
            <w:tcW w:w="1530"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要素相似度</w:t>
            </w:r>
            <w:r/>
          </w:p>
        </w:tc>
        <w:tc>
          <w:tcPr>
            <w:tcW w:w="1308" w:type="dxa"/>
            <w:vAlign w:val="center"/>
            <w:textDirection w:val="lrTb"/>
            <w:noWrap w:val="false"/>
          </w:tcPr>
          <w:p>
            <w:pPr>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w:t>
            </w:r>
            <w:r/>
          </w:p>
        </w:tc>
        <w:tc>
          <w:tcPr>
            <w:tcW w:w="5435" w:type="dxa"/>
            <w:vAlign w:val="center"/>
            <w:textDirection w:val="lrTb"/>
            <w:noWrap w:val="false"/>
          </w:tcPr>
          <w:p>
            <w:pPr>
              <w:jc w:val="lef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数值型要素归一化差异度（如工作年限差异率）×25，地域匹配额外加5分</w:t>
            </w:r>
            <w:r/>
          </w:p>
        </w:tc>
      </w:tr>
    </w:tbl>
    <w:p>
      <w:pPr>
        <w:pStyle w:val="983"/>
      </w:pPr>
      <w:r/>
      <w:r/>
    </w:p>
    <w:p>
      <w:pPr>
        <w:pStyle w:val="944"/>
      </w:pPr>
      <w:r>
        <w:rPr>
          <w:rFonts w:hint="eastAsia"/>
        </w:rPr>
        <w:t xml:space="preserve">3.2.3类案推送与裁判尺度指引</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（1）动态类案推送：在案件信息采集完成后（或文书生成过程中），系统自动提取当前案件的案由、争议焦点、关键证据等要素，实时推送Top5相似度最高的历史案例，推送响应时间≤3秒。</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（2）裁判尺度分析：对推送的类案进行裁判规则归纳，生成“裁判尺度报告”，包含高频引用法条、裁量因素分布、结果差异分析。</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（3）个性化类案过滤：支持用户设置推送偏好，偏好设置实时生效。</w:t>
      </w:r>
      <w:r/>
    </w:p>
    <w:p>
      <w:pPr>
        <w:pStyle w:val="944"/>
      </w:pPr>
      <w:r>
        <w:rPr>
          <w:rFonts w:hint="eastAsia"/>
        </w:rPr>
        <w:t xml:space="preserve">3.2.4案例检索与深度分析</w:t>
      </w:r>
      <w:r/>
    </w:p>
    <w:p>
      <w:pPr>
        <w:numPr>
          <w:ilvl w:val="255"/>
          <w:numId w:val="0"/>
        </w:numPr>
        <w:ind w:left="420"/>
        <w:spacing w:line="580" w:lineRule="exact"/>
        <w:rPr>
          <w:rFonts w:ascii="方正仿宋_GBK" w:hAnsi="方正仿宋_GBK" w:eastAsia="方正仿宋_GBK" w:cs="方正仿宋_GBK"/>
          <w:sz w:val="32"/>
          <w:szCs w:val="32"/>
        </w:rPr>
      </w:pPr>
      <w:r>
        <w:rPr>
          <w:rFonts w:hint="eastAsia" w:ascii="宋体" w:hAnsi="宋体" w:cs="宋体"/>
          <w:color w:val="000000" w:themeColor="text1"/>
          <w:sz w:val="24"/>
          <w:szCs w:val="24"/>
          <w14:textFill>
            <w14:solidFill>
              <w14:schemeClr w14:val="tx1"/>
            </w14:solidFill>
          </w14:textFill>
        </w:rPr>
        <w:t xml:space="preserve">（1）高级检索功能：支持多条件组合检索，包括基础检索、要素检索、时间检索等。</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基础检索：案号、当事人名称、审理法院/仲裁委；</w:t>
      </w:r>
      <w:r/>
    </w:p>
    <w:p>
      <w:pPr>
        <w:numPr>
          <w:ilvl w:val="0"/>
          <w:numId w:val="10"/>
        </w:numPr>
        <w:spacing w:line="440" w:lineRule="exact"/>
        <w:rPr>
          <w:rFonts w:ascii="宋体" w:hAnsi="宋体" w:cs="宋体"/>
          <w:color w:val="000000" w:themeColor="text1"/>
          <w:sz w:val="24"/>
          <w:szCs w:val="24"/>
          <w14:textFill>
            <w14:solidFill>
              <w14:schemeClr w14:val="tx1"/>
            </w14:solidFill>
          </w14:textFill>
        </w:rPr>
      </w:pPr>
      <w:r>
        <w:rPr>
          <w:rFonts w:hint="eastAsia" w:ascii="方正仿宋_GBK" w:hAnsi="方正仿宋_GBK" w:eastAsia="方正仿宋_GBK" w:cs="方正仿宋_GBK"/>
          <w:sz w:val="24"/>
          <w:szCs w:val="24"/>
        </w:rPr>
        <w:t xml:space="preserve">要素检索：案由、争议焦点、法律依据、裁决结果（如“支持经济补偿”）；</w:t>
      </w:r>
      <w:r/>
    </w:p>
    <w:p>
      <w:pPr>
        <w:numPr>
          <w:ilvl w:val="0"/>
          <w:numId w:val="10"/>
        </w:numPr>
        <w:spacing w:line="440" w:lineRule="exact"/>
        <w:rPr>
          <w:rFonts w:ascii="宋体" w:hAnsi="宋体" w:cs="宋体"/>
          <w:color w:val="000000" w:themeColor="text1"/>
          <w:sz w:val="24"/>
          <w:szCs w:val="24"/>
          <w14:textFill>
            <w14:solidFill>
              <w14:schemeClr w14:val="tx1"/>
            </w14:solidFill>
          </w14:textFill>
        </w:rPr>
      </w:pPr>
      <w:r>
        <w:rPr>
          <w:rFonts w:hint="eastAsia" w:ascii="方正仿宋_GBK" w:hAnsi="方正仿宋_GBK" w:eastAsia="方正仿宋_GBK" w:cs="方正仿宋_GBK"/>
          <w:sz w:val="24"/>
          <w:szCs w:val="24"/>
        </w:rPr>
        <w:t xml:space="preserve">时间检索：审理日期范围（如2023年1月-2023年12月）</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（2）案例深度分析工具：支持按年度/季度统计案由分布变化趋势分析、对比不同区县仲裁委对同类案件的裁决倾向。</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（3）法官/仲裁员画像：统计特定仲裁员的裁判风格。</w:t>
      </w:r>
      <w:r/>
    </w:p>
    <w:p>
      <w:pPr>
        <w:pStyle w:val="943"/>
      </w:pPr>
      <w:r>
        <w:rPr>
          <w:rFonts w:hint="eastAsia"/>
        </w:rPr>
        <w:t xml:space="preserve">3.3</w:t>
      </w:r>
      <w:r>
        <w:t xml:space="preserve">案件智能分析模块</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本模块作为智</w:t>
      </w:r>
      <w:r>
        <w:rPr>
          <w:rFonts w:hint="eastAsia" w:hAnsi="宋体" w:cs="宋体"/>
          <w:color w:val="000000" w:themeColor="text1"/>
          <w:sz w:val="24"/>
          <w:szCs w:val="24"/>
          <w14:textFill>
            <w14:solidFill>
              <w14:schemeClr w14:val="tx1"/>
            </w14:solidFill>
          </w14:textFill>
        </w:rPr>
        <w:t xml:space="preserve">慧仲裁系统的核心智能业务中枢，深度依托大模型 AI 文本解析、OCR 图文识别、知识图谱、证据链研判、类案比对等多项智能化技术，打通卷宗材料、文书资料等多源异构案件数据，对劳动人事争议案件开展从原始材料解析、要素结构化抽取、争议焦点识别、证据链关联研判，到类案规则匹配、裁决倾向预测、自动输出诉辩意见与分析结果的全流程智能化辅助能力。（模块面向仲裁员、书记员、院级管理人员提供办案辅助支撑，不替代仲裁员作出最终裁判决定，全部AI输出内容仅作为办案参考，案件事实认定、证据采信、裁判结论仍由办案人员人工审核确认。）</w:t>
      </w:r>
      <w:r/>
    </w:p>
    <w:p>
      <w:pPr>
        <w:pStyle w:val="1251"/>
        <w:numPr>
          <w:ilvl w:val="3"/>
          <w:numId w:val="0"/>
        </w:numPr>
        <w:ind w:firstLine="480"/>
        <w:spacing w:before="120" w:after="120" w:line="44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模块可对接独立电子卷宗系统，直接读取卷宗库内相关联案件的仲裁申请书、答辩状、各类证据材料、庭审笔录、鉴</w:t>
      </w:r>
      <w:r>
        <w:rPr>
          <w:rFonts w:hint="eastAsia" w:hAnsi="宋体" w:cs="宋体"/>
          <w:color w:val="000000" w:themeColor="text1"/>
          <w:sz w:val="24"/>
          <w:szCs w:val="24"/>
          <w14:textFill>
            <w14:solidFill>
              <w14:schemeClr w14:val="tx1"/>
            </w14:solidFill>
          </w14:textFill>
        </w:rPr>
        <w:t xml:space="preserve">定文书、送达回执等全量案件材料，兼容电子文档、扫描图片等多种非结构化载体。通过对多源案件原始材料进行解析处理，自动提炼案件关键业务信息，梳理案件事实脉络，识别归纳双方核心争议，完成请求-焦点-证据之间的关联匹配，评估现有证据完整度与证据效力，匹配历史同类案件裁判规则，自动生成并输出争议焦点分析结果。帮助办案人员减少人工翻阅卷宗、摘抄案情、梳理争议、检索案例的大量重复性事务工作，降低办案人员信息整理成本，缩短案件研判周期，辅助统一同类案件裁判尺度，为案件审理、合议评议、办案决策提供全方位的数据与智能研判支撑。</w:t>
      </w:r>
      <w:r/>
    </w:p>
    <w:p>
      <w:pPr>
        <w:pStyle w:val="944"/>
      </w:pPr>
      <w:r>
        <w:rPr>
          <w:rFonts w:hint="eastAsia"/>
        </w:rPr>
        <w:t xml:space="preserve">3.3.1案情要素智能提取与结构化</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（1）全维度要素自动识别：从仲裁申请书、答辩状、证据材料、庭审笔录等文本中，自动提取20+类核心要素，形成结构化案情摘要，包括主体信息、案件基本信息、事实要素、证据要素等。</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（2）非结构化数据结构化处理：对扫描件、图片证据，通过OCR技术提取文本信息并结构化；对录音/视频庭审记录，通过语音转文字（ASR）技术生成文本，并提取关键对话片段。</w:t>
      </w:r>
      <w:r/>
    </w:p>
    <w:p>
      <w:pPr>
        <w:pStyle w:val="944"/>
      </w:pPr>
      <w:r>
        <w:rPr>
          <w:rFonts w:hint="eastAsia"/>
        </w:rPr>
        <w:t xml:space="preserve">3.3.2争议焦点智能归纳与标签化</w:t>
      </w:r>
      <w:r/>
    </w:p>
    <w:p>
      <w:pPr>
        <w:ind w:firstLine="480"/>
        <w:jc w:val="left"/>
        <w:spacing w:line="440" w:lineRule="exact"/>
        <w:widowControl/>
        <w:rPr>
          <w:rFonts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（1）争议焦点自动识别：基于NLP技术分析庭审笔录、辩论意见，自动提炼核心争议点；支持多争议焦点并行识别，识别准确率≥90%。</w:t>
      </w:r>
      <w:bookmarkStart w:id="202" w:name="_GoBack"/>
      <w:r>
        <w:rPr>
          <w:rFonts w:hint="eastAsia" w:ascii="宋体" w:hAnsi="宋体" w:cs="宋体"/>
          <w:color w:val="auto"/>
          <w:sz w:val="24"/>
          <w:szCs w:val="24"/>
        </w:rPr>
        <w:t xml:space="preserve">（演示内容不考量准确率，仅考量功能实现）</w:t>
      </w:r>
      <w:bookmarkEnd w:id="202"/>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（2）争议焦点标签体系构建：建立三级标签体系，实现争议焦点标准化管理：</w:t>
      </w:r>
      <w:r/>
    </w:p>
    <w:p>
      <w:pPr>
        <w:ind w:firstLine="480"/>
        <w:jc w:val="left"/>
        <w:spacing w:line="44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一级标签：劳动关系确认、劳动报酬、社会保险、工伤赔偿等大类；二级标签：工资支付、加班费、经济补偿、赔偿金等中类；三级标签：加班费计算基数、经济补偿年限、解除程序合法性等细类。</w:t>
      </w:r>
      <w:r/>
    </w:p>
    <w:p>
      <w:pPr>
        <w:pStyle w:val="944"/>
      </w:pPr>
      <w:r>
        <w:rPr>
          <w:rFonts w:hint="eastAsia"/>
        </w:rPr>
        <w:t xml:space="preserve">3.3.3证据链分析与效力评估</w:t>
      </w:r>
      <w:r/>
    </w:p>
    <w:p>
      <w:pPr>
        <w:ind w:firstLine="480"/>
        <w:jc w:val="left"/>
        <w:spacing w:line="440" w:lineRule="exact"/>
        <w:widowControl/>
        <w:rPr>
          <w:rFonts w:ascii="宋体" w:hAnsi="宋体" w:cs="宋体"/>
          <w:color w:val="c00000"/>
          <w:sz w:val="24"/>
          <w:szCs w:val="24"/>
        </w:rPr>
      </w:pPr>
      <w:r>
        <w:rPr>
          <w:rFonts w:hint="eastAsia" w:ascii="宋体" w:hAnsi="宋体" w:cs="宋体"/>
          <w:color w:val="000000" w:themeColor="text1"/>
          <w:sz w:val="24"/>
          <w:szCs w:val="24"/>
          <w14:textFill>
            <w14:solidFill>
              <w14:schemeClr w14:val="tx1"/>
            </w14:solidFill>
          </w14:textFill>
        </w:rPr>
        <w:t xml:space="preserve">（1）证据关联性自动匹配：构建“仲裁请求-争议焦点-证据”关联图谱，例如：仲裁请求“支付加班费”→争议焦点“加班费计算基数”→关联证据“工资条（证明月工资）”“考勤记录（证明加班时长）”；自动标记缺失证据，并提示补充方向。</w:t>
      </w:r>
      <w:r>
        <w:rPr>
          <w:rFonts w:hint="eastAsia" w:ascii="宋体" w:hAnsi="宋体" w:cs="宋体"/>
          <w:color w:val="auto"/>
          <w:sz w:val="24"/>
          <w:szCs w:val="24"/>
        </w:rPr>
        <w:t xml:space="preserve">（演示内容不考量合理性，仅考量功能实现）</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（2）证据效力预判断：基于证据类型、形式规范性、关联性等维度，自动评估证据效力等级（高/中/低），同时标注效力瑕疵点。</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高效力证据：加盖公章的劳动合同、银行代发工资流水、社保缴纳记录；</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中效力证据：无签字的考勤表、微信聊天记录截图（未实名认证）；</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低效力证据：单方手写的工作记录（无佐证）；</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同时标注效力瑕疵点（如“工资条无财务章”“考勤记录缺失2023年3月数据”）。</w:t>
      </w:r>
      <w:r/>
    </w:p>
    <w:p>
      <w:pPr>
        <w:pStyle w:val="944"/>
      </w:pPr>
      <w:r>
        <w:rPr>
          <w:rFonts w:hint="eastAsia"/>
        </w:rPr>
        <w:t xml:space="preserve">3.3.4裁决趋势预测与辅助决策</w:t>
      </w:r>
      <w:r/>
    </w:p>
    <w:p>
      <w:pPr>
        <w:ind w:firstLine="480"/>
        <w:jc w:val="left"/>
        <w:spacing w:line="440" w:lineRule="exact"/>
        <w:widowControl/>
        <w:rPr>
          <w:rFonts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（1）类案裁判规则推送：基于当前案件争议焦点和证据要素，从仲裁案例库模块调取相似度≥85%的历史案例，推送裁判规则。</w:t>
      </w:r>
      <w:r>
        <w:rPr>
          <w:rFonts w:hint="eastAsia" w:ascii="宋体" w:hAnsi="宋体" w:cs="宋体"/>
          <w:color w:val="auto"/>
          <w:sz w:val="24"/>
          <w:szCs w:val="24"/>
        </w:rPr>
        <w:t xml:space="preserve">（演示内容不考量相似度，仅考量功能实现）</w:t>
      </w:r>
      <w:r/>
    </w:p>
    <w:p>
      <w:pPr>
        <w:ind w:firstLine="480"/>
        <w:jc w:val="left"/>
        <w:spacing w:line="440" w:lineRule="exact"/>
        <w:widowControl/>
        <w:rPr>
          <w:color w:val="auto"/>
        </w:rPr>
      </w:pPr>
      <w:r>
        <w:rPr>
          <w:rFonts w:hint="eastAsia" w:ascii="宋体" w:hAnsi="宋体" w:cs="宋体"/>
          <w:color w:val="000000" w:themeColor="text1"/>
          <w:sz w:val="24"/>
          <w:szCs w:val="24"/>
          <w14:textFill>
            <w14:solidFill>
              <w14:schemeClr w14:val="tx1"/>
            </w14:solidFill>
          </w14:textFill>
        </w:rPr>
        <w:t xml:space="preserve">（2）裁决结果预测：结合法律依据、类案倾向、证据效力等因素，AI模型预测仲裁请求支持率，预测结果仅供参考，附“不支持风险提示”。</w:t>
      </w:r>
      <w:r>
        <w:rPr>
          <w:rFonts w:hint="eastAsia" w:ascii="宋体" w:hAnsi="宋体" w:cs="宋体"/>
          <w:color w:val="auto"/>
          <w:sz w:val="24"/>
          <w:szCs w:val="24"/>
        </w:rPr>
        <w:t xml:space="preserve">（</w:t>
      </w:r>
      <w:r>
        <w:rPr>
          <w:rFonts w:ascii="宋体" w:hAnsi="宋体" w:cs="宋体"/>
          <w:color w:val="auto"/>
          <w:sz w:val="24"/>
          <w:szCs w:val="24"/>
        </w:rPr>
        <w:t xml:space="preserve">演示内容不考量</w:t>
      </w:r>
      <w:r>
        <w:rPr>
          <w:rFonts w:hint="eastAsia" w:ascii="宋体" w:hAnsi="宋体" w:cs="宋体"/>
          <w:color w:val="auto"/>
          <w:sz w:val="24"/>
          <w:szCs w:val="24"/>
        </w:rPr>
        <w:t xml:space="preserve">合理性</w:t>
      </w:r>
      <w:r>
        <w:rPr>
          <w:rFonts w:ascii="宋体" w:hAnsi="宋体" w:cs="宋体"/>
          <w:color w:val="auto"/>
          <w:sz w:val="24"/>
          <w:szCs w:val="24"/>
        </w:rPr>
        <w:t xml:space="preserve">，仅考量功能实现</w:t>
      </w:r>
      <w:r>
        <w:rPr>
          <w:rFonts w:hint="eastAsia" w:ascii="宋体" w:hAnsi="宋体" w:cs="宋体"/>
          <w:color w:val="auto"/>
          <w:sz w:val="24"/>
          <w:szCs w:val="24"/>
        </w:rPr>
        <w:t xml:space="preserve">）</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“申请人主张的经济补偿：支持概率85%（类案支持率82%，本案证据效力中）”；</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“申请人主张的精神损害赔偿：支持概率5%（无明确法律依据，类案支持率＜3%）”；</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预测结果仅供参考，附“不支持风险提示”（如“若被申请人补充提交考勤记录，支持率可能降至60%”）。</w:t>
      </w:r>
      <w:r/>
    </w:p>
    <w:p>
      <w:pPr>
        <w:pStyle w:val="944"/>
      </w:pPr>
      <w:r>
        <w:rPr>
          <w:rFonts w:hint="eastAsia"/>
        </w:rPr>
        <w:t xml:space="preserve">3.3.5可视化案情分析报告</w:t>
      </w:r>
      <w:r/>
    </w:p>
    <w:p>
      <w:pPr>
        <w:ind w:firstLine="480"/>
        <w:jc w:val="left"/>
        <w:spacing w:line="440" w:lineRule="exact"/>
        <w:widowControl/>
      </w:pPr>
      <w:r>
        <w:rPr>
          <w:rFonts w:hint="eastAsia" w:ascii="宋体" w:hAnsi="宋体" w:cs="宋体"/>
          <w:color w:val="000000" w:themeColor="text1"/>
          <w:sz w:val="24"/>
          <w:szCs w:val="24"/>
          <w14:textFill>
            <w14:solidFill>
              <w14:schemeClr w14:val="tx1"/>
            </w14:solidFill>
          </w14:textFill>
        </w:rPr>
        <w:t xml:space="preserve">一案一报告自动生成，综合要素提取、争议焦点、证据分析结果，生成结构化分析报告，包含：案情概览、争议焦点图谱、证据效力雷达图、裁决建议等。</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案情概览：当事人信息、核心事实时间线（如“入职→调岗→解除”关键节点）；</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争议焦点图谱：以思维导图形式展示争议焦点层级关系及关联证据；</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证据效力雷达图：多维度评估证据完整性、关联性、规范性得分；</w:t>
      </w:r>
      <w:r/>
    </w:p>
    <w:p>
      <w:pPr>
        <w:numPr>
          <w:ilvl w:val="0"/>
          <w:numId w:val="10"/>
        </w:numPr>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裁决建议：基于类案和法律依据，提出“支持/部分支持/驳回”的初步建议及理由。</w:t>
      </w:r>
      <w:r/>
    </w:p>
    <w:p>
      <w:pPr>
        <w:pStyle w:val="943"/>
      </w:pPr>
      <w:r>
        <w:rPr>
          <w:rFonts w:hint="eastAsia"/>
        </w:rPr>
        <w:t xml:space="preserve">3.4</w:t>
      </w:r>
      <w:r>
        <w:t xml:space="preserve">文书智能生成模块</w:t>
      </w:r>
      <w:r/>
    </w:p>
    <w:p>
      <w:pPr>
        <w:pStyle w:val="1251"/>
        <w:numPr>
          <w:ilvl w:val="3"/>
          <w:numId w:val="0"/>
        </w:numPr>
        <w:ind w:firstLine="480"/>
        <w:spacing w:before="120" w:after="120" w:line="440" w:lineRule="exact"/>
      </w:pPr>
      <w:r>
        <w:rPr>
          <w:rFonts w:hint="eastAsia" w:hAnsi="宋体" w:cs="宋体"/>
          <w:color w:val="000000" w:themeColor="text1"/>
          <w:sz w:val="24"/>
          <w:szCs w:val="24"/>
          <w14:textFill>
            <w14:solidFill>
              <w14:schemeClr w14:val="tx1"/>
            </w14:solidFill>
          </w14:textFill>
        </w:rPr>
        <w:t xml:space="preserve">依托司法 AI 大模型技术，面向劳动人事争议仲裁全业务场景，完整覆盖各类仲裁制式文书的智能化生成需求。针对裁决书等核心仲裁文书，系统可对接卷宗及庭审业务材料，基于已完成结构化解析的案情要素、已归纳识别的案件</w:t>
      </w:r>
      <w:r>
        <w:rPr>
          <w:rFonts w:hint="eastAsia" w:hAnsi="宋体" w:cs="宋体"/>
          <w:color w:val="000000" w:themeColor="text1"/>
          <w:sz w:val="24"/>
          <w:szCs w:val="24"/>
          <w14:textFill>
            <w14:solidFill>
              <w14:schemeClr w14:val="tx1"/>
            </w14:solidFill>
          </w14:textFill>
        </w:rPr>
        <w:t xml:space="preserve">事实认定内容、双方争议焦点、证据研判结论等案件基础信息，智能完成对应法律条文、裁判规则的匹配引用，自动搭建符合仲裁规范的完整文书框架结构，依次完成当事人信息梳理、仲裁请求复述、案件查明事实撰写、争议说理与裁决理由阐述，并输出裁决主文的初步生成内容。全部 AI 生成的文书内容均仅作为办案工作底稿，不直接作为正式生效文书，完整保留人工干预入口，支持办案人员对文书全文、段落、法条引用、事实表述、裁决结果进行二次审阅、编辑、修改与调整，经人工确认修订后形成最终正式仲裁文书，辅助减轻办案人员文书撰写的事务性工作负担。</w:t>
      </w:r>
      <w:r/>
    </w:p>
    <w:p>
      <w:pPr>
        <w:pStyle w:val="944"/>
      </w:pPr>
      <w:r>
        <w:rPr>
          <w:rFonts w:hint="eastAsia"/>
        </w:rPr>
        <w:t xml:space="preserve">3.4.1文书模板管理引擎</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类型模板库构建，收录劳动仲裁各类案由模板，包括且不限于确认确认劳动关系、劳动合同、劳动报酬、工伤损害赔偿纠纷、经济补偿、赔偿金、竞业限制、服务期及培训费用等类别，均支持一键生成裁决文书。</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（1）模板动态定制与更新：包括支持用户自定义模板结构、插入动态变量；定期同步最高人民法院、江苏省人社厅发布的文书格式规范更新，自动提示用户更新模板。</w:t>
      </w:r>
      <w:r/>
    </w:p>
    <w:p>
      <w:pPr>
        <w:pStyle w:val="944"/>
      </w:pPr>
      <w:r>
        <w:rPr>
          <w:rFonts w:hint="eastAsia"/>
        </w:rPr>
        <w:t xml:space="preserve">3.4.2智能内容生成与填充</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（1）结构化数据自动填充：从案件信息管理模块同步案件要素，自动填充模板中的静态变量（如当事人信息、案号、受理日期），填充准确率≥99%，支持跨模块数据联动。</w:t>
      </w:r>
      <w:r>
        <w:rPr>
          <w:rFonts w:hint="eastAsia" w:ascii="宋体" w:hAnsi="宋体" w:cs="宋体"/>
          <w:color w:val="auto"/>
          <w:sz w:val="24"/>
          <w:szCs w:val="24"/>
        </w:rPr>
        <w:t xml:space="preserve">（</w:t>
      </w:r>
      <w:r>
        <w:rPr>
          <w:rFonts w:ascii="宋体" w:hAnsi="宋体" w:cs="宋体"/>
          <w:color w:val="auto"/>
          <w:sz w:val="24"/>
          <w:szCs w:val="24"/>
        </w:rPr>
        <w:t xml:space="preserve">演示内容不考量准确率，仅考量功能实现</w:t>
      </w:r>
      <w:r>
        <w:rPr>
          <w:rFonts w:hint="eastAsia" w:ascii="宋体" w:hAnsi="宋体" w:cs="宋体"/>
          <w:color w:val="auto"/>
          <w:sz w:val="24"/>
          <w:szCs w:val="24"/>
        </w:rPr>
        <w:t xml:space="preserve">）</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（2）实体性文书AI深度生成：</w:t>
      </w:r>
      <w:r/>
    </w:p>
    <w:p>
      <w:pPr>
        <w:ind w:firstLine="787"/>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裁决书智能撰写：基于庭审笔录、证据材料、争议焦点自动生成“事实认定”“裁决理由”“裁决结果”核心章节，具体包括：</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事实认定：AI提炼庭审中双方无争议事实（如“申请人于2020年3月入职”）和争议事实（如“被申请人未支付2023年1月工资”），按时间线或逻辑关系结构化呈现；</w:t>
      </w:r>
      <w:r/>
    </w:p>
    <w:p>
      <w:pPr>
        <w:ind w:firstLine="480"/>
        <w:jc w:val="left"/>
        <w:spacing w:line="440" w:lineRule="exact"/>
        <w:widowControl/>
        <w:rPr>
          <w:rFonts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裁决理由：结合知识智能支持模块推送的法律依据（如《劳动合同法》第30条）和类案裁判规则，自动撰写论证过程（如“被申请人未及时足额支付劳动报酬，申请人有权解除劳动合同并主张经济补偿”）；</w:t>
      </w:r>
      <w:r>
        <w:rPr>
          <w:rFonts w:hint="eastAsia" w:ascii="宋体" w:hAnsi="宋体" w:cs="宋体"/>
          <w:color w:val="auto"/>
          <w:sz w:val="24"/>
          <w:szCs w:val="24"/>
        </w:rPr>
        <w:t xml:space="preserve">（</w:t>
      </w:r>
      <w:r>
        <w:rPr>
          <w:rFonts w:ascii="宋体" w:hAnsi="宋体" w:cs="宋体"/>
          <w:color w:val="auto"/>
          <w:sz w:val="24"/>
          <w:szCs w:val="24"/>
        </w:rPr>
        <w:t xml:space="preserve">演示内容不考量</w:t>
      </w:r>
      <w:r>
        <w:rPr>
          <w:rFonts w:hint="eastAsia" w:ascii="宋体" w:hAnsi="宋体" w:cs="宋体"/>
          <w:color w:val="auto"/>
          <w:sz w:val="24"/>
          <w:szCs w:val="24"/>
        </w:rPr>
        <w:t xml:space="preserve">合理性</w:t>
      </w:r>
      <w:r>
        <w:rPr>
          <w:rFonts w:ascii="宋体" w:hAnsi="宋体" w:cs="宋体"/>
          <w:color w:val="auto"/>
          <w:sz w:val="24"/>
          <w:szCs w:val="24"/>
        </w:rPr>
        <w:t xml:space="preserve">，仅考量功能实现</w:t>
      </w:r>
      <w:r>
        <w:rPr>
          <w:rFonts w:hint="eastAsia" w:ascii="宋体" w:hAnsi="宋体" w:cs="宋体"/>
          <w:color w:val="auto"/>
          <w:sz w:val="24"/>
          <w:szCs w:val="24"/>
        </w:rPr>
        <w:t xml:space="preserve">）</w:t>
      </w:r>
      <w:r/>
    </w:p>
    <w:p>
      <w:pPr>
        <w:ind w:firstLine="480"/>
        <w:jc w:val="left"/>
        <w:spacing w:line="440" w:lineRule="exact"/>
        <w:widowControl/>
        <w:rPr>
          <w:rFonts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裁决结果：根据仲裁请求与法律适用，自动计算赔偿金额（如经济补偿=月工资×工作年限），生成“支持/驳回仲裁请求”的具体条款。</w:t>
      </w:r>
      <w:r>
        <w:rPr>
          <w:rFonts w:hint="eastAsia" w:ascii="宋体" w:hAnsi="宋体" w:cs="宋体"/>
          <w:color w:val="auto"/>
          <w:sz w:val="24"/>
          <w:szCs w:val="24"/>
        </w:rPr>
        <w:t xml:space="preserve">（</w:t>
      </w:r>
      <w:r>
        <w:rPr>
          <w:rFonts w:ascii="宋体" w:hAnsi="宋体" w:cs="宋体"/>
          <w:color w:val="auto"/>
          <w:sz w:val="24"/>
          <w:szCs w:val="24"/>
        </w:rPr>
        <w:t xml:space="preserve">演示内容不考量</w:t>
      </w:r>
      <w:r>
        <w:rPr>
          <w:rFonts w:hint="eastAsia" w:ascii="宋体" w:hAnsi="宋体" w:cs="宋体"/>
          <w:color w:val="auto"/>
          <w:sz w:val="24"/>
          <w:szCs w:val="24"/>
        </w:rPr>
        <w:t xml:space="preserve">正确性</w:t>
      </w:r>
      <w:r>
        <w:rPr>
          <w:rFonts w:ascii="宋体" w:hAnsi="宋体" w:cs="宋体"/>
          <w:color w:val="auto"/>
          <w:sz w:val="24"/>
          <w:szCs w:val="24"/>
        </w:rPr>
        <w:t xml:space="preserve">，仅考量功能实现</w:t>
      </w:r>
      <w:r>
        <w:rPr>
          <w:rFonts w:hint="eastAsia" w:ascii="宋体" w:hAnsi="宋体" w:cs="宋体"/>
          <w:color w:val="auto"/>
          <w:sz w:val="24"/>
          <w:szCs w:val="24"/>
        </w:rPr>
        <w:t xml:space="preserve">）</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）个性化内容调整：支持用户对AI生成内容进行局部修改。</w:t>
      </w:r>
      <w:r>
        <w:rPr>
          <w:rFonts w:hint="eastAsia"/>
        </w:rPr>
        <w:t xml:space="preserve"></w:t>
      </w:r>
      <w:r>
        <w:rPr>
          <w:rFonts w:hint="eastAsia" w:ascii="宋体" w:hAnsi="宋体" w:cs="宋体"/>
          <w:color w:val="000000" w:themeColor="text1"/>
          <w:sz w:val="24"/>
          <w:szCs w:val="24"/>
          <w14:textFill>
            <w14:solidFill>
              <w14:schemeClr w14:val="tx1"/>
            </w14:solidFill>
          </w14:textFill>
        </w:rPr>
        <w:t xml:space="preserve">如增删事实细节、调整论证逻辑、补充特殊情况说明（如“本案涉及疫情期间特殊政策适用”）。</w:t>
      </w:r>
      <w:r>
        <w:rPr>
          <w:rFonts w:hint="eastAsia" w:ascii="宋体" w:hAnsi="宋体" w:cs="宋体"/>
          <w:color w:val="auto"/>
          <w:sz w:val="24"/>
          <w:szCs w:val="24"/>
        </w:rPr>
        <w:t xml:space="preserve">（</w:t>
      </w:r>
      <w:r>
        <w:rPr>
          <w:rFonts w:ascii="宋体" w:hAnsi="宋体" w:cs="宋体"/>
          <w:color w:val="auto"/>
          <w:sz w:val="24"/>
          <w:szCs w:val="24"/>
        </w:rPr>
        <w:t xml:space="preserve">演示内容不考量</w:t>
      </w:r>
      <w:r>
        <w:rPr>
          <w:rFonts w:hint="eastAsia" w:ascii="宋体" w:hAnsi="宋体" w:cs="宋体"/>
          <w:color w:val="auto"/>
          <w:sz w:val="24"/>
          <w:szCs w:val="24"/>
        </w:rPr>
        <w:t xml:space="preserve">合理性</w:t>
      </w:r>
      <w:r>
        <w:rPr>
          <w:rFonts w:ascii="宋体" w:hAnsi="宋体" w:cs="宋体"/>
          <w:color w:val="auto"/>
          <w:sz w:val="24"/>
          <w:szCs w:val="24"/>
        </w:rPr>
        <w:t xml:space="preserve">，仅考量功能实现</w:t>
      </w:r>
      <w:r>
        <w:rPr>
          <w:rFonts w:hint="eastAsia" w:ascii="宋体" w:hAnsi="宋体" w:cs="宋体"/>
          <w:color w:val="auto"/>
          <w:sz w:val="24"/>
          <w:szCs w:val="24"/>
        </w:rPr>
        <w:t xml:space="preserve">）</w:t>
      </w:r>
      <w:r/>
    </w:p>
    <w:p>
      <w:pPr>
        <w:pStyle w:val="943"/>
        <w:rPr>
          <w:rFonts w:ascii="Times New Roman" w:hAnsi="Times New Roman" w:eastAsia="方正仿宋_GBK" w:cs="Times New Roman"/>
          <w:sz w:val="24"/>
          <w:szCs w:val="24"/>
          <w:highlight w:val="yellow"/>
        </w:rPr>
      </w:pPr>
      <w:r>
        <w:rPr>
          <w:rFonts w:hint="eastAsia"/>
        </w:rPr>
        <w:t xml:space="preserve">3.5闭源大模型适配与模型训练</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大模型选型为国家备案认证的法律基座大模型，依托扬州市政务智算资源池本地化部署推理服务，采用低秩适配技术，基于扬州本地仲裁文书、脱敏案例数据进行场景化微调优化；针对仲裁卷宗、庭审场景做专项准确率优化。</w:t>
      </w:r>
      <w:r/>
    </w:p>
    <w:p>
      <w:pPr>
        <w:pStyle w:val="944"/>
        <w:widowControl/>
      </w:pPr>
      <w:r>
        <w:rPr>
          <w:rFonts w:hint="eastAsia"/>
        </w:rPr>
        <w:t xml:space="preserve">3.5.1</w:t>
      </w:r>
      <w:r>
        <w:rPr>
          <w:rFonts w:hint="eastAsia"/>
          <w:color w:val="000000" w:themeColor="text1"/>
          <w14:textFill>
            <w14:solidFill>
              <w14:schemeClr w14:val="tx1"/>
            </w14:solidFill>
          </w14:textFill>
        </w:rPr>
        <w:t xml:space="preserve">场景化微调与优化</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（1）场景梳理</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结合仲裁院的业务实际，系统梳理仲裁业务细分场景要素、业务规则与输出标准。</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（2）数据构建</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构建面向仲裁场景微调的高质量训练数据集，包括原始数据、过滤数据、精选数据、精炼数据、组织化数据。</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（3）专业标注</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按照司法专识标注要求，对劳动争议仲裁场景训练数据开展精细化标注，完成全量数据质控核验。</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（4）场景化微调训练</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入扬州仲裁院的领域知识，提升模型对仲裁术语、程序规则、地方裁判口径的理解；对齐仲裁场景输出规范，使模型按扬州本地仲裁文书格式与说理逻辑生成内容；基于仲裁场景奖励模型，强化模型在仲裁任务上的准确性与规范性。</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（5）场景实测</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场景适配测试：针对法律法规推荐、仲裁案例库模块、案件智能分析、文书智能生成四类核心能力，使用扬州仲裁真实业务场景的测试用例集，逐场景验证模型输出质量。</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实战验证：邀请仲裁院一线仲裁员参与实战验证，在真实业务环境中使用模型辅助仲裁工作，收集业务反馈。</w:t>
      </w:r>
      <w:r/>
    </w:p>
    <w:p>
      <w:pPr>
        <w:ind w:firstLine="480"/>
        <w:jc w:val="left"/>
        <w:spacing w:line="4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专项能力诊断：归集多维度评测数据，精准定位各场景输出偏差、要素缺失、逻辑不闭环等问题，形成诊断报告。</w:t>
      </w:r>
      <w:r/>
    </w:p>
    <w:p>
      <w:pPr>
        <w:pStyle w:val="944"/>
        <w:widowControl/>
      </w:pPr>
      <w:r>
        <w:rPr>
          <w:rFonts w:hint="eastAsia"/>
        </w:rPr>
        <w:t xml:space="preserve">3.5.2仲裁卷宗与庭审场景专项精度提升</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（1）仲裁卷宗专项精度提升</w:t>
      </w:r>
      <w:r/>
    </w:p>
    <w:p>
      <w:pPr>
        <w:ind w:firstLine="480"/>
        <w:spacing w:after="40"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卷宗要素智能抽取：依据扬州仲裁院的业务规范，定义仲裁卷宗要素体系；基于扬州本地仲裁卷宗，构建要素抽取专项训练集，对每份卷宗进行要素级标注，形成“卷宗文本—要素结构”的标注对；针对要素抽取任务进行专项训练，强化模型对仲裁卷宗结构化信息的理解与抽取能力。</w:t>
      </w:r>
      <w:r/>
    </w:p>
    <w:p>
      <w:pPr>
        <w:ind w:firstLine="480"/>
        <w:spacing w:after="40"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卷宗摘要与争议焦点归纳：对长篇卷宗进行结构化摘要，构建争议焦点归纳专项训练集，标注员对仲裁卷宗中的争议焦点进行分类标注，训练模型自动归纳争议焦点并分类。</w:t>
      </w:r>
      <w:r/>
    </w:p>
    <w:p>
      <w:pPr>
        <w:ind w:firstLine="480"/>
        <w:spacing w:after="40"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卷宗关联分析与证据链构建：训练模型识别卷宗内各文档间的逻辑关联，构建证据链分析专项训练数据，标注证据间的证明关系与证明力评估，训练模型辅助构建证据链。</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（2）庭审场景专项精度提升</w:t>
      </w:r>
      <w:r/>
    </w:p>
    <w:p>
      <w:pPr>
        <w:ind w:firstLine="480"/>
        <w:spacing w:after="40"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庭审笔录智能整理：训练模型对庭审原始记录进行智能整理，包括口语化表达转书面语、冗余信息过滤、逻辑顺序梳理、关键信息标注。</w:t>
      </w:r>
      <w:r/>
    </w:p>
    <w:p>
      <w:pPr>
        <w:ind w:firstLine="480"/>
        <w:spacing w:after="40"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庭审实时辅助：训练模型在庭审过程中实时识别争议焦点，辅助仲裁员把控庭审节奏与方向；对庭审中各方陈述进行实时摘要与要点提取，辅助书记员记录；构建庭审场景模拟训练数据，涵盖不同案件类型的庭审流程与常见交互模式。</w:t>
      </w:r>
      <w:r/>
    </w:p>
    <w:p>
      <w:pPr>
        <w:ind w:firstLine="480"/>
        <w:jc w:val="lef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庭审场景理解与意图识别：训练模型理解庭审中各方陈述的真实意图，区分事实陈述、法律主张、质证意见、辩论意见等不同类型。构建庭审意图识别专项训练集，对庭审笔录中的发言进行意图标注。</w:t>
      </w:r>
      <w:r/>
    </w:p>
    <w:p>
      <w:pPr>
        <w:pStyle w:val="941"/>
        <w:rPr>
          <w:rFonts w:ascii="宋体" w:hAnsi="宋体" w:eastAsia="宋体"/>
        </w:rPr>
      </w:pPr>
      <w:r>
        <w:rPr>
          <w:rFonts w:hint="eastAsia" w:ascii="宋体" w:hAnsi="宋体" w:eastAsia="宋体"/>
        </w:rPr>
        <w:t xml:space="preserve">五、技术要求</w:t>
      </w:r>
      <w:r/>
    </w:p>
    <w:p>
      <w:pPr>
        <w:pStyle w:val="942"/>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（一）技术路线</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项目大模型选型为国家备案认证的法律基座大模型，依托扬州市政务智算资源池本地化部署推理服务，采用低秩适配技术，基于扬州本地仲裁文书、脱敏案例数据进行场景化微调优化；针对仲裁卷宗、庭审场景做专项准确率优化。</w:t>
      </w:r>
      <w:r/>
    </w:p>
    <w:p>
      <w:pPr>
        <w:ind w:firstLine="480"/>
        <w:jc w:val="left"/>
        <w:spacing w:line="440" w:lineRule="exact"/>
        <w:widowControl/>
        <w:rPr>
          <w:rFonts w:ascii="宋体" w:hAnsi="宋体" w:cs="宋体"/>
          <w:sz w:val="24"/>
          <w:szCs w:val="24"/>
        </w:rPr>
      </w:pPr>
      <w:r>
        <w:rPr>
          <w:rFonts w:hint="eastAsia" w:ascii="宋体" w:hAnsi="宋体" w:cs="宋体"/>
          <w:b/>
          <w:bCs/>
          <w:sz w:val="24"/>
          <w:szCs w:val="24"/>
        </w:rPr>
        <w:t xml:space="preserve">通用技术架构：</w:t>
      </w:r>
      <w:r>
        <w:rPr>
          <w:rFonts w:hint="eastAsia" w:ascii="宋体" w:hAnsi="宋体" w:cs="宋体"/>
          <w:sz w:val="24"/>
          <w:szCs w:val="24"/>
        </w:rPr>
        <w:t xml:space="preserve">采用前后端分离架构，后端基于国产化适配的微服务框架开发，前端适配政务外网主流国产化浏览器，所有服务部署于政务外网云容器环境，支持弹性扩缩容；AI能力统一调用市级政务智算资源池，不单独部署GPU硬件。</w:t>
      </w:r>
      <w:r/>
    </w:p>
    <w:p>
      <w:pPr>
        <w:ind w:firstLine="480"/>
        <w:jc w:val="left"/>
        <w:spacing w:line="440" w:lineRule="exact"/>
        <w:widowControl/>
      </w:pPr>
      <w:r>
        <w:rPr>
          <w:rFonts w:hint="eastAsia" w:ascii="宋体" w:hAnsi="宋体" w:cs="宋体"/>
          <w:b/>
          <w:bCs/>
          <w:sz w:val="24"/>
          <w:szCs w:val="24"/>
        </w:rPr>
        <w:t xml:space="preserve">安全可靠适配技术：</w:t>
      </w:r>
      <w:r>
        <w:rPr>
          <w:rFonts w:hint="eastAsia" w:ascii="宋体" w:hAnsi="宋体" w:cs="宋体"/>
          <w:sz w:val="24"/>
          <w:szCs w:val="24"/>
        </w:rPr>
        <w:t xml:space="preserve">所有技术方案均适配主流国产化软硬件环境，兼容通用国产化CPU架构，适配国产化服务器操作系统、数据库及中间件，采用国密算法实现数据传输与存储加密，符合政务外网安全保密与信创适配要求。</w:t>
      </w:r>
      <w:r/>
    </w:p>
    <w:p>
      <w:pPr>
        <w:pStyle w:val="942"/>
        <w:rPr>
          <w:sz w:val="24"/>
          <w:szCs w:val="24"/>
        </w:rPr>
      </w:pPr>
      <w:r>
        <w:rPr>
          <w:rFonts w:hint="eastAsia" w:ascii="微软雅黑" w:hAnsi="微软雅黑" w:eastAsia="微软雅黑" w:cs="微软雅黑"/>
          <w:sz w:val="24"/>
          <w:szCs w:val="24"/>
        </w:rPr>
        <w:t xml:space="preserve">（二）性能要求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结合本项目劳动仲裁智能助手的业务特点与使用场景，明确系统可量化的主要性能指标，覆盖并发支撑、响应效率、传输延迟、兼容适配等方面，具体需求如下：</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（1）并发数量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支持满足日常业务高峰期的多用户同时在线操作，可保障多名工作人员并行开展案件信息录入、文书生成、数据查询、案例检索等业务操作，系统运行稳定，无明显卡顿、阻塞情况。</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（2）系统响应时间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页面登录、菜单切换、表单提交等常规操作响应时间控制在合理范围；案件信息、法律法规、历史案例等数据检索操作响应高效；文书生成、要素提取、争议焦点分析等AI相关功能响应速度满足实际业务办理需求，整体操作流畅。</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（3）应用延迟时间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电子卷宗、证据材料等文件上传，生成文书下载、预览，以及跨系统数据同步、接口调用等环节的传输与处理延迟，均控制在可接受范围内，不影响正常业务办理与用户操作体验。</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（4）系统兼容性</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适配主流的终端操作系统与浏览器环境，界面展示、功能操作保持一致；全面兼容政务外网现有软硬件运行环境，同时与关联业务系统实现无缝对接，无兼容冲突，保障系统稳定运行。</w:t>
      </w:r>
      <w:r/>
    </w:p>
    <w:p>
      <w:pPr>
        <w:pStyle w:val="942"/>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（三）安全可靠性要求</w:t>
      </w:r>
      <w:r/>
    </w:p>
    <w:p>
      <w:pPr>
        <w:ind w:firstLine="480"/>
        <w:jc w:val="left"/>
        <w:spacing w:line="440" w:lineRule="exact"/>
        <w:widowControl/>
        <w:rPr>
          <w:rFonts w:ascii="宋体" w:hAnsi="宋体" w:cs="宋体"/>
          <w:i/>
          <w:iCs/>
          <w:sz w:val="24"/>
          <w:szCs w:val="24"/>
          <w:u w:val="single"/>
        </w:rPr>
      </w:pPr>
      <w:r>
        <w:rPr>
          <w:rFonts w:hint="eastAsia" w:ascii="宋体" w:hAnsi="宋体" w:cs="宋体"/>
          <w:i/>
          <w:iCs/>
          <w:sz w:val="24"/>
          <w:szCs w:val="24"/>
          <w:u w:val="single"/>
        </w:rPr>
        <w:t xml:space="preserve">1、本项目需要满足二级等保建设要求，中标人承诺配合采购人通过网络安全等级保护第二级安全测评；</w:t>
      </w:r>
      <w:r/>
    </w:p>
    <w:p>
      <w:pPr>
        <w:ind w:firstLine="480"/>
        <w:jc w:val="left"/>
        <w:spacing w:line="440" w:lineRule="exact"/>
        <w:widowControl/>
        <w:rPr>
          <w:rFonts w:ascii="宋体" w:hAnsi="宋体" w:cs="宋体"/>
          <w:i/>
          <w:iCs/>
          <w:sz w:val="24"/>
          <w:szCs w:val="24"/>
          <w:u w:val="single"/>
        </w:rPr>
      </w:pPr>
      <w:r>
        <w:rPr>
          <w:rFonts w:hint="eastAsia" w:ascii="宋体" w:hAnsi="宋体" w:cs="宋体"/>
          <w:i/>
          <w:iCs/>
          <w:sz w:val="24"/>
          <w:szCs w:val="24"/>
          <w:u w:val="single"/>
        </w:rPr>
        <w:t xml:space="preserve">2、依据《中华人民共和国密码法》、《商用密码应用安全性评估管理办法（试行）》及《信息安全技术信息系统密码应用基本要求》等，中标人承诺配合采购人通过商用密码应用安全性评估。</w:t>
      </w:r>
      <w:r/>
    </w:p>
    <w:p>
      <w:pPr>
        <w:ind w:firstLine="480"/>
        <w:jc w:val="left"/>
        <w:spacing w:line="440" w:lineRule="exact"/>
        <w:widowControl/>
      </w:pPr>
      <w:r>
        <w:rPr>
          <w:rFonts w:hint="eastAsia" w:ascii="宋体" w:hAnsi="宋体" w:cs="宋体"/>
          <w:i/>
          <w:iCs/>
          <w:sz w:val="24"/>
          <w:szCs w:val="24"/>
          <w:u w:val="single"/>
        </w:rPr>
        <w:t xml:space="preserve">3、供应链检测</w:t>
      </w:r>
      <w:r>
        <w:rPr>
          <w:rFonts w:hint="eastAsia"/>
          <w:u w:val="single"/>
        </w:rPr>
        <w:t xml:space="preserve">，</w:t>
      </w:r>
      <w:r>
        <w:rPr>
          <w:rFonts w:hint="eastAsia" w:ascii="宋体" w:hAnsi="宋体" w:cs="宋体"/>
          <w:i/>
          <w:iCs/>
          <w:sz w:val="24"/>
          <w:szCs w:val="24"/>
          <w:u w:val="single"/>
        </w:rPr>
        <w:t xml:space="preserve">系统上线前必须完成第三方安全测试、漏洞整改，中标人承诺配合采购人通过第三方供应链检测。</w:t>
      </w:r>
      <w:r/>
    </w:p>
    <w:p>
      <w:pPr>
        <w:pStyle w:val="952"/>
        <w:rPr>
          <w:rFonts w:ascii="宋体" w:hAnsi="宋体" w:cs="宋体"/>
          <w:i/>
          <w:iCs/>
          <w:sz w:val="24"/>
          <w:szCs w:val="24"/>
          <w:highlight w:val="yellow"/>
          <w:u w:val="single"/>
        </w:rPr>
      </w:pPr>
      <w:r>
        <w:rPr>
          <w:rFonts w:hint="eastAsia" w:ascii="宋体" w:hAnsi="宋体" w:cs="宋体"/>
          <w:i/>
          <w:iCs/>
          <w:sz w:val="24"/>
          <w:szCs w:val="24"/>
          <w:u w:val="single"/>
        </w:rPr>
        <w:t xml:space="preserve">以上3条投标人出具承诺函，格式自拟扫描上传</w:t>
      </w:r>
      <w:r/>
    </w:p>
    <w:p>
      <w:pPr>
        <w:pStyle w:val="952"/>
        <w:rPr>
          <w:rFonts w:ascii="宋体" w:hAnsi="宋体" w:cs="宋体"/>
          <w:i/>
          <w:iCs/>
          <w:sz w:val="24"/>
          <w:szCs w:val="24"/>
          <w:u w:val="single"/>
        </w:rPr>
      </w:pPr>
      <w:r>
        <w:rPr>
          <w:rFonts w:ascii="宋体" w:hAnsi="宋体" w:cs="宋体"/>
          <w:i/>
          <w:iCs/>
          <w:sz w:val="24"/>
          <w:szCs w:val="24"/>
          <w:u w:val="single"/>
        </w:rPr>
      </w:r>
      <w:r/>
    </w:p>
    <w:p>
      <w:pPr>
        <w:pStyle w:val="942"/>
      </w:pPr>
      <w:r>
        <w:rPr>
          <w:rFonts w:hint="eastAsia" w:ascii="微软雅黑" w:hAnsi="微软雅黑" w:eastAsia="微软雅黑" w:cs="微软雅黑"/>
          <w:sz w:val="24"/>
          <w:szCs w:val="24"/>
        </w:rPr>
        <w:t xml:space="preserve">（四）第三方软件测试</w:t>
      </w:r>
      <w:r/>
    </w:p>
    <w:p>
      <w:pPr>
        <w:ind w:firstLine="480"/>
        <w:jc w:val="left"/>
        <w:spacing w:line="440" w:lineRule="exact"/>
        <w:widowControl/>
        <w:rPr>
          <w:rFonts w:ascii="宋体" w:hAnsi="宋体" w:cs="宋体"/>
          <w:i/>
          <w:iCs/>
          <w:sz w:val="24"/>
          <w:szCs w:val="24"/>
          <w:u w:val="single"/>
        </w:rPr>
      </w:pPr>
      <w:r>
        <w:rPr>
          <w:rFonts w:hint="eastAsia" w:ascii="宋体" w:hAnsi="宋体" w:cs="宋体"/>
          <w:i/>
          <w:iCs/>
          <w:sz w:val="24"/>
          <w:szCs w:val="24"/>
          <w:u w:val="single"/>
        </w:rPr>
        <w:t xml:space="preserve">本项目需要满足安全测评服务，包括软件测评与软件供应链安全检测，中标人承诺配合采购人通过第三方软件测试相关工作。</w:t>
      </w:r>
      <w:r/>
    </w:p>
    <w:p>
      <w:pPr>
        <w:ind w:firstLine="480"/>
        <w:jc w:val="left"/>
        <w:spacing w:line="440" w:lineRule="exact"/>
        <w:widowControl/>
        <w:rPr>
          <w:rFonts w:ascii="宋体" w:hAnsi="宋体" w:cs="宋体"/>
          <w:i/>
          <w:iCs/>
          <w:sz w:val="24"/>
          <w:szCs w:val="24"/>
          <w:u w:val="single"/>
        </w:rPr>
      </w:pPr>
      <w:r>
        <w:rPr>
          <w:rFonts w:hint="eastAsia" w:ascii="宋体" w:hAnsi="宋体" w:cs="宋体"/>
          <w:i/>
          <w:iCs/>
          <w:sz w:val="24"/>
          <w:szCs w:val="24"/>
          <w:u w:val="single"/>
        </w:rPr>
        <w:t xml:space="preserve">（投标人出具承诺函，格式自拟扫描上传）</w:t>
      </w:r>
      <w:r/>
    </w:p>
    <w:p>
      <w:pPr>
        <w:pStyle w:val="940"/>
        <w:rPr>
          <w:rFonts w:ascii="宋体" w:hAnsi="宋体" w:eastAsia="宋体" w:cs="宋体"/>
          <w:color w:val="000000"/>
          <w:sz w:val="24"/>
          <w:szCs w:val="24"/>
        </w:rPr>
      </w:pPr>
      <w:r>
        <w:rPr>
          <w:rFonts w:hint="eastAsia" w:ascii="宋体" w:hAnsi="宋体" w:eastAsia="宋体" w:cs="宋体"/>
          <w:sz w:val="24"/>
          <w:szCs w:val="24"/>
        </w:rPr>
        <w:t xml:space="preserve">六、</w:t>
      </w:r>
      <w:r>
        <w:rPr>
          <w:rFonts w:hint="eastAsia" w:ascii="宋体" w:hAnsi="宋体" w:eastAsia="宋体" w:cs="宋体"/>
          <w:color w:val="000000"/>
          <w:sz w:val="24"/>
          <w:szCs w:val="24"/>
        </w:rPr>
        <w:t xml:space="preserve">工作成果</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包括但不限于需求分析说明书、数据库设计说明书、系统测试报告、工作总结报告、技术总结报告和使用手册等。</w:t>
      </w:r>
      <w:r/>
    </w:p>
    <w:p>
      <w:pPr>
        <w:ind w:firstLine="480"/>
        <w:jc w:val="left"/>
        <w:spacing w:line="440" w:lineRule="exact"/>
        <w:widowControl/>
        <w:rPr>
          <w:rFonts w:ascii="宋体" w:hAnsi="宋体" w:cs="宋体"/>
          <w:sz w:val="24"/>
          <w:szCs w:val="24"/>
        </w:rPr>
      </w:pPr>
      <w:r>
        <w:rPr>
          <w:rFonts w:hint="eastAsia" w:ascii="宋体" w:hAnsi="宋体" w:cs="宋体"/>
          <w:color w:val="000000"/>
          <w:sz w:val="24"/>
          <w:szCs w:val="24"/>
        </w:rPr>
        <w:t xml:space="preserve">注：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w:t>
      </w:r>
      <w:r>
        <w:rPr>
          <w:rFonts w:hint="eastAsia" w:ascii="宋体" w:hAnsi="宋体" w:cs="宋体"/>
          <w:sz w:val="24"/>
          <w:szCs w:val="24"/>
        </w:rPr>
        <w:t xml:space="preserve">同时不得耽误本项目履约。</w:t>
      </w:r>
      <w:r/>
    </w:p>
    <w:p>
      <w:pPr>
        <w:pStyle w:val="940"/>
        <w:rPr>
          <w:rFonts w:ascii="宋体" w:hAnsi="宋体" w:eastAsia="宋体" w:cs="宋体"/>
          <w:sz w:val="24"/>
          <w:szCs w:val="24"/>
        </w:rPr>
      </w:pPr>
      <w:r>
        <w:rPr>
          <w:rFonts w:hint="eastAsia" w:ascii="宋体" w:hAnsi="宋体" w:eastAsia="宋体" w:cs="宋体"/>
          <w:sz w:val="24"/>
          <w:szCs w:val="24"/>
        </w:rPr>
        <w:t xml:space="preserve">七、实施要求</w:t>
      </w:r>
      <w:r/>
    </w:p>
    <w:p>
      <w:pPr>
        <w:ind w:firstLine="480"/>
        <w:jc w:val="left"/>
        <w:spacing w:line="440" w:lineRule="exact"/>
        <w:widowControl/>
        <w:rPr>
          <w:sz w:val="24"/>
          <w:szCs w:val="24"/>
        </w:rPr>
      </w:pPr>
      <w:r>
        <w:rPr>
          <w:rFonts w:hint="eastAsia" w:ascii="宋体" w:hAnsi="宋体" w:cs="宋体"/>
          <w:sz w:val="24"/>
          <w:szCs w:val="24"/>
        </w:rPr>
        <w:t xml:space="preserve">为使项目按质、按量、按时及有序实施，应建立完善、稳定的项目团队、内部组织管理方式及管理机构、协调机制、技术基础，支撑保障项目实施。</w:t>
      </w:r>
      <w:r/>
    </w:p>
    <w:p>
      <w:pPr>
        <w:pStyle w:val="941"/>
        <w:rPr>
          <w:rFonts w:ascii="宋体" w:hAnsi="宋体" w:eastAsia="宋体" w:cs="宋体"/>
        </w:rPr>
      </w:pPr>
      <w:r>
        <w:rPr>
          <w:rFonts w:hint="eastAsia" w:ascii="宋体" w:hAnsi="宋体" w:eastAsia="宋体" w:cs="宋体"/>
        </w:rPr>
        <w:t xml:space="preserve">（一）人员要求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投标人应根据本项目特点配置以下相关人员。</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、项目经理</w:t>
      </w:r>
      <w:r/>
    </w:p>
    <w:p>
      <w:pPr>
        <w:ind w:firstLine="480"/>
        <w:jc w:val="left"/>
        <w:spacing w:line="440" w:lineRule="exact"/>
        <w:widowControl/>
      </w:pPr>
      <w:r>
        <w:rPr>
          <w:rFonts w:hint="eastAsia" w:ascii="宋体" w:hAnsi="宋体" w:cs="宋体"/>
          <w:sz w:val="24"/>
          <w:szCs w:val="24"/>
        </w:rPr>
        <w:t xml:space="preserve">项目经理负责统筹协调实施总体项目，对接项目牵头单位，管理项目进度、质量、安全、保密等工作。</w:t>
      </w:r>
      <w:r>
        <w:rPr>
          <w:rFonts w:hint="eastAsia"/>
          <w:sz w:val="24"/>
          <w:szCs w:val="24"/>
        </w:rPr>
        <w:t xml:space="preserve">需具备信息系统项目管理师</w:t>
      </w:r>
      <w:r>
        <w:rPr>
          <w:sz w:val="24"/>
          <w:szCs w:val="24"/>
        </w:rPr>
        <w:t xml:space="preserve">（高级）</w:t>
      </w:r>
      <w:r>
        <w:rPr>
          <w:rFonts w:hint="eastAsia"/>
          <w:sz w:val="24"/>
          <w:szCs w:val="24"/>
        </w:rPr>
        <w:t xml:space="preserve">（软考）、</w:t>
      </w:r>
      <w:r>
        <w:rPr>
          <w:sz w:val="24"/>
          <w:szCs w:val="24"/>
        </w:rPr>
        <w:t xml:space="preserve">系统规划与管理师证书（高级）</w:t>
      </w:r>
      <w:r>
        <w:rPr>
          <w:rFonts w:hint="eastAsia"/>
          <w:sz w:val="24"/>
          <w:szCs w:val="24"/>
        </w:rPr>
        <w:t xml:space="preserve">（软考）。</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color w:val="000000"/>
          <w:sz w:val="24"/>
          <w:szCs w:val="24"/>
          <w:lang w:bidi="ar"/>
        </w:rPr>
        <w:t xml:space="preserve">技术负责人</w:t>
      </w:r>
      <w:r/>
    </w:p>
    <w:p>
      <w:pPr>
        <w:ind w:firstLine="480"/>
        <w:spacing w:line="400" w:lineRule="exact"/>
      </w:pPr>
      <w:r>
        <w:rPr>
          <w:color w:val="000000"/>
          <w:sz w:val="24"/>
          <w:szCs w:val="24"/>
          <w:lang w:bidi="ar"/>
        </w:rPr>
        <w:t xml:space="preserve">技术负责人负责对接各项目组服务的最终用户，负责管理各项目组分项的进度、质量、安全、保密等工作。</w:t>
      </w:r>
      <w:r>
        <w:rPr>
          <w:rFonts w:hint="eastAsia"/>
          <w:sz w:val="24"/>
          <w:szCs w:val="24"/>
        </w:rPr>
        <w:t xml:space="preserve">需具备信息系统项目管理师</w:t>
      </w:r>
      <w:r>
        <w:rPr>
          <w:sz w:val="24"/>
          <w:szCs w:val="24"/>
        </w:rPr>
        <w:t xml:space="preserve">（高级）</w:t>
      </w:r>
      <w:r>
        <w:rPr>
          <w:rFonts w:hint="eastAsia"/>
          <w:sz w:val="24"/>
          <w:szCs w:val="24"/>
        </w:rPr>
        <w:t xml:space="preserve">（软考）、系统分析师</w:t>
      </w:r>
      <w:r>
        <w:rPr>
          <w:sz w:val="24"/>
          <w:szCs w:val="24"/>
        </w:rPr>
        <w:t xml:space="preserve">（高级）</w:t>
      </w:r>
      <w:r>
        <w:rPr>
          <w:rFonts w:hint="eastAsia"/>
          <w:sz w:val="24"/>
          <w:szCs w:val="24"/>
        </w:rPr>
        <w:t xml:space="preserve">证书（软考）。</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w:t>
      </w:r>
      <w:bookmarkStart w:id="194" w:name="OLE_LINK2"/>
      <w:r>
        <w:rPr>
          <w:rFonts w:hint="eastAsia" w:ascii="宋体" w:hAnsi="宋体" w:cs="宋体"/>
          <w:sz w:val="24"/>
          <w:szCs w:val="24"/>
        </w:rPr>
        <w:t xml:space="preserve">安全负责人</w:t>
      </w:r>
      <w:bookmarkEnd w:id="194"/>
      <w:r/>
      <w:r/>
    </w:p>
    <w:p>
      <w:pPr>
        <w:ind w:firstLine="480"/>
        <w:jc w:val="left"/>
        <w:spacing w:line="440" w:lineRule="exact"/>
        <w:widowControl/>
      </w:pPr>
      <w:r>
        <w:rPr>
          <w:rFonts w:hint="eastAsia" w:ascii="宋体" w:hAnsi="宋体" w:cs="宋体"/>
          <w:sz w:val="24"/>
          <w:szCs w:val="24"/>
        </w:rPr>
        <w:t xml:space="preserve">安全负责人负责统筹项目安全工作，负责各改造系统、配套网络安全，符合相关测评标准。</w:t>
      </w:r>
      <w:r>
        <w:rPr>
          <w:rFonts w:hint="eastAsia"/>
          <w:sz w:val="24"/>
          <w:szCs w:val="24"/>
        </w:rPr>
        <w:t xml:space="preserve">需具备信息系统项目管理师</w:t>
      </w:r>
      <w:r>
        <w:rPr>
          <w:sz w:val="24"/>
          <w:szCs w:val="24"/>
        </w:rPr>
        <w:t xml:space="preserve">（高级）</w:t>
      </w:r>
      <w:r>
        <w:rPr>
          <w:rFonts w:hint="eastAsia"/>
          <w:sz w:val="24"/>
          <w:szCs w:val="24"/>
        </w:rPr>
        <w:t xml:space="preserve">（软考）、信息安全保障人员认证证书</w:t>
      </w:r>
      <w:r>
        <w:rPr>
          <w:sz w:val="24"/>
          <w:szCs w:val="24"/>
        </w:rPr>
        <w:t xml:space="preserve">（中国网络安全审查认证和市场监管大数据中心颁发，原中国网络</w:t>
      </w:r>
      <w:r>
        <w:rPr>
          <w:color w:val="000000"/>
          <w:sz w:val="24"/>
          <w:szCs w:val="24"/>
        </w:rPr>
        <w:t xml:space="preserve">安全审查技术与认证中心）</w:t>
      </w:r>
      <w:r>
        <w:rPr>
          <w:rFonts w:hint="eastAsia"/>
          <w:color w:val="000000"/>
          <w:sz w:val="24"/>
          <w:szCs w:val="24"/>
        </w:rPr>
        <w:t xml:space="preserve">证书。</w:t>
      </w:r>
      <w:r/>
    </w:p>
    <w:p>
      <w:pPr>
        <w:ind w:left="480"/>
        <w:jc w:val="left"/>
        <w:spacing w:line="440" w:lineRule="exact"/>
        <w:widowControl/>
        <w:rPr>
          <w:rFonts w:ascii="宋体" w:hAnsi="宋体" w:cs="宋体"/>
          <w:sz w:val="24"/>
          <w:szCs w:val="24"/>
        </w:rPr>
      </w:pPr>
      <w:r>
        <w:rPr>
          <w:rFonts w:hint="eastAsia" w:ascii="宋体" w:hAnsi="宋体" w:cs="宋体"/>
          <w:sz w:val="24"/>
          <w:szCs w:val="24"/>
        </w:rPr>
        <w:t xml:space="preserve">4、支撑服务团队</w:t>
      </w:r>
      <w:r/>
    </w:p>
    <w:p>
      <w:pPr>
        <w:ind w:firstLine="480"/>
        <w:jc w:val="left"/>
        <w:spacing w:line="440" w:lineRule="exact"/>
        <w:widowControl/>
      </w:pPr>
      <w:r>
        <w:rPr>
          <w:rFonts w:hint="eastAsia" w:ascii="宋体" w:hAnsi="宋体" w:cs="宋体"/>
          <w:sz w:val="24"/>
          <w:szCs w:val="24"/>
        </w:rPr>
        <w:t xml:space="preserve">支撑服务团队负责软件开发、实施部署、系统测试、文档管理、人员培训、系统维护等工作。支撑服务团队成员（以上3类人员除外）具备系统架构设计师（高级）(软考)、软件设计师（中级）(软考)、系统集成项目管理工程师（中级）(软考)、IT服务项目经理证书、信息安全保障人员认证证书（安全集成）（中国网络安全审查认证和市场监管大数据中心颁发，原中国网络安全审查技术与认证中心）、系统分析师（高级）(软考)</w:t>
      </w:r>
      <w:r>
        <w:rPr>
          <w:rFonts w:hint="eastAsia"/>
          <w:color w:val="000000"/>
          <w:sz w:val="24"/>
          <w:szCs w:val="24"/>
        </w:rPr>
        <w:t xml:space="preserve">。</w:t>
      </w:r>
      <w:r/>
    </w:p>
    <w:p>
      <w:pPr>
        <w:pStyle w:val="941"/>
        <w:rPr>
          <w:rFonts w:ascii="宋体" w:hAnsi="宋体" w:eastAsia="宋体" w:cs="宋体"/>
          <w:color w:val="000000"/>
        </w:rPr>
      </w:pPr>
      <w:r>
        <w:rPr>
          <w:rFonts w:hint="eastAsia" w:ascii="宋体" w:hAnsi="宋体" w:eastAsia="宋体" w:cs="宋体"/>
          <w:color w:val="000000"/>
        </w:rPr>
        <w:t xml:space="preserve">（二）进度计划要求</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、建设工期</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自合同正式签署生效起5个月，涵盖需求调研、详细设计、模块开发、集成部署、全功能测试、业务试运行、优化整改与项目终验全流程建设工作。</w:t>
      </w:r>
      <w:r/>
    </w:p>
    <w:p>
      <w:pPr>
        <w:ind w:firstLine="480"/>
        <w:jc w:val="left"/>
        <w:spacing w:line="440" w:lineRule="exact"/>
        <w:widowControl/>
      </w:pPr>
      <w:r>
        <w:rPr>
          <w:rFonts w:ascii="宋体" w:hAnsi="宋体" w:cs="宋体"/>
          <w:sz w:val="24"/>
          <w:szCs w:val="24"/>
        </w:rPr>
        <w:t xml:space="preserve">1.2</w:t>
      </w:r>
      <w:r>
        <w:rPr>
          <w:rFonts w:hint="eastAsia" w:ascii="宋体" w:hAnsi="宋体" w:cs="宋体"/>
          <w:sz w:val="24"/>
          <w:szCs w:val="24"/>
        </w:rPr>
        <w:t xml:space="preserve">项目通过合同验收后，提供3年免费运维服务。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2、交付地点</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扬州市人力资源和社会保障局。</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3、其他进度要求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投标人一旦中标需提交正式实施方案，明确招标项目工作的方式、方法、过程步骤、按阶段分解的详细计划、对应计划应提交的工作成果、需要采购人协调与配合的事项，并经采购人审核、批准。</w:t>
      </w:r>
      <w:r/>
    </w:p>
    <w:p>
      <w:pPr>
        <w:ind w:firstLine="480"/>
        <w:jc w:val="left"/>
        <w:spacing w:line="440" w:lineRule="exact"/>
        <w:widowControl/>
        <w:rPr>
          <w:rFonts w:ascii="宋体" w:hAnsi="宋体" w:cs="宋体"/>
          <w:sz w:val="24"/>
          <w:szCs w:val="24"/>
          <w:lang w:val="en"/>
        </w:rPr>
      </w:pPr>
      <w:r>
        <w:rPr>
          <w:rFonts w:hint="eastAsia" w:ascii="宋体" w:hAnsi="宋体" w:cs="宋体"/>
          <w:sz w:val="24"/>
          <w:szCs w:val="24"/>
        </w:rPr>
        <w:t xml:space="preserve">3.1</w:t>
      </w:r>
      <w:r>
        <w:rPr>
          <w:rFonts w:hint="eastAsia" w:ascii="宋体" w:hAnsi="宋体" w:cs="宋体"/>
          <w:sz w:val="24"/>
          <w:szCs w:val="24"/>
          <w:lang w:val="en"/>
        </w:rPr>
        <w:t xml:space="preserve">合同签订后立即完成项目启动；</w:t>
      </w:r>
      <w:r/>
    </w:p>
    <w:p>
      <w:pPr>
        <w:ind w:firstLine="480"/>
        <w:jc w:val="left"/>
        <w:spacing w:line="440" w:lineRule="exact"/>
        <w:widowControl/>
        <w:rPr>
          <w:rFonts w:ascii="宋体" w:hAnsi="宋体" w:cs="宋体"/>
          <w:sz w:val="24"/>
          <w:szCs w:val="24"/>
          <w:lang w:val="en"/>
        </w:rPr>
      </w:pPr>
      <w:r>
        <w:rPr>
          <w:rFonts w:hint="eastAsia" w:ascii="宋体" w:hAnsi="宋体" w:cs="宋体"/>
          <w:sz w:val="24"/>
          <w:szCs w:val="24"/>
        </w:rPr>
        <w:t xml:space="preserve">3.2</w:t>
      </w:r>
      <w:r>
        <w:rPr>
          <w:rFonts w:hint="eastAsia" w:ascii="宋体" w:hAnsi="宋体" w:cs="宋体"/>
          <w:sz w:val="24"/>
          <w:szCs w:val="24"/>
          <w:lang w:val="en"/>
        </w:rPr>
        <w:t xml:space="preserve">合同签订</w:t>
      </w:r>
      <w:r>
        <w:rPr>
          <w:rFonts w:hint="eastAsia" w:ascii="宋体" w:hAnsi="宋体" w:cs="宋体"/>
          <w:sz w:val="24"/>
          <w:szCs w:val="24"/>
        </w:rPr>
        <w:t xml:space="preserve">7天</w:t>
      </w:r>
      <w:r>
        <w:rPr>
          <w:rFonts w:hint="eastAsia" w:ascii="宋体" w:hAnsi="宋体" w:cs="宋体"/>
          <w:sz w:val="24"/>
          <w:szCs w:val="24"/>
          <w:lang w:val="en"/>
        </w:rPr>
        <w:t xml:space="preserve">内，完成调研与需求分析工作；</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3.3合同签订0.5个月内，完成编制系统设计方案，以及系统各项组成的设计工作；</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3.4合同签订1.5个月内，完成功能模块建设、系统集成、自测试及部署；</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3.5合同签订2个月内，完成人员培训，为系统试运行做准备工作，并针对系统及数据运行产生的相关问题进行实时的优化完善；申请进入试运行，并根据实际运行状况，对系统进行优化与完善，试运行时间不少于3个月；</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3.6合同签订5个月内，申请项目验收。</w:t>
      </w:r>
      <w:r/>
    </w:p>
    <w:p>
      <w:pPr>
        <w:pStyle w:val="941"/>
        <w:rPr>
          <w:rFonts w:ascii="宋体" w:hAnsi="宋体" w:eastAsia="宋体" w:cs="宋体"/>
          <w:color w:val="000000"/>
        </w:rPr>
      </w:pPr>
      <w:r>
        <w:rPr>
          <w:rFonts w:hint="eastAsia" w:ascii="宋体" w:hAnsi="宋体" w:eastAsia="宋体" w:cs="宋体"/>
          <w:color w:val="000000"/>
        </w:rPr>
        <w:t xml:space="preserve">（三）配合项目验收</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项目验收是推进系统建设，确保系统建设质量，规范系统建设实施的主要措施。</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、中标人在项目实施完成后需进行自测，通过自测后提请扬州市人力资源和社会保障局组织验证测试，经审核通过后，项目方可进入试运行阶段。</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2、试运行为期3个月，3个月内软件平台未发生</w:t>
      </w:r>
      <w:bookmarkStart w:id="195" w:name="OLE_LINK3"/>
      <w:r>
        <w:rPr>
          <w:rFonts w:hint="eastAsia" w:ascii="宋体" w:hAnsi="宋体" w:cs="宋体"/>
          <w:sz w:val="24"/>
          <w:szCs w:val="24"/>
        </w:rPr>
        <w:t xml:space="preserve">重大运行故障</w:t>
      </w:r>
      <w:bookmarkEnd w:id="195"/>
      <w:r>
        <w:rPr>
          <w:rFonts w:hint="eastAsia" w:ascii="宋体" w:hAnsi="宋体" w:cs="宋体"/>
          <w:sz w:val="24"/>
          <w:szCs w:val="24"/>
        </w:rPr>
        <w:t xml:space="preserve">的，同时试运行期间中标人完成相关产品的测评考核工作的，视为具备验收条件。</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3、试运行结束后，中标人整理项目验收资料，并提交《项目验收方案》交由扬州市人力资源和社会保障局审核，审核通过后，由扬州市人力资源和社会保障局组织专家验收会，中标人需做好验收配合工作。</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中标人需根据实际实施情况对验收文件进行整理并列出清单，作为扬州市人力资源和社会保障局交付验收和使用的技术条件依据，向扬州市人力资源和社会保障局提供详细的验收方案申请扬州市人力资源和社会保障局验收，扬州市人力资源和社会保障局以招标文件、中标单位的投标文件、合同为依据，成立验收小组，负责对项目进行全面的验收。验收合格的出具验收报告。</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、验收的标准：</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5.1</w:t>
      </w:r>
      <w:r>
        <w:rPr>
          <w:rFonts w:hint="eastAsia" w:ascii="宋体" w:hAnsi="宋体" w:cs="宋体"/>
          <w:sz w:val="24"/>
          <w:szCs w:val="24"/>
        </w:rPr>
        <w:t xml:space="preserve">用户服务要求：以中标人响应了的所有软件部署、软件实施等要求为合格。</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5.2响应水平情况：以中标人的服务响应水平达到了承诺的水平为合格。</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5.3资料完整性：中标人对于项目过程备有详细记录并且保证资料完整方为合格。</w:t>
      </w:r>
      <w:r/>
    </w:p>
    <w:p>
      <w:pPr>
        <w:pStyle w:val="940"/>
        <w:rPr>
          <w:rFonts w:ascii="宋体" w:hAnsi="宋体" w:eastAsia="宋体" w:cs="宋体"/>
          <w:sz w:val="24"/>
          <w:szCs w:val="24"/>
        </w:rPr>
      </w:pPr>
      <w:r>
        <w:rPr>
          <w:rFonts w:hint="eastAsia" w:ascii="宋体" w:hAnsi="宋体" w:eastAsia="宋体" w:cs="宋体"/>
          <w:sz w:val="24"/>
          <w:szCs w:val="24"/>
        </w:rPr>
        <w:t xml:space="preserve">八、售后保障要求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（一）售后服务内容</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需有专业售后服务团队，可提供持续的售后服务支撑，运维期内中标人负责系统的运行、维护和升级服务，提供现场平台软件功能维护、数据维护、开发和技术支持工作，出现故障当天排除，对平台运行进行月、季和年度巡检，根据巡检情况进行系统分析和支持。项目通过验收后，针对扬州市人力资源和社会保障局劳动仲裁智能助手项目提供3年免费运维服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（二）售后服务方式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1、应提供全天候7×24小时的故障维护服务和技术咨询服务，并有专业的技术人员负责及时解决系统出现的故障；</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2、提供电话、电子邮件、即时通讯工具、远程桌面等远程支持方式，用于日常咨询、故障初步诊断及部分问题处理，对于无法远程解决的重大故障，提供现场服务。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（三）售后响应时间</w:t>
      </w:r>
      <w:r/>
    </w:p>
    <w:p>
      <w:pPr>
        <w:ind w:firstLine="480"/>
        <w:jc w:val="left"/>
        <w:spacing w:line="440" w:lineRule="exact"/>
        <w:widowControl/>
      </w:pPr>
      <w:r>
        <w:rPr>
          <w:rFonts w:hint="eastAsia" w:ascii="宋体" w:hAnsi="宋体" w:cs="宋体"/>
          <w:sz w:val="24"/>
          <w:szCs w:val="24"/>
        </w:rPr>
        <w:t xml:space="preserve">中标人应在接到采购人的故障通知后在2小时内响应，远程技术支持无法解决问题的6小时内赶至现场处理，一般故障在12小时内修复，重大故障在24小时内采用备品替换解决。</w:t>
      </w:r>
      <w:r/>
    </w:p>
    <w:p>
      <w:pPr>
        <w:pStyle w:val="940"/>
        <w:rPr>
          <w:rFonts w:ascii="宋体" w:hAnsi="宋体" w:eastAsia="宋体"/>
          <w:color w:val="000000"/>
          <w:sz w:val="24"/>
          <w:szCs w:val="24"/>
        </w:rPr>
      </w:pPr>
      <w:r>
        <w:rPr>
          <w:rFonts w:hint="eastAsia" w:ascii="宋体" w:hAnsi="宋体" w:eastAsia="宋体"/>
          <w:color w:val="000000"/>
          <w:sz w:val="24"/>
          <w:szCs w:val="24"/>
        </w:rPr>
        <w:t xml:space="preserve">九、培训要求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（一）培训目标</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投标人应针对重构后系统，提供系统化的培训服务，确保以下目标达成：</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1、使相关技术人员能掌握系统的使用、维护和管理，达到能独立进行管理、故障处理、日常测试维护等工作的目的，以保障系统能够正常、安全地运行；</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2、业务操作人员能够熟练掌握系统各项功能的操作方法，并熟悉安全可靠终端环境下的操作差异；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3、具备对最终用户进行内部转训的能力。</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（二）培训对象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投标人需为扬州市人力资源和社会保障局及下属各区县（江都区、高邮市、宝应县、仪征市）劳动人事争议仲裁院的管理人员、业务骨干及技术支持人员提供培训服务，覆盖市本级及所有区县，确保全市统一标准下的操作一致性；</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2、投标人需培训的用户角色包括系统管理员、业务操作人员、管理决策人员以及运维人员等。</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（三）培训方式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1、采用线上培训或现场教学（“现场面授+上机实操+答疑”相结合）的培训方式；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2、培训结束后提供录制好的操作视频，供采购人长期使用；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3、对于所有培训，投标人需派出具有相应资格和实际工作经验的辅导人员进行培训，培训所使用的语言需是中文，否则投标人需提供相应的翻译。</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4、免费提供其他相关培训资料。</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（四）培训时间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1、集中培训须在系统正式上线前完成，投标人应根据用户角色设置差异化培训课程，自行准备必要的演示环境及临时设备，并在响应文件中明确培训课程安排及时间表；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2、免费运维期，按照要求前往区县处理与平台相关的问题，包括线下的平台使用指导及巡检。</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（五）培训费用</w:t>
      </w:r>
      <w:r/>
    </w:p>
    <w:p>
      <w:pPr>
        <w:ind w:firstLine="480"/>
        <w:jc w:val="left"/>
        <w:spacing w:line="440" w:lineRule="exact"/>
        <w:widowControl/>
        <w:rPr>
          <w:rFonts w:ascii="宋体" w:hAnsi="宋体" w:cs="宋体"/>
          <w:color w:val="000000"/>
          <w:sz w:val="24"/>
          <w:szCs w:val="24"/>
        </w:rPr>
      </w:pPr>
      <w:r>
        <w:rPr>
          <w:rFonts w:hint="eastAsia" w:ascii="宋体" w:hAnsi="宋体" w:cs="宋体"/>
          <w:sz w:val="24"/>
          <w:szCs w:val="24"/>
        </w:rPr>
        <w:t xml:space="preserve">培训费用（可含交通费、工作餐费、场地费、教材费、讲课费等与在扬州大市范围内组织开展的平台培训的各项费用）计入投标报价总价，采购人不再另行支付。</w:t>
      </w:r>
      <w:r/>
    </w:p>
    <w:p>
      <w:pPr>
        <w:pStyle w:val="969"/>
        <w:jc w:val="both"/>
        <w:spacing w:beforeAutospacing="0" w:afterAutospacing="0" w:line="0" w:lineRule="atLeast"/>
      </w:pPr>
      <w:r>
        <w:t xml:space="preserve"> </w:t>
      </w:r>
      <w:r/>
    </w:p>
    <w:p>
      <w:pPr>
        <w:pStyle w:val="940"/>
        <w:rPr>
          <w:rFonts w:ascii="宋体" w:hAnsi="宋体" w:eastAsia="宋体"/>
          <w:color w:val="000000"/>
          <w:sz w:val="24"/>
          <w:szCs w:val="24"/>
        </w:rPr>
      </w:pPr>
      <w:r>
        <w:rPr>
          <w:rFonts w:hint="eastAsia" w:ascii="宋体" w:hAnsi="宋体" w:eastAsia="宋体"/>
          <w:color w:val="000000"/>
          <w:sz w:val="24"/>
          <w:szCs w:val="24"/>
        </w:rPr>
        <w:t xml:space="preserve">十、其他要求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 上传视频演示</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 15 分钟</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2.演示内容如下：</w:t>
      </w:r>
      <w:r/>
    </w:p>
    <w:p>
      <w:pPr>
        <w:ind w:firstLine="480"/>
        <w:spacing w:line="440" w:lineRule="exact"/>
        <w:widowControl/>
        <w:rPr>
          <w:rFonts w:ascii="宋体" w:hAnsi="宋体" w:cs="宋体"/>
          <w:sz w:val="24"/>
          <w:szCs w:val="24"/>
        </w:rPr>
      </w:pPr>
      <w:r>
        <w:rPr>
          <w:rFonts w:hint="eastAsia" w:ascii="宋体" w:hAnsi="宋体" w:cs="宋体"/>
          <w:sz w:val="24"/>
          <w:szCs w:val="24"/>
        </w:rPr>
        <w:t xml:space="preserve">（1）案件智能分析模块</w:t>
      </w:r>
      <w:r/>
    </w:p>
    <w:p>
      <w:pPr>
        <w:ind w:firstLine="480"/>
        <w:spacing w:line="440" w:lineRule="exact"/>
        <w:widowControl/>
        <w:rPr>
          <w:rFonts w:ascii="宋体" w:hAnsi="宋体" w:cs="宋体"/>
          <w:sz w:val="24"/>
          <w:szCs w:val="24"/>
        </w:rPr>
      </w:pPr>
      <w:r>
        <w:rPr>
          <w:rFonts w:hint="eastAsia" w:ascii="宋体" w:hAnsi="宋体" w:cs="宋体"/>
          <w:sz w:val="24"/>
          <w:szCs w:val="24"/>
        </w:rPr>
        <w:t xml:space="preserve">演示包括自动归纳案件核心争议焦点，开展证据关联性评估，生成案件研判辅助结论，为办案决策提供支撑。</w:t>
      </w:r>
      <w:r/>
    </w:p>
    <w:p>
      <w:pPr>
        <w:ind w:firstLine="480"/>
        <w:spacing w:line="440" w:lineRule="exact"/>
        <w:widowControl/>
        <w:rPr>
          <w:rFonts w:ascii="宋体" w:hAnsi="宋体" w:cs="宋体"/>
          <w:sz w:val="24"/>
          <w:szCs w:val="24"/>
        </w:rPr>
      </w:pPr>
      <w:r>
        <w:rPr>
          <w:rFonts w:hint="eastAsia" w:ascii="宋体" w:hAnsi="宋体" w:cs="宋体"/>
          <w:sz w:val="24"/>
          <w:szCs w:val="24"/>
        </w:rPr>
        <w:t xml:space="preserve">（2）文书智能生成模块</w:t>
      </w:r>
      <w:r/>
    </w:p>
    <w:p>
      <w:pPr>
        <w:ind w:firstLine="480"/>
        <w:spacing w:line="440" w:lineRule="exact"/>
        <w:widowControl/>
        <w:rPr>
          <w:rFonts w:ascii="宋体" w:hAnsi="宋体" w:cs="宋体"/>
          <w:sz w:val="24"/>
          <w:szCs w:val="24"/>
        </w:rPr>
      </w:pPr>
      <w:r>
        <w:rPr>
          <w:rFonts w:hint="eastAsia" w:ascii="宋体" w:hAnsi="宋体" w:cs="宋体"/>
          <w:sz w:val="24"/>
          <w:szCs w:val="24"/>
        </w:rPr>
        <w:t xml:space="preserve">演示包括依托司法AI大模型技术，覆盖全类型仲裁文书生成需求，针对裁决书等文书，通过AI提取庭审材料中的案情要素（如事实认定、争议焦点），智能匹配法律依据与裁判规则，自动完成文书结构搭建、裁决理由撰写及结果初步生成，支持人工二次编辑调整。</w:t>
      </w:r>
      <w:r/>
    </w:p>
    <w:p>
      <w:pPr>
        <w:ind w:firstLine="480"/>
        <w:spacing w:line="0" w:lineRule="atLeast"/>
        <w:rPr>
          <w:rFonts w:ascii="宋体" w:hAnsi="宋体"/>
          <w:bCs/>
          <w:color w:val="000000"/>
          <w:sz w:val="24"/>
          <w:szCs w:val="24"/>
        </w:rPr>
      </w:pPr>
      <w:r>
        <w:rPr>
          <w:rFonts w:ascii="宋体" w:hAnsi="宋体"/>
          <w:bCs/>
          <w:color w:val="000000"/>
          <w:sz w:val="24"/>
          <w:szCs w:val="24"/>
        </w:rPr>
      </w:r>
      <w:r/>
    </w:p>
    <w:p>
      <w:pPr>
        <w:pStyle w:val="979"/>
        <w:jc w:val="both"/>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pgNumType w:start="16"/>
          <w:cols w:num="1" w:sep="0" w:space="1701" w:equalWidth="1"/>
          <w:docGrid w:linePitch="360"/>
          <w:titlePg/>
        </w:sectPr>
        <w:outlineLvl w:val="9"/>
      </w:pPr>
      <w:r>
        <w:rPr>
          <w:rFonts w:ascii="黑体" w:eastAsia="黑体"/>
          <w:bCs/>
          <w:color w:val="000000"/>
          <w:sz w:val="44"/>
        </w:rPr>
      </w:r>
      <w:r/>
    </w:p>
    <w:p>
      <w:pPr>
        <w:pStyle w:val="979"/>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222"/>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94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p>
            <w:pPr>
              <w:jc w:val="center"/>
              <w:rPr>
                <w:rFonts w:ascii="宋体" w:hAnsi="宋体"/>
                <w:sz w:val="24"/>
                <w:szCs w:val="24"/>
              </w:rPr>
            </w:pPr>
            <w:r>
              <w:rPr>
                <w:rFonts w:ascii="宋体" w:hAnsi="宋体"/>
                <w:sz w:val="24"/>
                <w:szCs w:val="24"/>
              </w:rPr>
            </w:r>
            <w:r/>
          </w:p>
        </w:tc>
      </w:tr>
    </w:tbl>
    <w:p>
      <w:pPr>
        <w:pStyle w:val="1222"/>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94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s="宋体"/>
          <w:color w:val="000000"/>
          <w:sz w:val="24"/>
          <w:u w:val="single"/>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222"/>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 </w:t>
      </w:r>
      <w:r>
        <w:rPr>
          <w:rFonts w:hint="eastAsia" w:ascii="宋体" w:hAnsi="宋体" w:cs="宋体"/>
          <w:color w:val="000000"/>
          <w:sz w:val="24"/>
          <w:u w:val="single"/>
        </w:rPr>
        <w:t xml:space="preserve">/ </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 </w:t>
      </w:r>
      <w:r>
        <w:rPr>
          <w:rFonts w:hint="eastAsia" w:ascii="宋体" w:hAnsi="宋体" w:cs="宋体"/>
          <w:color w:val="000000"/>
          <w:sz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 </w:t>
      </w:r>
      <w:r>
        <w:rPr>
          <w:rFonts w:hint="eastAsia" w:ascii="宋体" w:hAnsi="宋体" w:cs="宋体"/>
          <w:color w:val="000000"/>
          <w:sz w:val="24"/>
          <w:u w:val="single"/>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 </w:t>
      </w:r>
      <w:r>
        <w:rPr>
          <w:rFonts w:hint="eastAsia" w:ascii="宋体" w:hAnsi="宋体" w:cs="宋体"/>
          <w:color w:val="000000"/>
          <w:sz w:val="24"/>
          <w:u w:val="single"/>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7.采购本国产品的支持政策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7.2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7.3 供应商需在《声明函》中逐一、准确填写产品名称、厂名、生产厂址三项信息</w:t>
      </w:r>
      <w:r>
        <w:rPr>
          <w:rFonts w:hint="eastAsia" w:ascii="宋体" w:hAnsi="宋体"/>
          <w:sz w:val="24"/>
          <w:szCs w:val="24"/>
        </w:rPr>
        <w:t xml:space="preserve">（《声明函》中标注“  /  ”的地方无需填写）</w:t>
      </w:r>
      <w:r>
        <w:rPr>
          <w:rFonts w:hint="eastAsia" w:ascii="宋体" w:hAnsi="宋体"/>
          <w:color w:val="000000"/>
          <w:sz w:val="24"/>
          <w:szCs w:val="24"/>
        </w:rPr>
        <w:t xml:space="preserve">，三项信息中任意一项未填写的视为该项产品不符合本国产品标准，不享受本国产品价格评审优惠。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22"/>
        <w:ind w:firstLine="482"/>
        <w:spacing w:line="0" w:lineRule="atLeast"/>
        <w:rPr>
          <w:rFonts w:ascii="宋体" w:hAnsi="宋体"/>
          <w:b/>
          <w:color w:val="000000"/>
          <w:sz w:val="36"/>
          <w:szCs w:val="36"/>
        </w:rPr>
      </w:pPr>
      <w:r>
        <w:rPr>
          <w:rFonts w:hint="eastAsia" w:ascii="宋体" w:hAnsi="宋体"/>
          <w:b/>
          <w:color w:val="000000"/>
        </w:rPr>
        <w:t xml:space="preserve">评标方法与评标标准</w:t>
      </w:r>
      <w:r>
        <w:rPr>
          <w:rFonts w:hint="eastAsia"/>
          <w:color w:val="000000"/>
        </w:rPr>
        <w:t xml:space="preserve">    </w:t>
      </w:r>
      <w:r/>
    </w:p>
    <w:tbl>
      <w:tblPr>
        <w:tblStyle w:val="947"/>
        <w:tblW w:w="906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7650"/>
      </w:tblGrid>
      <w:tr>
        <w:trPr>
          <w:trHeight w:val="623"/>
        </w:trPr>
        <w:tc>
          <w:tcPr>
            <w:tcW w:w="1417" w:type="dxa"/>
            <w:vAlign w:val="center"/>
            <w:textDirection w:val="lrTb"/>
            <w:noWrap w:val="false"/>
          </w:tcPr>
          <w:p>
            <w:pPr>
              <w:jc w:val="center"/>
              <w:widowControl/>
              <w:rPr>
                <w:rFonts w:ascii="宋体" w:hAnsi="宋体" w:cs="Arial"/>
                <w:b/>
                <w:bCs/>
                <w:color w:val="000000"/>
                <w:sz w:val="24"/>
                <w:szCs w:val="24"/>
              </w:rPr>
            </w:pPr>
            <w:r>
              <w:rPr>
                <w:rFonts w:hint="eastAsia" w:ascii="宋体" w:hAnsi="宋体" w:cs="Arial"/>
                <w:b/>
                <w:bCs/>
                <w:sz w:val="24"/>
                <w:szCs w:val="24"/>
              </w:rPr>
              <w:t xml:space="preserve">项目</w:t>
            </w:r>
            <w:r/>
          </w:p>
        </w:tc>
        <w:tc>
          <w:tcPr>
            <w:tcW w:w="7650"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评分标准</w:t>
            </w:r>
            <w:r/>
          </w:p>
        </w:tc>
      </w:tr>
      <w:tr>
        <w:trPr>
          <w:trHeight w:val="50"/>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价格</w:t>
            </w:r>
            <w:r/>
          </w:p>
          <w:p>
            <w:pPr>
              <w:jc w:val="center"/>
              <w:widowControl/>
              <w:rPr>
                <w:rFonts w:ascii="宋体" w:hAnsi="宋体" w:cs="Arial"/>
                <w:color w:val="000000"/>
                <w:sz w:val="24"/>
                <w:szCs w:val="24"/>
              </w:rPr>
            </w:pPr>
            <w:r>
              <w:rPr>
                <w:rFonts w:hint="eastAsia" w:ascii="宋体" w:hAnsi="宋体" w:cs="Arial"/>
                <w:b/>
                <w:bCs/>
                <w:sz w:val="24"/>
                <w:szCs w:val="24"/>
              </w:rPr>
              <w:t xml:space="preserve">（10分）</w:t>
            </w:r>
            <w:r/>
          </w:p>
        </w:tc>
        <w:tc>
          <w:tcPr>
            <w:tcW w:w="7650" w:type="dxa"/>
            <w:vAlign w:val="center"/>
            <w:textDirection w:val="lrTb"/>
            <w:noWrap w:val="false"/>
          </w:tcPr>
          <w:p>
            <w:pPr>
              <w:pStyle w:val="1222"/>
              <w:ind w:firstLine="0"/>
              <w:rPr>
                <w:rFonts w:ascii="宋体" w:hAnsi="宋体" w:cs="Arial"/>
              </w:rPr>
            </w:pPr>
            <w:r>
              <w:rPr>
                <w:rFonts w:hint="eastAsia" w:ascii="宋体" w:hAnsi="宋体" w:cs="宋体"/>
                <w:color w:val="000000"/>
              </w:rPr>
              <w:t xml:space="preserve">以满足采购文件要求的最低投标报价为评标基准价，得满分10分，其他投标报价得分=（评标基准价/其他投标报价）×10×100%。</w:t>
            </w:r>
            <w:r/>
          </w:p>
        </w:tc>
      </w:tr>
      <w:tr>
        <w:trPr>
          <w:trHeight w:val="2939"/>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综合实力</w:t>
            </w:r>
            <w:r/>
          </w:p>
          <w:p>
            <w:pPr>
              <w:jc w:val="center"/>
              <w:widowControl/>
              <w:rPr>
                <w:rFonts w:ascii="宋体" w:hAnsi="宋体" w:cs="Arial"/>
                <w:sz w:val="24"/>
                <w:szCs w:val="24"/>
              </w:rPr>
            </w:pPr>
            <w:r>
              <w:rPr>
                <w:rFonts w:hint="eastAsia" w:ascii="宋体" w:hAnsi="宋体" w:cs="Arial"/>
                <w:b/>
                <w:bCs/>
                <w:sz w:val="24"/>
                <w:szCs w:val="24"/>
              </w:rPr>
              <w:t xml:space="preserve">（4分）</w:t>
            </w:r>
            <w:r/>
          </w:p>
        </w:tc>
        <w:tc>
          <w:tcPr>
            <w:tcW w:w="7650" w:type="dxa"/>
            <w:vAlign w:val="center"/>
            <w:textDirection w:val="lrTb"/>
            <w:noWrap w:val="false"/>
          </w:tcPr>
          <w:p>
            <w:pPr>
              <w:pStyle w:val="1222"/>
              <w:ind w:firstLine="0"/>
              <w:spacing w:line="240" w:lineRule="auto"/>
              <w:rPr>
                <w:rFonts w:ascii="宋体" w:hAnsi="宋体" w:cs="宋体"/>
                <w:color w:val="000000"/>
              </w:rPr>
            </w:pPr>
            <w:r>
              <w:rPr>
                <w:rFonts w:hint="eastAsia" w:ascii="宋体" w:hAnsi="宋体" w:cs="宋体"/>
                <w:color w:val="000000"/>
              </w:rPr>
              <w:t xml:space="preserve">（1）信息安全管理体系认证证书，满足得1分，不满足不得分；</w:t>
            </w:r>
            <w:r/>
          </w:p>
          <w:p>
            <w:pPr>
              <w:pStyle w:val="1222"/>
              <w:ind w:firstLine="0"/>
              <w:spacing w:line="240" w:lineRule="auto"/>
              <w:rPr>
                <w:rFonts w:ascii="宋体" w:hAnsi="宋体" w:cs="宋体"/>
                <w:color w:val="000000"/>
              </w:rPr>
            </w:pPr>
            <w:r>
              <w:rPr>
                <w:rFonts w:hint="eastAsia" w:ascii="宋体" w:hAnsi="宋体" w:cs="宋体"/>
                <w:color w:val="000000"/>
              </w:rPr>
              <w:t xml:space="preserve">（2）信息技术服务管理体系认证证书，满足得1分，不满足不得分；</w:t>
            </w:r>
            <w:r/>
          </w:p>
          <w:p>
            <w:pPr>
              <w:pStyle w:val="1222"/>
              <w:ind w:firstLine="0"/>
              <w:spacing w:line="240" w:lineRule="auto"/>
              <w:rPr>
                <w:rFonts w:ascii="宋体" w:hAnsi="宋体" w:cs="宋体"/>
                <w:color w:val="000000"/>
              </w:rPr>
            </w:pPr>
            <w:r>
              <w:rPr>
                <w:rFonts w:hint="eastAsia" w:ascii="宋体" w:hAnsi="宋体" w:cs="宋体"/>
                <w:color w:val="000000"/>
              </w:rPr>
              <w:t xml:space="preserve">（3）ITSS信息技术服务标准符合性证书（运行维护）三级及以上，满足得2分，不满足不得分；</w:t>
            </w:r>
            <w:r/>
          </w:p>
          <w:p>
            <w:pPr>
              <w:jc w:val="left"/>
              <w:widowControl/>
              <w:rPr>
                <w:rFonts w:ascii="宋体" w:hAnsi="宋体" w:cs="Arial"/>
                <w:b/>
                <w:bCs/>
                <w:sz w:val="24"/>
                <w:szCs w:val="24"/>
              </w:rPr>
            </w:pPr>
            <w:r>
              <w:rPr>
                <w:rFonts w:hint="eastAsia" w:ascii="宋体" w:hAnsi="宋体" w:cs="宋体"/>
                <w:color w:val="000000"/>
                <w:sz w:val="24"/>
                <w:szCs w:val="24"/>
              </w:rPr>
              <w:t xml:space="preserve">（投标人提供有效的证书，原件扫描上传）</w:t>
            </w:r>
            <w:r/>
          </w:p>
        </w:tc>
      </w:tr>
      <w:tr>
        <w:trPr>
          <w:trHeight w:val="1137"/>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软著</w:t>
            </w:r>
            <w:r/>
          </w:p>
          <w:p>
            <w:pPr>
              <w:jc w:val="center"/>
              <w:widowControl/>
            </w:pPr>
            <w:r>
              <w:rPr>
                <w:rFonts w:hint="eastAsia" w:ascii="宋体" w:hAnsi="宋体" w:cs="Arial"/>
                <w:b/>
                <w:bCs/>
                <w:sz w:val="24"/>
                <w:szCs w:val="24"/>
              </w:rPr>
              <w:t xml:space="preserve">（</w:t>
            </w:r>
            <w:r>
              <w:rPr>
                <w:rFonts w:ascii="宋体" w:hAnsi="宋体" w:cs="Arial"/>
                <w:b/>
                <w:bCs/>
                <w:sz w:val="24"/>
                <w:szCs w:val="24"/>
              </w:rPr>
              <w:t xml:space="preserve">4</w:t>
            </w:r>
            <w:r>
              <w:rPr>
                <w:rFonts w:hint="eastAsia" w:ascii="宋体" w:hAnsi="宋体" w:cs="Arial"/>
                <w:b/>
                <w:bCs/>
                <w:sz w:val="24"/>
                <w:szCs w:val="24"/>
              </w:rPr>
              <w:t xml:space="preserve">分）</w:t>
            </w:r>
            <w:r/>
          </w:p>
        </w:tc>
        <w:tc>
          <w:tcPr>
            <w:tcW w:w="7650" w:type="dxa"/>
            <w:vAlign w:val="center"/>
            <w:textDirection w:val="lrTb"/>
            <w:noWrap w:val="false"/>
          </w:tcPr>
          <w:p>
            <w:pPr>
              <w:pStyle w:val="1222"/>
              <w:ind w:firstLine="0"/>
              <w:rPr>
                <w:rFonts w:ascii="宋体" w:hAnsi="宋体" w:cs="宋体"/>
                <w:color w:val="000000"/>
              </w:rPr>
            </w:pPr>
            <w:r>
              <w:rPr>
                <w:rFonts w:hint="eastAsia" w:ascii="宋体" w:hAnsi="宋体" w:cs="宋体"/>
                <w:color w:val="000000"/>
              </w:rPr>
              <w:t xml:space="preserve">投标人具备人工智能、大数据、智能分析类的软件著作权证书的，每提供1个得2分，最高得</w:t>
            </w:r>
            <w:r>
              <w:rPr>
                <w:rFonts w:ascii="宋体" w:hAnsi="宋体" w:cs="宋体"/>
                <w:color w:val="000000"/>
              </w:rPr>
              <w:t xml:space="preserve">4</w:t>
            </w:r>
            <w:r>
              <w:rPr>
                <w:rFonts w:hint="eastAsia" w:ascii="宋体" w:hAnsi="宋体" w:cs="宋体"/>
                <w:color w:val="000000"/>
              </w:rPr>
              <w:t xml:space="preserve">分。提供有效证书原件扫描上传，不提供不得分。</w:t>
            </w:r>
            <w:r/>
          </w:p>
        </w:tc>
      </w:tr>
      <w:tr>
        <w:trPr>
          <w:trHeight w:val="1414"/>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业绩</w:t>
            </w:r>
            <w:r/>
          </w:p>
          <w:p>
            <w:pPr>
              <w:jc w:val="center"/>
              <w:widowControl/>
              <w:rPr>
                <w:rFonts w:ascii="宋体" w:hAnsi="宋体" w:cs="Arial"/>
                <w:sz w:val="24"/>
                <w:szCs w:val="24"/>
              </w:rPr>
            </w:pPr>
            <w:r>
              <w:rPr>
                <w:rFonts w:hint="eastAsia" w:ascii="宋体" w:hAnsi="宋体" w:cs="Arial"/>
                <w:b/>
                <w:bCs/>
                <w:sz w:val="24"/>
                <w:szCs w:val="24"/>
              </w:rPr>
              <w:t xml:space="preserve">（15分）</w:t>
            </w:r>
            <w:r/>
          </w:p>
        </w:tc>
        <w:tc>
          <w:tcPr>
            <w:tcW w:w="7650" w:type="dxa"/>
            <w:vAlign w:val="center"/>
            <w:textDirection w:val="lrTb"/>
            <w:noWrap w:val="false"/>
          </w:tcPr>
          <w:p>
            <w:pPr>
              <w:jc w:val="left"/>
              <w:widowControl/>
              <w:rPr>
                <w:rFonts w:ascii="宋体" w:hAnsi="宋体" w:cs="Arial"/>
                <w:sz w:val="24"/>
                <w:szCs w:val="24"/>
              </w:rPr>
            </w:pPr>
            <w:r>
              <w:rPr>
                <w:rFonts w:hint="eastAsia" w:ascii="宋体" w:hAnsi="宋体" w:cs="宋体"/>
                <w:color w:val="000000"/>
                <w:sz w:val="24"/>
                <w:szCs w:val="24"/>
              </w:rPr>
              <w:t xml:space="preserve">投标人自2023年1月1日至今具有类似业绩，每提供1项得3分，满分15分。（以合同签订时间为准，提供合同原件扫描上传）</w:t>
            </w:r>
            <w:r/>
          </w:p>
        </w:tc>
      </w:tr>
      <w:tr>
        <w:trPr>
          <w:trHeight w:val="1414"/>
        </w:trPr>
        <w:tc>
          <w:tcPr>
            <w:tcW w:w="1417" w:type="dxa"/>
            <w:vAlign w:val="center"/>
            <w:vMerge w:val="restart"/>
            <w:textDirection w:val="lrTb"/>
            <w:noWrap w:val="false"/>
          </w:tcPr>
          <w:p>
            <w:pPr>
              <w:jc w:val="center"/>
              <w:widowControl/>
              <w:rPr>
                <w:b/>
                <w:bCs/>
                <w:sz w:val="24"/>
                <w:lang w:bidi="ar"/>
              </w:rPr>
            </w:pPr>
            <w:r/>
            <w:bookmarkStart w:id="196" w:name="系统功能演示"/>
            <w:r>
              <w:rPr>
                <w:b/>
                <w:bCs/>
                <w:sz w:val="24"/>
                <w:lang w:bidi="ar"/>
              </w:rPr>
              <w:t xml:space="preserve">系统功能演示</w:t>
            </w:r>
            <w:r/>
          </w:p>
          <w:p>
            <w:pPr>
              <w:jc w:val="center"/>
              <w:widowControl/>
              <w:rPr>
                <w:rFonts w:ascii="宋体" w:hAnsi="宋体" w:cs="Arial"/>
                <w:b/>
                <w:bCs/>
                <w:sz w:val="24"/>
                <w:szCs w:val="24"/>
              </w:rPr>
            </w:pPr>
            <w:r>
              <w:rPr>
                <w:b/>
                <w:bCs/>
                <w:sz w:val="24"/>
                <w:lang w:bidi="ar"/>
              </w:rPr>
              <w:t xml:space="preserve">（</w:t>
            </w:r>
            <w:r>
              <w:rPr>
                <w:rFonts w:hint="eastAsia"/>
                <w:b/>
                <w:bCs/>
                <w:sz w:val="24"/>
                <w:lang w:bidi="ar"/>
              </w:rPr>
              <w:t xml:space="preserve">4</w:t>
            </w:r>
            <w:r>
              <w:rPr>
                <w:b/>
                <w:bCs/>
                <w:sz w:val="24"/>
                <w:lang w:bidi="ar"/>
              </w:rPr>
              <w:t xml:space="preserve">分）</w:t>
            </w:r>
            <w:r/>
          </w:p>
        </w:tc>
        <w:tc>
          <w:tcPr>
            <w:tcW w:w="7650" w:type="dxa"/>
            <w:vAlign w:val="center"/>
            <w:textDirection w:val="lrTb"/>
            <w:noWrap w:val="false"/>
          </w:tcPr>
          <w:p>
            <w:pPr>
              <w:jc w:val="left"/>
              <w:widowControl/>
              <w:rPr>
                <w:rFonts w:ascii="宋体" w:hAnsi="宋体" w:cs="宋体"/>
                <w:color w:val="000000"/>
                <w:sz w:val="24"/>
                <w:szCs w:val="24"/>
              </w:rPr>
            </w:pPr>
            <w:r>
              <w:rPr>
                <w:rFonts w:hint="eastAsia" w:eastAsia="Segoe UI"/>
                <w:color w:val="0f1115"/>
                <w:sz w:val="24"/>
                <w:szCs w:val="24"/>
                <w:shd w:val="clear" w:color="auto" w:fill="ffffff"/>
              </w:rPr>
              <w:t xml:space="preserve">投标人需按照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r>
        <w:trPr>
          <w:trHeight w:val="1414"/>
        </w:trPr>
        <w:tc>
          <w:tcPr>
            <w:tcW w:w="1417" w:type="dxa"/>
            <w:vAlign w:val="center"/>
            <w:vMerge w:val="continue"/>
            <w:textDirection w:val="lrTb"/>
            <w:noWrap w:val="false"/>
          </w:tcPr>
          <w:p>
            <w:pPr>
              <w:jc w:val="center"/>
              <w:widowControl/>
              <w:rPr>
                <w:rFonts w:ascii="宋体" w:hAnsi="宋体" w:cs="Arial"/>
                <w:b/>
                <w:bCs/>
                <w:sz w:val="24"/>
                <w:szCs w:val="24"/>
              </w:rPr>
            </w:pPr>
            <w:r>
              <w:rPr>
                <w:rFonts w:ascii="宋体" w:hAnsi="宋体" w:cs="Arial"/>
                <w:b/>
                <w:bCs/>
                <w:sz w:val="24"/>
                <w:szCs w:val="24"/>
              </w:rPr>
            </w:r>
            <w:r/>
          </w:p>
        </w:tc>
        <w:tc>
          <w:tcPr>
            <w:tcW w:w="7650"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（1）案件智能分析模块（2分）</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以</w:t>
            </w:r>
            <w:r>
              <w:rPr>
                <w:rFonts w:hint="eastAsia" w:ascii="宋体" w:hAnsi="宋体" w:cs="宋体"/>
                <w:color w:val="000000"/>
                <w:sz w:val="24"/>
                <w:szCs w:val="24"/>
                <w:lang w:val="en-US" w:eastAsia="zh-CN"/>
              </w:rPr>
              <w:t xml:space="preserve">下</w:t>
            </w:r>
            <w:r>
              <w:rPr>
                <w:rFonts w:hint="eastAsia" w:ascii="宋体" w:hAnsi="宋体" w:cs="宋体"/>
                <w:color w:val="000000"/>
                <w:sz w:val="24"/>
                <w:szCs w:val="24"/>
              </w:rPr>
              <w:t xml:space="preserve">内容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每演示1项得0.5分</w:t>
            </w:r>
            <w:r>
              <w:rPr>
                <w:rFonts w:hint="eastAsia" w:ascii="宋体" w:hAnsi="宋体" w:cs="宋体"/>
                <w:color w:val="000000"/>
                <w:sz w:val="24"/>
                <w:szCs w:val="24"/>
              </w:rPr>
              <w:t xml:space="preserve">，演示不全或未演示不得分。</w:t>
            </w:r>
            <w:r/>
          </w:p>
          <w:p>
            <w:pPr>
              <w:numPr>
                <w:numId w:val="0"/>
              </w:num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①</w:t>
            </w:r>
            <w:r>
              <w:rPr>
                <w:rFonts w:hint="eastAsia" w:ascii="宋体" w:hAnsi="宋体" w:cs="宋体"/>
                <w:color w:val="000000"/>
                <w:sz w:val="24"/>
                <w:szCs w:val="24"/>
              </w:rPr>
              <w:t xml:space="preserve">争议焦点自动识别：基于NLP技术分析庭审笔录、辩论意见，自动提炼核心争议点；支持多争议焦点并行识别，识别准确率≥90%。（演示内容不考量准确率，仅考量功能实现）</w:t>
            </w:r>
            <w:r/>
          </w:p>
          <w:p>
            <w:pPr>
              <w:numPr>
                <w:numId w:val="0"/>
              </w:num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②</w:t>
            </w:r>
            <w:r>
              <w:rPr>
                <w:rFonts w:hint="eastAsia" w:ascii="宋体" w:hAnsi="宋体" w:cs="宋体"/>
                <w:color w:val="000000"/>
                <w:sz w:val="24"/>
                <w:szCs w:val="24"/>
              </w:rPr>
              <w:t xml:space="preserve">证据关联性自动匹配：构建“仲裁请求-争议焦点-证据”关联图谱，例如：仲裁请求“支付加班费”→争议焦点“加班费计算基数”→关联证据“工资条（证明月工资）”“考勤记录（证明加班时长）”；自动标记缺失证据，并提示补充方向。（演示内容不考量合理性，仅考量功能实现）</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③</w:t>
            </w:r>
            <w:r>
              <w:rPr>
                <w:rFonts w:hint="eastAsia" w:ascii="宋体" w:hAnsi="宋体" w:cs="宋体"/>
                <w:color w:val="000000"/>
                <w:sz w:val="24"/>
                <w:szCs w:val="24"/>
              </w:rPr>
              <w:t xml:space="preserve">类案裁判规则推送：基于当前案件争议焦点和证据要素，从仲裁案例库模块调取相似度≥85%的历史案例，推送裁判规则。（演示内容不考量相似度，仅考量功能实现）</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④</w:t>
            </w:r>
            <w:r>
              <w:rPr>
                <w:rFonts w:hint="eastAsia" w:ascii="宋体" w:hAnsi="宋体" w:cs="宋体"/>
                <w:color w:val="000000"/>
                <w:sz w:val="24"/>
                <w:szCs w:val="24"/>
              </w:rPr>
              <w:t xml:space="preserve">裁决结果预测：结合法律依据、类案倾向、证据效力等因素，AI模型预测仲裁请求支持率，预测结果仅供参考，附“不支持风险提示”。（演示内容不考量合理性，仅考量功能实现）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（2）文书智能生成模块（2分）</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以</w:t>
            </w:r>
            <w:r>
              <w:rPr>
                <w:rFonts w:hint="eastAsia" w:ascii="宋体" w:hAnsi="宋体" w:cs="宋体"/>
                <w:color w:val="000000"/>
                <w:sz w:val="24"/>
                <w:szCs w:val="24"/>
                <w:lang w:val="en-US" w:eastAsia="zh-CN"/>
              </w:rPr>
              <w:t xml:space="preserve">下</w:t>
            </w:r>
            <w:r>
              <w:rPr>
                <w:rFonts w:hint="eastAsia" w:ascii="宋体" w:hAnsi="宋体" w:cs="宋体"/>
                <w:color w:val="000000"/>
                <w:sz w:val="24"/>
                <w:szCs w:val="24"/>
              </w:rPr>
              <w:t xml:space="preserve">内容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每演示1项得0.5分</w:t>
            </w:r>
            <w:r>
              <w:rPr>
                <w:rFonts w:hint="eastAsia" w:ascii="宋体" w:hAnsi="宋体" w:cs="宋体"/>
                <w:color w:val="000000"/>
                <w:sz w:val="24"/>
                <w:szCs w:val="24"/>
              </w:rPr>
              <w:t xml:space="preserve">，演示不全或未演示不得分。</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①</w:t>
            </w:r>
            <w:r>
              <w:rPr>
                <w:rFonts w:hint="eastAsia" w:ascii="宋体" w:hAnsi="宋体" w:cs="宋体"/>
                <w:color w:val="000000"/>
                <w:sz w:val="24"/>
                <w:szCs w:val="24"/>
              </w:rPr>
              <w:t xml:space="preserve">结构化数据自动填充：从案件信息管理模块同步案件要素，自动填充模板中的静态变量（如当事人信息、案号、受理日期），填充准确率≥99%，支持跨模块数据联动。（演示内容不考量准确率，仅考量功能实现）</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②</w:t>
            </w:r>
            <w:r>
              <w:rPr>
                <w:rFonts w:hint="eastAsia" w:ascii="宋体" w:hAnsi="宋体" w:cs="宋体"/>
                <w:b w:val="0"/>
                <w:bCs w:val="0"/>
                <w:color w:val="000000" w:themeColor="text1"/>
                <w:sz w:val="24"/>
                <w:szCs w:val="24"/>
                <w:lang w:val="en-US" w:eastAsia="zh-CN"/>
                <w14:textFill>
                  <w14:solidFill>
                    <w14:schemeClr w14:val="tx1"/>
                  </w14:solidFill>
                </w14:textFill>
              </w:rPr>
              <w:t xml:space="preserve">实体性文书AI深度生成</w:t>
            </w:r>
            <w:r>
              <w:rPr>
                <w:rFonts w:hint="eastAsia" w:ascii="宋体" w:hAnsi="宋体" w:cs="宋体"/>
                <w:color w:val="000000"/>
                <w:sz w:val="24"/>
                <w:szCs w:val="24"/>
              </w:rPr>
              <w:t xml:space="preserve">裁决理由：结合知识智能支持模块推送的法律依据（如《劳动合同法》第30条）和类案裁判规则，自动撰写论证过程（如“被申请人未及时足额支付劳动报酬，申请人有权解除劳动合同并主张经济补偿”）；（演示内容不考量合理性，仅考量功能实现）</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③</w:t>
            </w:r>
            <w:r>
              <w:rPr>
                <w:rFonts w:hint="eastAsia" w:ascii="宋体" w:hAnsi="宋体" w:cs="宋体"/>
                <w:b w:val="0"/>
                <w:bCs w:val="0"/>
                <w:color w:val="000000" w:themeColor="text1"/>
                <w:sz w:val="24"/>
                <w:szCs w:val="24"/>
                <w:lang w:val="en-US" w:eastAsia="zh-CN"/>
                <w14:textFill>
                  <w14:solidFill>
                    <w14:schemeClr w14:val="tx1"/>
                  </w14:solidFill>
                </w14:textFill>
              </w:rPr>
              <w:t xml:space="preserve">实体性文书AI深度生成</w:t>
            </w:r>
            <w:r>
              <w:rPr>
                <w:rFonts w:hint="eastAsia" w:ascii="宋体" w:hAnsi="宋体" w:cs="宋体"/>
                <w:color w:val="000000"/>
                <w:sz w:val="24"/>
                <w:szCs w:val="24"/>
              </w:rPr>
              <w:t xml:space="preserve">裁决结果：根据仲裁请求与法律适用，自动计算赔偿金额（如经济补偿=月工资×工作年限），生成“支持/驳回仲裁请求”的具体条款。（演示内容不考量正确性，仅考量功能实现）</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④</w:t>
            </w:r>
            <w:r>
              <w:rPr>
                <w:rFonts w:hint="eastAsia" w:ascii="宋体" w:hAnsi="宋体" w:cs="宋体"/>
                <w:color w:val="000000"/>
                <w:sz w:val="24"/>
                <w:szCs w:val="24"/>
              </w:rPr>
              <w:t xml:space="preserve">个性化内容调整：支持用户对AI生成内容进行局部修改。如增删事实细节、调整论证逻辑、补充特殊情况说明（如“本案涉及疫情期间特殊政策适用”）。（演示内容不考量合理性，仅考量功能实现）</w:t>
            </w:r>
            <w:bookmarkEnd w:id="196"/>
            <w:r/>
            <w:r/>
          </w:p>
        </w:tc>
      </w:tr>
      <w:tr>
        <w:trPr>
          <w:trHeight w:val="416"/>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技术能力</w:t>
            </w:r>
            <w:r/>
          </w:p>
          <w:p>
            <w:pPr>
              <w:jc w:val="center"/>
              <w:widowControl/>
              <w:rPr>
                <w:rFonts w:ascii="宋体" w:hAnsi="宋体" w:cs="Arial"/>
                <w:sz w:val="24"/>
                <w:szCs w:val="24"/>
              </w:rPr>
            </w:pPr>
            <w:r>
              <w:rPr>
                <w:rFonts w:hint="eastAsia" w:ascii="宋体" w:hAnsi="宋体" w:cs="Arial"/>
                <w:b/>
                <w:bCs/>
                <w:sz w:val="24"/>
                <w:szCs w:val="24"/>
              </w:rPr>
              <w:t xml:space="preserve">（21分）</w:t>
            </w:r>
            <w:r/>
          </w:p>
        </w:tc>
        <w:tc>
          <w:tcPr>
            <w:tcW w:w="7650" w:type="dxa"/>
            <w:vAlign w:val="center"/>
            <w:textDirection w:val="lrTb"/>
            <w:noWrap w:val="false"/>
          </w:tcPr>
          <w:p>
            <w:pPr>
              <w:jc w:val="left"/>
              <w:rPr>
                <w:color w:val="000000"/>
                <w:sz w:val="24"/>
                <w:szCs w:val="24"/>
              </w:rPr>
            </w:pPr>
            <w:r>
              <w:rPr>
                <w:color w:val="000000"/>
                <w:sz w:val="24"/>
                <w:szCs w:val="24"/>
              </w:rPr>
              <w:t xml:space="preserve">拟投入项目人员应具有下列证书（共计</w:t>
            </w:r>
            <w:r>
              <w:rPr>
                <w:rFonts w:hint="eastAsia"/>
                <w:color w:val="000000"/>
                <w:sz w:val="24"/>
                <w:szCs w:val="24"/>
              </w:rPr>
              <w:t xml:space="preserve">21</w:t>
            </w:r>
            <w:r>
              <w:rPr>
                <w:color w:val="000000"/>
                <w:sz w:val="24"/>
                <w:szCs w:val="24"/>
              </w:rPr>
              <w:t xml:space="preserve">分）</w:t>
            </w:r>
            <w:r/>
          </w:p>
          <w:p>
            <w:pPr>
              <w:ind w:firstLine="480"/>
              <w:jc w:val="left"/>
              <w:rPr>
                <w:color w:val="000000"/>
                <w:sz w:val="24"/>
                <w:szCs w:val="24"/>
              </w:rPr>
            </w:pPr>
            <w:r>
              <w:rPr>
                <w:color w:val="000000"/>
                <w:sz w:val="24"/>
                <w:szCs w:val="24"/>
              </w:rPr>
              <w:t xml:space="preserve">（1）</w:t>
            </w:r>
            <w:r>
              <w:rPr>
                <w:rFonts w:hint="eastAsia"/>
                <w:color w:val="000000"/>
                <w:sz w:val="24"/>
                <w:szCs w:val="24"/>
              </w:rPr>
              <w:t xml:space="preserve">项目经理需具备信息系统项目管理师</w:t>
            </w:r>
            <w:r>
              <w:rPr>
                <w:color w:val="000000"/>
                <w:sz w:val="24"/>
                <w:szCs w:val="24"/>
              </w:rPr>
              <w:t xml:space="preserve">（高级）</w:t>
            </w:r>
            <w:r>
              <w:rPr>
                <w:rFonts w:hint="eastAsia"/>
                <w:color w:val="000000"/>
                <w:sz w:val="24"/>
                <w:szCs w:val="24"/>
              </w:rPr>
              <w:t xml:space="preserve">(软考)、</w:t>
            </w:r>
            <w:r>
              <w:rPr>
                <w:color w:val="000000"/>
                <w:sz w:val="24"/>
                <w:szCs w:val="24"/>
              </w:rPr>
              <w:t xml:space="preserve">系统规划与管理师证书（高级）</w:t>
            </w:r>
            <w:r>
              <w:rPr>
                <w:rFonts w:hint="eastAsia"/>
                <w:color w:val="000000"/>
                <w:sz w:val="24"/>
                <w:szCs w:val="24"/>
              </w:rPr>
              <w:t xml:space="preserve">(软考)，</w:t>
            </w:r>
            <w:r>
              <w:rPr>
                <w:color w:val="000000"/>
                <w:sz w:val="24"/>
                <w:szCs w:val="24"/>
              </w:rPr>
              <w:t xml:space="preserve">每提供一个得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hint="eastAsia"/>
                <w:color w:val="000000"/>
                <w:sz w:val="24"/>
                <w:szCs w:val="24"/>
              </w:rPr>
              <w:t xml:space="preserve">；</w:t>
            </w:r>
            <w:r/>
          </w:p>
          <w:p>
            <w:pPr>
              <w:ind w:firstLine="480"/>
              <w:jc w:val="left"/>
              <w:rPr>
                <w:color w:val="000000"/>
                <w:sz w:val="24"/>
                <w:szCs w:val="24"/>
              </w:rPr>
            </w:pPr>
            <w:r>
              <w:rPr>
                <w:rFonts w:hint="eastAsia"/>
                <w:color w:val="000000"/>
                <w:sz w:val="24"/>
                <w:szCs w:val="24"/>
              </w:rPr>
              <w:t xml:space="preserve">（2）技术负责人需具备信息系统项目管理师</w:t>
            </w:r>
            <w:r>
              <w:rPr>
                <w:color w:val="000000"/>
                <w:sz w:val="24"/>
                <w:szCs w:val="24"/>
              </w:rPr>
              <w:t xml:space="preserve">（高级）</w:t>
            </w:r>
            <w:r>
              <w:rPr>
                <w:rFonts w:hint="eastAsia"/>
                <w:color w:val="000000"/>
                <w:sz w:val="24"/>
                <w:szCs w:val="24"/>
              </w:rPr>
              <w:t xml:space="preserve">(软考)、系统分析师</w:t>
            </w:r>
            <w:r>
              <w:rPr>
                <w:color w:val="000000"/>
                <w:sz w:val="24"/>
                <w:szCs w:val="24"/>
              </w:rPr>
              <w:t xml:space="preserve">（高级）</w:t>
            </w:r>
            <w:r>
              <w:rPr>
                <w:rFonts w:hint="eastAsia"/>
                <w:color w:val="000000"/>
                <w:sz w:val="24"/>
                <w:szCs w:val="24"/>
              </w:rPr>
              <w:t xml:space="preserve">(软考)，</w:t>
            </w:r>
            <w:r>
              <w:rPr>
                <w:color w:val="000000"/>
                <w:sz w:val="24"/>
                <w:szCs w:val="24"/>
              </w:rPr>
              <w:t xml:space="preserve">每提供一个得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hint="eastAsia"/>
                <w:color w:val="000000"/>
                <w:sz w:val="24"/>
                <w:szCs w:val="24"/>
              </w:rPr>
              <w:t xml:space="preserve">；</w:t>
            </w:r>
            <w:r/>
          </w:p>
          <w:p>
            <w:pPr>
              <w:ind w:firstLine="480"/>
              <w:jc w:val="left"/>
              <w:rPr>
                <w:color w:val="000000"/>
                <w:sz w:val="24"/>
                <w:szCs w:val="24"/>
              </w:rPr>
            </w:pPr>
            <w:r>
              <w:rPr>
                <w:rFonts w:hint="eastAsia"/>
                <w:color w:val="000000"/>
                <w:sz w:val="24"/>
                <w:szCs w:val="24"/>
              </w:rPr>
              <w:t xml:space="preserve">（3）安全负责人需具备信息系统项目管理师</w:t>
            </w:r>
            <w:r>
              <w:rPr>
                <w:color w:val="000000"/>
                <w:sz w:val="24"/>
                <w:szCs w:val="24"/>
              </w:rPr>
              <w:t xml:space="preserve">（高级）</w:t>
            </w:r>
            <w:r>
              <w:rPr>
                <w:rFonts w:hint="eastAsia"/>
                <w:color w:val="000000"/>
                <w:sz w:val="24"/>
                <w:szCs w:val="24"/>
              </w:rPr>
              <w:t xml:space="preserve">(软考)、信息安全保障人员认证证书</w:t>
            </w:r>
            <w:r>
              <w:rPr>
                <w:color w:val="000000"/>
                <w:sz w:val="24"/>
                <w:szCs w:val="24"/>
              </w:rPr>
              <w:t xml:space="preserve">（中国网络安全审查认证和市场监管大数据中心颁发，原中国网络安全审查技术与认证中心）每提供一个得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hint="eastAsia"/>
                <w:color w:val="000000"/>
                <w:sz w:val="24"/>
                <w:szCs w:val="24"/>
              </w:rPr>
              <w:t xml:space="preserve">；</w:t>
            </w:r>
            <w:r/>
          </w:p>
          <w:p>
            <w:pPr>
              <w:ind w:firstLine="480"/>
              <w:jc w:val="left"/>
              <w:widowControl/>
              <w:rPr>
                <w:color w:val="000000"/>
                <w:sz w:val="24"/>
                <w:szCs w:val="24"/>
              </w:rPr>
            </w:pPr>
            <w:r>
              <w:rPr>
                <w:rFonts w:hint="eastAsia"/>
                <w:color w:val="000000"/>
                <w:sz w:val="24"/>
                <w:szCs w:val="24"/>
              </w:rPr>
              <w:t xml:space="preserve">（4）支撑服务团队成员（以上3类人员除外）具备系统架构设计师（高级）(软考)、软件设计师（中级）(软考)、系统集成项目管理工程师（中级）(软考)、</w:t>
            </w:r>
            <w:r>
              <w:rPr>
                <w:color w:val="000000"/>
                <w:sz w:val="24"/>
                <w:szCs w:val="24"/>
              </w:rPr>
              <w:t xml:space="preserve">IT服务项目经理证书</w:t>
            </w:r>
            <w:r>
              <w:rPr>
                <w:rFonts w:hint="eastAsia"/>
                <w:color w:val="000000"/>
                <w:sz w:val="24"/>
                <w:szCs w:val="24"/>
              </w:rPr>
              <w:t xml:space="preserve">、信息安全保障人员认证证书（安全集成）（中国网络安全审查认证和市场监管大数据中心颁发，原中国网络安全审查技术与认证中心）、系统分析师（高级）(软考)，每提供一人得1.5分，同一人员具备一个以上证书最多得1.5分，总分</w:t>
            </w:r>
            <w:r>
              <w:rPr>
                <w:color w:val="000000"/>
                <w:sz w:val="24"/>
                <w:szCs w:val="24"/>
              </w:rPr>
              <w:t xml:space="preserve">9</w:t>
            </w:r>
            <w:r>
              <w:rPr>
                <w:rFonts w:hint="eastAsia"/>
                <w:color w:val="000000"/>
                <w:sz w:val="24"/>
                <w:szCs w:val="24"/>
              </w:rPr>
              <w:t xml:space="preserve">分，</w:t>
            </w:r>
            <w:r>
              <w:rPr>
                <w:rFonts w:hint="eastAsia"/>
                <w:color w:val="000000" w:themeColor="text1"/>
                <w:sz w:val="24"/>
                <w:szCs w:val="24"/>
                <w14:textFill>
                  <w14:solidFill>
                    <w14:schemeClr w14:val="tx1"/>
                  </w14:solidFill>
                </w14:textFill>
              </w:rPr>
              <w:t xml:space="preserve">同一类证书不重复计分</w:t>
            </w:r>
            <w:r>
              <w:rPr>
                <w:rFonts w:hint="eastAsia"/>
                <w:color w:val="000000"/>
                <w:sz w:val="24"/>
                <w:szCs w:val="24"/>
              </w:rPr>
              <w:t xml:space="preserve">。</w:t>
            </w:r>
            <w:r/>
          </w:p>
          <w:p>
            <w:pPr>
              <w:jc w:val="left"/>
              <w:widowControl/>
              <w:rPr>
                <w:rFonts w:ascii="宋体" w:hAnsi="宋体" w:cs="Arial"/>
                <w:sz w:val="24"/>
                <w:szCs w:val="24"/>
              </w:rPr>
            </w:pPr>
            <w:r>
              <w:rPr>
                <w:rFonts w:hint="eastAsia" w:ascii="宋体" w:hAnsi="宋体" w:cs="Arial"/>
                <w:b/>
                <w:bCs/>
                <w:sz w:val="24"/>
                <w:szCs w:val="24"/>
              </w:rPr>
              <w:t xml:space="preserve">（投标人提供相应的有效期内的证书及投标人近3个月内任意1个月为上述持证人员缴纳社保的证明材料，原件扫描上传</w:t>
            </w:r>
            <w:r>
              <w:rPr>
                <w:rFonts w:hint="eastAsia" w:ascii="宋体" w:hAnsi="宋体" w:cs="宋体"/>
                <w:b/>
                <w:bCs/>
                <w:sz w:val="24"/>
                <w:szCs w:val="24"/>
              </w:rPr>
              <w:t xml:space="preserve">）</w:t>
            </w:r>
            <w:r/>
          </w:p>
        </w:tc>
      </w:tr>
      <w:tr>
        <w:trPr>
          <w:trHeight w:val="1125"/>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技术方案</w:t>
            </w:r>
            <w:r/>
          </w:p>
          <w:p>
            <w:pPr>
              <w:jc w:val="center"/>
              <w:widowControl/>
              <w:rPr>
                <w:rFonts w:ascii="宋体" w:hAnsi="宋体" w:cs="Arial"/>
                <w:sz w:val="24"/>
                <w:szCs w:val="24"/>
              </w:rPr>
            </w:pPr>
            <w:r>
              <w:rPr>
                <w:rFonts w:hint="eastAsia" w:ascii="宋体" w:hAnsi="宋体" w:cs="Arial"/>
                <w:b/>
                <w:bCs/>
                <w:sz w:val="24"/>
                <w:szCs w:val="24"/>
              </w:rPr>
              <w:t xml:space="preserve">（42分）</w:t>
            </w:r>
            <w:r/>
          </w:p>
        </w:tc>
        <w:tc>
          <w:tcPr>
            <w:tcW w:w="7650" w:type="dxa"/>
            <w:vAlign w:val="center"/>
            <w:textDirection w:val="lrTb"/>
            <w:noWrap w:val="false"/>
          </w:tcPr>
          <w:p>
            <w:pPr>
              <w:jc w:val="left"/>
              <w:widowControl/>
              <w:rPr>
                <w:sz w:val="24"/>
                <w:szCs w:val="24"/>
              </w:rPr>
            </w:pPr>
            <w:r>
              <w:rPr>
                <w:rFonts w:hint="eastAsia"/>
                <w:sz w:val="24"/>
                <w:szCs w:val="24"/>
              </w:rPr>
              <w:t xml:space="preserve">1、技术方案（24分）</w:t>
            </w:r>
            <w:r/>
          </w:p>
          <w:p>
            <w:pPr>
              <w:pStyle w:val="984"/>
            </w:pPr>
            <w:r>
              <w:t xml:space="preserve">（</w:t>
            </w:r>
            <w:r>
              <w:rPr>
                <w:rFonts w:hint="eastAsia"/>
              </w:rPr>
              <w:t xml:space="preserve">1</w:t>
            </w:r>
            <w:r>
              <w:t xml:space="preserve">）</w:t>
            </w:r>
            <w:r>
              <w:rPr>
                <w:rFonts w:hint="eastAsia"/>
              </w:rPr>
              <w:t xml:space="preserve">法律法规推荐模块</w:t>
            </w:r>
            <w:r>
              <w:t xml:space="preserve">（</w:t>
            </w:r>
            <w:r>
              <w:rPr>
                <w:rFonts w:hint="eastAsia"/>
              </w:rPr>
              <w:t xml:space="preserve">5</w:t>
            </w:r>
            <w:r>
              <w:t xml:space="preserve">分）</w:t>
            </w:r>
            <w:r/>
          </w:p>
          <w:p>
            <w:pPr>
              <w:ind w:firstLine="480"/>
              <w:jc w:val="left"/>
              <w:widowControl/>
              <w:rPr>
                <w:sz w:val="24"/>
                <w:szCs w:val="24"/>
              </w:rPr>
            </w:pPr>
            <w:r>
              <w:rPr>
                <w:rFonts w:hint="eastAsia"/>
                <w:sz w:val="24"/>
                <w:szCs w:val="24"/>
              </w:rPr>
              <w:t xml:space="preserve">请投标人提供法律法规推荐模块技术方案，包括法律法规库全量构建、智能检索与精准匹配、动态更新与版本管理、法条关联与知识图谱、个性化法规推荐。</w:t>
            </w:r>
            <w:r/>
          </w:p>
          <w:p>
            <w:pPr>
              <w:ind w:firstLine="480"/>
              <w:jc w:val="left"/>
              <w:widowControl/>
              <w:rPr>
                <w:sz w:val="24"/>
                <w:szCs w:val="24"/>
              </w:rPr>
            </w:pPr>
            <w:r>
              <w:rPr>
                <w:rFonts w:hint="eastAsia"/>
                <w:sz w:val="24"/>
                <w:szCs w:val="24"/>
              </w:rPr>
              <w:t xml:space="preserve">每一项符合招标要求的得1分；</w:t>
            </w:r>
            <w:r>
              <w:rPr>
                <w:sz w:val="24"/>
                <w:szCs w:val="24"/>
              </w:rPr>
              <w:t xml:space="preserve">不</w:t>
            </w:r>
            <w:r>
              <w:rPr>
                <w:rFonts w:hint="eastAsia"/>
                <w:sz w:val="24"/>
                <w:szCs w:val="24"/>
              </w:rPr>
              <w:t xml:space="preserve">符合</w:t>
            </w:r>
            <w:r>
              <w:rPr>
                <w:sz w:val="24"/>
                <w:szCs w:val="24"/>
              </w:rPr>
              <w:t xml:space="preserve">招标要求</w:t>
            </w:r>
            <w:r>
              <w:rPr>
                <w:rFonts w:hint="eastAsia"/>
                <w:sz w:val="24"/>
                <w:szCs w:val="24"/>
              </w:rPr>
              <w:t xml:space="preserve">或未提供的不得分。</w:t>
            </w:r>
            <w:r/>
          </w:p>
          <w:p>
            <w:pPr>
              <w:pStyle w:val="984"/>
            </w:pPr>
            <w:r>
              <w:t xml:space="preserve">（</w:t>
            </w:r>
            <w:r>
              <w:rPr>
                <w:rFonts w:hint="eastAsia"/>
              </w:rPr>
              <w:t xml:space="preserve">2）仲裁案例库模块</w:t>
            </w:r>
            <w:r>
              <w:t xml:space="preserve">（</w:t>
            </w:r>
            <w:r>
              <w:rPr>
                <w:rFonts w:hint="eastAsia"/>
              </w:rPr>
              <w:t xml:space="preserve">4</w:t>
            </w:r>
            <w:r>
              <w:t xml:space="preserve">分）</w:t>
            </w:r>
            <w:r/>
          </w:p>
          <w:p>
            <w:pPr>
              <w:ind w:firstLine="480"/>
              <w:jc w:val="left"/>
              <w:widowControl/>
              <w:rPr>
                <w:sz w:val="24"/>
                <w:szCs w:val="24"/>
              </w:rPr>
            </w:pPr>
            <w:r>
              <w:rPr>
                <w:rFonts w:hint="eastAsia"/>
                <w:sz w:val="24"/>
                <w:szCs w:val="24"/>
              </w:rPr>
              <w:t xml:space="preserve">请投标人提供项目所涉及的仲裁案例库模块技术方案，包括案例数据全量采集与结构化、案例相似度智能匹配、类案推送与裁判尺度指引、案例检索与深度分析。</w:t>
            </w:r>
            <w:r/>
          </w:p>
          <w:p>
            <w:pPr>
              <w:ind w:firstLine="480"/>
              <w:jc w:val="left"/>
              <w:widowControl/>
              <w:rPr>
                <w:sz w:val="24"/>
                <w:szCs w:val="24"/>
              </w:rPr>
            </w:pPr>
            <w:r>
              <w:rPr>
                <w:rFonts w:hint="eastAsia"/>
                <w:sz w:val="24"/>
                <w:szCs w:val="24"/>
              </w:rPr>
              <w:t xml:space="preserve">每一项符合招标要求的得1分；</w:t>
            </w:r>
            <w:r>
              <w:rPr>
                <w:sz w:val="24"/>
                <w:szCs w:val="24"/>
              </w:rPr>
              <w:t xml:space="preserve">不</w:t>
            </w:r>
            <w:r>
              <w:rPr>
                <w:rFonts w:hint="eastAsia"/>
                <w:sz w:val="24"/>
                <w:szCs w:val="24"/>
              </w:rPr>
              <w:t xml:space="preserve">符合</w:t>
            </w:r>
            <w:r>
              <w:rPr>
                <w:sz w:val="24"/>
                <w:szCs w:val="24"/>
              </w:rPr>
              <w:t xml:space="preserve">招标要求</w:t>
            </w:r>
            <w:r>
              <w:rPr>
                <w:rFonts w:hint="eastAsia"/>
                <w:sz w:val="24"/>
                <w:szCs w:val="24"/>
              </w:rPr>
              <w:t xml:space="preserve">或未提供的不得分。</w:t>
            </w:r>
            <w:r/>
          </w:p>
          <w:p>
            <w:pPr>
              <w:pStyle w:val="984"/>
            </w:pPr>
            <w:r>
              <w:t xml:space="preserve">（</w:t>
            </w:r>
            <w:r>
              <w:rPr>
                <w:rFonts w:hint="eastAsia"/>
              </w:rPr>
              <w:t xml:space="preserve">3</w:t>
            </w:r>
            <w:r>
              <w:t xml:space="preserve">）</w:t>
            </w:r>
            <w:r>
              <w:rPr>
                <w:rFonts w:hint="eastAsia"/>
              </w:rPr>
              <w:t xml:space="preserve">案件智能分析模块</w:t>
            </w:r>
            <w:r>
              <w:t xml:space="preserve">（</w:t>
            </w:r>
            <w:r>
              <w:rPr>
                <w:rFonts w:hint="eastAsia"/>
              </w:rPr>
              <w:t xml:space="preserve">5</w:t>
            </w:r>
            <w:r>
              <w:t xml:space="preserve">分）</w:t>
            </w:r>
            <w:r/>
          </w:p>
          <w:p>
            <w:pPr>
              <w:ind w:firstLine="480"/>
              <w:jc w:val="left"/>
              <w:widowControl/>
              <w:rPr>
                <w:sz w:val="24"/>
                <w:szCs w:val="24"/>
              </w:rPr>
            </w:pPr>
            <w:r>
              <w:rPr>
                <w:rFonts w:hint="eastAsia"/>
                <w:sz w:val="24"/>
                <w:szCs w:val="24"/>
              </w:rPr>
              <w:t xml:space="preserve">请投标人提供项目所涉及的案件智能分析模块技术方案，包括案情要素智能提取与结构化、争议焦点智能归纳与标签化、证据链分析与效力评估、裁决趋势预测与辅助决策、可视化案情分析报告。</w:t>
            </w:r>
            <w:r/>
          </w:p>
          <w:p>
            <w:pPr>
              <w:ind w:firstLine="480"/>
              <w:jc w:val="left"/>
              <w:widowControl/>
              <w:rPr>
                <w:sz w:val="24"/>
                <w:szCs w:val="24"/>
              </w:rPr>
            </w:pPr>
            <w:r>
              <w:rPr>
                <w:rFonts w:hint="eastAsia"/>
                <w:sz w:val="24"/>
                <w:szCs w:val="24"/>
              </w:rPr>
              <w:t xml:space="preserve">每一项符合招标要求的得1分；</w:t>
            </w:r>
            <w:r>
              <w:rPr>
                <w:sz w:val="24"/>
                <w:szCs w:val="24"/>
              </w:rPr>
              <w:t xml:space="preserve">不</w:t>
            </w:r>
            <w:r>
              <w:rPr>
                <w:rFonts w:hint="eastAsia"/>
                <w:sz w:val="24"/>
                <w:szCs w:val="24"/>
              </w:rPr>
              <w:t xml:space="preserve">符合</w:t>
            </w:r>
            <w:r>
              <w:rPr>
                <w:sz w:val="24"/>
                <w:szCs w:val="24"/>
              </w:rPr>
              <w:t xml:space="preserve">招标要求</w:t>
            </w:r>
            <w:r>
              <w:rPr>
                <w:rFonts w:hint="eastAsia"/>
                <w:sz w:val="24"/>
                <w:szCs w:val="24"/>
              </w:rPr>
              <w:t xml:space="preserve">或未提供的不得分。</w:t>
            </w:r>
            <w:r/>
          </w:p>
          <w:p>
            <w:pPr>
              <w:pStyle w:val="984"/>
            </w:pPr>
            <w:r>
              <w:t xml:space="preserve">（</w:t>
            </w:r>
            <w:r>
              <w:rPr>
                <w:rFonts w:hint="eastAsia"/>
              </w:rPr>
              <w:t xml:space="preserve">4</w:t>
            </w:r>
            <w:r>
              <w:t xml:space="preserve">）</w:t>
            </w:r>
            <w:r>
              <w:rPr>
                <w:rFonts w:hint="eastAsia"/>
              </w:rPr>
              <w:t xml:space="preserve">文书智能生成模块</w:t>
            </w:r>
            <w:r>
              <w:t xml:space="preserve">（</w:t>
            </w:r>
            <w:r>
              <w:rPr>
                <w:rFonts w:hint="eastAsia"/>
              </w:rPr>
              <w:t xml:space="preserve">5</w:t>
            </w:r>
            <w:r>
              <w:t xml:space="preserve">分）</w:t>
            </w:r>
            <w:r/>
          </w:p>
          <w:p>
            <w:pPr>
              <w:ind w:firstLine="480"/>
              <w:jc w:val="left"/>
              <w:widowControl/>
              <w:rPr>
                <w:sz w:val="24"/>
                <w:szCs w:val="24"/>
              </w:rPr>
            </w:pPr>
            <w:r>
              <w:rPr>
                <w:rFonts w:hint="eastAsia"/>
                <w:sz w:val="24"/>
                <w:szCs w:val="24"/>
              </w:rPr>
              <w:t xml:space="preserve">请投标人提供项目所涉及的文书智能生成模块技术方案，包括文书模板管理引擎、智能内容生成与填充。</w:t>
            </w:r>
            <w:r/>
          </w:p>
          <w:p>
            <w:pPr>
              <w:ind w:firstLine="480"/>
              <w:jc w:val="left"/>
              <w:widowControl/>
            </w:pPr>
            <w:r>
              <w:rPr>
                <w:rFonts w:hint="eastAsia"/>
                <w:sz w:val="24"/>
                <w:szCs w:val="24"/>
              </w:rPr>
              <w:t xml:space="preserve">每一项符合招标要求的得2.5分；</w:t>
            </w:r>
            <w:r>
              <w:rPr>
                <w:sz w:val="24"/>
                <w:szCs w:val="24"/>
              </w:rPr>
              <w:t xml:space="preserve">不</w:t>
            </w:r>
            <w:r>
              <w:rPr>
                <w:rFonts w:hint="eastAsia"/>
                <w:sz w:val="24"/>
                <w:szCs w:val="24"/>
              </w:rPr>
              <w:t xml:space="preserve">符合</w:t>
            </w:r>
            <w:r>
              <w:rPr>
                <w:sz w:val="24"/>
                <w:szCs w:val="24"/>
              </w:rPr>
              <w:t xml:space="preserve">招标要求</w:t>
            </w:r>
            <w:r>
              <w:rPr>
                <w:rFonts w:hint="eastAsia"/>
                <w:sz w:val="24"/>
                <w:szCs w:val="24"/>
              </w:rPr>
              <w:t xml:space="preserve">或未提供的不得分。</w:t>
            </w:r>
            <w:r/>
          </w:p>
          <w:p>
            <w:pPr>
              <w:pStyle w:val="984"/>
            </w:pPr>
            <w:r>
              <w:t xml:space="preserve">（5）闭源大模型适配与模型训练方案（</w:t>
            </w:r>
            <w:r>
              <w:rPr>
                <w:rFonts w:hint="eastAsia"/>
              </w:rPr>
              <w:t xml:space="preserve">5</w:t>
            </w:r>
            <w:r>
              <w:t xml:space="preserve">分）</w:t>
            </w:r>
            <w:r/>
          </w:p>
          <w:p>
            <w:pPr>
              <w:ind w:firstLine="480"/>
              <w:rPr>
                <w:sz w:val="24"/>
                <w:szCs w:val="24"/>
              </w:rPr>
            </w:pPr>
            <w:r>
              <w:rPr>
                <w:rFonts w:hint="eastAsia"/>
                <w:sz w:val="24"/>
                <w:szCs w:val="24"/>
              </w:rPr>
              <w:t xml:space="preserve">请投标人提供项目所涉及的闭源大模型适配与模型训练方案，包括场景化微调与优化、仲裁卷宗与庭审场景专项精度提升。</w:t>
            </w:r>
            <w:r/>
          </w:p>
          <w:p>
            <w:pPr>
              <w:ind w:firstLine="480"/>
              <w:rPr>
                <w:sz w:val="24"/>
                <w:szCs w:val="24"/>
              </w:rPr>
            </w:pPr>
            <w:r>
              <w:rPr>
                <w:rFonts w:hint="eastAsia"/>
                <w:sz w:val="24"/>
                <w:szCs w:val="24"/>
              </w:rPr>
              <w:t xml:space="preserve">每一项符合招标要求的得2.5分；</w:t>
            </w:r>
            <w:r>
              <w:rPr>
                <w:sz w:val="24"/>
                <w:szCs w:val="24"/>
              </w:rPr>
              <w:t xml:space="preserve">不</w:t>
            </w:r>
            <w:r>
              <w:rPr>
                <w:rFonts w:hint="eastAsia"/>
                <w:sz w:val="24"/>
                <w:szCs w:val="24"/>
              </w:rPr>
              <w:t xml:space="preserve">符合</w:t>
            </w:r>
            <w:r>
              <w:rPr>
                <w:sz w:val="24"/>
                <w:szCs w:val="24"/>
              </w:rPr>
              <w:t xml:space="preserve">招标要求</w:t>
            </w:r>
            <w:r>
              <w:rPr>
                <w:rFonts w:hint="eastAsia"/>
                <w:sz w:val="24"/>
                <w:szCs w:val="24"/>
              </w:rPr>
              <w:t xml:space="preserve">或未提供的不得分。</w:t>
            </w:r>
            <w:r/>
          </w:p>
          <w:p>
            <w:pPr>
              <w:jc w:val="left"/>
              <w:widowControl/>
              <w:rPr>
                <w:sz w:val="24"/>
                <w:szCs w:val="24"/>
              </w:rPr>
            </w:pPr>
            <w:r>
              <w:rPr>
                <w:rFonts w:hint="eastAsia"/>
                <w:sz w:val="24"/>
                <w:szCs w:val="24"/>
              </w:rPr>
              <w:t xml:space="preserve">2</w:t>
            </w:r>
            <w:r>
              <w:rPr>
                <w:sz w:val="24"/>
                <w:szCs w:val="24"/>
              </w:rPr>
              <w:t xml:space="preserve">、实施方案（</w:t>
            </w:r>
            <w:r>
              <w:rPr>
                <w:rFonts w:hint="eastAsia"/>
                <w:sz w:val="24"/>
                <w:szCs w:val="24"/>
              </w:rPr>
              <w:t xml:space="preserve">6</w:t>
            </w:r>
            <w:r>
              <w:rPr>
                <w:sz w:val="24"/>
                <w:szCs w:val="24"/>
              </w:rPr>
              <w:t xml:space="preserve">分）</w:t>
            </w:r>
            <w:r/>
          </w:p>
          <w:p>
            <w:pPr>
              <w:ind w:firstLine="480"/>
              <w:widowControl/>
              <w:rPr>
                <w:sz w:val="24"/>
                <w:szCs w:val="24"/>
              </w:rPr>
            </w:pPr>
            <w:r>
              <w:rPr>
                <w:rFonts w:hint="eastAsia"/>
                <w:sz w:val="24"/>
                <w:szCs w:val="24"/>
              </w:rPr>
              <w:t xml:space="preserve">请投标人提供项目实施方案（包括进度计划、配合验收）。每一项优于招标文件要求的得3分；符合招标文件要求的得2分；不符合招标要求或未提供的不得分。</w:t>
            </w:r>
            <w:r/>
          </w:p>
          <w:p>
            <w:pPr>
              <w:jc w:val="left"/>
              <w:widowControl/>
              <w:rPr>
                <w:sz w:val="24"/>
                <w:szCs w:val="24"/>
              </w:rPr>
            </w:pPr>
            <w:r>
              <w:rPr>
                <w:sz w:val="24"/>
                <w:szCs w:val="24"/>
              </w:rPr>
              <w:t xml:space="preserve">3、售后服务方案（</w:t>
            </w:r>
            <w:r>
              <w:rPr>
                <w:rFonts w:hint="eastAsia"/>
                <w:sz w:val="24"/>
                <w:szCs w:val="24"/>
              </w:rPr>
              <w:t xml:space="preserve">6</w:t>
            </w:r>
            <w:r>
              <w:rPr>
                <w:sz w:val="24"/>
                <w:szCs w:val="24"/>
              </w:rPr>
              <w:t xml:space="preserve">分）</w:t>
            </w:r>
            <w:r/>
          </w:p>
          <w:p>
            <w:pPr>
              <w:ind w:firstLine="480"/>
              <w:jc w:val="left"/>
              <w:widowControl/>
              <w:rPr>
                <w:sz w:val="24"/>
                <w:szCs w:val="24"/>
              </w:rPr>
            </w:pPr>
            <w:r>
              <w:rPr>
                <w:sz w:val="24"/>
                <w:szCs w:val="24"/>
              </w:rPr>
              <w:t xml:space="preserve">请投标人提供售后服务方案（</w:t>
            </w:r>
            <w:r>
              <w:rPr>
                <w:rFonts w:hint="eastAsia"/>
                <w:sz w:val="24"/>
                <w:szCs w:val="24"/>
              </w:rPr>
              <w:t xml:space="preserve">包括但不限于售后服务内容、售后服务方式、售后响应时间等</w:t>
            </w:r>
            <w:r>
              <w:rPr>
                <w:sz w:val="24"/>
                <w:szCs w:val="24"/>
              </w:rPr>
              <w:t xml:space="preserve">）</w:t>
            </w:r>
            <w:r>
              <w:rPr>
                <w:rFonts w:hint="eastAsia"/>
                <w:sz w:val="24"/>
                <w:szCs w:val="24"/>
              </w:rPr>
              <w:t xml:space="preserve">。每一项</w:t>
            </w:r>
            <w:r>
              <w:rPr>
                <w:sz w:val="24"/>
                <w:szCs w:val="24"/>
              </w:rPr>
              <w:t xml:space="preserve">优于招标文件要求的得</w:t>
            </w:r>
            <w:r>
              <w:rPr>
                <w:rFonts w:hint="eastAsia"/>
                <w:sz w:val="24"/>
                <w:szCs w:val="24"/>
              </w:rPr>
              <w:t xml:space="preserve">2</w:t>
            </w:r>
            <w:r>
              <w:rPr>
                <w:sz w:val="24"/>
                <w:szCs w:val="24"/>
              </w:rPr>
              <w:t xml:space="preserve">分；</w:t>
            </w:r>
            <w:r>
              <w:rPr>
                <w:rFonts w:hint="eastAsia"/>
                <w:sz w:val="24"/>
                <w:szCs w:val="24"/>
              </w:rPr>
              <w:t xml:space="preserve">符合</w:t>
            </w:r>
            <w:r>
              <w:rPr>
                <w:sz w:val="24"/>
                <w:szCs w:val="24"/>
              </w:rPr>
              <w:t xml:space="preserve">招标文件要求的得</w:t>
            </w:r>
            <w:r>
              <w:rPr>
                <w:rFonts w:hint="eastAsia"/>
                <w:sz w:val="24"/>
                <w:szCs w:val="24"/>
              </w:rPr>
              <w:t xml:space="preserve">1</w:t>
            </w:r>
            <w:r>
              <w:rPr>
                <w:sz w:val="24"/>
                <w:szCs w:val="24"/>
              </w:rPr>
              <w:t xml:space="preserve">分；不</w:t>
            </w:r>
            <w:r>
              <w:rPr>
                <w:rFonts w:hint="eastAsia"/>
                <w:sz w:val="24"/>
                <w:szCs w:val="24"/>
              </w:rPr>
              <w:t xml:space="preserve">符合</w:t>
            </w:r>
            <w:r>
              <w:rPr>
                <w:sz w:val="24"/>
                <w:szCs w:val="24"/>
              </w:rPr>
              <w:t xml:space="preserve">招标要求或未提供的不得分。</w:t>
            </w:r>
            <w:r/>
          </w:p>
          <w:p>
            <w:pPr>
              <w:pStyle w:val="984"/>
            </w:pPr>
            <w:r>
              <w:rPr>
                <w:rFonts w:hint="eastAsia"/>
              </w:rPr>
              <w:t xml:space="preserve">4、培训方案</w:t>
            </w:r>
            <w:r>
              <w:t xml:space="preserve">（</w:t>
            </w:r>
            <w:r>
              <w:rPr>
                <w:rFonts w:hint="eastAsia"/>
              </w:rPr>
              <w:t xml:space="preserve">6</w:t>
            </w:r>
            <w:r>
              <w:t xml:space="preserve">分）</w:t>
            </w:r>
            <w:r/>
          </w:p>
          <w:p>
            <w:pPr>
              <w:ind w:firstLine="480"/>
            </w:pPr>
            <w:r>
              <w:rPr>
                <w:rFonts w:hint="eastAsia"/>
                <w:sz w:val="24"/>
                <w:szCs w:val="24"/>
              </w:rPr>
              <w:t xml:space="preserve">请投标人提供项目培训方案，包括培训方式、培训时间、培训费用。每一项</w:t>
            </w:r>
            <w:r>
              <w:rPr>
                <w:sz w:val="24"/>
                <w:szCs w:val="24"/>
              </w:rPr>
              <w:t xml:space="preserve">优于招标文件要求的得</w:t>
            </w:r>
            <w:r>
              <w:rPr>
                <w:rFonts w:hint="eastAsia"/>
                <w:sz w:val="24"/>
                <w:szCs w:val="24"/>
              </w:rPr>
              <w:t xml:space="preserve">2</w:t>
            </w:r>
            <w:r>
              <w:rPr>
                <w:sz w:val="24"/>
                <w:szCs w:val="24"/>
              </w:rPr>
              <w:t xml:space="preserve">分；</w:t>
            </w:r>
            <w:r>
              <w:rPr>
                <w:rFonts w:hint="eastAsia"/>
                <w:sz w:val="24"/>
                <w:szCs w:val="24"/>
              </w:rPr>
              <w:t xml:space="preserve">符合</w:t>
            </w:r>
            <w:r>
              <w:rPr>
                <w:sz w:val="24"/>
                <w:szCs w:val="24"/>
              </w:rPr>
              <w:t xml:space="preserve">招标文件要求的得</w:t>
            </w:r>
            <w:r>
              <w:rPr>
                <w:rFonts w:hint="eastAsia"/>
                <w:sz w:val="24"/>
                <w:szCs w:val="24"/>
              </w:rPr>
              <w:t xml:space="preserve">1</w:t>
            </w:r>
            <w:r>
              <w:rPr>
                <w:sz w:val="24"/>
                <w:szCs w:val="24"/>
              </w:rPr>
              <w:t xml:space="preserve">分；不</w:t>
            </w:r>
            <w:r>
              <w:rPr>
                <w:rFonts w:hint="eastAsia"/>
                <w:sz w:val="24"/>
                <w:szCs w:val="24"/>
              </w:rPr>
              <w:t xml:space="preserve">符合</w:t>
            </w:r>
            <w:r>
              <w:rPr>
                <w:sz w:val="24"/>
                <w:szCs w:val="24"/>
              </w:rPr>
              <w:t xml:space="preserve">招标要求或未提供的不得分。</w:t>
            </w:r>
            <w:r/>
          </w:p>
        </w:tc>
      </w:tr>
    </w:tbl>
    <w:p>
      <w:pPr>
        <w:rPr>
          <w:color w:val="000000"/>
        </w:rPr>
      </w:pPr>
      <w:r>
        <w:rPr>
          <w:color w:val="000000"/>
        </w:rPr>
      </w:r>
      <w:r/>
    </w:p>
    <w:p>
      <w:pPr>
        <w:rPr>
          <w:color w:val="000000"/>
        </w:rPr>
      </w:pPr>
      <w:r>
        <w:rPr>
          <w:color w:val="000000"/>
        </w:rPr>
      </w:r>
      <w:r/>
    </w:p>
    <w:p>
      <w:pPr>
        <w:pStyle w:val="979"/>
        <w:jc w:val="both"/>
        <w:rPr>
          <w:rFonts w:ascii="黑体" w:eastAsia="黑体"/>
          <w:bCs/>
          <w:color w:val="000000"/>
          <w:sz w:val="44"/>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979"/>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971"/>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监狱企业的证明文件。</w:t>
      </w:r>
      <w:r/>
    </w:p>
    <w:p>
      <w:pPr>
        <w:pStyle w:val="971"/>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w:t>
      </w:r>
      <w:r>
        <w:rPr>
          <w:rFonts w:hint="eastAsia" w:ascii="宋体" w:hAnsi="宋体" w:eastAsia="宋体"/>
          <w:sz w:val="24"/>
          <w:szCs w:val="21"/>
          <w:highlight w:val="green"/>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w:t>
      </w:r>
      <w:r>
        <w:rPr>
          <w:rFonts w:ascii="宋体" w:hAnsi="宋体"/>
          <w:sz w:val="24"/>
          <w:highlight w:val="green"/>
        </w:rPr>
        <w:t xml:space="preserve">1</w:t>
      </w:r>
      <w:r>
        <w:rPr>
          <w:rFonts w:hint="eastAsia" w:ascii="宋体" w:hAnsi="宋体"/>
          <w:sz w:val="24"/>
          <w:highlight w:val="green"/>
        </w:rPr>
        <w:t xml:space="preserve">5</w:t>
      </w:r>
      <w:r>
        <w:rPr>
          <w:rFonts w:hint="eastAsia" w:ascii="宋体" w:hAnsi="宋体"/>
          <w:sz w:val="24"/>
        </w:rPr>
        <w:t xml:space="preserve">）</w:t>
      </w:r>
      <w:r/>
    </w:p>
    <w:p>
      <w:pPr>
        <w:pStyle w:val="969"/>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969"/>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969"/>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sz w:val="24"/>
          <w:highlight w:val="green"/>
        </w:rPr>
        <w:t xml:space="preserve">3.关于符合本国产品标准的声明函（格式见附件13）</w:t>
      </w:r>
      <w:r/>
    </w:p>
    <w:p>
      <w:pPr>
        <w:pStyle w:val="969"/>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96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96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969"/>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969"/>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969"/>
        <w:ind w:firstLine="482"/>
        <w:jc w:val="both"/>
        <w:spacing w:beforeAutospacing="0" w:afterAutospacing="0" w:line="360" w:lineRule="auto"/>
      </w:pPr>
      <w:r>
        <w:rPr>
          <w:rFonts w:hint="eastAsia" w:ascii="宋体" w:hAnsi="宋体" w:cs="宋体"/>
          <w:color w:val="000000"/>
          <w:szCs w:val="24"/>
        </w:rPr>
        <w:t xml:space="preserve">项目名称：</w:t>
      </w:r>
      <w:r/>
    </w:p>
    <w:p>
      <w:pPr>
        <w:pStyle w:val="969"/>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969"/>
        <w:spacing w:beforeAutospacing="0" w:afterAutospacing="0" w:line="360" w:lineRule="auto"/>
      </w:pPr>
      <w:r>
        <w:rPr>
          <w:rFonts w:hint="eastAsia" w:ascii="宋体" w:hAnsi="宋体" w:cs="宋体"/>
          <w:color w:val="000000"/>
          <w:szCs w:val="24"/>
        </w:rPr>
        <w:t xml:space="preserve">  采购包号：</w:t>
      </w:r>
      <w:r/>
    </w:p>
    <w:tbl>
      <w:tblPr>
        <w:tblStyle w:val="9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969"/>
        <w:jc w:val="both"/>
        <w:spacing w:beforeAutospacing="0" w:afterAutospacing="0" w:line="360" w:lineRule="auto"/>
      </w:pPr>
      <w:r>
        <w:t xml:space="preserve"> </w:t>
      </w:r>
      <w:r/>
    </w:p>
    <w:p>
      <w:pPr>
        <w:pStyle w:val="969"/>
        <w:jc w:val="center"/>
        <w:spacing w:beforeAutospacing="0" w:afterAutospacing="0" w:line="360" w:lineRule="auto"/>
      </w:pPr>
      <w:r>
        <w:t xml:space="preserve"> </w:t>
      </w:r>
      <w:r/>
    </w:p>
    <w:p>
      <w:pPr>
        <w:pStyle w:val="969"/>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969"/>
        <w:jc w:val="both"/>
        <w:spacing w:beforeAutospacing="0" w:afterAutospacing="0" w:line="360" w:lineRule="auto"/>
        <w:rPr>
          <w:rFonts w:ascii="宋体" w:hAnsi="宋体" w:cs="宋体"/>
          <w:color w:val="000000"/>
          <w:szCs w:val="24"/>
        </w:rPr>
      </w:pPr>
      <w:r>
        <w:rPr>
          <w:rFonts w:ascii="宋体" w:hAnsi="宋体" w:cs="宋体"/>
          <w:color w:val="000000"/>
          <w:szCs w:val="24"/>
        </w:rPr>
      </w:r>
      <w:r/>
    </w:p>
    <w:tbl>
      <w:tblPr>
        <w:tblStyle w:val="947"/>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102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73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W w:w="125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W w:w="8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w:t>
            </w:r>
            <w:r/>
          </w:p>
        </w:tc>
        <w:tc>
          <w:tcPr>
            <w:tcW w:w="9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86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9</w:t>
            </w:r>
            <w:r/>
          </w:p>
        </w:tc>
      </w:tr>
      <w:tr>
        <w:trPr>
          <w:cantSplit/>
          <w:trHeight w:val="294"/>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1021"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分项服务名称/货物名称</w:t>
            </w:r>
            <w:r/>
          </w:p>
        </w:tc>
        <w:tc>
          <w:tcPr>
            <w:tcW w:w="73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品牌</w:t>
            </w:r>
            <w:r/>
          </w:p>
        </w:tc>
        <w:tc>
          <w:tcPr>
            <w:tcW w:w="10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规格</w:t>
            </w:r>
            <w:r/>
          </w:p>
          <w:p>
            <w:pPr>
              <w:jc w:val="center"/>
              <w:spacing w:line="400" w:lineRule="exact"/>
              <w:rPr>
                <w:rFonts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制造商名称</w:t>
            </w:r>
            <w:r/>
          </w:p>
        </w:tc>
        <w:tc>
          <w:tcPr>
            <w:tcW w:w="1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产地</w:t>
            </w:r>
            <w:r/>
          </w:p>
        </w:tc>
        <w:tc>
          <w:tcPr>
            <w:tcW w:w="125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交付期/服务期</w:t>
            </w:r>
            <w:r/>
          </w:p>
        </w:tc>
        <w:tc>
          <w:tcPr>
            <w:tcW w:w="8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数量</w:t>
            </w:r>
            <w:r/>
          </w:p>
        </w:tc>
        <w:tc>
          <w:tcPr>
            <w:tcW w:w="9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单价</w:t>
            </w:r>
            <w:r/>
          </w:p>
        </w:tc>
        <w:tc>
          <w:tcPr>
            <w:tcW w:w="86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总价</w:t>
            </w:r>
            <w:r/>
          </w:p>
        </w:tc>
      </w:tr>
      <w:tr>
        <w:trPr>
          <w:cantSplit/>
          <w:trHeight w:val="696"/>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724"/>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580"/>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02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434"/>
        </w:trPr>
        <w:tc>
          <w:tcPr>
            <w:gridSpan w:val="10"/>
            <w:tcW w:w="9324" w:type="dxa"/>
            <w:textDirection w:val="lrTb"/>
            <w:noWrap w:val="false"/>
          </w:tcPr>
          <w:p>
            <w:pPr>
              <w:spacing w:line="400" w:lineRule="exact"/>
              <w:rPr>
                <w:rFonts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p>
        </w:tc>
      </w:tr>
      <w:tr>
        <w:trPr>
          <w:cantSplit/>
          <w:trHeight w:val="757"/>
        </w:trPr>
        <w:tc>
          <w:tcPr>
            <w:gridSpan w:val="10"/>
            <w:tcW w:w="9324" w:type="dxa"/>
            <w:textDirection w:val="lrTb"/>
            <w:noWrap w:val="false"/>
          </w:tcPr>
          <w:p>
            <w:pPr>
              <w:pStyle w:val="969"/>
              <w:spacing w:beforeAutospacing="0" w:afterAutospacing="0" w:line="400" w:lineRule="exact"/>
              <w:widowControl/>
              <w:rPr>
                <w:rFonts w:ascii="宋体" w:hAnsi="宋体" w:cs="宋体"/>
                <w:szCs w:val="24"/>
              </w:rPr>
            </w:pPr>
            <w:r>
              <w:rPr>
                <w:rFonts w:hint="eastAsia" w:ascii="宋体" w:hAnsi="宋体" w:cs="宋体"/>
                <w:szCs w:val="24"/>
              </w:rPr>
              <w:t xml:space="preserve">本采购包中提供的符合本国产品标准的货物成本之和占该采购包全部成本之和的比例为</w:t>
            </w:r>
            <w:r>
              <w:rPr>
                <w:rFonts w:hint="eastAsia" w:ascii="宋体" w:hAnsi="宋体" w:cs="宋体"/>
                <w:szCs w:val="24"/>
                <w:u w:val="single"/>
              </w:rPr>
              <w:t xml:space="preserve">XX</w:t>
            </w:r>
            <w:r>
              <w:rPr>
                <w:rFonts w:hint="eastAsia" w:ascii="宋体" w:hAnsi="宋体" w:cs="宋体"/>
                <w:szCs w:val="24"/>
              </w:rPr>
              <w:t xml:space="preserve">%。</w:t>
            </w:r>
            <w:r/>
          </w:p>
        </w:tc>
      </w:tr>
    </w:tbl>
    <w:p>
      <w:pPr>
        <w:pStyle w:val="969"/>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969"/>
        <w:jc w:val="both"/>
        <w:spacing w:beforeAutospacing="0" w:afterAutospacing="0" w:line="360" w:lineRule="auto"/>
      </w:pPr>
      <w:r>
        <w:rPr>
          <w:rFonts w:hint="eastAsia" w:ascii="宋体" w:hAnsi="宋体" w:cs="宋体"/>
          <w:color w:val="000000"/>
          <w:szCs w:val="24"/>
        </w:rPr>
        <w:t xml:space="preserve">备注：</w:t>
      </w:r>
      <w:r/>
    </w:p>
    <w:p>
      <w:pPr>
        <w:pStyle w:val="969"/>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green"/>
        </w:rPr>
        <w:t xml:space="preserve">投标总报价”数额为各“分项总价”之和。</w:t>
      </w:r>
      <w:r/>
    </w:p>
    <w:p>
      <w:pPr>
        <w:pStyle w:val="969"/>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2.“投标分项报价表”中“投标总报价”数额应当与“开标一览表”中“投标总报价”数额一致。</w:t>
      </w:r>
      <w:r/>
    </w:p>
    <w:p>
      <w:pPr>
        <w:spacing w:line="400" w:lineRule="exact"/>
        <w:rPr>
          <w:rFonts w:ascii="宋体" w:hAnsi="宋体" w:cs="宋体"/>
          <w:sz w:val="24"/>
          <w:szCs w:val="24"/>
          <w:lang w:bidi="ar"/>
        </w:rPr>
      </w:pPr>
      <w:r>
        <w:rPr>
          <w:rFonts w:hint="eastAsia" w:ascii="宋体" w:hAnsi="宋体" w:cs="宋体"/>
          <w:sz w:val="24"/>
          <w:szCs w:val="24"/>
          <w:lang w:bidi="ar"/>
        </w:rPr>
        <w:t xml:space="preserve">3.分项服务不需填写品牌、规格型号、制造商、产地。</w:t>
      </w:r>
      <w:r/>
    </w:p>
    <w:p>
      <w:pPr>
        <w:spacing w:line="400" w:lineRule="exact"/>
        <w:rPr>
          <w:rFonts w:ascii="宋体" w:hAnsi="宋体" w:cs="宋体"/>
          <w:sz w:val="24"/>
          <w:szCs w:val="24"/>
        </w:rPr>
      </w:pPr>
      <w:r>
        <w:rPr>
          <w:rFonts w:hint="eastAsia" w:ascii="宋体" w:hAnsi="宋体" w:cs="宋体"/>
          <w:sz w:val="24"/>
          <w:szCs w:val="24"/>
          <w:lang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69"/>
        <w:jc w:val="both"/>
        <w:spacing w:beforeAutospacing="0" w:afterAutospacing="0" w:line="360" w:lineRule="auto"/>
      </w:pPr>
      <w:r>
        <w:rPr>
          <w:rFonts w:hint="eastAsia" w:ascii="宋体" w:hAnsi="宋体" w:cs="宋体"/>
          <w:color w:val="000000"/>
          <w:szCs w:val="24"/>
        </w:rPr>
        <w:t xml:space="preserve">5. 项目经办人可以根据项目实际需要对表格结构进行调整。</w:t>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71"/>
        <w:ind w:firstLine="480"/>
        <w:rPr>
          <w:rFonts w:ascii="宋体" w:hAnsi="宋体"/>
          <w:sz w:val="24"/>
          <w:szCs w:val="24"/>
        </w:rPr>
      </w:pPr>
      <w:r>
        <w:rPr>
          <w:rFonts w:ascii="宋体" w:hAnsi="宋体"/>
          <w:sz w:val="24"/>
          <w:szCs w:val="24"/>
        </w:rPr>
      </w:r>
      <w:r/>
    </w:p>
    <w:p>
      <w:pPr>
        <w:pStyle w:val="971"/>
        <w:ind w:firstLine="480"/>
        <w:rPr>
          <w:rFonts w:ascii="宋体" w:hAnsi="宋体"/>
          <w:sz w:val="24"/>
          <w:szCs w:val="24"/>
        </w:rPr>
      </w:pPr>
      <w:r>
        <w:rPr>
          <w:rFonts w:ascii="宋体" w:hAnsi="宋体"/>
          <w:sz w:val="24"/>
          <w:szCs w:val="24"/>
        </w:rPr>
      </w:r>
      <w:r/>
    </w:p>
    <w:p>
      <w:pPr>
        <w:pStyle w:val="971"/>
        <w:ind w:firstLine="480"/>
        <w:rPr>
          <w:rFonts w:ascii="宋体" w:hAnsi="宋体"/>
          <w:sz w:val="24"/>
          <w:szCs w:val="24"/>
        </w:rPr>
      </w:pPr>
      <w:r>
        <w:rPr>
          <w:rFonts w:ascii="宋体" w:hAnsi="宋体"/>
          <w:sz w:val="24"/>
          <w:szCs w:val="24"/>
        </w:rPr>
      </w:r>
      <w:r/>
    </w:p>
    <w:p>
      <w:pPr>
        <w:pStyle w:val="971"/>
        <w:ind w:firstLine="480"/>
        <w:rPr>
          <w:rFonts w:ascii="宋体" w:hAnsi="宋体"/>
          <w:sz w:val="24"/>
          <w:szCs w:val="24"/>
        </w:rPr>
      </w:pPr>
      <w:r>
        <w:rPr>
          <w:rFonts w:ascii="宋体" w:hAnsi="宋体"/>
          <w:sz w:val="24"/>
          <w:szCs w:val="24"/>
        </w:rPr>
      </w:r>
      <w:r/>
    </w:p>
    <w:p>
      <w:pPr>
        <w:pStyle w:val="97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971"/>
        <w:ind w:firstLine="489"/>
        <w:rPr>
          <w:rFonts w:ascii="宋体" w:hAnsi="宋体"/>
          <w:b/>
          <w:sz w:val="24"/>
          <w:szCs w:val="21"/>
        </w:rPr>
      </w:pPr>
      <w:r>
        <w:rPr>
          <w:rFonts w:ascii="宋体" w:hAnsi="宋体"/>
          <w:b/>
          <w:sz w:val="24"/>
          <w:szCs w:val="21"/>
        </w:rPr>
      </w:r>
      <w:r/>
    </w:p>
    <w:p>
      <w:pPr>
        <w:pStyle w:val="971"/>
        <w:ind w:firstLine="489"/>
        <w:rPr>
          <w:rFonts w:ascii="宋体" w:hAnsi="宋体"/>
          <w:b/>
          <w:sz w:val="24"/>
          <w:szCs w:val="21"/>
        </w:rPr>
      </w:pPr>
      <w:r>
        <w:rPr>
          <w:rFonts w:ascii="宋体" w:hAnsi="宋体"/>
          <w:b/>
          <w:sz w:val="24"/>
          <w:szCs w:val="21"/>
        </w:rPr>
      </w:r>
      <w:r/>
    </w:p>
    <w:p>
      <w:pPr>
        <w:pStyle w:val="971"/>
        <w:ind w:firstLine="489"/>
        <w:rPr>
          <w:rFonts w:ascii="宋体" w:hAnsi="宋体"/>
          <w:b/>
          <w:sz w:val="24"/>
          <w:szCs w:val="21"/>
        </w:rPr>
      </w:pPr>
      <w:r>
        <w:rPr>
          <w:rFonts w:ascii="宋体" w:hAnsi="宋体"/>
          <w:b/>
          <w:sz w:val="24"/>
          <w:szCs w:val="21"/>
        </w:rPr>
      </w:r>
      <w:r/>
    </w:p>
    <w:p>
      <w:pPr>
        <w:pStyle w:val="971"/>
        <w:ind w:firstLine="489"/>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ascii="黑体" w:hAnsi="黑体" w:eastAsia="黑体"/>
          <w:b/>
          <w:i/>
          <w:color w:val="000000"/>
          <w:sz w:val="32"/>
          <w:szCs w:val="32"/>
          <w:u w:val="single"/>
        </w:rPr>
      </w:pPr>
      <w:r>
        <w:rPr>
          <w:rFonts w:hint="eastAsia"/>
          <w:color w:val="000000"/>
          <w:sz w:val="24"/>
          <w:szCs w:val="24"/>
        </w:rPr>
        <w:t xml:space="preserve">      日期：</w:t>
      </w:r>
      <w:r>
        <w:rPr>
          <w:rFonts w:hint="eastAsia"/>
          <w:color w:val="000000"/>
          <w:sz w:val="24"/>
          <w:szCs w:val="24"/>
          <w:u w:val="single"/>
        </w:rPr>
        <w:t xml:space="preserve">                                         </w:t>
      </w: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94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489"/>
        <w:rPr>
          <w:rFonts w:ascii="宋体" w:hAnsi="宋体"/>
          <w:b/>
          <w:color w:val="000000"/>
          <w:sz w:val="24"/>
          <w:szCs w:val="21"/>
        </w:rPr>
      </w:pPr>
      <w:r>
        <w:rPr>
          <w:rFonts w:ascii="宋体" w:hAnsi="宋体"/>
          <w:b/>
          <w:color w:val="000000"/>
          <w:sz w:val="24"/>
          <w:szCs w:val="21"/>
        </w:rPr>
      </w:r>
      <w:r/>
    </w:p>
    <w:p>
      <w:pPr>
        <w:pStyle w:val="971"/>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971"/>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69"/>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96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969"/>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969"/>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969"/>
        <w:ind w:firstLine="360"/>
        <w:jc w:val="both"/>
        <w:spacing w:beforeAutospacing="0" w:afterAutospacing="0" w:line="400" w:lineRule="atLeast"/>
      </w:pPr>
      <w:r>
        <w:rPr>
          <w:rFonts w:hint="eastAsia" w:ascii="宋体" w:hAnsi="宋体" w:cs="宋体"/>
          <w:color w:val="000000"/>
          <w:szCs w:val="24"/>
        </w:rPr>
        <w:t xml:space="preserve">……</w:t>
      </w:r>
      <w:r/>
    </w:p>
    <w:p>
      <w:pPr>
        <w:pStyle w:val="96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96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969"/>
        <w:ind w:right="720"/>
        <w:jc w:val="both"/>
        <w:spacing w:beforeAutospacing="0" w:afterAutospacing="0" w:line="400" w:lineRule="atLeast"/>
      </w:pPr>
      <w:r>
        <w:t xml:space="preserve"> </w:t>
      </w:r>
      <w:r/>
    </w:p>
    <w:p>
      <w:pPr>
        <w:pStyle w:val="96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96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969"/>
        <w:ind w:firstLine="240"/>
        <w:jc w:val="both"/>
        <w:spacing w:beforeAutospacing="0" w:afterAutospacing="0" w:line="400" w:lineRule="atLeast"/>
      </w:pPr>
      <w:r>
        <w:t xml:space="preserve"> </w:t>
      </w:r>
      <w:r/>
    </w:p>
    <w:p>
      <w:pPr>
        <w:pStyle w:val="969"/>
        <w:ind w:firstLine="480"/>
        <w:jc w:val="both"/>
        <w:spacing w:beforeAutospacing="0" w:afterAutospacing="0" w:line="400" w:lineRule="atLeast"/>
      </w:pPr>
      <w:r>
        <w:rPr>
          <w:rFonts w:hint="eastAsia" w:ascii="宋体" w:hAnsi="宋体" w:cs="宋体"/>
          <w:color w:val="000000"/>
          <w:szCs w:val="24"/>
        </w:rPr>
        <w:t xml:space="preserve">备注：</w:t>
      </w:r>
      <w:r/>
    </w:p>
    <w:p>
      <w:pPr>
        <w:pStyle w:val="969"/>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969"/>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9"/>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969"/>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4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969"/>
        <w:ind w:firstLine="420"/>
        <w:spacing w:beforeAutospacing="0" w:afterAutospacing="0" w:line="360" w:lineRule="auto"/>
        <w:rPr>
          <w:rFonts w:ascii="宋体" w:hAnsi="宋体" w:cs="宋体"/>
          <w:szCs w:val="24"/>
        </w:rPr>
      </w:pPr>
      <w:r>
        <w:rPr>
          <w:rFonts w:ascii="宋体" w:hAnsi="宋体" w:cs="宋体"/>
          <w:szCs w:val="24"/>
        </w:rPr>
      </w:r>
      <w:r/>
    </w:p>
    <w:p>
      <w:pPr>
        <w:pStyle w:val="969"/>
        <w:ind w:firstLine="480"/>
        <w:spacing w:beforeAutospacing="0" w:afterAutospacing="0" w:line="400" w:lineRule="exact"/>
        <w:widowControl/>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1.</w:t>
      </w:r>
      <w:r>
        <w:rPr>
          <w:rStyle w:val="975"/>
          <w:rFonts w:hint="eastAsia" w:ascii="宋体" w:hAnsi="宋体" w:cs="宋体"/>
          <w:i w:val="0"/>
          <w:szCs w:val="24"/>
          <w:u w:val="single"/>
          <w:shd w:val="clear" w:color="auto" w:fill="ffffff"/>
        </w:rPr>
        <w:t xml:space="preserve">（产品名称1）</w:t>
      </w:r>
      <w:r>
        <w:rPr>
          <w:rStyle w:val="975"/>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975"/>
          <w:rFonts w:hint="eastAsia" w:ascii="宋体" w:hAnsi="宋体" w:cs="宋体"/>
          <w:i w:val="0"/>
          <w:szCs w:val="24"/>
          <w:u w:val="single"/>
          <w:shd w:val="clear" w:color="auto" w:fill="ffffff"/>
        </w:rPr>
        <w:t xml:space="preserve">（厂名）</w:t>
      </w:r>
      <w:r>
        <w:rPr>
          <w:rStyle w:val="975"/>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975"/>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Style w:val="975"/>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Style w:val="975"/>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Style w:val="975"/>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969"/>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2.</w:t>
      </w:r>
      <w:r>
        <w:rPr>
          <w:rStyle w:val="975"/>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975"/>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975"/>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7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p>
    <w:p>
      <w:pPr>
        <w:pStyle w:val="969"/>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969"/>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969"/>
        <w:spacing w:before="30" w:beforeAutospacing="0" w:after="30" w:afterAutospacing="0" w:line="360" w:lineRule="auto"/>
        <w:rPr>
          <w:rFonts w:ascii="宋体" w:hAnsi="宋体" w:cs="宋体"/>
          <w:szCs w:val="24"/>
        </w:rPr>
      </w:pPr>
      <w:r>
        <w:rPr>
          <w:rFonts w:ascii="宋体" w:hAnsi="宋体" w:cs="宋体"/>
          <w:szCs w:val="24"/>
        </w:rPr>
      </w:r>
      <w:r/>
    </w:p>
    <w:p>
      <w:pPr>
        <w:pStyle w:val="969"/>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969"/>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96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96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96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96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969"/>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969"/>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199"/>
      <w:r/>
      <w:bookmarkEnd w:id="200"/>
      <w:r/>
      <w:bookmarkEnd w:id="201"/>
      <w:r/>
      <w:r/>
    </w:p>
    <w:p>
      <w:pPr>
        <w:pStyle w:val="982"/>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Pr>
      <w:framePr w:wrap="around" w:vAnchor="text" w:hAnchor="margin" w:xAlign="center" w:y="1"/>
    </w:pPr>
    <w:r>
      <w:fldChar w:fldCharType="begin"/>
    </w:r>
    <w:r>
      <w:rPr>
        <w:rStyle w:val="1208"/>
      </w:rPr>
      <w:instrText xml:space="preserve">PAGE  </w:instrText>
    </w:r>
    <w:r>
      <w:fldChar w:fldCharType="separate"/>
    </w:r>
    <w:r>
      <w:rPr>
        <w:rStyle w:val="1208"/>
      </w:rPr>
      <w:t xml:space="preserve">1</w:t>
    </w:r>
    <w:r>
      <w:fldChar w:fldCharType="end"/>
    </w:r>
    <w:r/>
  </w:p>
  <w:p>
    <w:pPr>
      <w:pStyle w:val="11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850" w:firstLine="0"/>
      </w:pPr>
      <w:rPr>
        <w:rFonts w:hint="eastAsia" w:ascii="黑体" w:hAnsi="Times New Roman" w:eastAsia="黑体" w:cs="Times New Roman"/>
        <w:b w:val="0"/>
        <w:bCs w:val="0"/>
        <w:i w:val="0"/>
        <w:iCs w:val="0"/>
        <w:caps w:val="0"/>
        <w:smallCaps w:val="0"/>
        <w:vanish w:val="0"/>
        <w:color w:val="000000"/>
        <w:spacing w:val="0"/>
        <w:position w:val="0"/>
        <w:sz w:val="21"/>
        <w:u w:val="none"/>
        <w:vertAlign w:val="baseline"/>
        <w14:ligatures w14:val="none"/>
      </w:rPr>
    </w:lvl>
    <w:lvl w:ilvl="3">
      <w:start w:val="1"/>
      <w:numFmt w:val="decimal"/>
      <w:pStyle w:val="1252"/>
      <w:isLgl w:val="false"/>
      <w:suff w:val="nothing"/>
      <w:lvlText w:val="%1%2.%3.%4　"/>
      <w:lvlJc w:val="left"/>
      <w:pPr>
        <w:ind w:left="1418" w:firstLine="0"/>
      </w:pPr>
      <w:rPr>
        <w:rFonts w:hint="eastAsia" w:ascii="黑体" w:eastAsia="黑体"/>
        <w:b w:val="0"/>
        <w:i w:val="0"/>
        <w:sz w:val="21"/>
      </w:rPr>
    </w:lvl>
    <w:lvl w:ilvl="4">
      <w:start w:val="1"/>
      <w:numFmt w:val="decimal"/>
      <w:isLgl w:val="false"/>
      <w:suff w:val="nothing"/>
      <w:lvlText w:val="%1%2.%3.%4.%5　"/>
      <w:lvlJc w:val="left"/>
      <w:pPr>
        <w:ind w:left="0" w:firstLine="0"/>
      </w:pPr>
      <w:rPr>
        <w:rFonts w:hint="eastAsia" w:ascii="黑体" w:eastAsia="黑体"/>
        <w:b w:val="0"/>
        <w:i w:val="0"/>
        <w:sz w:val="21"/>
      </w:rPr>
    </w:lvl>
    <w:lvl w:ilvl="5">
      <w:start w:val="1"/>
      <w:numFmt w:val="decimal"/>
      <w:isLgl w:val="false"/>
      <w:suff w:val="nothing"/>
      <w:lvlText w:val="%1%2.%3.%4.%5.%6　"/>
      <w:lvlJc w:val="left"/>
      <w:pPr>
        <w:ind w:left="0" w:firstLine="0"/>
      </w:pPr>
      <w:rPr>
        <w:rFonts w:hint="eastAsia" w:ascii="黑体" w:eastAsia="黑体"/>
        <w:b w:val="0"/>
        <w:i w:val="0"/>
        <w:sz w:val="21"/>
      </w:rPr>
    </w:lvl>
    <w:lvl w:ilvl="6">
      <w:start w:val="1"/>
      <w:numFmt w:val="decimal"/>
      <w:isLgl w:val="false"/>
      <w:suff w:val="nothing"/>
      <w:lvlText w:val="%1%2.%3.%4.%5.%6.%7　"/>
      <w:lvlJc w:val="left"/>
      <w:pPr>
        <w:ind w:left="0"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6"/>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8"/>
      <w:isLgl w:val="false"/>
      <w:suff w:val="nothing"/>
      <w:lvlText w:val=""/>
      <w:lvlJc w:val="left"/>
      <w:pPr>
        <w:ind w:left="0" w:firstLine="0"/>
      </w:pPr>
      <w:rPr>
        <w:rFonts w:hint="eastAsia"/>
      </w:rPr>
    </w:lvl>
    <w:lvl w:ilvl="8">
      <w:start w:val="1"/>
      <w:numFmt w:val="decimal"/>
      <w:pStyle w:val="1149"/>
      <w:isLgl w:val="false"/>
      <w:suff w:val="nothing"/>
      <w:lvlText w:val=""/>
      <w:lvlJc w:val="left"/>
      <w:pPr>
        <w:ind w:left="0" w:firstLine="0"/>
      </w:pPr>
      <w:rPr>
        <w:rFonts w:hint="eastAsia"/>
      </w:rPr>
    </w:lvl>
  </w:abstractNum>
  <w:abstractNum w:abstractNumId="8">
    <w:multiLevelType w:val="hybridMultilevel"/>
    <w:lvl w:ilvl="0">
      <w:start w:val="1"/>
      <w:numFmt w:val="decimal"/>
      <w:pStyle w:val="94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8"/>
  </w:num>
  <w:num w:numId="2">
    <w:abstractNumId w:val="7"/>
  </w:num>
  <w:num w:numId="3">
    <w:abstractNumId w:val="3"/>
  </w:num>
  <w:num w:numId="4">
    <w:abstractNumId w:val="9"/>
  </w:num>
  <w:num w:numId="5">
    <w:abstractNumId w:val="5"/>
  </w:num>
  <w:num w:numId="6">
    <w:abstractNumId w:val="2"/>
  </w:num>
  <w:num w:numId="7">
    <w:abstractNumId w:val="1"/>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9">
    <w:name w:val="Heading 1 Char"/>
    <w:basedOn w:val="946"/>
    <w:link w:val="937"/>
    <w:uiPriority w:val="9"/>
    <w:rPr>
      <w:rFonts w:ascii="Arial" w:hAnsi="Arial" w:eastAsia="Arial" w:cs="Arial"/>
      <w:sz w:val="40"/>
      <w:szCs w:val="40"/>
    </w:rPr>
  </w:style>
  <w:style w:type="character" w:styleId="900">
    <w:name w:val="Heading 2 Char"/>
    <w:basedOn w:val="946"/>
    <w:link w:val="938"/>
    <w:uiPriority w:val="9"/>
    <w:rPr>
      <w:rFonts w:ascii="Arial" w:hAnsi="Arial" w:eastAsia="Arial" w:cs="Arial"/>
      <w:sz w:val="34"/>
    </w:rPr>
  </w:style>
  <w:style w:type="character" w:styleId="901">
    <w:name w:val="Heading 3 Char"/>
    <w:basedOn w:val="946"/>
    <w:link w:val="939"/>
    <w:uiPriority w:val="9"/>
    <w:rPr>
      <w:rFonts w:ascii="Arial" w:hAnsi="Arial" w:eastAsia="Arial" w:cs="Arial"/>
      <w:sz w:val="30"/>
      <w:szCs w:val="30"/>
    </w:rPr>
  </w:style>
  <w:style w:type="character" w:styleId="902">
    <w:name w:val="Heading 4 Char"/>
    <w:basedOn w:val="946"/>
    <w:link w:val="940"/>
    <w:uiPriority w:val="9"/>
    <w:rPr>
      <w:rFonts w:ascii="Arial" w:hAnsi="Arial" w:eastAsia="Arial" w:cs="Arial"/>
      <w:b/>
      <w:bCs/>
      <w:sz w:val="26"/>
      <w:szCs w:val="26"/>
    </w:rPr>
  </w:style>
  <w:style w:type="character" w:styleId="903">
    <w:name w:val="Heading 5 Char"/>
    <w:basedOn w:val="946"/>
    <w:link w:val="941"/>
    <w:uiPriority w:val="9"/>
    <w:rPr>
      <w:rFonts w:ascii="Arial" w:hAnsi="Arial" w:eastAsia="Arial" w:cs="Arial"/>
      <w:b/>
      <w:bCs/>
      <w:sz w:val="24"/>
      <w:szCs w:val="24"/>
    </w:rPr>
  </w:style>
  <w:style w:type="character" w:styleId="904">
    <w:name w:val="Heading 6 Char"/>
    <w:basedOn w:val="946"/>
    <w:link w:val="942"/>
    <w:uiPriority w:val="9"/>
    <w:rPr>
      <w:rFonts w:ascii="Arial" w:hAnsi="Arial" w:eastAsia="Arial" w:cs="Arial"/>
      <w:b/>
      <w:bCs/>
      <w:sz w:val="22"/>
      <w:szCs w:val="22"/>
    </w:rPr>
  </w:style>
  <w:style w:type="character" w:styleId="905">
    <w:name w:val="Heading 7 Char"/>
    <w:basedOn w:val="946"/>
    <w:link w:val="943"/>
    <w:uiPriority w:val="9"/>
    <w:rPr>
      <w:rFonts w:ascii="Arial" w:hAnsi="Arial" w:eastAsia="Arial" w:cs="Arial"/>
      <w:b/>
      <w:bCs/>
      <w:i/>
      <w:iCs/>
      <w:sz w:val="22"/>
      <w:szCs w:val="22"/>
    </w:rPr>
  </w:style>
  <w:style w:type="character" w:styleId="906">
    <w:name w:val="Heading 8 Char"/>
    <w:basedOn w:val="946"/>
    <w:link w:val="944"/>
    <w:uiPriority w:val="9"/>
    <w:rPr>
      <w:rFonts w:ascii="Arial" w:hAnsi="Arial" w:eastAsia="Arial" w:cs="Arial"/>
      <w:i/>
      <w:iCs/>
      <w:sz w:val="22"/>
      <w:szCs w:val="22"/>
    </w:rPr>
  </w:style>
  <w:style w:type="character" w:styleId="907">
    <w:name w:val="Heading 9 Char"/>
    <w:basedOn w:val="946"/>
    <w:link w:val="945"/>
    <w:uiPriority w:val="9"/>
    <w:rPr>
      <w:rFonts w:ascii="Arial" w:hAnsi="Arial" w:eastAsia="Arial" w:cs="Arial"/>
      <w:i/>
      <w:iCs/>
      <w:sz w:val="21"/>
      <w:szCs w:val="21"/>
    </w:rPr>
  </w:style>
  <w:style w:type="character" w:styleId="908">
    <w:name w:val="Title Char"/>
    <w:basedOn w:val="946"/>
    <w:link w:val="970"/>
    <w:uiPriority w:val="10"/>
    <w:rPr>
      <w:sz w:val="48"/>
      <w:szCs w:val="48"/>
    </w:rPr>
  </w:style>
  <w:style w:type="character" w:styleId="909">
    <w:name w:val="Subtitle Char"/>
    <w:basedOn w:val="946"/>
    <w:link w:val="963"/>
    <w:uiPriority w:val="11"/>
    <w:rPr>
      <w:sz w:val="24"/>
      <w:szCs w:val="24"/>
    </w:rPr>
  </w:style>
  <w:style w:type="character" w:styleId="910">
    <w:name w:val="Quote Char"/>
    <w:link w:val="998"/>
    <w:uiPriority w:val="29"/>
    <w:rPr>
      <w:i/>
    </w:rPr>
  </w:style>
  <w:style w:type="character" w:styleId="911">
    <w:name w:val="Intense Quote Char"/>
    <w:link w:val="1000"/>
    <w:uiPriority w:val="30"/>
    <w:rPr>
      <w:i/>
    </w:rPr>
  </w:style>
  <w:style w:type="character" w:styleId="912">
    <w:name w:val="Header Char"/>
    <w:basedOn w:val="946"/>
    <w:link w:val="960"/>
    <w:uiPriority w:val="99"/>
  </w:style>
  <w:style w:type="character" w:styleId="913">
    <w:name w:val="Caption Char"/>
    <w:basedOn w:val="951"/>
    <w:link w:val="959"/>
    <w:uiPriority w:val="99"/>
  </w:style>
  <w:style w:type="table" w:styleId="914">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3">
    <w:name w:val="Footnote Text Char"/>
    <w:link w:val="964"/>
    <w:uiPriority w:val="99"/>
    <w:rPr>
      <w:sz w:val="18"/>
    </w:rPr>
  </w:style>
  <w:style w:type="character" w:styleId="934">
    <w:name w:val="Endnote Text Char"/>
    <w:link w:val="958"/>
    <w:uiPriority w:val="99"/>
    <w:rPr>
      <w:sz w:val="20"/>
    </w:rPr>
  </w:style>
  <w:style w:type="paragraph" w:styleId="935">
    <w:name w:val="TOC Heading"/>
    <w:uiPriority w:val="39"/>
    <w:unhideWhenUsed/>
  </w:style>
  <w:style w:type="paragraph" w:styleId="93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37">
    <w:name w:val="Heading 1"/>
    <w:basedOn w:val="936"/>
    <w:next w:val="936"/>
    <w:link w:val="985"/>
    <w:uiPriority w:val="9"/>
    <w:qFormat/>
    <w:pPr>
      <w:keepLines/>
      <w:keepNext/>
      <w:spacing w:before="480" w:after="200"/>
      <w:outlineLvl w:val="0"/>
    </w:pPr>
    <w:rPr>
      <w:rFonts w:ascii="Arial" w:hAnsi="Arial" w:eastAsia="Arial" w:cs="Arial"/>
      <w:sz w:val="40"/>
      <w:szCs w:val="40"/>
    </w:rPr>
  </w:style>
  <w:style w:type="paragraph" w:styleId="938">
    <w:name w:val="Heading 2"/>
    <w:basedOn w:val="936"/>
    <w:next w:val="936"/>
    <w:link w:val="986"/>
    <w:uiPriority w:val="9"/>
    <w:unhideWhenUsed/>
    <w:qFormat/>
    <w:pPr>
      <w:keepLines/>
      <w:keepNext/>
      <w:spacing w:before="360" w:after="200"/>
      <w:outlineLvl w:val="1"/>
    </w:pPr>
    <w:rPr>
      <w:rFonts w:ascii="Arial" w:hAnsi="Arial" w:eastAsia="Arial" w:cs="Arial"/>
      <w:sz w:val="34"/>
    </w:rPr>
  </w:style>
  <w:style w:type="paragraph" w:styleId="939">
    <w:name w:val="Heading 3"/>
    <w:basedOn w:val="936"/>
    <w:next w:val="936"/>
    <w:link w:val="987"/>
    <w:uiPriority w:val="9"/>
    <w:unhideWhenUsed/>
    <w:qFormat/>
    <w:pPr>
      <w:keepLines/>
      <w:keepNext/>
      <w:spacing w:before="320" w:after="200"/>
      <w:outlineLvl w:val="2"/>
    </w:pPr>
    <w:rPr>
      <w:rFonts w:ascii="Arial" w:hAnsi="Arial" w:eastAsia="Arial" w:cs="Arial"/>
      <w:sz w:val="30"/>
      <w:szCs w:val="30"/>
    </w:rPr>
  </w:style>
  <w:style w:type="paragraph" w:styleId="940">
    <w:name w:val="Heading 4"/>
    <w:basedOn w:val="936"/>
    <w:next w:val="936"/>
    <w:link w:val="988"/>
    <w:uiPriority w:val="9"/>
    <w:unhideWhenUsed/>
    <w:qFormat/>
    <w:pPr>
      <w:keepLines/>
      <w:keepNext/>
      <w:spacing w:before="320" w:after="200"/>
      <w:outlineLvl w:val="3"/>
    </w:pPr>
    <w:rPr>
      <w:rFonts w:ascii="Arial" w:hAnsi="Arial" w:eastAsia="Arial" w:cs="Arial"/>
      <w:b/>
      <w:bCs/>
      <w:sz w:val="26"/>
      <w:szCs w:val="26"/>
    </w:rPr>
  </w:style>
  <w:style w:type="paragraph" w:styleId="941">
    <w:name w:val="Heading 5"/>
    <w:basedOn w:val="936"/>
    <w:next w:val="936"/>
    <w:link w:val="989"/>
    <w:uiPriority w:val="9"/>
    <w:unhideWhenUsed/>
    <w:qFormat/>
    <w:pPr>
      <w:keepLines/>
      <w:keepNext/>
      <w:spacing w:before="320" w:after="200"/>
      <w:outlineLvl w:val="4"/>
    </w:pPr>
    <w:rPr>
      <w:rFonts w:ascii="Arial" w:hAnsi="Arial" w:eastAsia="Arial" w:cs="Arial"/>
      <w:b/>
      <w:bCs/>
      <w:sz w:val="24"/>
      <w:szCs w:val="24"/>
    </w:rPr>
  </w:style>
  <w:style w:type="paragraph" w:styleId="942">
    <w:name w:val="Heading 6"/>
    <w:basedOn w:val="936"/>
    <w:next w:val="936"/>
    <w:link w:val="990"/>
    <w:uiPriority w:val="9"/>
    <w:unhideWhenUsed/>
    <w:qFormat/>
    <w:pPr>
      <w:keepLines/>
      <w:keepNext/>
      <w:spacing w:before="320" w:after="200"/>
      <w:outlineLvl w:val="5"/>
    </w:pPr>
    <w:rPr>
      <w:rFonts w:ascii="Arial" w:hAnsi="Arial" w:eastAsia="Arial" w:cs="Arial"/>
      <w:b/>
      <w:bCs/>
      <w:sz w:val="22"/>
      <w:szCs w:val="22"/>
    </w:rPr>
  </w:style>
  <w:style w:type="paragraph" w:styleId="943">
    <w:name w:val="Heading 7"/>
    <w:basedOn w:val="936"/>
    <w:next w:val="936"/>
    <w:link w:val="991"/>
    <w:uiPriority w:val="9"/>
    <w:unhideWhenUsed/>
    <w:qFormat/>
    <w:pPr>
      <w:keepLines/>
      <w:keepNext/>
      <w:spacing w:before="320" w:after="200"/>
      <w:outlineLvl w:val="6"/>
    </w:pPr>
    <w:rPr>
      <w:rFonts w:ascii="Arial" w:hAnsi="Arial" w:eastAsia="Arial" w:cs="Arial"/>
      <w:b/>
      <w:bCs/>
      <w:iCs/>
      <w:sz w:val="22"/>
      <w:szCs w:val="22"/>
    </w:rPr>
  </w:style>
  <w:style w:type="paragraph" w:styleId="944">
    <w:name w:val="Heading 8"/>
    <w:basedOn w:val="936"/>
    <w:next w:val="936"/>
    <w:link w:val="992"/>
    <w:uiPriority w:val="9"/>
    <w:unhideWhenUsed/>
    <w:qFormat/>
    <w:pPr>
      <w:keepLines/>
      <w:keepNext/>
      <w:spacing w:before="320" w:after="200"/>
      <w:outlineLvl w:val="7"/>
    </w:pPr>
    <w:rPr>
      <w:rFonts w:ascii="Arial" w:hAnsi="Arial" w:eastAsia="Arial" w:cs="Arial"/>
      <w:iCs/>
      <w:sz w:val="22"/>
      <w:szCs w:val="22"/>
    </w:rPr>
  </w:style>
  <w:style w:type="paragraph" w:styleId="945">
    <w:name w:val="Heading 9"/>
    <w:basedOn w:val="936"/>
    <w:next w:val="936"/>
    <w:link w:val="993"/>
    <w:uiPriority w:val="9"/>
    <w:unhideWhenUsed/>
    <w:qFormat/>
    <w:pPr>
      <w:keepLines/>
      <w:keepNext/>
      <w:spacing w:before="320" w:after="200"/>
      <w:outlineLvl w:val="8"/>
    </w:pPr>
    <w:rPr>
      <w:rFonts w:ascii="Arial" w:hAnsi="Arial" w:eastAsia="Arial" w:cs="Arial"/>
      <w:i/>
      <w:iCs/>
    </w:rPr>
  </w:style>
  <w:style w:type="character" w:styleId="946" w:default="1">
    <w:name w:val="Default Paragraph Font"/>
    <w:uiPriority w:val="1"/>
    <w:semiHidden/>
    <w:unhideWhenUsed/>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toc 7"/>
    <w:basedOn w:val="936"/>
    <w:next w:val="936"/>
    <w:uiPriority w:val="39"/>
    <w:unhideWhenUsed/>
    <w:qFormat/>
    <w:pPr>
      <w:ind w:left="1701"/>
      <w:spacing w:after="57"/>
    </w:pPr>
  </w:style>
  <w:style w:type="paragraph" w:styleId="949">
    <w:name w:val="List Number"/>
    <w:basedOn w:val="936"/>
    <w:uiPriority w:val="99"/>
    <w:semiHidden/>
    <w:unhideWhenUsed/>
    <w:qFormat/>
    <w:pPr>
      <w:numPr>
        <w:ilvl w:val="0"/>
        <w:numId w:val="1"/>
      </w:numPr>
    </w:pPr>
  </w:style>
  <w:style w:type="paragraph" w:styleId="950">
    <w:name w:val="Normal Indent"/>
    <w:basedOn w:val="936"/>
    <w:uiPriority w:val="99"/>
    <w:qFormat/>
    <w:pPr>
      <w:ind w:firstLine="420"/>
    </w:pPr>
  </w:style>
  <w:style w:type="paragraph" w:styleId="951">
    <w:name w:val="Caption"/>
    <w:basedOn w:val="936"/>
    <w:next w:val="9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annotation text"/>
    <w:basedOn w:val="936"/>
    <w:uiPriority w:val="99"/>
    <w:semiHidden/>
    <w:unhideWhenUsed/>
    <w:qFormat/>
    <w:pPr>
      <w:jc w:val="left"/>
    </w:pPr>
  </w:style>
  <w:style w:type="paragraph" w:styleId="953">
    <w:name w:val="Body Text"/>
    <w:basedOn w:val="936"/>
    <w:uiPriority w:val="0"/>
    <w:qFormat/>
    <w:rPr>
      <w:rFonts w:ascii="楷体_GB2312" w:hAnsi="Arial" w:eastAsia="楷体_GB2312"/>
      <w:sz w:val="28"/>
      <w:szCs w:val="28"/>
    </w:rPr>
  </w:style>
  <w:style w:type="paragraph" w:styleId="954">
    <w:name w:val="toc 5"/>
    <w:basedOn w:val="936"/>
    <w:next w:val="936"/>
    <w:uiPriority w:val="39"/>
    <w:unhideWhenUsed/>
    <w:qFormat/>
    <w:pPr>
      <w:ind w:left="1134"/>
      <w:spacing w:after="57"/>
    </w:pPr>
  </w:style>
  <w:style w:type="paragraph" w:styleId="955">
    <w:name w:val="toc 3"/>
    <w:basedOn w:val="936"/>
    <w:next w:val="936"/>
    <w:uiPriority w:val="39"/>
    <w:unhideWhenUsed/>
    <w:qFormat/>
    <w:pPr>
      <w:ind w:left="567"/>
      <w:spacing w:after="57"/>
    </w:pPr>
  </w:style>
  <w:style w:type="paragraph" w:styleId="956">
    <w:name w:val="Plain Text"/>
    <w:basedOn w:val="936"/>
    <w:uiPriority w:val="0"/>
    <w:qFormat/>
    <w:rPr>
      <w:rFonts w:ascii="宋体" w:hAnsi="Courier New" w:cs="Courier New"/>
    </w:rPr>
  </w:style>
  <w:style w:type="paragraph" w:styleId="957">
    <w:name w:val="toc 8"/>
    <w:basedOn w:val="936"/>
    <w:next w:val="936"/>
    <w:uiPriority w:val="39"/>
    <w:unhideWhenUsed/>
    <w:qFormat/>
    <w:pPr>
      <w:ind w:left="1984"/>
      <w:spacing w:after="57"/>
    </w:pPr>
  </w:style>
  <w:style w:type="paragraph" w:styleId="958">
    <w:name w:val="endnote text"/>
    <w:basedOn w:val="936"/>
    <w:link w:val="1131"/>
    <w:uiPriority w:val="99"/>
    <w:semiHidden/>
    <w:unhideWhenUsed/>
    <w:qFormat/>
    <w:rPr>
      <w:sz w:val="20"/>
    </w:rPr>
  </w:style>
  <w:style w:type="paragraph" w:styleId="959">
    <w:name w:val="Footer"/>
    <w:basedOn w:val="936"/>
    <w:link w:val="1004"/>
    <w:uiPriority w:val="99"/>
    <w:unhideWhenUsed/>
    <w:qFormat/>
    <w:pPr>
      <w:tabs>
        <w:tab w:val="center" w:pos="7143" w:leader="none"/>
        <w:tab w:val="right" w:pos="14287" w:leader="none"/>
      </w:tabs>
    </w:pPr>
  </w:style>
  <w:style w:type="paragraph" w:styleId="960">
    <w:name w:val="Header"/>
    <w:basedOn w:val="936"/>
    <w:link w:val="1002"/>
    <w:uiPriority w:val="99"/>
    <w:unhideWhenUsed/>
    <w:qFormat/>
    <w:pPr>
      <w:tabs>
        <w:tab w:val="center" w:pos="7143" w:leader="none"/>
        <w:tab w:val="right" w:pos="14287" w:leader="none"/>
      </w:tabs>
    </w:pPr>
  </w:style>
  <w:style w:type="paragraph" w:styleId="961">
    <w:name w:val="toc 1"/>
    <w:basedOn w:val="936"/>
    <w:next w:val="936"/>
    <w:uiPriority w:val="39"/>
    <w:unhideWhenUsed/>
    <w:qFormat/>
    <w:pPr>
      <w:spacing w:after="57"/>
    </w:pPr>
  </w:style>
  <w:style w:type="paragraph" w:styleId="962">
    <w:name w:val="toc 4"/>
    <w:basedOn w:val="936"/>
    <w:next w:val="936"/>
    <w:uiPriority w:val="39"/>
    <w:unhideWhenUsed/>
    <w:qFormat/>
    <w:pPr>
      <w:ind w:left="850"/>
      <w:spacing w:after="57"/>
    </w:pPr>
  </w:style>
  <w:style w:type="paragraph" w:styleId="963">
    <w:name w:val="Subtitle"/>
    <w:basedOn w:val="936"/>
    <w:next w:val="936"/>
    <w:link w:val="997"/>
    <w:uiPriority w:val="11"/>
    <w:qFormat/>
    <w:pPr>
      <w:spacing w:before="200" w:after="200"/>
    </w:pPr>
    <w:rPr>
      <w:sz w:val="24"/>
      <w:szCs w:val="24"/>
    </w:rPr>
  </w:style>
  <w:style w:type="paragraph" w:styleId="964">
    <w:name w:val="footnote text"/>
    <w:basedOn w:val="936"/>
    <w:link w:val="1130"/>
    <w:uiPriority w:val="99"/>
    <w:semiHidden/>
    <w:unhideWhenUsed/>
    <w:qFormat/>
    <w:pPr>
      <w:spacing w:after="40"/>
    </w:pPr>
    <w:rPr>
      <w:sz w:val="18"/>
    </w:rPr>
  </w:style>
  <w:style w:type="paragraph" w:styleId="965">
    <w:name w:val="toc 6"/>
    <w:basedOn w:val="936"/>
    <w:next w:val="936"/>
    <w:uiPriority w:val="39"/>
    <w:unhideWhenUsed/>
    <w:qFormat/>
    <w:pPr>
      <w:ind w:left="1417"/>
      <w:spacing w:after="57"/>
    </w:pPr>
  </w:style>
  <w:style w:type="paragraph" w:styleId="966">
    <w:name w:val="table of figures"/>
    <w:basedOn w:val="936"/>
    <w:next w:val="936"/>
    <w:uiPriority w:val="99"/>
    <w:unhideWhenUsed/>
    <w:qFormat/>
  </w:style>
  <w:style w:type="paragraph" w:styleId="967">
    <w:name w:val="toc 2"/>
    <w:basedOn w:val="936"/>
    <w:next w:val="936"/>
    <w:uiPriority w:val="39"/>
    <w:unhideWhenUsed/>
    <w:qFormat/>
    <w:pPr>
      <w:ind w:left="283"/>
      <w:spacing w:after="57"/>
    </w:pPr>
  </w:style>
  <w:style w:type="paragraph" w:styleId="968">
    <w:name w:val="toc 9"/>
    <w:basedOn w:val="936"/>
    <w:next w:val="936"/>
    <w:uiPriority w:val="39"/>
    <w:unhideWhenUsed/>
    <w:qFormat/>
    <w:pPr>
      <w:ind w:left="2268"/>
      <w:spacing w:after="57"/>
    </w:pPr>
  </w:style>
  <w:style w:type="paragraph" w:styleId="969">
    <w:name w:val="Normal (Web)"/>
    <w:basedOn w:val="936"/>
    <w:uiPriority w:val="99"/>
    <w:semiHidden/>
    <w:unhideWhenUsed/>
    <w:qFormat/>
    <w:pPr>
      <w:jc w:val="left"/>
      <w:spacing w:beforeAutospacing="1" w:afterAutospacing="1"/>
    </w:pPr>
    <w:rPr>
      <w:sz w:val="24"/>
    </w:rPr>
  </w:style>
  <w:style w:type="paragraph" w:styleId="970">
    <w:name w:val="Title"/>
    <w:basedOn w:val="936"/>
    <w:next w:val="936"/>
    <w:link w:val="996"/>
    <w:uiPriority w:val="10"/>
    <w:qFormat/>
    <w:pPr>
      <w:contextualSpacing/>
      <w:spacing w:before="300" w:after="200"/>
    </w:pPr>
    <w:rPr>
      <w:sz w:val="48"/>
      <w:szCs w:val="48"/>
    </w:rPr>
  </w:style>
  <w:style w:type="paragraph" w:styleId="971">
    <w:name w:val="Body Text First Indent"/>
    <w:basedOn w:val="953"/>
    <w:uiPriority w:val="0"/>
    <w:qFormat/>
    <w:pPr>
      <w:ind w:firstLine="200"/>
      <w:spacing w:line="360" w:lineRule="auto"/>
    </w:pPr>
    <w:rPr>
      <w:rFonts w:ascii="仿宋_GB2312" w:hAnsi="Times New Roman" w:eastAsia="仿宋_GB2312"/>
      <w:sz w:val="30"/>
      <w:szCs w:val="30"/>
    </w:rPr>
  </w:style>
  <w:style w:type="table" w:styleId="9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Strong"/>
    <w:uiPriority w:val="22"/>
    <w:qFormat/>
    <w:rPr>
      <w:b/>
    </w:rPr>
  </w:style>
  <w:style w:type="character" w:styleId="974">
    <w:name w:val="endnote reference"/>
    <w:uiPriority w:val="99"/>
    <w:semiHidden/>
    <w:unhideWhenUsed/>
    <w:qFormat/>
    <w:rPr>
      <w:vertAlign w:val="superscript"/>
    </w:rPr>
  </w:style>
  <w:style w:type="character" w:styleId="975">
    <w:name w:val="Emphasis"/>
    <w:uiPriority w:val="0"/>
    <w:qFormat/>
    <w:rPr>
      <w:i/>
    </w:rPr>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character" w:styleId="978" w:customStyle="1">
    <w:name w:val="标题 1 Char"/>
    <w:link w:val="979"/>
    <w:uiPriority w:val="0"/>
    <w:qFormat/>
    <w:rPr>
      <w:rFonts w:ascii="楷体_GB2312" w:hAnsi="Times New Roman" w:eastAsia="楷体_GB2312" w:cs="Times New Roman"/>
      <w:sz w:val="28"/>
      <w:szCs w:val="28"/>
    </w:rPr>
  </w:style>
  <w:style w:type="paragraph" w:styleId="979" w:customStyle="1">
    <w:name w:val="标题 11"/>
    <w:basedOn w:val="936"/>
    <w:next w:val="936"/>
    <w:link w:val="978"/>
    <w:uiPriority w:val="0"/>
    <w:qFormat/>
    <w:pPr>
      <w:jc w:val="center"/>
      <w:keepNext/>
      <w:outlineLvl w:val="0"/>
    </w:pPr>
    <w:rPr>
      <w:rFonts w:ascii="楷体_GB2312" w:eastAsia="楷体_GB2312"/>
      <w:sz w:val="28"/>
      <w:szCs w:val="28"/>
    </w:rPr>
  </w:style>
  <w:style w:type="character" w:styleId="980" w:customStyle="1">
    <w:name w:val="标题 3 Char"/>
    <w:link w:val="981"/>
    <w:uiPriority w:val="0"/>
    <w:qFormat/>
    <w:rPr>
      <w:rFonts w:ascii="Times New Roman" w:hAnsi="Times New Roman" w:eastAsia="宋体" w:cs="Times New Roman"/>
      <w:b/>
      <w:bCs/>
      <w:sz w:val="32"/>
      <w:szCs w:val="32"/>
    </w:rPr>
  </w:style>
  <w:style w:type="paragraph" w:styleId="981" w:customStyle="1">
    <w:name w:val="标题 31"/>
    <w:basedOn w:val="936"/>
    <w:next w:val="982"/>
    <w:link w:val="980"/>
    <w:uiPriority w:val="0"/>
    <w:qFormat/>
    <w:pPr>
      <w:keepLines/>
      <w:keepNext/>
      <w:spacing w:before="260" w:after="260" w:line="416" w:lineRule="auto"/>
      <w:outlineLvl w:val="2"/>
    </w:pPr>
    <w:rPr>
      <w:b/>
      <w:bCs/>
      <w:sz w:val="32"/>
      <w:szCs w:val="32"/>
    </w:rPr>
  </w:style>
  <w:style w:type="paragraph" w:styleId="982" w:customStyle="1">
    <w:name w:val="正文缩进1"/>
    <w:basedOn w:val="936"/>
    <w:link w:val="1153"/>
    <w:uiPriority w:val="0"/>
    <w:qFormat/>
    <w:pPr>
      <w:ind w:firstLine="420"/>
    </w:pPr>
  </w:style>
  <w:style w:type="paragraph" w:styleId="983" w:customStyle="1">
    <w:name w:val="首行缩进"/>
    <w:basedOn w:val="936"/>
    <w:uiPriority w:val="0"/>
    <w:qFormat/>
    <w:pPr>
      <w:ind w:firstLine="480"/>
      <w:jc w:val="left"/>
      <w:spacing w:line="360" w:lineRule="auto"/>
    </w:pPr>
    <w:rPr>
      <w:rFonts w:ascii="宋体" w:hAnsi="宋体"/>
      <w:sz w:val="24"/>
    </w:rPr>
  </w:style>
  <w:style w:type="paragraph" w:styleId="984" w:customStyle="1">
    <w:name w:val="Default"/>
    <w:next w:val="936"/>
    <w:uiPriority w:val="0"/>
    <w:qFormat/>
    <w:pPr>
      <w:widowControl w:val="off"/>
    </w:pPr>
    <w:rPr>
      <w:rFonts w:ascii="宋体" w:hAnsi="Times New Roman" w:eastAsia="宋体" w:cs="宋体"/>
      <w:color w:val="000000"/>
      <w:sz w:val="24"/>
      <w:szCs w:val="24"/>
      <w:lang w:val="en-US" w:eastAsia="zh-CN" w:bidi="ar-SA"/>
    </w:rPr>
  </w:style>
  <w:style w:type="character" w:styleId="985" w:customStyle="1">
    <w:name w:val="标题 1 字符"/>
    <w:link w:val="937"/>
    <w:uiPriority w:val="9"/>
    <w:qFormat/>
    <w:rPr>
      <w:rFonts w:ascii="Arial" w:hAnsi="Arial" w:eastAsia="Arial" w:cs="Arial"/>
      <w:sz w:val="40"/>
      <w:szCs w:val="40"/>
    </w:rPr>
  </w:style>
  <w:style w:type="character" w:styleId="986" w:customStyle="1">
    <w:name w:val="标题 2 字符"/>
    <w:link w:val="938"/>
    <w:uiPriority w:val="9"/>
    <w:qFormat/>
    <w:rPr>
      <w:rFonts w:ascii="Arial" w:hAnsi="Arial" w:eastAsia="Arial" w:cs="Arial"/>
      <w:sz w:val="34"/>
    </w:rPr>
  </w:style>
  <w:style w:type="character" w:styleId="987" w:customStyle="1">
    <w:name w:val="标题 3 字符"/>
    <w:link w:val="939"/>
    <w:uiPriority w:val="9"/>
    <w:qFormat/>
    <w:rPr>
      <w:rFonts w:ascii="Arial" w:hAnsi="Arial" w:eastAsia="Arial" w:cs="Arial"/>
      <w:sz w:val="30"/>
      <w:szCs w:val="30"/>
    </w:rPr>
  </w:style>
  <w:style w:type="character" w:styleId="988" w:customStyle="1">
    <w:name w:val="标题 4 字符"/>
    <w:link w:val="940"/>
    <w:uiPriority w:val="9"/>
    <w:qFormat/>
    <w:rPr>
      <w:rFonts w:ascii="Arial" w:hAnsi="Arial" w:eastAsia="Arial" w:cs="Arial"/>
      <w:b/>
      <w:bCs/>
      <w:sz w:val="26"/>
      <w:szCs w:val="26"/>
    </w:rPr>
  </w:style>
  <w:style w:type="character" w:styleId="989" w:customStyle="1">
    <w:name w:val="标题 5 字符"/>
    <w:link w:val="941"/>
    <w:uiPriority w:val="9"/>
    <w:qFormat/>
    <w:rPr>
      <w:rFonts w:ascii="Arial" w:hAnsi="Arial" w:eastAsia="Arial" w:cs="Arial"/>
      <w:b/>
      <w:bCs/>
      <w:sz w:val="24"/>
      <w:szCs w:val="24"/>
    </w:rPr>
  </w:style>
  <w:style w:type="character" w:styleId="990" w:customStyle="1">
    <w:name w:val="标题 6 字符"/>
    <w:link w:val="942"/>
    <w:uiPriority w:val="9"/>
    <w:qFormat/>
    <w:rPr>
      <w:rFonts w:ascii="Arial" w:hAnsi="Arial" w:eastAsia="Arial" w:cs="Arial"/>
      <w:b/>
      <w:bCs/>
      <w:sz w:val="22"/>
      <w:szCs w:val="22"/>
    </w:rPr>
  </w:style>
  <w:style w:type="character" w:styleId="991" w:customStyle="1">
    <w:name w:val="标题 7 字符"/>
    <w:link w:val="943"/>
    <w:uiPriority w:val="9"/>
    <w:qFormat/>
    <w:rPr>
      <w:rFonts w:ascii="Arial" w:hAnsi="Arial" w:eastAsia="Arial" w:cs="Arial"/>
      <w:b/>
      <w:bCs/>
      <w:iCs/>
      <w:sz w:val="22"/>
      <w:szCs w:val="22"/>
      <w:lang w:val="en-US" w:eastAsia="zh-CN" w:bidi="ar-SA"/>
    </w:rPr>
  </w:style>
  <w:style w:type="character" w:styleId="992" w:customStyle="1">
    <w:name w:val="标题 8 字符"/>
    <w:link w:val="944"/>
    <w:uiPriority w:val="9"/>
    <w:qFormat/>
    <w:rPr>
      <w:rFonts w:ascii="Arial" w:hAnsi="Arial" w:eastAsia="Arial" w:cs="Arial"/>
      <w:iCs/>
      <w:sz w:val="22"/>
      <w:szCs w:val="22"/>
      <w:lang w:val="en-US" w:eastAsia="zh-CN" w:bidi="ar-SA"/>
    </w:rPr>
  </w:style>
  <w:style w:type="character" w:styleId="993" w:customStyle="1">
    <w:name w:val="标题 9 字符"/>
    <w:link w:val="945"/>
    <w:uiPriority w:val="9"/>
    <w:qFormat/>
    <w:rPr>
      <w:rFonts w:ascii="Arial" w:hAnsi="Arial" w:eastAsia="Arial" w:cs="Arial"/>
      <w:i/>
      <w:iCs/>
      <w:sz w:val="21"/>
      <w:szCs w:val="21"/>
    </w:rPr>
  </w:style>
  <w:style w:type="paragraph" w:styleId="994">
    <w:name w:val="List Paragraph"/>
    <w:basedOn w:val="936"/>
    <w:uiPriority w:val="34"/>
    <w:qFormat/>
    <w:pPr>
      <w:contextualSpacing/>
      <w:ind w:left="720"/>
    </w:pPr>
  </w:style>
  <w:style w:type="paragraph" w:styleId="995">
    <w:name w:val="No Spacing"/>
    <w:uiPriority w:val="1"/>
    <w:qFormat/>
    <w:rPr>
      <w:rFonts w:ascii="Calibri" w:hAnsi="Calibri" w:eastAsia="宋体" w:cs="Times New Roman"/>
      <w:lang w:val="en-US" w:eastAsia="zh-CN" w:bidi="ar-SA"/>
    </w:rPr>
  </w:style>
  <w:style w:type="character" w:styleId="996" w:customStyle="1">
    <w:name w:val="标题 字符"/>
    <w:link w:val="970"/>
    <w:uiPriority w:val="10"/>
    <w:qFormat/>
    <w:rPr>
      <w:sz w:val="48"/>
      <w:szCs w:val="48"/>
    </w:rPr>
  </w:style>
  <w:style w:type="character" w:styleId="997" w:customStyle="1">
    <w:name w:val="副标题 字符"/>
    <w:link w:val="963"/>
    <w:uiPriority w:val="11"/>
    <w:qFormat/>
    <w:rPr>
      <w:sz w:val="24"/>
      <w:szCs w:val="24"/>
    </w:rPr>
  </w:style>
  <w:style w:type="paragraph" w:styleId="998">
    <w:name w:val="Quote"/>
    <w:basedOn w:val="936"/>
    <w:next w:val="936"/>
    <w:link w:val="999"/>
    <w:uiPriority w:val="29"/>
    <w:qFormat/>
    <w:pPr>
      <w:ind w:left="720" w:right="720"/>
    </w:pPr>
    <w:rPr>
      <w:i/>
    </w:rPr>
  </w:style>
  <w:style w:type="character" w:styleId="999" w:customStyle="1">
    <w:name w:val="引用 字符"/>
    <w:link w:val="998"/>
    <w:uiPriority w:val="29"/>
    <w:qFormat/>
    <w:rPr>
      <w:i/>
    </w:rPr>
  </w:style>
  <w:style w:type="paragraph" w:styleId="1000">
    <w:name w:val="Intense Quote"/>
    <w:basedOn w:val="936"/>
    <w:next w:val="936"/>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qFormat/>
    <w:rPr>
      <w:i/>
    </w:rPr>
  </w:style>
  <w:style w:type="character" w:styleId="1002" w:customStyle="1">
    <w:name w:val="页眉 字符"/>
    <w:link w:val="960"/>
    <w:uiPriority w:val="99"/>
    <w:qFormat/>
  </w:style>
  <w:style w:type="character" w:styleId="1003" w:customStyle="1">
    <w:name w:val="Footer Char"/>
    <w:uiPriority w:val="99"/>
    <w:qFormat/>
  </w:style>
  <w:style w:type="character" w:styleId="1004" w:customStyle="1">
    <w:name w:val="页脚 字符"/>
    <w:link w:val="959"/>
    <w:uiPriority w:val="99"/>
    <w:qFormat/>
  </w:style>
  <w:style w:type="table" w:styleId="10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脚注文本 字符"/>
    <w:link w:val="964"/>
    <w:uiPriority w:val="99"/>
    <w:qFormat/>
    <w:rPr>
      <w:sz w:val="18"/>
    </w:rPr>
  </w:style>
  <w:style w:type="character" w:styleId="1131" w:customStyle="1">
    <w:name w:val="尾注文本 字符"/>
    <w:link w:val="958"/>
    <w:uiPriority w:val="99"/>
    <w:qFormat/>
    <w:rPr>
      <w:sz w:val="20"/>
    </w:rPr>
  </w:style>
  <w:style w:type="paragraph" w:styleId="1132" w:customStyle="1">
    <w:name w:val="TOC 标题1"/>
    <w:uiPriority w:val="39"/>
    <w:unhideWhenUsed/>
    <w:qFormat/>
    <w:rPr>
      <w:rFonts w:ascii="Calibri" w:hAnsi="Calibri" w:eastAsia="宋体" w:cs="Times New Roman"/>
      <w:lang w:val="en-US" w:eastAsia="zh-CN" w:bidi="ar-SA"/>
    </w:rPr>
  </w:style>
  <w:style w:type="paragraph" w:styleId="1133" w:customStyle="1">
    <w:name w:val="标题 21"/>
    <w:basedOn w:val="936"/>
    <w:next w:val="982"/>
    <w:link w:val="11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34" w:customStyle="1">
    <w:name w:val="标题 41"/>
    <w:basedOn w:val="1135"/>
    <w:next w:val="1144"/>
    <w:link w:val="1154"/>
    <w:uiPriority w:val="0"/>
    <w:qFormat/>
    <w:pPr>
      <w:keepLines/>
      <w:keepNext/>
      <w:spacing w:before="280" w:after="290" w:line="376" w:lineRule="auto"/>
      <w:outlineLvl w:val="3"/>
    </w:pPr>
    <w:rPr>
      <w:rFonts w:ascii="Arial" w:hAnsi="Arial" w:eastAsia="黑体" w:cs="Arial"/>
      <w:b/>
      <w:bCs/>
      <w:sz w:val="28"/>
      <w:szCs w:val="28"/>
    </w:rPr>
  </w:style>
  <w:style w:type="paragraph" w:styleId="1135" w:customStyle="1">
    <w:name w:val="正文12"/>
    <w:next w:val="113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136" w:customStyle="1">
    <w:name w:val="脚注文本1"/>
    <w:basedOn w:val="1137"/>
    <w:next w:val="1142"/>
    <w:uiPriority w:val="0"/>
    <w:qFormat/>
    <w:rPr>
      <w:rFonts w:ascii="宋体" w:eastAsia="Times New Roman"/>
      <w:sz w:val="18"/>
      <w:szCs w:val="18"/>
    </w:rPr>
  </w:style>
  <w:style w:type="paragraph" w:styleId="1137" w:customStyle="1">
    <w:name w:val="正文1"/>
    <w:basedOn w:val="936"/>
    <w:next w:val="1138"/>
    <w:uiPriority w:val="99"/>
    <w:qFormat/>
    <w:pPr>
      <w:ind w:firstLine="480"/>
      <w:spacing w:line="440" w:lineRule="exact"/>
    </w:pPr>
    <w:rPr>
      <w:rFonts w:ascii="微软雅黑" w:hAnsi="微软雅黑" w:eastAsia="微软雅黑"/>
      <w:sz w:val="24"/>
      <w:szCs w:val="20"/>
    </w:rPr>
  </w:style>
  <w:style w:type="paragraph" w:styleId="1138" w:customStyle="1">
    <w:name w:val="正文文本1"/>
    <w:basedOn w:val="936"/>
    <w:next w:val="1139"/>
    <w:link w:val="1168"/>
    <w:uiPriority w:val="0"/>
    <w:qFormat/>
    <w:rPr>
      <w:rFonts w:ascii="楷体_GB2312" w:hAnsi="Arial" w:eastAsia="楷体_GB2312"/>
      <w:sz w:val="28"/>
      <w:szCs w:val="28"/>
    </w:rPr>
  </w:style>
  <w:style w:type="paragraph" w:styleId="1139" w:customStyle="1">
    <w:name w:val="一级条标题"/>
    <w:basedOn w:val="1140"/>
    <w:next w:val="114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0" w:customStyle="1">
    <w:name w:val="章标题"/>
    <w:next w:val="1137"/>
    <w:uiPriority w:val="99"/>
    <w:qFormat/>
    <w:pPr>
      <w:ind w:left="810" w:hanging="810"/>
      <w:jc w:val="both"/>
      <w:spacing w:before="50" w:after="50"/>
      <w:tabs>
        <w:tab w:val="left" w:pos="810" w:leader="none"/>
        <w:tab w:val="left" w:pos="1265" w:leader="none"/>
      </w:tabs>
      <w:outlineLvl w:val="1"/>
    </w:pPr>
    <w:rPr>
      <w:rFonts w:ascii="黑体" w:hAnsi="Times New Roman" w:eastAsia="黑体" w:cs="黑体"/>
      <w:sz w:val="21"/>
      <w:szCs w:val="21"/>
      <w:lang w:val="en-US" w:eastAsia="zh-CN" w:bidi="ar-SA"/>
    </w:rPr>
  </w:style>
  <w:style w:type="paragraph" w:styleId="1141" w:customStyle="1">
    <w:name w:val="段"/>
    <w:basedOn w:val="1137"/>
    <w:next w:val="1137"/>
    <w:uiPriority w:val="99"/>
    <w:qFormat/>
    <w:pPr>
      <w:ind w:firstLine="200"/>
    </w:pPr>
  </w:style>
  <w:style w:type="paragraph" w:styleId="1142" w:customStyle="1">
    <w:name w:val="索引 51"/>
    <w:basedOn w:val="1143"/>
    <w:next w:val="1137"/>
    <w:uiPriority w:val="0"/>
    <w:qFormat/>
    <w:pPr>
      <w:ind w:left="798"/>
      <w:jc w:val="left"/>
    </w:pPr>
    <w:rPr>
      <w:rFonts w:ascii="Calibri" w:hAnsi="Calibri"/>
    </w:rPr>
  </w:style>
  <w:style w:type="paragraph" w:styleId="1143" w:customStyle="1">
    <w:name w:val="正文11"/>
    <w:next w:val="936"/>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正文111"/>
    <w:next w:val="1134"/>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标题 51"/>
    <w:basedOn w:val="936"/>
    <w:next w:val="982"/>
    <w:link w:val="1155"/>
    <w:uiPriority w:val="0"/>
    <w:qFormat/>
    <w:pPr>
      <w:keepNext/>
      <w:outlineLvl w:val="4"/>
    </w:pPr>
    <w:rPr>
      <w:rFonts w:ascii="宋体"/>
      <w:color w:val="000000"/>
      <w:sz w:val="28"/>
      <w:szCs w:val="28"/>
    </w:rPr>
  </w:style>
  <w:style w:type="paragraph" w:styleId="1146" w:customStyle="1">
    <w:name w:val="标题 61"/>
    <w:basedOn w:val="936"/>
    <w:next w:val="936"/>
    <w:link w:val="115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147" w:customStyle="1">
    <w:name w:val="标题 71"/>
    <w:basedOn w:val="936"/>
    <w:next w:val="936"/>
    <w:link w:val="1157"/>
    <w:uiPriority w:val="0"/>
    <w:qFormat/>
    <w:pPr>
      <w:numPr>
        <w:ilvl w:val="6"/>
        <w:numId w:val="2"/>
      </w:numPr>
      <w:keepLines/>
      <w:keepNext/>
      <w:spacing w:before="240" w:after="64" w:line="320" w:lineRule="auto"/>
      <w:outlineLvl w:val="6"/>
    </w:pPr>
    <w:rPr>
      <w:b/>
      <w:bCs/>
      <w:sz w:val="24"/>
      <w:szCs w:val="24"/>
    </w:rPr>
  </w:style>
  <w:style w:type="paragraph" w:styleId="1148" w:customStyle="1">
    <w:name w:val="标题 81"/>
    <w:basedOn w:val="936"/>
    <w:next w:val="936"/>
    <w:link w:val="115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149" w:customStyle="1">
    <w:name w:val="标题 91"/>
    <w:basedOn w:val="936"/>
    <w:next w:val="936"/>
    <w:link w:val="1159"/>
    <w:uiPriority w:val="0"/>
    <w:qFormat/>
    <w:pPr>
      <w:numPr>
        <w:ilvl w:val="8"/>
        <w:numId w:val="2"/>
      </w:numPr>
      <w:keepLines/>
      <w:keepNext/>
      <w:spacing w:before="240" w:after="64" w:line="320" w:lineRule="auto"/>
      <w:outlineLvl w:val="8"/>
    </w:pPr>
    <w:rPr>
      <w:rFonts w:ascii="Arial" w:hAnsi="Arial" w:eastAsia="黑体"/>
    </w:rPr>
  </w:style>
  <w:style w:type="character" w:styleId="1150" w:customStyle="1">
    <w:name w:val="默认段落字体1"/>
    <w:uiPriority w:val="1"/>
    <w:unhideWhenUsed/>
    <w:qFormat/>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标题 2 Char"/>
    <w:link w:val="1133"/>
    <w:uiPriority w:val="0"/>
    <w:qFormat/>
    <w:rPr>
      <w:rFonts w:ascii="Arial" w:hAnsi="Arial" w:eastAsia="幼圆" w:cs="Arial"/>
      <w:b/>
      <w:bCs/>
      <w:sz w:val="44"/>
      <w:szCs w:val="44"/>
    </w:rPr>
  </w:style>
  <w:style w:type="character" w:styleId="1153" w:customStyle="1">
    <w:name w:val="正文缩进 Char"/>
    <w:link w:val="982"/>
    <w:uiPriority w:val="0"/>
    <w:qFormat/>
    <w:rPr>
      <w:rFonts w:ascii="Times New Roman" w:hAnsi="Times New Roman" w:eastAsia="宋体" w:cs="Times New Roman"/>
      <w:szCs w:val="21"/>
    </w:rPr>
  </w:style>
  <w:style w:type="character" w:styleId="1154" w:customStyle="1">
    <w:name w:val="标题 4 Char"/>
    <w:link w:val="1134"/>
    <w:uiPriority w:val="0"/>
    <w:qFormat/>
    <w:rPr>
      <w:rFonts w:ascii="Arial" w:hAnsi="Arial" w:eastAsia="黑体" w:cs="Arial"/>
      <w:b/>
      <w:bCs/>
      <w:sz w:val="28"/>
      <w:szCs w:val="28"/>
    </w:rPr>
  </w:style>
  <w:style w:type="character" w:styleId="1155" w:customStyle="1">
    <w:name w:val="标题 5 Char"/>
    <w:link w:val="1145"/>
    <w:uiPriority w:val="0"/>
    <w:qFormat/>
    <w:rPr>
      <w:rFonts w:ascii="宋体" w:hAnsi="Times New Roman" w:eastAsia="宋体" w:cs="Times New Roman"/>
      <w:color w:val="000000"/>
      <w:sz w:val="28"/>
      <w:szCs w:val="28"/>
    </w:rPr>
  </w:style>
  <w:style w:type="character" w:styleId="1156" w:customStyle="1">
    <w:name w:val="标题 6 Char"/>
    <w:link w:val="1146"/>
    <w:uiPriority w:val="0"/>
    <w:qFormat/>
    <w:rPr>
      <w:rFonts w:ascii="Arial" w:hAnsi="Arial" w:eastAsia="黑体" w:cs="Times New Roman"/>
      <w:b/>
      <w:bCs/>
      <w:sz w:val="24"/>
      <w:szCs w:val="24"/>
    </w:rPr>
  </w:style>
  <w:style w:type="character" w:styleId="1157" w:customStyle="1">
    <w:name w:val="标题 7 Char"/>
    <w:link w:val="1147"/>
    <w:uiPriority w:val="0"/>
    <w:qFormat/>
    <w:rPr>
      <w:rFonts w:ascii="Times New Roman" w:hAnsi="Times New Roman" w:eastAsia="宋体" w:cs="Times New Roman"/>
      <w:b/>
      <w:bCs/>
      <w:sz w:val="24"/>
      <w:szCs w:val="24"/>
    </w:rPr>
  </w:style>
  <w:style w:type="character" w:styleId="1158" w:customStyle="1">
    <w:name w:val="标题 8 Char"/>
    <w:link w:val="1148"/>
    <w:uiPriority w:val="0"/>
    <w:qFormat/>
    <w:rPr>
      <w:rFonts w:ascii="Arial" w:hAnsi="Arial" w:eastAsia="黑体" w:cs="Times New Roman"/>
      <w:sz w:val="24"/>
      <w:szCs w:val="24"/>
    </w:rPr>
  </w:style>
  <w:style w:type="character" w:styleId="1159" w:customStyle="1">
    <w:name w:val="标题 9 Char"/>
    <w:link w:val="1149"/>
    <w:uiPriority w:val="0"/>
    <w:qFormat/>
    <w:rPr>
      <w:rFonts w:ascii="Arial" w:hAnsi="Arial" w:eastAsia="黑体" w:cs="Times New Roman"/>
      <w:szCs w:val="21"/>
    </w:rPr>
  </w:style>
  <w:style w:type="paragraph" w:styleId="1160" w:customStyle="1">
    <w:name w:val="列表 31"/>
    <w:basedOn w:val="936"/>
    <w:uiPriority w:val="0"/>
    <w:qFormat/>
    <w:pPr>
      <w:ind w:left="100" w:hanging="200"/>
    </w:pPr>
  </w:style>
  <w:style w:type="paragraph" w:styleId="1161" w:customStyle="1">
    <w:name w:val="目录 71"/>
    <w:basedOn w:val="936"/>
    <w:next w:val="936"/>
    <w:uiPriority w:val="0"/>
    <w:semiHidden/>
    <w:qFormat/>
    <w:pPr>
      <w:ind w:left="1260"/>
      <w:jc w:val="left"/>
    </w:pPr>
  </w:style>
  <w:style w:type="paragraph" w:styleId="1162" w:customStyle="1">
    <w:name w:val="文档结构图1"/>
    <w:basedOn w:val="936"/>
    <w:link w:val="1163"/>
    <w:uiPriority w:val="0"/>
    <w:semiHidden/>
    <w:qFormat/>
    <w:pPr>
      <w:shd w:val="clear" w:color="auto" w:fill="000080"/>
    </w:pPr>
  </w:style>
  <w:style w:type="character" w:styleId="1163" w:customStyle="1">
    <w:name w:val="文档结构图 Char"/>
    <w:link w:val="1162"/>
    <w:uiPriority w:val="0"/>
    <w:semiHidden/>
    <w:qFormat/>
    <w:rPr>
      <w:rFonts w:ascii="Times New Roman" w:hAnsi="Times New Roman" w:eastAsia="宋体" w:cs="Times New Roman"/>
      <w:szCs w:val="21"/>
      <w:shd w:val="clear" w:color="auto" w:fill="000080"/>
    </w:rPr>
  </w:style>
  <w:style w:type="paragraph" w:styleId="1164" w:customStyle="1">
    <w:name w:val="批注文字1"/>
    <w:basedOn w:val="936"/>
    <w:link w:val="1165"/>
    <w:uiPriority w:val="0"/>
    <w:semiHidden/>
    <w:qFormat/>
    <w:pPr>
      <w:jc w:val="left"/>
    </w:pPr>
  </w:style>
  <w:style w:type="character" w:styleId="1165" w:customStyle="1">
    <w:name w:val="批注文字 Char"/>
    <w:link w:val="1164"/>
    <w:uiPriority w:val="0"/>
    <w:semiHidden/>
    <w:qFormat/>
    <w:rPr>
      <w:rFonts w:ascii="Times New Roman" w:hAnsi="Times New Roman" w:eastAsia="宋体" w:cs="Times New Roman"/>
      <w:szCs w:val="21"/>
    </w:rPr>
  </w:style>
  <w:style w:type="paragraph" w:styleId="1166" w:customStyle="1">
    <w:name w:val="正文文本 31"/>
    <w:basedOn w:val="936"/>
    <w:link w:val="1167"/>
    <w:uiPriority w:val="0"/>
    <w:qFormat/>
    <w:rPr>
      <w:rFonts w:ascii="仿宋_GB2312" w:hAnsi="Arial" w:eastAsia="仿宋_GB2312"/>
      <w:sz w:val="32"/>
      <w:szCs w:val="32"/>
    </w:rPr>
  </w:style>
  <w:style w:type="character" w:styleId="1167" w:customStyle="1">
    <w:name w:val="正文文本 3 Char"/>
    <w:link w:val="1166"/>
    <w:uiPriority w:val="0"/>
    <w:qFormat/>
    <w:rPr>
      <w:rFonts w:ascii="仿宋_GB2312" w:hAnsi="Arial" w:eastAsia="仿宋_GB2312" w:cs="Times New Roman"/>
      <w:sz w:val="32"/>
      <w:szCs w:val="32"/>
    </w:rPr>
  </w:style>
  <w:style w:type="character" w:styleId="1168" w:customStyle="1">
    <w:name w:val="正文文本 Char"/>
    <w:link w:val="1138"/>
    <w:uiPriority w:val="0"/>
    <w:qFormat/>
    <w:rPr>
      <w:rFonts w:ascii="楷体_GB2312" w:hAnsi="Arial" w:eastAsia="楷体_GB2312" w:cs="Times New Roman"/>
      <w:sz w:val="28"/>
      <w:szCs w:val="28"/>
    </w:rPr>
  </w:style>
  <w:style w:type="paragraph" w:styleId="1169" w:customStyle="1">
    <w:name w:val="正文文本缩进1"/>
    <w:basedOn w:val="936"/>
    <w:link w:val="1170"/>
    <w:uiPriority w:val="0"/>
    <w:qFormat/>
    <w:pPr>
      <w:ind w:firstLine="645"/>
    </w:pPr>
    <w:rPr>
      <w:rFonts w:ascii="楷体_GB2312" w:eastAsia="楷体_GB2312"/>
      <w:sz w:val="32"/>
      <w:szCs w:val="32"/>
    </w:rPr>
  </w:style>
  <w:style w:type="character" w:styleId="1170" w:customStyle="1">
    <w:name w:val="正文文本缩进 Char"/>
    <w:link w:val="1169"/>
    <w:uiPriority w:val="0"/>
    <w:qFormat/>
    <w:rPr>
      <w:rFonts w:ascii="楷体_GB2312" w:hAnsi="Times New Roman" w:eastAsia="楷体_GB2312" w:cs="Times New Roman"/>
      <w:sz w:val="32"/>
      <w:szCs w:val="32"/>
    </w:rPr>
  </w:style>
  <w:style w:type="paragraph" w:styleId="1171" w:customStyle="1">
    <w:name w:val="列表 21"/>
    <w:basedOn w:val="936"/>
    <w:uiPriority w:val="0"/>
    <w:qFormat/>
    <w:pPr>
      <w:ind w:left="100" w:hanging="200"/>
    </w:pPr>
  </w:style>
  <w:style w:type="paragraph" w:styleId="1172" w:customStyle="1">
    <w:name w:val="目录 51"/>
    <w:basedOn w:val="936"/>
    <w:next w:val="936"/>
    <w:uiPriority w:val="0"/>
    <w:semiHidden/>
    <w:qFormat/>
    <w:pPr>
      <w:ind w:left="840"/>
      <w:jc w:val="left"/>
    </w:pPr>
  </w:style>
  <w:style w:type="paragraph" w:styleId="1173" w:customStyle="1">
    <w:name w:val="目录 31"/>
    <w:basedOn w:val="936"/>
    <w:next w:val="936"/>
    <w:uiPriority w:val="0"/>
    <w:semiHidden/>
    <w:qFormat/>
    <w:pPr>
      <w:ind w:left="420"/>
      <w:jc w:val="left"/>
    </w:pPr>
    <w:rPr>
      <w:i/>
      <w:iCs/>
      <w:szCs w:val="24"/>
    </w:rPr>
  </w:style>
  <w:style w:type="paragraph" w:styleId="1174" w:customStyle="1">
    <w:name w:val="纯文本1"/>
    <w:basedOn w:val="936"/>
    <w:link w:val="1175"/>
    <w:uiPriority w:val="0"/>
    <w:qFormat/>
    <w:rPr>
      <w:rFonts w:ascii="宋体" w:hAnsi="Courier New" w:cs="Courier New"/>
    </w:rPr>
  </w:style>
  <w:style w:type="character" w:styleId="1175" w:customStyle="1">
    <w:name w:val="纯文本 Char"/>
    <w:link w:val="1174"/>
    <w:uiPriority w:val="0"/>
    <w:qFormat/>
    <w:rPr>
      <w:rFonts w:ascii="宋体" w:hAnsi="Courier New" w:eastAsia="宋体" w:cs="Courier New"/>
      <w:szCs w:val="21"/>
    </w:rPr>
  </w:style>
  <w:style w:type="paragraph" w:styleId="1176" w:customStyle="1">
    <w:name w:val="目录 81"/>
    <w:basedOn w:val="936"/>
    <w:next w:val="936"/>
    <w:uiPriority w:val="0"/>
    <w:semiHidden/>
    <w:qFormat/>
    <w:pPr>
      <w:ind w:left="1470"/>
      <w:jc w:val="left"/>
    </w:pPr>
  </w:style>
  <w:style w:type="paragraph" w:styleId="1177" w:customStyle="1">
    <w:name w:val="日期1"/>
    <w:basedOn w:val="936"/>
    <w:next w:val="936"/>
    <w:link w:val="1178"/>
    <w:uiPriority w:val="0"/>
    <w:qFormat/>
    <w:rPr>
      <w:sz w:val="24"/>
      <w:szCs w:val="24"/>
    </w:rPr>
  </w:style>
  <w:style w:type="character" w:styleId="1178" w:customStyle="1">
    <w:name w:val="日期 Char"/>
    <w:link w:val="1177"/>
    <w:uiPriority w:val="0"/>
    <w:qFormat/>
    <w:rPr>
      <w:rFonts w:ascii="Times New Roman" w:hAnsi="Times New Roman" w:eastAsia="宋体" w:cs="Times New Roman"/>
      <w:sz w:val="24"/>
      <w:szCs w:val="24"/>
    </w:rPr>
  </w:style>
  <w:style w:type="paragraph" w:styleId="1179" w:customStyle="1">
    <w:name w:val="正文文本缩进 21"/>
    <w:basedOn w:val="936"/>
    <w:link w:val="1180"/>
    <w:uiPriority w:val="0"/>
    <w:qFormat/>
    <w:pPr>
      <w:ind w:left="630" w:firstLine="645"/>
    </w:pPr>
    <w:rPr>
      <w:rFonts w:ascii="Arial" w:hAnsi="Arial" w:eastAsia="仿宋_GB2312" w:cs="Arial"/>
      <w:sz w:val="32"/>
      <w:szCs w:val="32"/>
    </w:rPr>
  </w:style>
  <w:style w:type="character" w:styleId="1180" w:customStyle="1">
    <w:name w:val="正文文本缩进 2 Char"/>
    <w:link w:val="1179"/>
    <w:uiPriority w:val="0"/>
    <w:qFormat/>
    <w:rPr>
      <w:rFonts w:ascii="Arial" w:hAnsi="Arial" w:eastAsia="仿宋_GB2312" w:cs="Arial"/>
      <w:sz w:val="32"/>
      <w:szCs w:val="32"/>
    </w:rPr>
  </w:style>
  <w:style w:type="paragraph" w:styleId="1181" w:customStyle="1">
    <w:name w:val="批注框文本1"/>
    <w:basedOn w:val="936"/>
    <w:link w:val="1182"/>
    <w:uiPriority w:val="0"/>
    <w:semiHidden/>
    <w:qFormat/>
    <w:rPr>
      <w:sz w:val="18"/>
      <w:szCs w:val="18"/>
    </w:rPr>
  </w:style>
  <w:style w:type="character" w:styleId="1182" w:customStyle="1">
    <w:name w:val="批注框文本 Char"/>
    <w:link w:val="1181"/>
    <w:uiPriority w:val="0"/>
    <w:semiHidden/>
    <w:qFormat/>
    <w:rPr>
      <w:rFonts w:ascii="Times New Roman" w:hAnsi="Times New Roman" w:eastAsia="宋体" w:cs="Times New Roman"/>
      <w:sz w:val="18"/>
      <w:szCs w:val="18"/>
    </w:rPr>
  </w:style>
  <w:style w:type="paragraph" w:styleId="1183" w:customStyle="1">
    <w:name w:val="页脚1"/>
    <w:basedOn w:val="936"/>
    <w:link w:val="1184"/>
    <w:uiPriority w:val="99"/>
    <w:qFormat/>
    <w:pPr>
      <w:jc w:val="left"/>
      <w:tabs>
        <w:tab w:val="center" w:pos="4153" w:leader="none"/>
        <w:tab w:val="right" w:pos="8306" w:leader="none"/>
      </w:tabs>
    </w:pPr>
    <w:rPr>
      <w:sz w:val="18"/>
      <w:szCs w:val="18"/>
    </w:rPr>
  </w:style>
  <w:style w:type="character" w:styleId="1184" w:customStyle="1">
    <w:name w:val="页脚 Char"/>
    <w:link w:val="1183"/>
    <w:uiPriority w:val="99"/>
    <w:qFormat/>
    <w:rPr>
      <w:rFonts w:ascii="Times New Roman" w:hAnsi="Times New Roman" w:eastAsia="宋体" w:cs="Times New Roman"/>
      <w:sz w:val="18"/>
      <w:szCs w:val="18"/>
    </w:rPr>
  </w:style>
  <w:style w:type="paragraph" w:styleId="1185" w:customStyle="1">
    <w:name w:val="页眉1"/>
    <w:basedOn w:val="936"/>
    <w:link w:val="1186"/>
    <w:uiPriority w:val="0"/>
    <w:qFormat/>
    <w:pPr>
      <w:jc w:val="center"/>
      <w:tabs>
        <w:tab w:val="center" w:pos="4153" w:leader="none"/>
        <w:tab w:val="right" w:pos="8306" w:leader="none"/>
      </w:tabs>
      <w:pBdr>
        <w:bottom w:val="single" w:color="000000" w:sz="6" w:space="1"/>
      </w:pBdr>
    </w:pPr>
    <w:rPr>
      <w:sz w:val="18"/>
      <w:szCs w:val="18"/>
    </w:rPr>
  </w:style>
  <w:style w:type="character" w:styleId="1186" w:customStyle="1">
    <w:name w:val="页眉 Char"/>
    <w:link w:val="1185"/>
    <w:uiPriority w:val="0"/>
    <w:qFormat/>
    <w:rPr>
      <w:rFonts w:ascii="Times New Roman" w:hAnsi="Times New Roman" w:eastAsia="宋体" w:cs="Times New Roman"/>
      <w:sz w:val="18"/>
      <w:szCs w:val="18"/>
    </w:rPr>
  </w:style>
  <w:style w:type="paragraph" w:styleId="1187" w:customStyle="1">
    <w:name w:val="目录 11"/>
    <w:basedOn w:val="936"/>
    <w:next w:val="936"/>
    <w:uiPriority w:val="0"/>
    <w:semiHidden/>
    <w:qFormat/>
    <w:pPr>
      <w:jc w:val="left"/>
      <w:spacing w:before="120" w:after="120" w:line="400" w:lineRule="exact"/>
      <w:tabs>
        <w:tab w:val="right" w:pos="8720" w:leader="dot"/>
      </w:tabs>
    </w:pPr>
    <w:rPr>
      <w:rFonts w:ascii="宋体" w:hAnsi="宋体"/>
      <w:caps/>
      <w:sz w:val="24"/>
      <w:szCs w:val="24"/>
    </w:rPr>
  </w:style>
  <w:style w:type="paragraph" w:styleId="1188" w:customStyle="1">
    <w:name w:val="目录 41"/>
    <w:basedOn w:val="936"/>
    <w:next w:val="936"/>
    <w:uiPriority w:val="0"/>
    <w:semiHidden/>
    <w:qFormat/>
    <w:pPr>
      <w:ind w:left="630"/>
      <w:jc w:val="left"/>
    </w:pPr>
  </w:style>
  <w:style w:type="paragraph" w:styleId="1189" w:customStyle="1">
    <w:name w:val="列表1"/>
    <w:basedOn w:val="936"/>
    <w:uiPriority w:val="0"/>
    <w:qFormat/>
    <w:pPr>
      <w:ind w:left="200" w:hanging="200"/>
    </w:pPr>
  </w:style>
  <w:style w:type="paragraph" w:styleId="1190" w:customStyle="1">
    <w:name w:val="目录 61"/>
    <w:basedOn w:val="936"/>
    <w:next w:val="936"/>
    <w:uiPriority w:val="0"/>
    <w:semiHidden/>
    <w:qFormat/>
    <w:pPr>
      <w:ind w:left="1050"/>
      <w:jc w:val="left"/>
    </w:pPr>
  </w:style>
  <w:style w:type="paragraph" w:styleId="1191" w:customStyle="1">
    <w:name w:val="正文文本缩进 31"/>
    <w:basedOn w:val="936"/>
    <w:link w:val="1192"/>
    <w:uiPriority w:val="0"/>
    <w:qFormat/>
    <w:pPr>
      <w:ind w:left="645" w:firstLine="645"/>
    </w:pPr>
    <w:rPr>
      <w:rFonts w:ascii="Arial" w:hAnsi="Arial" w:eastAsia="仿宋_GB2312" w:cs="Arial"/>
      <w:color w:val="ffff00"/>
      <w:sz w:val="32"/>
      <w:szCs w:val="32"/>
    </w:rPr>
  </w:style>
  <w:style w:type="character" w:styleId="1192" w:customStyle="1">
    <w:name w:val="正文文本缩进 3 Char"/>
    <w:link w:val="1191"/>
    <w:uiPriority w:val="0"/>
    <w:qFormat/>
    <w:rPr>
      <w:rFonts w:ascii="Arial" w:hAnsi="Arial" w:eastAsia="仿宋_GB2312" w:cs="Arial"/>
      <w:color w:val="ffff00"/>
      <w:sz w:val="32"/>
      <w:szCs w:val="32"/>
    </w:rPr>
  </w:style>
  <w:style w:type="paragraph" w:styleId="1193" w:customStyle="1">
    <w:name w:val="图表目录1"/>
    <w:basedOn w:val="936"/>
    <w:next w:val="936"/>
    <w:uiPriority w:val="0"/>
    <w:semiHidden/>
    <w:qFormat/>
    <w:pPr>
      <w:ind w:left="840" w:hanging="420"/>
    </w:pPr>
  </w:style>
  <w:style w:type="paragraph" w:styleId="1194" w:customStyle="1">
    <w:name w:val="目录 21"/>
    <w:basedOn w:val="936"/>
    <w:next w:val="936"/>
    <w:uiPriority w:val="0"/>
    <w:semiHidden/>
    <w:qFormat/>
    <w:pPr>
      <w:ind w:left="210"/>
      <w:jc w:val="left"/>
    </w:pPr>
    <w:rPr>
      <w:smallCaps/>
      <w:szCs w:val="24"/>
    </w:rPr>
  </w:style>
  <w:style w:type="paragraph" w:styleId="1195" w:customStyle="1">
    <w:name w:val="目录 91"/>
    <w:basedOn w:val="936"/>
    <w:next w:val="936"/>
    <w:uiPriority w:val="0"/>
    <w:semiHidden/>
    <w:qFormat/>
    <w:pPr>
      <w:ind w:left="1680"/>
      <w:jc w:val="left"/>
    </w:pPr>
  </w:style>
  <w:style w:type="paragraph" w:styleId="1196" w:customStyle="1">
    <w:name w:val="正文文本 21"/>
    <w:basedOn w:val="936"/>
    <w:link w:val="1197"/>
    <w:uiPriority w:val="0"/>
    <w:qFormat/>
    <w:pPr>
      <w:jc w:val="center"/>
      <w:widowControl/>
    </w:pPr>
    <w:rPr>
      <w:rFonts w:ascii="楷体_GB2312" w:eastAsia="楷体_GB2312"/>
      <w:sz w:val="28"/>
      <w:szCs w:val="28"/>
    </w:rPr>
  </w:style>
  <w:style w:type="character" w:styleId="1197" w:customStyle="1">
    <w:name w:val="正文文本 2 Char"/>
    <w:link w:val="1196"/>
    <w:uiPriority w:val="0"/>
    <w:qFormat/>
    <w:rPr>
      <w:rFonts w:ascii="楷体_GB2312" w:hAnsi="Times New Roman" w:eastAsia="楷体_GB2312" w:cs="Times New Roman"/>
      <w:sz w:val="28"/>
      <w:szCs w:val="28"/>
    </w:rPr>
  </w:style>
  <w:style w:type="paragraph" w:styleId="1198" w:customStyle="1">
    <w:name w:val="普通(网站)1"/>
    <w:basedOn w:val="936"/>
    <w:uiPriority w:val="99"/>
    <w:qFormat/>
    <w:pPr>
      <w:jc w:val="left"/>
      <w:spacing w:before="100" w:beforeAutospacing="1" w:after="100" w:afterAutospacing="1"/>
      <w:widowControl/>
    </w:pPr>
    <w:rPr>
      <w:rFonts w:ascii="宋体" w:hAnsi="宋体" w:cs="宋体"/>
      <w:sz w:val="24"/>
      <w:szCs w:val="24"/>
    </w:rPr>
  </w:style>
  <w:style w:type="paragraph" w:styleId="1199" w:customStyle="1">
    <w:name w:val="索引 11"/>
    <w:basedOn w:val="936"/>
    <w:next w:val="936"/>
    <w:uiPriority w:val="0"/>
    <w:semiHidden/>
    <w:qFormat/>
    <w:pPr>
      <w:spacing w:line="240" w:lineRule="atLeast"/>
    </w:pPr>
    <w:rPr>
      <w:b/>
      <w:bCs/>
    </w:rPr>
  </w:style>
  <w:style w:type="paragraph" w:styleId="1200" w:customStyle="1">
    <w:name w:val="批注主题1"/>
    <w:basedOn w:val="1164"/>
    <w:next w:val="1164"/>
    <w:link w:val="1201"/>
    <w:uiPriority w:val="0"/>
    <w:semiHidden/>
    <w:qFormat/>
    <w:rPr>
      <w:b/>
      <w:bCs/>
    </w:rPr>
  </w:style>
  <w:style w:type="character" w:styleId="1201" w:customStyle="1">
    <w:name w:val="批注主题 Char"/>
    <w:link w:val="1200"/>
    <w:uiPriority w:val="0"/>
    <w:semiHidden/>
    <w:qFormat/>
    <w:rPr>
      <w:rFonts w:ascii="Times New Roman" w:hAnsi="Times New Roman" w:eastAsia="宋体" w:cs="Times New Roman"/>
      <w:b/>
      <w:bCs/>
      <w:szCs w:val="21"/>
    </w:rPr>
  </w:style>
  <w:style w:type="paragraph" w:styleId="1202" w:customStyle="1">
    <w:name w:val="正文首行缩进1"/>
    <w:basedOn w:val="936"/>
    <w:link w:val="1203"/>
    <w:uiPriority w:val="0"/>
    <w:qFormat/>
    <w:pPr>
      <w:ind w:firstLine="200"/>
      <w:spacing w:line="360" w:lineRule="auto"/>
    </w:pPr>
    <w:rPr>
      <w:rFonts w:ascii="仿宋_GB2312" w:eastAsia="仿宋_GB2312"/>
      <w:sz w:val="30"/>
      <w:szCs w:val="30"/>
    </w:rPr>
  </w:style>
  <w:style w:type="character" w:styleId="1203" w:customStyle="1">
    <w:name w:val="正文首行缩进 Char"/>
    <w:link w:val="1202"/>
    <w:uiPriority w:val="0"/>
    <w:qFormat/>
    <w:rPr>
      <w:rFonts w:ascii="仿宋_GB2312" w:hAnsi="Times New Roman" w:eastAsia="仿宋_GB2312" w:cs="Times New Roman"/>
      <w:sz w:val="30"/>
      <w:szCs w:val="30"/>
    </w:rPr>
  </w:style>
  <w:style w:type="paragraph" w:styleId="1204" w:customStyle="1">
    <w:name w:val="正文首行缩进 21"/>
    <w:basedOn w:val="1169"/>
    <w:link w:val="1205"/>
    <w:uiPriority w:val="0"/>
    <w:qFormat/>
    <w:pPr>
      <w:ind w:firstLine="420"/>
      <w:spacing w:line="360" w:lineRule="auto"/>
    </w:pPr>
    <w:rPr>
      <w:rFonts w:ascii="宋体" w:hAnsi="宋体" w:eastAsia="宋体"/>
      <w:sz w:val="21"/>
      <w:szCs w:val="20"/>
    </w:rPr>
  </w:style>
  <w:style w:type="character" w:styleId="1205" w:customStyle="1">
    <w:name w:val="正文首行缩进 2 Char"/>
    <w:link w:val="1204"/>
    <w:uiPriority w:val="0"/>
    <w:qFormat/>
    <w:rPr>
      <w:rFonts w:ascii="宋体" w:hAnsi="宋体" w:eastAsia="宋体" w:cs="Times New Roman"/>
      <w:sz w:val="32"/>
      <w:szCs w:val="20"/>
    </w:rPr>
  </w:style>
  <w:style w:type="table" w:styleId="1206" w:customStyle="1">
    <w:name w:val="网格型1"/>
    <w:basedOn w:val="1151"/>
    <w:uiPriority w:val="0"/>
    <w:qFormat/>
    <w:pPr>
      <w:jc w:val="both"/>
      <w:widowControl w:val="off"/>
    </w:pPr>
    <w:tblPr/>
  </w:style>
  <w:style w:type="character" w:styleId="1207" w:customStyle="1">
    <w:name w:val="要点1"/>
    <w:uiPriority w:val="0"/>
    <w:qFormat/>
    <w:rPr>
      <w:b/>
      <w:bCs/>
    </w:rPr>
  </w:style>
  <w:style w:type="character" w:styleId="1208" w:customStyle="1">
    <w:name w:val="页码1"/>
    <w:uiPriority w:val="0"/>
    <w:qFormat/>
  </w:style>
  <w:style w:type="character" w:styleId="1209" w:customStyle="1">
    <w:name w:val="已访问的超链接1"/>
    <w:uiPriority w:val="0"/>
    <w:qFormat/>
    <w:rPr>
      <w:color w:val="800080"/>
      <w:u w:val="single"/>
    </w:rPr>
  </w:style>
  <w:style w:type="character" w:styleId="1210" w:customStyle="1">
    <w:name w:val="超链接1"/>
    <w:uiPriority w:val="0"/>
    <w:qFormat/>
    <w:rPr>
      <w:color w:val="0000ff"/>
      <w:u w:val="single"/>
    </w:rPr>
  </w:style>
  <w:style w:type="character" w:styleId="1211" w:customStyle="1">
    <w:name w:val="批注引用1"/>
    <w:uiPriority w:val="0"/>
    <w:semiHidden/>
    <w:qFormat/>
    <w:rPr>
      <w:sz w:val="21"/>
      <w:szCs w:val="21"/>
    </w:rPr>
  </w:style>
  <w:style w:type="character" w:styleId="1212" w:customStyle="1">
    <w:name w:val="font5 Char"/>
    <w:uiPriority w:val="0"/>
    <w:qFormat/>
    <w:rPr>
      <w:rFonts w:ascii="宋体" w:hAnsi="宋体" w:eastAsia="宋体"/>
      <w:sz w:val="28"/>
      <w:szCs w:val="28"/>
      <w:lang w:val="en-US" w:eastAsia="zh-CN" w:bidi="ar-SA"/>
    </w:rPr>
  </w:style>
  <w:style w:type="character" w:styleId="1213" w:customStyle="1">
    <w:name w:val="二级目录 Char"/>
    <w:link w:val="1214"/>
    <w:uiPriority w:val="0"/>
    <w:qFormat/>
    <w:rPr>
      <w:rFonts w:ascii="Calibri" w:hAnsi="Calibri"/>
      <w:b/>
      <w:sz w:val="30"/>
      <w:szCs w:val="28"/>
    </w:rPr>
  </w:style>
  <w:style w:type="paragraph" w:styleId="1214" w:customStyle="1">
    <w:name w:val="二级目录"/>
    <w:next w:val="936"/>
    <w:link w:val="121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936"/>
    <w:link w:val="1215"/>
    <w:uiPriority w:val="0"/>
    <w:qFormat/>
    <w:pPr>
      <w:contextualSpacing/>
      <w:ind w:left="720"/>
      <w:jc w:val="left"/>
      <w:widowControl/>
    </w:pPr>
    <w:rPr>
      <w:rFonts w:ascii="Calibri" w:hAnsi="Calibri"/>
      <w:sz w:val="24"/>
      <w:szCs w:val="24"/>
      <w:lang w:eastAsia="en-US" w:bidi="en-US"/>
    </w:rPr>
  </w:style>
  <w:style w:type="paragraph" w:styleId="1217" w:customStyle="1">
    <w:name w:val="Body Text(ch)"/>
    <w:basedOn w:val="936"/>
    <w:next w:val="1138"/>
    <w:uiPriority w:val="0"/>
    <w:qFormat/>
    <w:pPr>
      <w:spacing w:after="120"/>
    </w:pPr>
    <w:rPr>
      <w:rFonts w:ascii="宋体" w:hAnsi="Arial"/>
      <w:bCs/>
      <w:iCs/>
      <w:szCs w:val="24"/>
    </w:rPr>
  </w:style>
  <w:style w:type="paragraph" w:styleId="1218" w:customStyle="1">
    <w:name w:val="xl27"/>
    <w:basedOn w:val="9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9" w:customStyle="1">
    <w:name w:val="xl26"/>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0" w:customStyle="1">
    <w:name w:val="Char"/>
    <w:basedOn w:val="936"/>
    <w:uiPriority w:val="0"/>
    <w:qFormat/>
    <w:pPr>
      <w:ind w:firstLine="200"/>
      <w:tabs>
        <w:tab w:val="left" w:pos="360" w:leader="none"/>
      </w:tabs>
    </w:pPr>
    <w:rPr>
      <w:sz w:val="28"/>
      <w:szCs w:val="30"/>
    </w:rPr>
  </w:style>
  <w:style w:type="paragraph" w:styleId="1221" w:customStyle="1">
    <w:name w:val="Char1"/>
    <w:basedOn w:val="1162"/>
    <w:uiPriority w:val="0"/>
    <w:qFormat/>
    <w:rPr>
      <w:rFonts w:ascii="Tahoma" w:hAnsi="Tahoma"/>
      <w:sz w:val="24"/>
      <w:szCs w:val="24"/>
    </w:rPr>
  </w:style>
  <w:style w:type="paragraph" w:styleId="1222" w:customStyle="1">
    <w:name w:val="普通正文"/>
    <w:basedOn w:val="936"/>
    <w:uiPriority w:val="0"/>
    <w:qFormat/>
    <w:pPr>
      <w:ind w:firstLine="480"/>
      <w:jc w:val="left"/>
      <w:spacing w:before="120" w:after="120" w:line="360" w:lineRule="auto"/>
    </w:pPr>
    <w:rPr>
      <w:rFonts w:ascii="Arial" w:hAnsi="Arial"/>
      <w:sz w:val="24"/>
      <w:szCs w:val="24"/>
    </w:rPr>
  </w:style>
  <w:style w:type="paragraph" w:styleId="1223" w:customStyle="1">
    <w:name w:val="table_lines"/>
    <w:basedOn w:val="936"/>
    <w:uiPriority w:val="0"/>
    <w:qFormat/>
    <w:pPr>
      <w:jc w:val="left"/>
      <w:widowControl/>
    </w:pPr>
    <w:rPr>
      <w:sz w:val="20"/>
      <w:szCs w:val="20"/>
      <w:lang w:val="de-DE" w:eastAsia="de-DE"/>
    </w:rPr>
  </w:style>
  <w:style w:type="paragraph" w:styleId="1224"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25" w:customStyle="1">
    <w:name w:val="font7"/>
    <w:basedOn w:val="936"/>
    <w:uiPriority w:val="0"/>
    <w:qFormat/>
    <w:pPr>
      <w:jc w:val="left"/>
      <w:spacing w:before="100" w:beforeAutospacing="1" w:after="100" w:afterAutospacing="1"/>
      <w:widowControl/>
    </w:pPr>
    <w:rPr>
      <w:rFonts w:hint="eastAsia" w:ascii="宋体" w:hAnsi="宋体"/>
      <w:sz w:val="18"/>
      <w:szCs w:val="18"/>
    </w:rPr>
  </w:style>
  <w:style w:type="paragraph" w:styleId="1226" w:customStyle="1">
    <w:name w:val="Char Char Char Char"/>
    <w:basedOn w:val="1162"/>
    <w:uiPriority w:val="0"/>
    <w:qFormat/>
    <w:pPr>
      <w:spacing w:line="360" w:lineRule="auto"/>
    </w:pPr>
    <w:rPr>
      <w:rFonts w:ascii="Tahoma" w:hAnsi="Tahoma"/>
      <w:sz w:val="24"/>
      <w:szCs w:val="24"/>
    </w:rPr>
  </w:style>
  <w:style w:type="paragraph" w:styleId="1227" w:customStyle="1">
    <w:name w:val="列出段落"/>
    <w:basedOn w:val="936"/>
    <w:uiPriority w:val="0"/>
    <w:qFormat/>
    <w:pPr>
      <w:contextualSpacing/>
      <w:ind w:left="720"/>
      <w:jc w:val="left"/>
      <w:widowControl/>
    </w:pPr>
    <w:rPr>
      <w:rFonts w:ascii="Calibri" w:hAnsi="Calibri"/>
      <w:sz w:val="24"/>
      <w:szCs w:val="24"/>
      <w:lang w:eastAsia="en-US" w:bidi="en-US"/>
    </w:rPr>
  </w:style>
  <w:style w:type="paragraph" w:styleId="1228" w:customStyle="1">
    <w:name w:val="4"/>
    <w:basedOn w:val="936"/>
    <w:next w:val="1191"/>
    <w:uiPriority w:val="0"/>
    <w:qFormat/>
    <w:pPr>
      <w:ind w:firstLine="420"/>
      <w:spacing w:line="360" w:lineRule="auto"/>
    </w:pPr>
    <w:rPr>
      <w:color w:val="ff0000"/>
      <w:sz w:val="24"/>
      <w:szCs w:val="24"/>
    </w:rPr>
  </w:style>
  <w:style w:type="paragraph" w:styleId="1229" w:customStyle="1">
    <w:name w:val="普通 (Web)"/>
    <w:basedOn w:val="936"/>
    <w:uiPriority w:val="0"/>
    <w:qFormat/>
    <w:pPr>
      <w:jc w:val="left"/>
      <w:spacing w:before="100" w:beforeAutospacing="1" w:after="100" w:afterAutospacing="1"/>
      <w:widowControl/>
    </w:pPr>
    <w:rPr>
      <w:rFonts w:ascii="宋体" w:hAnsi="宋体"/>
      <w:sz w:val="24"/>
      <w:szCs w:val="24"/>
    </w:rPr>
  </w:style>
  <w:style w:type="paragraph" w:styleId="1230" w:customStyle="1">
    <w:name w:val="Char Char Char Char Char Char Char Char Char Char"/>
    <w:basedOn w:val="936"/>
    <w:uiPriority w:val="0"/>
    <w:qFormat/>
    <w:pPr>
      <w:spacing w:line="360" w:lineRule="auto"/>
    </w:pPr>
    <w:rPr>
      <w:sz w:val="24"/>
      <w:szCs w:val="20"/>
    </w:rPr>
  </w:style>
  <w:style w:type="paragraph" w:styleId="1231" w:customStyle="1">
    <w:name w:val="样式1"/>
    <w:basedOn w:val="936"/>
    <w:uiPriority w:val="0"/>
    <w:qFormat/>
    <w:pPr>
      <w:numPr>
        <w:ilvl w:val="0"/>
        <w:numId w:val="4"/>
      </w:numPr>
    </w:pPr>
    <w:rPr>
      <w:rFonts w:ascii="宋体" w:hAnsi="宋体"/>
    </w:rPr>
  </w:style>
  <w:style w:type="paragraph" w:styleId="1232" w:customStyle="1">
    <w:name w:val="font6"/>
    <w:basedOn w:val="936"/>
    <w:uiPriority w:val="0"/>
    <w:qFormat/>
    <w:pPr>
      <w:jc w:val="left"/>
      <w:spacing w:before="100" w:beforeAutospacing="1" w:after="100" w:afterAutospacing="1"/>
      <w:widowControl/>
    </w:pPr>
    <w:rPr>
      <w:rFonts w:hint="eastAsia" w:ascii="宋体" w:hAnsi="宋体"/>
      <w:sz w:val="28"/>
      <w:szCs w:val="28"/>
      <w:u w:val="single"/>
    </w:rPr>
  </w:style>
  <w:style w:type="paragraph" w:styleId="1233" w:customStyle="1">
    <w:name w:val="xl25"/>
    <w:basedOn w:val="9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4" w:customStyle="1">
    <w:name w:val="图标"/>
    <w:basedOn w:val="936"/>
    <w:next w:val="9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5" w:customStyle="1">
    <w:name w:val="标题3"/>
    <w:basedOn w:val="936"/>
    <w:next w:val="936"/>
    <w:uiPriority w:val="0"/>
    <w:qFormat/>
    <w:pPr>
      <w:ind w:firstLine="624"/>
      <w:spacing w:line="590" w:lineRule="atLeast"/>
    </w:pPr>
    <w:rPr>
      <w:rFonts w:ascii="方正黑体_GBK" w:eastAsia="方正黑体_GBK"/>
      <w:sz w:val="32"/>
      <w:szCs w:val="32"/>
    </w:rPr>
  </w:style>
  <w:style w:type="paragraph" w:styleId="1236" w:customStyle="1">
    <w:name w:val="xl24"/>
    <w:basedOn w:val="9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7" w:customStyle="1">
    <w:name w:val="xl29"/>
    <w:basedOn w:val="9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8" w:customStyle="1">
    <w:name w:val="Char Char Char Char Char Char Char Char"/>
    <w:basedOn w:val="936"/>
    <w:uiPriority w:val="0"/>
    <w:qFormat/>
    <w:pPr>
      <w:jc w:val="left"/>
      <w:spacing w:after="160" w:line="240" w:lineRule="exact"/>
      <w:widowControl/>
    </w:pPr>
    <w:rPr>
      <w:rFonts w:ascii="Verdana" w:hAnsi="Verdana"/>
      <w:sz w:val="20"/>
      <w:szCs w:val="20"/>
      <w:lang w:eastAsia="en-US"/>
    </w:rPr>
  </w:style>
  <w:style w:type="paragraph" w:styleId="1239" w:customStyle="1">
    <w:name w:val="xl28"/>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0" w:customStyle="1">
    <w:name w:val="Char Char Char Char Char Char Char Char1"/>
    <w:basedOn w:val="936"/>
    <w:uiPriority w:val="0"/>
    <w:qFormat/>
    <w:pPr>
      <w:jc w:val="left"/>
      <w:spacing w:after="160" w:line="240" w:lineRule="exact"/>
      <w:widowControl/>
    </w:pPr>
    <w:rPr>
      <w:rFonts w:ascii="Verdana" w:hAnsi="Verdana"/>
      <w:sz w:val="20"/>
      <w:szCs w:val="20"/>
      <w:lang w:eastAsia="en-US"/>
    </w:rPr>
  </w:style>
  <w:style w:type="paragraph" w:styleId="1241" w:customStyle="1">
    <w:name w:val="xl30"/>
    <w:basedOn w:val="936"/>
    <w:uiPriority w:val="0"/>
    <w:qFormat/>
    <w:pPr>
      <w:jc w:val="center"/>
      <w:spacing w:before="100" w:beforeAutospacing="1" w:after="100" w:afterAutospacing="1"/>
      <w:widowControl/>
    </w:pPr>
    <w:rPr>
      <w:rFonts w:ascii="宋体" w:hAnsi="宋体"/>
      <w:b/>
      <w:bCs/>
      <w:sz w:val="36"/>
      <w:szCs w:val="36"/>
    </w:rPr>
  </w:style>
  <w:style w:type="paragraph" w:styleId="1242" w:customStyle="1">
    <w:name w:val="Char Char Char Char1"/>
    <w:basedOn w:val="1162"/>
    <w:uiPriority w:val="0"/>
    <w:qFormat/>
    <w:pPr>
      <w:spacing w:line="360" w:lineRule="auto"/>
    </w:pPr>
    <w:rPr>
      <w:rFonts w:ascii="Tahoma" w:hAnsi="Tahoma"/>
      <w:sz w:val="24"/>
      <w:szCs w:val="24"/>
    </w:rPr>
  </w:style>
  <w:style w:type="paragraph" w:styleId="1243" w:customStyle="1">
    <w:name w:val="table_1stline"/>
    <w:basedOn w:val="936"/>
    <w:uiPriority w:val="0"/>
    <w:qFormat/>
    <w:pPr>
      <w:jc w:val="left"/>
      <w:spacing w:before="120"/>
      <w:widowControl/>
    </w:pPr>
    <w:rPr>
      <w:bCs/>
      <w:sz w:val="20"/>
      <w:szCs w:val="20"/>
      <w:lang w:val="de-DE" w:eastAsia="de-DE"/>
    </w:rPr>
  </w:style>
  <w:style w:type="paragraph" w:styleId="1244" w:customStyle="1">
    <w:name w:val="font5"/>
    <w:basedOn w:val="936"/>
    <w:uiPriority w:val="0"/>
    <w:qFormat/>
    <w:pPr>
      <w:jc w:val="left"/>
      <w:spacing w:before="100" w:beforeAutospacing="1" w:after="100" w:afterAutospacing="1"/>
      <w:widowControl/>
    </w:pPr>
    <w:rPr>
      <w:rFonts w:hint="eastAsia" w:ascii="宋体" w:hAnsi="宋体"/>
      <w:sz w:val="28"/>
      <w:szCs w:val="28"/>
    </w:rPr>
  </w:style>
  <w:style w:type="paragraph" w:styleId="1245" w:customStyle="1">
    <w:name w:val="标题1"/>
    <w:basedOn w:val="936"/>
    <w:next w:val="9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6" w:customStyle="1">
    <w:name w:val="修订1"/>
    <w:uiPriority w:val="99"/>
    <w:semiHidden/>
    <w:qFormat/>
    <w:rPr>
      <w:rFonts w:ascii="Times New Roman" w:hAnsi="Times New Roman" w:eastAsia="宋体" w:cs="Times New Roman"/>
      <w:sz w:val="21"/>
      <w:szCs w:val="21"/>
      <w:lang w:val="en-US" w:eastAsia="zh-CN" w:bidi="ar-SA"/>
    </w:rPr>
  </w:style>
  <w:style w:type="paragraph" w:styleId="124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248" w:customStyle="1">
    <w:name w:val="font41"/>
    <w:uiPriority w:val="0"/>
    <w:qFormat/>
    <w:rPr>
      <w:rFonts w:ascii="Times New Roman" w:hAnsi="Times New Roman" w:cs="Times New Roman"/>
      <w:color w:val="000000"/>
      <w:sz w:val="20"/>
      <w:szCs w:val="20"/>
      <w:u w:val="none"/>
    </w:rPr>
  </w:style>
  <w:style w:type="character" w:styleId="1249" w:customStyle="1">
    <w:name w:val="font21"/>
    <w:uiPriority w:val="0"/>
    <w:qFormat/>
    <w:rPr>
      <w:rFonts w:hint="eastAsia" w:ascii="宋体" w:hAnsi="宋体" w:eastAsia="宋体" w:cs="宋体"/>
      <w:b/>
      <w:bCs/>
      <w:color w:val="000000"/>
      <w:sz w:val="20"/>
      <w:szCs w:val="20"/>
      <w:u w:val="none"/>
    </w:rPr>
  </w:style>
  <w:style w:type="character" w:styleId="1250" w:customStyle="1">
    <w:name w:val="font31"/>
    <w:uiPriority w:val="0"/>
    <w:qFormat/>
    <w:rPr>
      <w:rFonts w:ascii="Times New Roman" w:hAnsi="Times New Roman" w:cs="Times New Roman"/>
      <w:color w:val="000000"/>
      <w:sz w:val="20"/>
      <w:szCs w:val="20"/>
      <w:u w:val="none"/>
    </w:rPr>
  </w:style>
  <w:style w:type="paragraph" w:styleId="1251" w:customStyle="1">
    <w:name w:val="标准文件_二级无标题"/>
    <w:basedOn w:val="1252"/>
    <w:uiPriority w:val="0"/>
    <w:qFormat/>
    <w:pPr>
      <w:spacing w:before="0" w:after="0"/>
      <w:outlineLvl w:val="9"/>
    </w:pPr>
    <w:rPr>
      <w:rFonts w:ascii="宋体" w:eastAsia="宋体"/>
    </w:rPr>
  </w:style>
  <w:style w:type="paragraph" w:styleId="1252" w:customStyle="1">
    <w:name w:val="标准文件_二级条标题"/>
    <w:next w:val="1253"/>
    <w:uiPriority w:val="0"/>
    <w:qFormat/>
    <w:pPr>
      <w:numPr>
        <w:ilvl w:val="3"/>
        <w:numId w:val="5"/>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253" w:customStyle="1">
    <w:name w:val="标准文件_段"/>
    <w:uiPriority w:val="0"/>
    <w:qFormat/>
    <w:pPr>
      <w:ind w:firstLine="200"/>
      <w:jc w:val="both"/>
    </w:pPr>
    <w:rPr>
      <w:rFonts w:ascii="宋体" w:hAnsi="Times New Roman" w:eastAsia="宋体" w:cs="Times New Roman"/>
      <w:sz w:val="21"/>
      <w:lang w:val="en-US" w:eastAsia="zh-CN" w:bidi="ar-SA"/>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李育谦</cp:lastModifiedBy>
  <cp:revision>17</cp:revision>
  <dcterms:created xsi:type="dcterms:W3CDTF">2023-03-16T02:16:00Z</dcterms:created>
  <dcterms:modified xsi:type="dcterms:W3CDTF">2026-09-29T07:34:55Z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eyJoZGlkIjoiZTRjZjJjYjg2YzczMDM4YzU0NTI0MzI0MzZkMjE0YWMiLCJ1c2VySWQiOiIzNDI4Mzc2NjEifQ==</vt:lpwstr>
  </property>
  <property fmtid="{D5CDD505-2E9C-101B-9397-08002B2CF9AE}" pid="3" name="KSOProductBuildVer">
    <vt:lpwstr>2052-12.1.0.28488</vt:lpwstr>
  </property>
  <property fmtid="{D5CDD505-2E9C-101B-9397-08002B2CF9AE}" pid="4" name="ICV">
    <vt:lpwstr>5AB37BD940664C7780AD8A30BF6E1809_13</vt:lpwstr>
  </property>
</Properties>
</file>