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rPr>
        <w:t xml:space="preserve">招　标　文　件</w:t>
      </w:r>
      <w:r/>
    </w:p>
    <w:p>
      <w:pPr>
        <w:ind w:left="0" w:right="0" w:firstLine="0"/>
        <w:jc w:val="center"/>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rPr>
        <w:t xml:space="preserve"> </w:t>
      </w:r>
      <w:r/>
    </w:p>
    <w:p>
      <w:pPr>
        <w:ind w:left="0" w:right="0" w:firstLine="482"/>
        <w:jc w:val="both"/>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项目名称：泰兴市滨江镇马甸卫生院医疗设备采购项目</w:t>
      </w:r>
      <w:r/>
    </w:p>
    <w:p>
      <w:pPr>
        <w:ind w:left="0" w:right="0" w:firstLine="482"/>
        <w:jc w:val="both"/>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项目编号：JSZC-321283-SHGK-G2026-0068</w:t>
      </w:r>
      <w:r/>
    </w:p>
    <w:p>
      <w:pPr>
        <w:ind w:left="0" w:right="0" w:firstLine="482"/>
        <w:jc w:val="both"/>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代理机构编号：1214-264108462WDX</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江苏苏豪创新科技集团高科有限公司</w:t>
      </w:r>
      <w:r/>
    </w:p>
    <w:p>
      <w:pPr>
        <w:ind w:left="0" w:right="0" w:firstLine="0"/>
        <w:jc w:val="center"/>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2026年8月</w:t>
      </w:r>
      <w:r/>
    </w:p>
    <w:p>
      <w:pPr>
        <w:ind w:left="0" w:right="0" w:firstLine="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 </w:t>
      </w:r>
      <w:r/>
    </w:p>
    <w:p>
      <w:pPr>
        <w:ind w:left="0" w:right="0" w:firstLine="0"/>
        <w:jc w:val="center"/>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总目录</w:t>
      </w:r>
      <w:r/>
    </w:p>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目录</w:t>
      </w:r>
      <w:r/>
    </w:p>
    <w:p>
      <w:pPr>
        <w:ind w:left="0" w:right="0" w:firstLine="0"/>
        <w:spacing w:before="120" w:after="120" w:line="400" w:lineRule="atLeast"/>
        <w:tabs>
          <w:tab w:val="left" w:pos="8732" w:leader="none"/>
        </w:tabs>
        <w:pBdr>
          <w:top w:val="none" w:color="000000" w:sz="0" w:space="0"/>
          <w:left w:val="none" w:color="000000" w:sz="0" w:space="0"/>
          <w:bottom w:val="none" w:color="000000" w:sz="0" w:space="0"/>
          <w:right w:val="none" w:color="000000" w:sz="0" w:space="0"/>
        </w:pBdr>
      </w:pPr>
      <w:r>
        <w:fldChar w:fldCharType="begin"/>
      </w:r>
      <w:r>
        <w:instrText xml:space="preserve"> HYPERLINK "http</w:instrText>
      </w:r>
      <w:r>
        <w:instrText xml:space="preserve">s://jszfcg.jsczt.cn/jszc/onlyoffice/7.2.1-34/web-apps/apps/documenteditor/main/index_loader.html?_dc=7.2.1-34&amp;lang=zh&amp;customer=%20&amp;logo=%20&amp;headerlogo=%2Ffavicon.ico&amp;frameEditorId=iframePage&amp;compact=true&amp;parentOrigin=https://jszfcg.jsczt.cn#_Toc20411" \o "</w:instrText>
      </w:r>
      <w:r>
        <w:instrText xml:space="preserve">https://jszfcg.jsczt.cn/jszc/onlyoffice/7.2.1-34/web-apps/apps/documenteditor/main/index_loader.html?_dc=7.2.1-34&amp;lang=zh&amp;customer=%20&amp;logo=%20&amp;headerlogo=%2Ffavicon.ico&amp;frameEditorId=iframePage&amp;compact=true&amp;parentOrigin=https://jszfcg.jsczt.cn#_Toc20411" </w:instrText>
      </w:r>
      <w:r>
        <w:fldChar w:fldCharType="separate"/>
      </w:r>
      <w:r>
        <w:rPr>
          <w:rStyle w:val="955"/>
          <w:rFonts w:ascii="宋体" w:hAnsi="宋体" w:eastAsia="宋体" w:cs="宋体"/>
          <w:color w:val="0000ee"/>
          <w:sz w:val="24"/>
          <w:u w:val="single"/>
        </w:rPr>
        <w:t xml:space="preserve">总目录</w:t>
      </w:r>
      <w:r>
        <w:rPr>
          <w:rStyle w:val="955"/>
          <w:rFonts w:ascii="宋体" w:hAnsi="宋体" w:eastAsia="宋体" w:cs="宋体"/>
          <w:color w:val="0000ee"/>
          <w:sz w:val="24"/>
          <w:u w:val="single"/>
        </w:rPr>
        <w:tab/>
      </w:r>
      <w:r>
        <w:rPr>
          <w:rStyle w:val="955"/>
          <w:rFonts w:ascii="宋体" w:hAnsi="宋体" w:eastAsia="宋体" w:cs="宋体"/>
          <w:color w:val="0000ee"/>
          <w:sz w:val="24"/>
          <w:u w:val="single"/>
        </w:rPr>
        <w:fldChar w:fldCharType="end"/>
      </w:r>
      <w:r/>
    </w:p>
    <w:p>
      <w:pPr>
        <w:ind w:left="0" w:right="0" w:firstLine="0"/>
        <w:spacing w:before="120" w:after="120" w:line="400" w:lineRule="atLeast"/>
        <w:tabs>
          <w:tab w:val="left" w:pos="8732" w:leader="none"/>
        </w:tabs>
        <w:pBdr>
          <w:top w:val="none" w:color="000000" w:sz="0" w:space="0"/>
          <w:left w:val="none" w:color="000000" w:sz="0" w:space="0"/>
          <w:bottom w:val="none" w:color="000000" w:sz="0" w:space="0"/>
          <w:right w:val="none" w:color="000000" w:sz="0" w:space="0"/>
        </w:pBdr>
      </w:pPr>
      <w:r>
        <w:fldChar w:fldCharType="begin"/>
      </w:r>
      <w:r>
        <w:instrText xml:space="preserve"> HYPERLINK "http</w:instrText>
      </w:r>
      <w:r>
        <w:instrText xml:space="preserve">s://jszfcg.jsczt.cn/jszc/onlyoffice/7.2.1-34/web-apps/apps/documenteditor/main/index_loader.html?_dc=7.2.1-34&amp;lang=zh&amp;customer=%20&amp;logo=%20&amp;headerlogo=%2Ffavicon.ico&amp;frameEditorId=iframePage&amp;compact=true&amp;parentOrigin=https://jszfcg.jsczt.cn#_Toc24738" \o "</w:instrText>
      </w:r>
      <w:r>
        <w:instrText xml:space="preserve">https://jszfcg.jsczt.cn/jszc/onlyoffice/7.2.1-34/web-apps/apps/documenteditor/main/index_loader.html?_dc=7.2.1-34&amp;lang=zh&amp;customer=%20&amp;logo=%20&amp;headerlogo=%2Ffavicon.ico&amp;frameEditorId=iframePage&amp;compact=true&amp;parentOrigin=https://jszfcg.jsczt.cn#_Toc24738" </w:instrText>
      </w:r>
      <w:r>
        <w:fldChar w:fldCharType="separate"/>
      </w:r>
      <w:r>
        <w:rPr>
          <w:rStyle w:val="955"/>
          <w:rFonts w:ascii="宋体" w:hAnsi="宋体" w:eastAsia="宋体" w:cs="宋体"/>
          <w:color w:val="0000ee"/>
          <w:sz w:val="24"/>
          <w:u w:val="single"/>
        </w:rPr>
        <w:t xml:space="preserve">第一章投标邀请</w:t>
      </w:r>
      <w:r>
        <w:rPr>
          <w:rStyle w:val="955"/>
          <w:rFonts w:ascii="宋体" w:hAnsi="宋体" w:eastAsia="宋体" w:cs="宋体"/>
          <w:color w:val="0000ee"/>
          <w:sz w:val="24"/>
          <w:u w:val="single"/>
        </w:rPr>
        <w:tab/>
      </w:r>
      <w:r>
        <w:rPr>
          <w:rStyle w:val="955"/>
          <w:rFonts w:ascii="宋体" w:hAnsi="宋体" w:eastAsia="宋体" w:cs="宋体"/>
          <w:color w:val="0000ee"/>
          <w:sz w:val="24"/>
          <w:u w:val="single"/>
        </w:rPr>
        <w:fldChar w:fldCharType="end"/>
      </w:r>
      <w:r/>
    </w:p>
    <w:p>
      <w:pPr>
        <w:ind w:left="0" w:right="0" w:firstLine="0"/>
        <w:spacing w:before="120" w:after="120" w:line="400" w:lineRule="atLeast"/>
        <w:tabs>
          <w:tab w:val="left" w:pos="8732" w:leader="none"/>
        </w:tabs>
        <w:pBdr>
          <w:top w:val="none" w:color="000000" w:sz="0" w:space="0"/>
          <w:left w:val="none" w:color="000000" w:sz="0" w:space="0"/>
          <w:bottom w:val="none" w:color="000000" w:sz="0" w:space="0"/>
          <w:right w:val="none" w:color="000000" w:sz="0" w:space="0"/>
        </w:pBdr>
      </w:pPr>
      <w:r>
        <w:fldChar w:fldCharType="begin"/>
      </w:r>
      <w:r>
        <w:instrText xml:space="preserve"> HYPERLINK "http</w:instrText>
      </w:r>
      <w:r>
        <w:instrText xml:space="preserve">s://jszfcg.jsczt.cn/jszc/onlyoffice/7.2.1-34/web-apps/apps/documenteditor/main/index_loader.html?_dc=7.2.1-34&amp;lang=zh&amp;customer=%20&amp;logo=%20&amp;headerlogo=%2Ffavicon.ico&amp;frameEditorId=iframePage&amp;compact=true&amp;parentOrigin=https://jszfcg.jsczt.cn#_Toc17820" \o "</w:instrText>
      </w:r>
      <w:r>
        <w:instrText xml:space="preserve">https://jszfcg.jsczt.cn/jszc/onlyoffice/7.2.1-34/web-apps/apps/documenteditor/main/index_loader.html?_dc=7.2.1-34&amp;lang=zh&amp;customer=%20&amp;logo=%20&amp;headerlogo=%2Ffavicon.ico&amp;frameEditorId=iframePage&amp;compact=true&amp;parentOrigin=https://jszfcg.jsczt.cn#_Toc17820" </w:instrText>
      </w:r>
      <w:r>
        <w:fldChar w:fldCharType="separate"/>
      </w:r>
      <w:r>
        <w:rPr>
          <w:rStyle w:val="955"/>
          <w:rFonts w:ascii="宋体" w:hAnsi="宋体" w:eastAsia="宋体" w:cs="宋体"/>
          <w:color w:val="0000ee"/>
          <w:sz w:val="24"/>
          <w:u w:val="single"/>
        </w:rPr>
        <w:t xml:space="preserve">第二章投标人须知</w:t>
      </w:r>
      <w:r>
        <w:rPr>
          <w:rStyle w:val="955"/>
          <w:rFonts w:ascii="宋体" w:hAnsi="宋体" w:eastAsia="宋体" w:cs="宋体"/>
          <w:color w:val="0000ee"/>
          <w:sz w:val="24"/>
          <w:u w:val="single"/>
        </w:rPr>
        <w:tab/>
      </w:r>
      <w:r>
        <w:rPr>
          <w:rStyle w:val="955"/>
          <w:rFonts w:ascii="宋体" w:hAnsi="宋体" w:eastAsia="宋体" w:cs="宋体"/>
          <w:color w:val="0000ee"/>
          <w:sz w:val="24"/>
          <w:u w:val="single"/>
        </w:rPr>
        <w:fldChar w:fldCharType="end"/>
      </w:r>
      <w:r/>
    </w:p>
    <w:p>
      <w:pPr>
        <w:ind w:left="0" w:right="0" w:firstLine="0"/>
        <w:spacing w:before="120" w:after="120" w:line="400" w:lineRule="atLeast"/>
        <w:tabs>
          <w:tab w:val="left" w:pos="8732" w:leader="none"/>
        </w:tabs>
        <w:pBdr>
          <w:top w:val="none" w:color="000000" w:sz="0" w:space="0"/>
          <w:left w:val="none" w:color="000000" w:sz="0" w:space="0"/>
          <w:bottom w:val="none" w:color="000000" w:sz="0" w:space="0"/>
          <w:right w:val="none" w:color="000000" w:sz="0" w:space="0"/>
        </w:pBdr>
      </w:pPr>
      <w:r>
        <w:fldChar w:fldCharType="begin"/>
      </w:r>
      <w:r>
        <w:instrText xml:space="preserve"> HYPERLINK "ht</w:instrText>
      </w:r>
      <w:r>
        <w:instrText xml:space="preserve">tps://jszfcg.jsczt.cn/jszc/onlyoffice/7.2.1-34/web-apps/apps/documenteditor/main/index_loader.html?_dc=7.2.1-34&amp;lang=zh&amp;customer=%20&amp;logo=%20&amp;headerlogo=%2Ffavicon.ico&amp;frameEditorId=iframePage&amp;compact=true&amp;parentOrigin=https://jszfcg.jsczt.cn#_Toc6669" \o </w:instrText>
      </w:r>
      <w:r>
        <w:instrText xml:space="preserve">"https://jszfcg.jsczt.cn/jszc/onlyoffice/7.2.1-34/web-apps/apps/documenteditor/main/index_loader.html?_dc=7.2.1-34&amp;lang=zh&amp;customer=%20&amp;logo=%20&amp;headerlogo=%2Ffavicon.ico&amp;frameEditorId=iframePage&amp;compact=true&amp;parentOrigin=https://jszfcg.jsczt.cn#_Toc6669" </w:instrText>
      </w:r>
      <w:r>
        <w:fldChar w:fldCharType="separate"/>
      </w:r>
      <w:r>
        <w:rPr>
          <w:rStyle w:val="955"/>
          <w:rFonts w:ascii="宋体" w:hAnsi="宋体" w:eastAsia="宋体" w:cs="宋体"/>
          <w:color w:val="0000ee"/>
          <w:sz w:val="24"/>
          <w:u w:val="single"/>
        </w:rPr>
        <w:t xml:space="preserve">第三章合同文本</w:t>
      </w:r>
      <w:r>
        <w:rPr>
          <w:rStyle w:val="955"/>
          <w:rFonts w:ascii="宋体" w:hAnsi="宋体" w:eastAsia="宋体" w:cs="宋体"/>
          <w:color w:val="0000ee"/>
          <w:sz w:val="24"/>
          <w:u w:val="single"/>
        </w:rPr>
        <w:tab/>
      </w:r>
      <w:r>
        <w:rPr>
          <w:rStyle w:val="955"/>
          <w:rFonts w:ascii="宋体" w:hAnsi="宋体" w:eastAsia="宋体" w:cs="宋体"/>
          <w:color w:val="0000ee"/>
          <w:sz w:val="24"/>
          <w:u w:val="single"/>
        </w:rPr>
        <w:fldChar w:fldCharType="end"/>
      </w:r>
      <w:r/>
    </w:p>
    <w:p>
      <w:pPr>
        <w:ind w:left="0" w:right="0" w:firstLine="0"/>
        <w:spacing w:before="120" w:after="120" w:line="400" w:lineRule="atLeast"/>
        <w:tabs>
          <w:tab w:val="left" w:pos="8732" w:leader="none"/>
        </w:tabs>
        <w:pBdr>
          <w:top w:val="none" w:color="000000" w:sz="0" w:space="0"/>
          <w:left w:val="none" w:color="000000" w:sz="0" w:space="0"/>
          <w:bottom w:val="none" w:color="000000" w:sz="0" w:space="0"/>
          <w:right w:val="none" w:color="000000" w:sz="0" w:space="0"/>
        </w:pBdr>
      </w:pPr>
      <w:r>
        <w:fldChar w:fldCharType="begin"/>
      </w:r>
      <w:r>
        <w:instrText xml:space="preserve"> HYPERLINK "http</w:instrText>
      </w:r>
      <w:r>
        <w:instrText xml:space="preserve">s://jszfcg.jsczt.cn/jszc/onlyoffice/7.2.1-34/web-apps/apps/documenteditor/main/index_loader.html?_dc=7.2.1-34&amp;lang=zh&amp;customer=%20&amp;logo=%20&amp;headerlogo=%2Ffavicon.ico&amp;frameEditorId=iframePage&amp;compact=true&amp;parentOrigin=https://jszfcg.jsczt.cn#_Toc29514" \o "</w:instrText>
      </w:r>
      <w:r>
        <w:instrText xml:space="preserve">https://jszfcg.jsczt.cn/jszc/onlyoffice/7.2.1-34/web-apps/apps/documenteditor/main/index_loader.html?_dc=7.2.1-34&amp;lang=zh&amp;customer=%20&amp;logo=%20&amp;headerlogo=%2Ffavicon.ico&amp;frameEditorId=iframePage&amp;compact=true&amp;parentOrigin=https://jszfcg.jsczt.cn#_Toc29514" </w:instrText>
      </w:r>
      <w:r>
        <w:fldChar w:fldCharType="separate"/>
      </w:r>
      <w:r>
        <w:rPr>
          <w:rStyle w:val="955"/>
          <w:rFonts w:ascii="宋体" w:hAnsi="宋体" w:eastAsia="宋体" w:cs="宋体"/>
          <w:color w:val="0000ee"/>
          <w:sz w:val="24"/>
          <w:u w:val="single"/>
        </w:rPr>
        <w:t xml:space="preserve">第四章采购需求</w:t>
      </w:r>
      <w:r>
        <w:rPr>
          <w:rStyle w:val="955"/>
          <w:rFonts w:ascii="宋体" w:hAnsi="宋体" w:eastAsia="宋体" w:cs="宋体"/>
          <w:color w:val="0000ee"/>
          <w:sz w:val="24"/>
          <w:u w:val="single"/>
        </w:rPr>
        <w:tab/>
      </w:r>
      <w:r>
        <w:rPr>
          <w:rStyle w:val="955"/>
          <w:rFonts w:ascii="宋体" w:hAnsi="宋体" w:eastAsia="宋体" w:cs="宋体"/>
          <w:color w:val="0000ee"/>
          <w:sz w:val="24"/>
          <w:u w:val="single"/>
        </w:rPr>
        <w:fldChar w:fldCharType="end"/>
      </w:r>
      <w:r/>
    </w:p>
    <w:p>
      <w:pPr>
        <w:ind w:left="0" w:right="0" w:firstLine="0"/>
        <w:spacing w:before="120" w:after="120" w:line="400" w:lineRule="atLeast"/>
        <w:tabs>
          <w:tab w:val="left" w:pos="8732" w:leader="none"/>
        </w:tabs>
        <w:pBdr>
          <w:top w:val="none" w:color="000000" w:sz="0" w:space="0"/>
          <w:left w:val="none" w:color="000000" w:sz="0" w:space="0"/>
          <w:bottom w:val="none" w:color="000000" w:sz="0" w:space="0"/>
          <w:right w:val="none" w:color="000000" w:sz="0" w:space="0"/>
        </w:pBdr>
      </w:pPr>
      <w:r>
        <w:fldChar w:fldCharType="begin"/>
      </w:r>
      <w:r>
        <w:instrText xml:space="preserve"> HYPERLINK "</w:instrText>
      </w:r>
      <w:r>
        <w:instrText xml:space="preserve">https://jszfcg.jsczt.cn/jszc/onlyoffice/7.2.1-34/web-apps/apps/documenteditor/main/index_loader.html?_dc=7.2.1-34&amp;lang=zh&amp;customer=%20&amp;logo=%20&amp;headerlogo=%2Ffavicon.ico&amp;frameEditorId=iframePage&amp;compact=true&amp;parentOrigin=https://jszfcg.jsczt.cn#_Toc470" \o</w:instrText>
      </w:r>
      <w:r>
        <w:instrText xml:space="preserve"> "https://jszfcg.jsczt.cn/jszc/onlyoffice/7.2.1-34/web-apps/apps/documenteditor/main/index_loader.html?_dc=7.2.1-34&amp;lang=zh&amp;customer=%20&amp;logo=%20&amp;headerlogo=%2Ffavicon.ico&amp;frameEditorId=iframePage&amp;compact=true&amp;parentOrigin=https://jszfcg.jsczt.cn#_Toc470" </w:instrText>
      </w:r>
      <w:r>
        <w:fldChar w:fldCharType="separate"/>
      </w:r>
      <w:r>
        <w:rPr>
          <w:rStyle w:val="955"/>
          <w:rFonts w:ascii="宋体" w:hAnsi="宋体" w:eastAsia="宋体" w:cs="宋体"/>
          <w:color w:val="0000ee"/>
          <w:sz w:val="24"/>
          <w:u w:val="single"/>
        </w:rPr>
        <w:t xml:space="preserve">第五章评标方法与评标标准</w:t>
      </w:r>
      <w:r>
        <w:rPr>
          <w:rStyle w:val="955"/>
          <w:rFonts w:ascii="宋体" w:hAnsi="宋体" w:eastAsia="宋体" w:cs="宋体"/>
          <w:color w:val="0000ee"/>
          <w:sz w:val="24"/>
          <w:u w:val="single"/>
        </w:rPr>
        <w:tab/>
      </w:r>
      <w:r>
        <w:rPr>
          <w:rStyle w:val="955"/>
          <w:rFonts w:ascii="宋体" w:hAnsi="宋体" w:eastAsia="宋体" w:cs="宋体"/>
          <w:color w:val="0000ee"/>
          <w:sz w:val="24"/>
          <w:u w:val="single"/>
        </w:rPr>
        <w:fldChar w:fldCharType="end"/>
      </w:r>
      <w:r/>
    </w:p>
    <w:p>
      <w:pPr>
        <w:ind w:left="0" w:right="0" w:firstLine="0"/>
        <w:spacing w:before="120" w:after="120" w:line="400" w:lineRule="atLeast"/>
        <w:tabs>
          <w:tab w:val="left" w:pos="8732" w:leader="none"/>
        </w:tabs>
        <w:pBdr>
          <w:top w:val="none" w:color="000000" w:sz="0" w:space="0"/>
          <w:left w:val="none" w:color="000000" w:sz="0" w:space="0"/>
          <w:bottom w:val="none" w:color="000000" w:sz="0" w:space="0"/>
          <w:right w:val="none" w:color="000000" w:sz="0" w:space="0"/>
        </w:pBdr>
      </w:pPr>
      <w:r>
        <w:fldChar w:fldCharType="begin"/>
      </w:r>
      <w:r>
        <w:instrText xml:space="preserve"> HYPERLINK "http</w:instrText>
      </w:r>
      <w:r>
        <w:instrText xml:space="preserve">s://jszfcg.jsczt.cn/jszc/onlyoffice/7.2.1-34/web-apps/apps/documenteditor/main/index_loader.html?_dc=7.2.1-34&amp;lang=zh&amp;customer=%20&amp;logo=%20&amp;headerlogo=%2Ffavicon.ico&amp;frameEditorId=iframePage&amp;compact=true&amp;parentOrigin=https://jszfcg.jsczt.cn#_Toc28055" \o "</w:instrText>
      </w:r>
      <w:r>
        <w:instrText xml:space="preserve">https://jszfcg.jsczt.cn/jszc/onlyoffice/7.2.1-34/web-apps/apps/documenteditor/main/index_loader.html?_dc=7.2.1-34&amp;lang=zh&amp;customer=%20&amp;logo=%20&amp;headerlogo=%2Ffavicon.ico&amp;frameEditorId=iframePage&amp;compact=true&amp;parentOrigin=https://jszfcg.jsczt.cn#_Toc28055" </w:instrText>
      </w:r>
      <w:r>
        <w:fldChar w:fldCharType="separate"/>
      </w:r>
      <w:r>
        <w:rPr>
          <w:rStyle w:val="955"/>
          <w:rFonts w:ascii="宋体" w:hAnsi="宋体" w:eastAsia="宋体" w:cs="宋体"/>
          <w:color w:val="0000ee"/>
          <w:sz w:val="24"/>
          <w:u w:val="single"/>
        </w:rPr>
        <w:t xml:space="preserve">第六章投标文件格式</w:t>
      </w:r>
      <w:r>
        <w:rPr>
          <w:rStyle w:val="955"/>
          <w:rFonts w:ascii="宋体" w:hAnsi="宋体" w:eastAsia="宋体" w:cs="宋体"/>
          <w:color w:val="0000ee"/>
          <w:sz w:val="24"/>
          <w:u w:val="single"/>
        </w:rPr>
        <w:tab/>
      </w:r>
      <w:r>
        <w:rPr>
          <w:rStyle w:val="955"/>
          <w:rFonts w:ascii="宋体" w:hAnsi="宋体" w:eastAsia="宋体" w:cs="宋体"/>
          <w:color w:val="0000ee"/>
          <w:sz w:val="24"/>
          <w:u w:val="single"/>
        </w:rPr>
        <w:fldChar w:fldCharType="end"/>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第一章投标邀请</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受[泰兴市滨江镇马甸卫生院]的委托，江苏苏豪创新科技集团高科有限公司就[医疗设备采购]([项目编号：</w:t>
      </w:r>
      <w:r>
        <w:rPr>
          <w:rFonts w:ascii="Segoe UI" w:hAnsi="Segoe UI" w:eastAsia="Segoe UI" w:cs="Segoe UI"/>
          <w:color w:val="000000"/>
          <w:sz w:val="21"/>
          <w:highlight w:val="white"/>
        </w:rPr>
        <w:t xml:space="preserve">JSZC-321283-SHGK-G2026-0068</w:t>
      </w:r>
      <w:r>
        <w:rPr>
          <w:rFonts w:ascii="宋体" w:hAnsi="宋体" w:eastAsia="宋体" w:cs="宋体"/>
          <w:color w:val="000000"/>
          <w:sz w:val="24"/>
        </w:rPr>
        <w:t xml:space="preserve">]）采购项目进行公开招标采购，欢迎符合条件的供应商投标。</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u w:val="single"/>
        </w:rPr>
        <w:t xml:space="preserve"> （泰兴市滨江镇马甸卫生院医疗设备采购）</w:t>
      </w:r>
      <w:r>
        <w:rPr>
          <w:rFonts w:ascii="宋体" w:hAnsi="宋体" w:eastAsia="宋体" w:cs="宋体"/>
          <w:color w:val="000000"/>
          <w:sz w:val="24"/>
        </w:rPr>
        <w:t xml:space="preserve"> 招标项目的潜在投标人可在</w:t>
      </w:r>
      <w:r>
        <w:rPr>
          <w:rFonts w:ascii="宋体" w:hAnsi="宋体" w:eastAsia="宋体" w:cs="宋体"/>
          <w:color w:val="000000"/>
          <w:sz w:val="24"/>
          <w:u w:val="single"/>
        </w:rPr>
        <w:t xml:space="preserve">“泰兴市政府采购网”、“江苏政府采购网”自行免费下载</w:t>
      </w:r>
      <w:r>
        <w:rPr>
          <w:rFonts w:ascii="宋体" w:hAnsi="宋体" w:eastAsia="宋体" w:cs="宋体"/>
          <w:color w:val="000000"/>
          <w:sz w:val="24"/>
        </w:rPr>
        <w:t xml:space="preserve">招标文件，并于</w:t>
      </w:r>
      <w:r>
        <w:rPr>
          <w:rFonts w:ascii="宋体" w:hAnsi="宋体" w:eastAsia="宋体" w:cs="宋体"/>
          <w:color w:val="000000"/>
          <w:sz w:val="24"/>
          <w:u w:val="single"/>
        </w:rPr>
        <w:t xml:space="preserve">2026年</w:t>
      </w:r>
      <w:r>
        <w:rPr>
          <w:rFonts w:hint="eastAsia" w:ascii="宋体" w:hAnsi="宋体" w:cs="宋体"/>
          <w:color w:val="000000"/>
          <w:sz w:val="24"/>
          <w:u w:val="single"/>
          <w:lang w:eastAsia="zh-CN"/>
        </w:rPr>
        <w:t xml:space="preserve">10月10日14点00分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36"/>
        <w:jc w:val="both"/>
        <w:spacing w:before="145" w:after="145"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一、项目基本情况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1.项目编号：JSZC-321283-SHGK-G2026-0068</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w:t>
      </w:r>
      <w:r>
        <w:rPr>
          <w:rFonts w:ascii="宋体" w:hAnsi="宋体" w:eastAsia="宋体" w:cs="宋体"/>
          <w:color w:val="000000"/>
          <w:sz w:val="24"/>
          <w:u w:val="single"/>
        </w:rPr>
        <w:t xml:space="preserve">泰兴市滨江镇马甸卫生院医疗设备采购项目</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3.预算金额：包1:60万元；包2:80万元；包3：260万元</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4.本项目设定最高限价，最高限价为</w:t>
      </w:r>
      <w:r>
        <w:rPr>
          <w:rFonts w:ascii="宋体" w:hAnsi="宋体" w:eastAsia="宋体" w:cs="宋体"/>
          <w:color w:val="000000"/>
          <w:sz w:val="24"/>
          <w:u w:val="single"/>
        </w:rPr>
        <w:t xml:space="preserve">包1：60万元；包2:80万元；包3：260万元</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5.采购需求（简介）：</w:t>
      </w:r>
      <w:r/>
    </w:p>
    <w:tbl>
      <w:tblPr>
        <w:tblStyle w:val="7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612"/>
        <w:gridCol w:w="948"/>
        <w:gridCol w:w="2325"/>
        <w:gridCol w:w="2194"/>
      </w:tblGrid>
      <w:tr>
        <w:trPr>
          <w:trHeight w:val="110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采购预算</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（万元人民币）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胃肠内镜一体机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动态DR</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医用CT</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6.合同履行期限：</w:t>
      </w:r>
      <w:r>
        <w:rPr>
          <w:rFonts w:ascii="宋体" w:hAnsi="宋体" w:eastAsia="宋体" w:cs="宋体"/>
          <w:i/>
          <w:color w:val="000000"/>
          <w:sz w:val="24"/>
          <w:u w:val="single"/>
        </w:rPr>
        <w:t xml:space="preserve">合同签订后30个工作日内</w:t>
      </w:r>
      <w:r/>
    </w:p>
    <w:p>
      <w:pPr>
        <w:ind w:left="0" w:right="0" w:firstLine="436"/>
        <w:jc w:val="both"/>
        <w:spacing w:before="145" w:after="145"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二、申请人的资格要求：</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（一）通用资格要求</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1.1 法人或者其他组织的营业执照等证明文件，自然人的身份证明；</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1.2上一年度的财务状况报告（成立不满一年无需提供）；</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1.4具备履行合同所必需的设备和专业技术能力的书面声明；</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1.5参加政府采购活动前3年内在经营活动中没有重大违法记录的书面声明；</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1.6供应商信用承诺书。</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2.落实政府采购政策需满足的资格要求：本项目非预留份额的采购项目或采购包，执行价格扣除优惠政策，给予小微型企业、监狱企业或残疾人福利性单位报价</w:t>
      </w:r>
      <w:r>
        <w:rPr>
          <w:rFonts w:ascii="宋体" w:hAnsi="宋体" w:eastAsia="宋体" w:cs="宋体"/>
          <w:b/>
          <w:color w:val="000000"/>
          <w:sz w:val="24"/>
        </w:rPr>
        <w:t xml:space="preserve">10%</w:t>
      </w:r>
      <w:r>
        <w:rPr>
          <w:rFonts w:ascii="宋体" w:hAnsi="宋体" w:eastAsia="宋体" w:cs="宋体"/>
          <w:color w:val="000000"/>
          <w:sz w:val="24"/>
        </w:rPr>
        <w:t xml:space="preserve">的扣除，用扣除后的价格参加评审。价格扣除比例对小型企业和微型企业同等对待，不作区分。监狱企业、残疾人福利单位属于小型、微型企业的，不重复享受政策。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3.本项目不接受联合体投标。</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（二）本项目的特定资格要求</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（1）投标产品如果属于医疗设备注册范畴的；投标人须根据投标产品的类别，提供《医疗器械经营企业许可证》或者《医疗器械经营备案凭证》（复印件）；</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（2）投标产品如果属于医疗设备注册范畴的；投标人须提供投标产品的《医疗器械注册证》（复印件）；</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（3）本项目接受产品代理商或经销商投标</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（4）若投标人是投标产品的制造商，必须具备《辐射安全许可证》（具体范围中必须包含可生产及销售本次所投标的产品）（01包不适用）；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5）若投标人是投标产品的代理经销商，必须具备《辐射安全许可证》（具体范围中必须包含可销售本次投标的产品），还须提供投标产品制造商的《辐射安全许可证》（具体范围中必须包含可生产本次所投标的产品）（01包不适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（四）拒绝下述供应商参加本次采购活动：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供应商单位负责人为同一人或者存在直接控股、管理关系的不同供应商，不得参加同一合同项下的政府采购活动。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凡为采购项目提供整体设计、规范编制或者项目管理、监理、检测等服务的供应商，不得再参加该项目的其他采购活动。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 供应商被“信用中国”网站（www.creditchina.gov.cn）、“中国政府采购网”（www.ccgp.gov.cn）列入失信被执行人、重大税收违法失信主体、政府采购严重违法失信行为记录名单。</w:t>
      </w:r>
      <w:r/>
    </w:p>
    <w:p>
      <w:pPr>
        <w:ind w:left="0" w:right="0" w:firstLine="436"/>
        <w:jc w:val="both"/>
        <w:spacing w:before="145" w:after="145"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三、获取招标文件</w:t>
      </w:r>
      <w:r/>
    </w:p>
    <w:p>
      <w:pPr>
        <w:ind w:left="0" w:right="0" w:firstLine="5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1.时间：自招标文件公告发布之日起5个工作日。5个工作日后，仍可以下载招标文件，但不作为供应商权利损害的证明材料和依据。</w:t>
      </w:r>
      <w:r/>
    </w:p>
    <w:p>
      <w:pPr>
        <w:ind w:left="0" w:right="0" w:firstLine="5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2.方式：在“泰兴市政府采购网”</w:t>
      </w:r>
      <w:r>
        <w:rPr>
          <w:rFonts w:ascii="宋体" w:hAnsi="宋体" w:eastAsia="宋体" w:cs="宋体"/>
          <w:color w:val="000000"/>
          <w:sz w:val="21"/>
        </w:rPr>
        <w:t xml:space="preserve"> </w:t>
      </w:r>
      <w:r>
        <w:rPr>
          <w:rFonts w:ascii="宋体" w:hAnsi="宋体" w:eastAsia="宋体" w:cs="宋体"/>
          <w:color w:val="000000"/>
          <w:sz w:val="24"/>
        </w:rPr>
        <w:t xml:space="preserve">、“江苏政府采购网”自行免费下载招标文件。</w:t>
      </w:r>
      <w:r/>
    </w:p>
    <w:p>
      <w:pPr>
        <w:ind w:left="0" w:right="0" w:firstLine="436"/>
        <w:jc w:val="both"/>
        <w:spacing w:before="145" w:after="145"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四、提交投标文件截止时间、开标时间和地点</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1.提交投标文件截止时间、开标时间：</w:t>
      </w:r>
      <w:r>
        <w:rPr>
          <w:rFonts w:ascii="宋体" w:hAnsi="宋体" w:eastAsia="宋体" w:cs="宋体"/>
          <w:color w:val="000000"/>
          <w:sz w:val="24"/>
          <w:u w:val="single"/>
        </w:rPr>
        <w:t xml:space="preserve"> 2026年</w:t>
      </w:r>
      <w:r>
        <w:rPr>
          <w:rFonts w:hint="eastAsia" w:ascii="宋体" w:hAnsi="宋体" w:cs="宋体"/>
          <w:color w:val="000000"/>
          <w:sz w:val="24"/>
          <w:u w:val="single"/>
          <w:lang w:eastAsia="zh-CN"/>
        </w:rPr>
        <w:t xml:space="preserve">10月10日14点00分</w:t>
      </w:r>
      <w:bookmarkStart w:id="0" w:name="_GoBack"/>
      <w:r/>
      <w:bookmarkEnd w:id="0"/>
      <w:r>
        <w:rPr>
          <w:rFonts w:ascii="宋体" w:hAnsi="宋体" w:eastAsia="宋体" w:cs="宋体"/>
          <w:color w:val="000000"/>
          <w:sz w:val="24"/>
        </w:rPr>
        <w:t xml:space="preserve">（北京时间）。</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2.地点：“苏采云”政府采购交易系统网上开标大厅。</w:t>
      </w:r>
      <w:r/>
    </w:p>
    <w:p>
      <w:pPr>
        <w:ind w:left="0" w:right="0" w:firstLine="436"/>
        <w:jc w:val="both"/>
        <w:spacing w:before="145" w:after="145"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招标公告及招标文件公告期限为自本公告发布之日起5个工作日。</w:t>
      </w:r>
      <w:r/>
    </w:p>
    <w:p>
      <w:pPr>
        <w:ind w:left="0" w:right="0" w:firstLine="436"/>
        <w:jc w:val="both"/>
        <w:spacing w:before="145" w:after="145"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六、其他补充事宜</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1.本项目招标文件中所有斜体下划线部分为实质性条款，如不满足，则为无效投标。</w:t>
      </w:r>
      <w:r/>
    </w:p>
    <w:p>
      <w:pPr>
        <w:ind w:left="0" w:right="0" w:firstLine="480"/>
        <w:jc w:val="both"/>
        <w:spacing w:before="0" w:after="0"/>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left="0" w:right="0" w:firstLine="480"/>
        <w:jc w:val="both"/>
        <w:spacing w:before="0" w:after="0"/>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3.供应商如确定参加投标，可自行下载采购文件及有关资料，按照《操作手册》进行注册，领取CA和办理电子签章，并按《操作手册》要求制作、上传电子投标文件，技术支持联系方式：13813140731。</w:t>
      </w:r>
      <w:r/>
    </w:p>
    <w:p>
      <w:pPr>
        <w:ind w:left="0" w:right="0" w:firstLine="480"/>
        <w:jc w:val="both"/>
        <w:spacing w:before="0" w:after="0"/>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rPr>
          <w:rFonts w:ascii="宋体" w:hAnsi="宋体" w:eastAsia="宋体" w:cs="宋体"/>
          <w:color w:val="000000"/>
          <w:sz w:val="21"/>
        </w:rPr>
        <w:t xml:space="preserve"> </w:t>
      </w:r>
      <w:r>
        <w:rPr>
          <w:rFonts w:ascii="宋体" w:hAnsi="宋体" w:eastAsia="宋体" w:cs="宋体"/>
          <w:color w:val="000000"/>
          <w:sz w:val="24"/>
        </w:rPr>
        <w:t xml:space="preserve">潜在供应商对采购文件项目需求部分的询问、质疑请向采购人提出，由采购人负责答复。</w:t>
      </w:r>
      <w:r/>
    </w:p>
    <w:p>
      <w:pPr>
        <w:ind w:left="0" w:right="0" w:firstLine="480"/>
        <w:jc w:val="both"/>
        <w:spacing w:before="0" w:after="0"/>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 有关本次招标的事项若存在变动或修改，敬请及时关注“泰兴市政府采购网”、 “江苏省政府采购网”发布的更正公告。</w:t>
      </w:r>
      <w:r/>
    </w:p>
    <w:p>
      <w:pPr>
        <w:ind w:left="0" w:right="0" w:firstLine="480"/>
        <w:jc w:val="both"/>
        <w:spacing w:before="0" w:after="0"/>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 本次招标不收取投标保证金。</w:t>
      </w:r>
      <w:r/>
    </w:p>
    <w:p>
      <w:pPr>
        <w:ind w:left="0" w:right="0" w:firstLine="480"/>
        <w:jc w:val="both"/>
        <w:spacing w:before="0" w:after="0"/>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 本招标项目执行《中华人民共和国政府采购法》《中华人民共和国政府采购法实施条例》《中华人民共和国财政部令第87号》《财库〔2014〕68号》《财库〔2017〕141号》《财库〔2019〕9号》《财库〔2020〕46号》《苏财购〔2022〕45号》</w:t>
      </w:r>
      <w:r>
        <w:rPr>
          <w:rFonts w:ascii="宋体" w:hAnsi="宋体" w:eastAsia="宋体" w:cs="宋体"/>
          <w:color w:val="000000"/>
          <w:sz w:val="24"/>
          <w:u w:val="single"/>
        </w:rPr>
        <w:t xml:space="preserve">《国办发〔2025〕34号》《财库〔2026〕2号》</w:t>
      </w:r>
      <w:r/>
    </w:p>
    <w:p>
      <w:pPr>
        <w:ind w:left="0" w:right="0" w:firstLine="436"/>
        <w:jc w:val="both"/>
        <w:spacing w:before="145" w:after="145"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七、本次招标联系方式</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1.采 购 人：泰兴市滨江镇马甸卫生院</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联系地址：泰兴市滨江镇马甸双彭路38号</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 系 人：曹绍荣</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联系电话：0523-87531153</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2.采购代理机构：江苏苏豪创新科技集团高科有限公司</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联系地址：南京市雨花台区软件大道21号苏豪国际广场（北园）C座617室</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 系 人：朱笑青</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pacing w:val="8"/>
          <w:sz w:val="24"/>
        </w:rPr>
        <w:t xml:space="preserve">025-52875975</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3.项目联系方式：</w:t>
      </w:r>
      <w:r/>
    </w:p>
    <w:p>
      <w:pPr>
        <w:ind w:left="0" w:right="0" w:firstLine="512"/>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项目联系人：吴冬晓、朱笑青</w:t>
      </w:r>
      <w:r/>
    </w:p>
    <w:p>
      <w:pPr>
        <w:ind w:left="0" w:right="0" w:firstLine="512"/>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电话：025-52875975</w:t>
      </w:r>
      <w:r/>
    </w:p>
    <w:p>
      <w:pPr>
        <w:ind w:left="0" w:right="0" w:firstLine="436"/>
        <w:jc w:val="both"/>
        <w:spacing w:before="145" w:after="145"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八、</w:t>
      </w:r>
      <w:r>
        <w:rPr>
          <w:rFonts w:ascii="宋体" w:hAnsi="宋体" w:eastAsia="宋体" w:cs="宋体"/>
          <w:b/>
          <w:color w:val="000000"/>
          <w:sz w:val="28"/>
          <w:u w:val="none"/>
        </w:rPr>
        <w:t xml:space="preserve">落实好政府采购履约资金扶持政策及其他相关政策</w:t>
      </w:r>
      <w:r/>
    </w:p>
    <w:p>
      <w:pPr>
        <w:ind w:left="0" w:right="0" w:firstLine="480"/>
        <w:jc w:val="both"/>
        <w:spacing w:before="0" w:after="0"/>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1.中标/成交供应商可凭政府采购合同办理融资贷款，详见江苏政府采购网“政采贷”专栏。”</w:t>
      </w:r>
      <w:r/>
    </w:p>
    <w:p>
      <w:pPr>
        <w:ind w:left="0" w:right="0" w:firstLine="480"/>
        <w:jc w:val="both"/>
        <w:spacing w:before="0" w:after="0"/>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2.严格执行政府采购关于支持</w:t>
      </w:r>
      <w:r>
        <w:rPr>
          <w:rFonts w:ascii="宋体" w:hAnsi="宋体" w:eastAsia="宋体" w:cs="宋体"/>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480"/>
        <w:jc w:val="both"/>
        <w:spacing w:before="0" w:after="0"/>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left="0" w:right="0" w:firstLine="480"/>
        <w:jc w:val="both"/>
        <w:spacing w:before="0" w:after="0"/>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4.供应商对于投标产品的包装应按照“财办库〔2020〕123号《关于印发《商品包装政府采购需求标准（试行）》《快递包装政府采购需求标准（试行）》的通知》”执行。</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第二章  投标人须知</w:t>
      </w:r>
      <w:r/>
    </w:p>
    <w:p>
      <w:pPr>
        <w:ind w:left="0" w:right="0" w:firstLine="498"/>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none"/>
        </w:rPr>
        <w:t xml:space="preserve">一、总则</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1.</w:t>
      </w:r>
      <w:r>
        <w:rPr>
          <w:rFonts w:ascii="宋体" w:hAnsi="宋体" w:eastAsia="宋体" w:cs="宋体"/>
          <w:color w:val="000000"/>
          <w:sz w:val="24"/>
        </w:rPr>
        <w:t xml:space="preserve">招标方式</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ind w:left="0" w:right="0" w:firstLine="480"/>
        <w:jc w:val="both"/>
        <w:spacing w:before="145"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2.合格的投标人</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满足招标公告中供应商的资格要求的规定。</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满足本文件实质性要求和条件的规定。</w:t>
      </w:r>
      <w:r/>
    </w:p>
    <w:p>
      <w:pPr>
        <w:ind w:left="0" w:right="0" w:firstLine="480"/>
        <w:jc w:val="both"/>
        <w:spacing w:before="145"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3.适用法律</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在本项目政府采购活动过程中，如果所执行的标准有更新的，按照最新标准执行</w:t>
      </w:r>
      <w:r/>
    </w:p>
    <w:p>
      <w:pPr>
        <w:ind w:left="0" w:right="0" w:firstLine="480"/>
        <w:jc w:val="both"/>
        <w:spacing w:before="145"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4.投标费用</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投标人应自行承担所有与参加投标有关的费用，无论投标过程中的做法和结果如何，江苏苏豪创新科技集团高科有限公司（以下简称招标代理机构）在任何情况下均无义务和责任承担这些费用。</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4.2本次招标招标代理机构不收取标书工本费。</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4.3代理费收费标准：本项目采购代理服务费参照江苏省政府采购代理服务收费指导意见[苏政采协［2024］20号]文收取，应在领取中标通知书前缴纳。（本次预算已包含本次招标服务费，故本次代理服务费由中标人支付）</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账户信息：</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ab/>
      </w:r>
      <w:r>
        <w:rPr>
          <w:rFonts w:ascii="宋体" w:hAnsi="宋体" w:eastAsia="宋体" w:cs="宋体"/>
          <w:color w:val="000000"/>
          <w:sz w:val="24"/>
        </w:rPr>
        <w:t xml:space="preserve">户名：江苏苏豪创新科技集团高科有限公司</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ab/>
      </w:r>
      <w:r>
        <w:rPr>
          <w:rFonts w:ascii="宋体" w:hAnsi="宋体" w:eastAsia="宋体" w:cs="宋体"/>
          <w:color w:val="000000"/>
          <w:sz w:val="24"/>
        </w:rPr>
        <w:t xml:space="preserve">开户银行：工商银行江苏省南京市白下支行</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ab/>
      </w:r>
      <w:r>
        <w:rPr>
          <w:rFonts w:ascii="宋体" w:hAnsi="宋体" w:eastAsia="宋体" w:cs="宋体"/>
          <w:color w:val="000000"/>
          <w:sz w:val="24"/>
        </w:rPr>
        <w:t xml:space="preserve">账号：4301013119100888895</w:t>
      </w:r>
      <w:r/>
    </w:p>
    <w:p>
      <w:pPr>
        <w:ind w:left="0" w:right="0" w:firstLine="480"/>
        <w:jc w:val="both"/>
        <w:spacing w:before="145"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5.招标文件的约束力</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w:t>
      </w:r>
      <w:r/>
    </w:p>
    <w:p>
      <w:pPr>
        <w:ind w:left="0" w:right="0" w:firstLine="498"/>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6.招标文件构成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请仔细检查招标文件是否齐全，如有缺漏请立即与代理机构联系解决。</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0"/>
        <w:jc w:val="both"/>
        <w:spacing w:before="145"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7.招标文件的澄清</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任何要求对招标文件进行澄清的投标人，应在投标截止期</w:t>
      </w:r>
      <w:r>
        <w:rPr>
          <w:rFonts w:ascii="宋体" w:hAnsi="宋体" w:eastAsia="宋体" w:cs="宋体"/>
          <w:b/>
          <w:color w:val="000000"/>
          <w:sz w:val="24"/>
        </w:rPr>
        <w:t xml:space="preserve">十日</w:t>
      </w:r>
      <w:r>
        <w:rPr>
          <w:rFonts w:ascii="宋体" w:hAnsi="宋体" w:eastAsia="宋体" w:cs="宋体"/>
          <w:color w:val="000000"/>
          <w:sz w:val="24"/>
        </w:rPr>
        <w:t xml:space="preserve">前按招标公告中的通讯地址，以书面形式通知代理机构。</w:t>
      </w:r>
      <w:r/>
    </w:p>
    <w:p>
      <w:pPr>
        <w:ind w:left="0" w:right="0" w:firstLine="480"/>
        <w:jc w:val="both"/>
        <w:spacing w:before="145"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8.招标文件的修改</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在投标截止时间前，代理机构可以对招标文件进行修改。</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代理机构有权按照法定的要求推迟投标截止日期和开标日期。</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8.3 招标文件的修改将在江苏政府采购网公布，补充文件将作为招标文件的组成部分，并对投标人具有约束力。</w:t>
      </w:r>
      <w:r/>
    </w:p>
    <w:p>
      <w:pPr>
        <w:ind w:left="0" w:right="0" w:firstLine="498"/>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none"/>
        </w:rPr>
        <w:t xml:space="preserve">三、投标文件的编制</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9.投标文件的语言及度量衡单位</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投标人提交的投标文件以及投标人与代理机构就有关投标的所有来往通知、函件和文件均应使用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9.2 除技术性能另有规定外，投标文件所使用的度量衡单位，均须采用国家法定计量单位。</w:t>
      </w:r>
      <w:r/>
    </w:p>
    <w:p>
      <w:pPr>
        <w:ind w:left="0" w:right="0" w:firstLine="480"/>
        <w:jc w:val="both"/>
        <w:spacing w:before="145"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10.投标文件构成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 投标人编写的投标文件应包括</w:t>
      </w:r>
      <w:r>
        <w:rPr>
          <w:rFonts w:ascii="宋体" w:hAnsi="宋体" w:eastAsia="宋体" w:cs="宋体"/>
          <w:color w:val="000000"/>
          <w:sz w:val="24"/>
          <w:u w:val="single"/>
        </w:rPr>
        <w:t xml:space="preserve">资格证明文件、符合性证明文件、投标分项报价表、技术要求响应及偏离表、商务要求响应及偏离表、其他证明文件、投标函、开标一览表</w:t>
      </w:r>
      <w:r>
        <w:rPr>
          <w:rFonts w:ascii="宋体" w:hAnsi="宋体" w:eastAsia="宋体" w:cs="宋体"/>
          <w:color w:val="000000"/>
          <w:sz w:val="24"/>
        </w:rPr>
        <w:t xml:space="preserve">等部分。</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 如标书制作工具中格式和内容与“江苏政府采购网”发布的招标文件不一致，请以“江苏政府采购网”发布的招标文件为准。</w:t>
      </w:r>
      <w:r/>
    </w:p>
    <w:p>
      <w:pPr>
        <w:ind w:left="0" w:right="0" w:firstLine="480"/>
        <w:jc w:val="both"/>
        <w:spacing w:before="145"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11.证明投标人及投标标的符合招标文件规定的文件</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投标人应按照招标文件要求提交证明文件，证明其及投标标的符合招标文件规定。</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 招标文件对证明文件无明确形式要求的，证明文件可以以文字资料、图纸和数据等形式提交。</w:t>
      </w:r>
      <w:r/>
    </w:p>
    <w:p>
      <w:pPr>
        <w:ind w:left="0" w:right="0" w:firstLine="480"/>
        <w:jc w:val="both"/>
        <w:spacing w:before="145"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12.投标分项报价表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投标人应按照招标文件规定格式填报投标分项报价表。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投标货币。投标文件中的单价和总价无特殊规定的采用人民币报价，以元为单位标注。招标文件中另有规定的按规定执行。</w:t>
      </w:r>
      <w:r/>
    </w:p>
    <w:p>
      <w:pPr>
        <w:ind w:left="0" w:right="0" w:firstLine="480"/>
        <w:jc w:val="both"/>
        <w:spacing w:before="145"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13.技术要求响应及偏离表、商务要求响应及偏离表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投标人需对招标文件中的技术要求与商务要求作出响应或偏离，并说明原因。</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投标人可在投标文件中提供认为需要的其他技术文件或说明。</w:t>
      </w:r>
      <w:r/>
    </w:p>
    <w:p>
      <w:pPr>
        <w:ind w:left="0" w:right="0" w:firstLine="480"/>
        <w:jc w:val="both"/>
        <w:spacing w:before="145"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14.服务承诺、培训计划、人员安排及其他</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 投标人需根据招标文件要求提供培训计划。</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 投标人需根据招标文件要求提供所投标的的主要组成部分、功能设计、实现思路及关键技术等。</w:t>
      </w:r>
      <w:r/>
    </w:p>
    <w:p>
      <w:pPr>
        <w:ind w:left="0" w:right="0" w:firstLine="480"/>
        <w:jc w:val="both"/>
        <w:spacing w:before="145"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15.投标函和开标一览表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投标人应按照招标文件中提供的格式完整、正确填写投标函、开标一览表。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15.2 对于采用货币报价的项目，开标一览表中的投标总报价应与投标分项报价表中的投标总报价一致，如不一致，不作为无效投标处理，但评标时按开标一览表中价格为准。</w:t>
      </w:r>
      <w:r/>
    </w:p>
    <w:p>
      <w:pPr>
        <w:ind w:left="0" w:right="0" w:firstLine="480"/>
        <w:jc w:val="both"/>
        <w:spacing w:before="145"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16.投标有效期</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投标有效期为开标之日后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80"/>
        <w:jc w:val="both"/>
        <w:spacing w:before="145"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17.投标有效期的延长</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ind w:left="0" w:right="0" w:firstLine="498"/>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none"/>
        </w:rPr>
        <w:t xml:space="preserve">四、投标文件的递交</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18.电子投标文件</w:t>
      </w:r>
      <w:r>
        <w:rPr>
          <w:rFonts w:ascii="宋体" w:hAnsi="宋体" w:eastAsia="宋体" w:cs="宋体"/>
          <w:color w:val="000000"/>
          <w:sz w:val="24"/>
        </w:rPr>
        <w:t xml:space="preserve">的递交</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投标人应当按照《操作手册》规定，在投标截止时间前制作并上传电子投标文件。</w:t>
      </w:r>
      <w:r/>
    </w:p>
    <w:p>
      <w:pPr>
        <w:ind w:left="0" w:right="0" w:firstLine="480"/>
        <w:jc w:val="both"/>
        <w:spacing w:before="145"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19.投标截止日期</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19.1 投标人上传电子投标文件的时间不得迟于招标公告中规定的投标截止时间。</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代理机构可以按照规定，通过修改招标文件酌情延长投标截止日期，在此情况下，投标人的所有权利和义务以及投标人受制的截止日期均应以延长后新的截止日期为准。</w:t>
      </w:r>
      <w:r/>
    </w:p>
    <w:p>
      <w:pPr>
        <w:ind w:left="0" w:right="0" w:firstLine="480"/>
        <w:jc w:val="both"/>
        <w:spacing w:before="145"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20.投标文件</w:t>
      </w:r>
      <w:r>
        <w:rPr>
          <w:rFonts w:ascii="宋体" w:hAnsi="宋体" w:eastAsia="宋体" w:cs="宋体"/>
          <w:color w:val="000000"/>
          <w:sz w:val="24"/>
        </w:rPr>
        <w:t xml:space="preserve">的拒收</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代理机构拒绝接收在其规定的投标截止时间后上传的任何投标文件。</w:t>
      </w:r>
      <w:r/>
    </w:p>
    <w:p>
      <w:pPr>
        <w:ind w:left="0" w:right="0" w:firstLine="480"/>
        <w:jc w:val="both"/>
        <w:spacing w:before="145"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21.投标文件的撤回和修改</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 投标文件的撤回</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21.1.1 电子投标文件的撤回</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21.1.2 投标人撤回电子投标文件，则认为其不再参与本项目投标活动。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 投标文件的修改</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21.2.1 投标人可在投标截止时间前，对其电子投标文件进行修改，具体操作方法见《操作手册》。</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21.2.2 在投标截止时间之后，投标人不得对其电子投标文件作任何修改。</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 在投标截止时间至招标文件中规定的投标有效期满之间的这段时间内，投标人不得撤回其投标。</w:t>
      </w:r>
      <w:r/>
    </w:p>
    <w:p>
      <w:pPr>
        <w:ind w:left="0" w:right="0" w:firstLine="498"/>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none"/>
        </w:rPr>
        <w:t xml:space="preserve">五、开标与评标</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22.开标</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 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 开标仪式由代理机构组织。苏采云系统将自动对项目进行开标，并宣布各投标人名称和投标价格。</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 投标人在开标过程中涉及到的投标文件解密、开标结果确认等工作，应按照《操作手册》规定执行。</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 投标人如果对开标过程和开标记录有疑义，应当根据《操作手册》规定提出，如 苏采云系统中《开标记录表》宣布后5分钟内未提出的，视同认可开标结果。</w:t>
      </w:r>
      <w:r/>
    </w:p>
    <w:p>
      <w:pPr>
        <w:ind w:left="0" w:right="0" w:firstLine="480"/>
        <w:jc w:val="both"/>
        <w:spacing w:before="145"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23.评标委员会</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w:t>
      </w:r>
      <w:r>
        <w:rPr>
          <w:rFonts w:ascii="宋体" w:hAnsi="宋体" w:eastAsia="宋体" w:cs="宋体"/>
          <w:b/>
          <w:color w:val="000000"/>
          <w:sz w:val="24"/>
        </w:rPr>
        <w:t xml:space="preserve"> </w:t>
      </w:r>
      <w:r>
        <w:rPr>
          <w:rFonts w:ascii="宋体" w:hAnsi="宋体" w:eastAsia="宋体" w:cs="宋体"/>
          <w:color w:val="000000"/>
          <w:sz w:val="24"/>
        </w:rPr>
        <w:t xml:space="preserve">开标后，代理机构将立即组织评标委员会（以下简称评委会）进行评标。</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 评委会由采购人代表和有关技术、经济等方面的专家组成，且人员构成符合政府采购有关规定。</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23.3评委会独立工作，负责评审所有投标文件并确定中标候选人。</w:t>
      </w:r>
      <w:r/>
    </w:p>
    <w:p>
      <w:pPr>
        <w:ind w:left="0" w:right="0" w:firstLine="480"/>
        <w:jc w:val="both"/>
        <w:spacing w:before="145"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24.评标过程的保密与公正</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 凡是与审查、澄清、评价和比较投标的有关资料以及授标建议等，采购人、评委、代理机构均不得向投标人或与评标无关的其他人员透露。</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 在评标过程中，投标人不得以任何行为影响评标过程，否则其投标文件将被作为无效投标文件。</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 代理机构和评标委员会不向未中标的投标人解释未中标原因，也不公布评标过程中的相关细节。</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 采用综合评分法的项目，未中标的投标人可于中标结果公告期限届满之日起通过苏采云系统查看自己的评审得分及排序情况。</w:t>
      </w:r>
      <w:r/>
    </w:p>
    <w:p>
      <w:pPr>
        <w:ind w:left="0" w:right="0" w:firstLine="480"/>
        <w:jc w:val="both"/>
        <w:spacing w:before="145"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25.投标文件的澄清</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25.1 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投标人的澄清、说明或者补正不得超出投标文件的范围或者改变投标文件的实质性内容。</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评标委员会并非对每个投标人都做澄清要求。</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接到评委会澄清、说明和补正要求的投标人如未按规定做出澄清、说明和补正，其风险由投标人自行承担。</w:t>
      </w:r>
      <w:r/>
    </w:p>
    <w:p>
      <w:pPr>
        <w:ind w:left="0" w:right="0" w:firstLine="480"/>
        <w:jc w:val="both"/>
        <w:spacing w:before="145"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26.对投标文件的初审</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 投标文件初审分为资格审查和符合性审查。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采购人在进行资格性审查的同时，将在“信用中国”网站（www.creditchina.gov.cn）查询投标人的信用记录，以确定投标人是否具备投标资格。</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 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26.4评委会将对确定为实质性响应的投标进行进一步审核，看其是否有计算上或累加上的算术错误，修正错误的原则如下：</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26.6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非单一产品采购项目，招标文件中将载明其中的核心产品。多家投标人提供的核心产品品牌相同的，按前两款规定处理。</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26.7 投标人在开、评标全过程中应保持通讯畅通，及时登录苏采云系统查阅、答复相关信息，并安排专人与代理机构及评标委员会联系。</w:t>
      </w:r>
      <w:r/>
    </w:p>
    <w:p>
      <w:pPr>
        <w:ind w:left="0" w:right="0" w:firstLine="480"/>
        <w:jc w:val="both"/>
        <w:spacing w:before="145"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27.无效投标条款和废标条款</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 无效投标条款</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 投标人在苏采云系统规定的时间内未成功解密电子投标文件的。</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27.1.2 投标人未按照招标文件要求上传电子投标文件的。</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27.1.3 同一投标人提交两个（含两个）以上不同的投标报价的。</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27.1.4 投标人不具备招标文件中规定资格要求的。</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27.1.5 投标人的报价超过了采购预算或最高限价的。</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27.1.6 未通过符合性审查的。</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27.1.7 不符合招标文件中规定的实质性要求和条件的</w:t>
      </w:r>
      <w:r>
        <w:rPr>
          <w:rFonts w:ascii="宋体" w:hAnsi="宋体" w:eastAsia="宋体" w:cs="宋体"/>
          <w:i/>
          <w:color w:val="000000"/>
          <w:sz w:val="24"/>
          <w:u w:val="single"/>
        </w:rPr>
        <w:t xml:space="preserve">（本招标文件中斜体且有下划线部分为实质性要求和条件）</w:t>
      </w:r>
      <w:r>
        <w:rPr>
          <w:rFonts w:ascii="宋体" w:hAnsi="宋体" w:eastAsia="宋体" w:cs="宋体"/>
          <w:color w:val="000000"/>
          <w:sz w:val="24"/>
        </w:rPr>
        <w:t xml:space="preserve">。</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27.1.8 投标人被“信用中国”网站（www.creditchina.gov.cn）列入失信被执行人或重大税收违法失信主体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27.1.9 投标文件含有采购人不能接受的附加条件的。</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27.1.12 投标文件未按照招标文件要求加盖CA电子公章的。</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27.1.13 其他法律、法规及本招标文件规定的属于无效投标的情形。</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 废标条款</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 符合专业条件的供应商或者对招标文件作实质响应的供应商不足三家的</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 出现影响采购公正的违法、违规行为的。</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 因重大变故，采购任务取消的。</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27.2.4 评标委员会认定招标文件存在歧义、重大缺陷导致评审工作无法进行。</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27.2.5 因苏采云系统故障原因造成开标不成功的。</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 投标截止时间结束后参加投标的供应商不足三家的处理：</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27.3.1 如出现投标截止时间结束后参加投标的供应商或者在评标期间对招标文件做出实质响应的供应商不足三家情况，按政府采购相关规定执行。</w:t>
      </w:r>
      <w:r/>
    </w:p>
    <w:p>
      <w:pPr>
        <w:ind w:left="0" w:right="0" w:firstLine="498"/>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28.</w:t>
      </w:r>
      <w:r>
        <w:rPr>
          <w:rFonts w:ascii="宋体" w:hAnsi="宋体" w:eastAsia="宋体" w:cs="宋体"/>
          <w:color w:val="000000"/>
          <w:sz w:val="24"/>
        </w:rPr>
        <w:t xml:space="preserve">确定中标单位</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 中标候选人的选取原则和数量见招标文件第五章规定。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 采购人应根据评委会推荐的中标候选人确定中标人。</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 代理机构将在“江苏政府采购网”发布中标公告，公告期限为1个工作日。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 若有充分证据证明，中标人出现下列情况之一的，一经查实，将被取消中标资格：</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28.4.1 提供虚假材料谋取中标的。</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28.4.2 向采购人、代理机构行贿或者提供其他不正当利益的。</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28.4.3 属于本文件规定的无效条件，但在评标过程中又未被评委会发现的。</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28.4.4 与采购人或者其他供应商恶意串通的。</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28.4.5 采取不正当手段诋毁、排挤其他供应商的。</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28.5.有下列情形之一的，视为投标人串通投标，投标无效：</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28.5.1 不同投标人的投标文件由同一单位或者个人编制；</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28.5.2 不同投标人委托同一单位或者个人办理投标事宜；</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28.5.3 不同投标人的投标文件载明的项目管理成员或者联系人员为同一人；</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28.5.4 不同投标人的投标文件异常一致或者投标报价呈规律性差异；</w:t>
      </w:r>
      <w:r/>
    </w:p>
    <w:p>
      <w:pPr>
        <w:ind w:left="0" w:right="0" w:firstLine="480"/>
        <w:jc w:val="both"/>
        <w:spacing w:before="145"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29.质疑处理</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 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29.2.1 对可以质疑的采购文件提出质疑的，为收到采购文件之日或者采购文件公告期限届满之日；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29.2.2 对采购过程提出质疑的，为各采购程序环节结束之日；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29.2.3 对中标或者成交结果提出质疑的，为中标或者成交结果公告期限届满之日。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29.4 供应商（含潜在供应商）对与本项目有关的所有询问、质疑均请向代理机构提出，由代理机构负责答复。</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采购代理机构只接收以纸质原件形式送达的质疑，请供应商通过邮寄方式提交质疑（采购人和采购代理机构不接受未填写快递运单的快件）。</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采购代理机构质疑接收人：朱笑青，联系地址：南京市雨花台区软件大道21号苏豪国际广场（北园）C座617室，联系电话：025-52875975。</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 以下情形的质疑不予受理</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29.5.1 内容不符合《政府采购质疑和投诉办法》第十二条规定的质疑。</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29.5.2 超出政府采购法定期限的质疑。</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29.5.3 以传真、电子邮件等方式递交的非原件形式的质疑。</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29.5.4 未参加投标活动的供应商或在投标活动中自身权益未受到损害的供应商所提出的质疑。</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29.5.5 供应商组成联合体参加投标，联合体中任何一方或多方未按要求签字、盖章、加盖公章的质疑。</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480"/>
        <w:jc w:val="both"/>
        <w:spacing w:before="145"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30.中标通知书</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left="0" w:right="0" w:firstLine="498"/>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none"/>
        </w:rPr>
        <w:t xml:space="preserve">七、授予合同</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31.签订合同</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31.l中标人应当在中标通知书发出之日起三十日内，按照招标文件确定的事项与采购人签订政府采购合同。</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31.2 招标文件、中标人的投标文件及招标过程中有关澄清、承诺文件均应作为合同附件。</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31.3 签订合同后，</w:t>
      </w:r>
      <w:r>
        <w:rPr>
          <w:rFonts w:ascii="宋体" w:hAnsi="宋体" w:eastAsia="宋体" w:cs="宋体"/>
          <w:i/>
          <w:color w:val="000000"/>
          <w:sz w:val="24"/>
          <w:u w:val="single"/>
        </w:rPr>
        <w:t xml:space="preserve">中标人不得将合同标的进行转包</w:t>
      </w:r>
      <w:r>
        <w:rPr>
          <w:rFonts w:ascii="宋体" w:hAnsi="宋体" w:eastAsia="宋体" w:cs="宋体"/>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480"/>
        <w:jc w:val="both"/>
        <w:spacing w:before="145"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32.货物（包含与货物相关的服务）的追加</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32.1 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480"/>
        <w:jc w:val="both"/>
        <w:spacing w:before="145"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33.政府采购履约资金扶持政策</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ind w:left="0" w:right="0" w:firstLine="0"/>
        <w:spacing w:before="29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八、政府采购中实施本国产品标准及相关政策</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34.1 本项目对采购本国产品给予政策支持，具体内容见招标文件“第五章 评标方法与评标标准”。</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34.2 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34.3 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第三章合同文本</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以下为中标后签订本项目合同的通用条款，中标人不得提出实质性的修改。</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设备购销合同</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甲方：（买方）</w:t>
      </w:r>
      <w:r>
        <w:rPr>
          <w:rFonts w:ascii="宋体" w:hAnsi="宋体" w:eastAsia="宋体" w:cs="宋体"/>
          <w:color w:val="000000"/>
          <w:sz w:val="21"/>
          <w:u w:val="single"/>
        </w:rPr>
        <w:t xml:space="preserve">泰兴市滨江镇马甸卫生院</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乙方：（卖方）</w:t>
      </w:r>
      <w:r>
        <w:rPr>
          <w:rFonts w:ascii="宋体" w:hAnsi="宋体" w:eastAsia="宋体" w:cs="宋体"/>
          <w:color w:val="000000"/>
          <w:sz w:val="21"/>
          <w:u w:val="single"/>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采购代理机构：</w:t>
      </w:r>
      <w:r>
        <w:rPr>
          <w:rFonts w:ascii="宋体" w:hAnsi="宋体" w:eastAsia="宋体" w:cs="宋体"/>
          <w:color w:val="000000"/>
          <w:sz w:val="21"/>
          <w:u w:val="single"/>
        </w:rPr>
        <w:t xml:space="preserve">江苏苏豪创新科技集团高科有限公司</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根据《中华人民共和国民法典》以及</w:t>
      </w:r>
      <w:r>
        <w:rPr>
          <w:rFonts w:ascii="宋体" w:hAnsi="宋体" w:eastAsia="宋体" w:cs="宋体"/>
          <w:color w:val="000000"/>
          <w:sz w:val="21"/>
          <w:u w:val="single"/>
        </w:rPr>
        <w:t xml:space="preserve">            采购项目（招标编号/包号：                ）</w:t>
      </w:r>
      <w:r>
        <w:rPr>
          <w:rFonts w:ascii="宋体" w:hAnsi="宋体" w:eastAsia="宋体" w:cs="宋体"/>
          <w:color w:val="000000"/>
          <w:sz w:val="21"/>
        </w:rPr>
        <w:t xml:space="preserve">《招标文件》、乙方《投标文件》，遵循平等、自愿、公平和诚实信用等原则，甲乙双方同意按下述条款和条件签订本合同，并共同遵守。</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一、标的</w:t>
      </w:r>
      <w:r/>
    </w:p>
    <w:tbl>
      <w:tblPr>
        <w:tblStyle w:val="7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403"/>
        <w:gridCol w:w="1134"/>
        <w:gridCol w:w="1417"/>
        <w:gridCol w:w="782"/>
        <w:gridCol w:w="750"/>
        <w:gridCol w:w="1219"/>
        <w:gridCol w:w="132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包</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单价</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合计</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6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含税合计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42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二、合同金额</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  合同价金额为（大写）：</w:t>
      </w:r>
      <w:r>
        <w:rPr>
          <w:rFonts w:ascii="宋体" w:hAnsi="宋体" w:eastAsia="宋体" w:cs="宋体"/>
          <w:color w:val="000000"/>
          <w:sz w:val="21"/>
          <w:u w:val="single"/>
        </w:rPr>
        <w:t xml:space="preserve">          万元整</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三、技术资料</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3.1乙方应向甲方提供使用产品的有关技术资料，主要包括：技术说明书、使用说明书、安装维修手册、操作手册、常用易消耗品清单等。</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3.2没有甲方事先书面同意，乙方不得将由甲方提供的有关合同或任何合同条文提供给与履行本合同无关的任何其他人。即使向履行本合同有关的人员提供，也应注意保密并限于履行合同的必需范围。</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四、知识产权</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4.1乙方应保证甲方在使用、接受本合同货物和服务或其任何一部分时不受第三方提出侵犯其专利权、版权、商标权和工业设计权等知识产权的起诉。一旦出现侵权，由乙方负全部责任。</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五、产权担保</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5.1乙方保证所交付的货物的所有权完全属于乙方且无任何抵押、查封等产权瑕疵。</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六、项目实施</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  交 货 期：合同签订后</w:t>
      </w:r>
      <w:r>
        <w:rPr>
          <w:rFonts w:ascii="宋体" w:hAnsi="宋体" w:eastAsia="宋体" w:cs="宋体"/>
          <w:color w:val="000000"/>
          <w:sz w:val="21"/>
          <w:u w:val="single"/>
        </w:rPr>
        <w:t xml:space="preserve">    </w:t>
      </w:r>
      <w:r>
        <w:rPr>
          <w:rFonts w:ascii="宋体" w:hAnsi="宋体" w:eastAsia="宋体" w:cs="宋体"/>
          <w:color w:val="000000"/>
          <w:sz w:val="21"/>
        </w:rPr>
        <w:t xml:space="preserve">日内。</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6.2  交货地点：甲方指定地点</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七、包装、运输、交货</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  除合同另有规定外，乙方提供的全部货物均按标准保护措施进行包装。该包装应适应于远距离运输、防潮、防震、防锈和防野蛮装卸，以确保货物安全无损运抵指定现场。由于包装不善所引起的货物锈蚀、损坏和损失均由乙方承担。</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7.2  每件包装箱内应附一份详细装箱单和质量合格标识。</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  乙方负责安排运输，并承担相关费用。</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7.4  设备在项目安装调试验收合格并移交给甲方之前的保管由乙方负责。</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八、货款支付</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8.1 合同签订后且乙方向甲方出具发票后，甲方15日内支付合同款的30%，项目验收合格后，甲方支付合同款的60%，设备验收合格满1年后，甲方支付尾款。</w:t>
      </w:r>
      <w:r/>
    </w:p>
    <w:p>
      <w:pPr>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九、安装及调试</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  设备到货后一周内，乙方应派有经验和能力、具有相应资质的技术人员，负责设备安装、调试至合格。</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十、验收</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10.1  设备投入运行前，乙方需向甲方书面提交验收申请，由甲方组织对设备进行初步验收，验收标准：对照招标文件、投标文件、合同及合同附件，使用部门负责人签字确认合格后，通过初验后进行试运行。</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10.2  设备投入试运行后正常工作</w:t>
      </w:r>
      <w:r>
        <w:rPr>
          <w:rFonts w:ascii="宋体" w:hAnsi="宋体" w:eastAsia="宋体" w:cs="宋体"/>
          <w:color w:val="000000"/>
          <w:sz w:val="21"/>
          <w:u w:val="single"/>
        </w:rPr>
        <w:t xml:space="preserve"> 30 </w:t>
      </w:r>
      <w:r>
        <w:rPr>
          <w:rFonts w:ascii="宋体" w:hAnsi="宋体" w:eastAsia="宋体" w:cs="宋体"/>
          <w:color w:val="000000"/>
          <w:sz w:val="21"/>
        </w:rPr>
        <w:t xml:space="preserve">日（时间由甲、乙双方商定），甲、乙方双方共同进行最终验收。</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10.3  最终验收合格后，甲乙双方共同签署验收报告，一式两份，一份交甲方留存，一份由乙方用作结算凭证。</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10.4  如果发现与合同中要求不符，乙方须承担由此发生的一切损失和费用，并接受相应的处罚。</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10.5  甲方有权委托中国有资格单位或机构对设备性能、精度进行校核。</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10.6  验收时必须提供完整的验收资料。</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十一、技术培训：</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  技术培训要求详见招标文件《第三部分：采购需求》中商务要求条款。</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十二、质量保证及售后服务</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12.1  乙方应按招标文件规定的货物性能、技术要求、质量标准向甲方提供未经使用的全新产品。</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  售后服务要求详见招标文件《第三部分：采购需求》中商务要求条款。</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十三、违约责任</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13.1甲方不得以无正当理由拒收货物，否则由此所造成的损失须由甲方承担赔偿责任。</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  乙方逾期交付货物的，按照招标文件《第三部分：采购需求》中商务条款的相应条文执行。</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13.3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十四、诉讼</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14.1双方在执行合同中所发生的一切争议，应通过协商解决。如协商不成，可向合同签订地法院起诉。</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十五、合同生效及其它</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15.1  本合同由甲乙双方在</w:t>
      </w:r>
      <w:r>
        <w:rPr>
          <w:rFonts w:ascii="宋体" w:hAnsi="宋体" w:eastAsia="宋体" w:cs="宋体"/>
          <w:color w:val="000000"/>
          <w:sz w:val="21"/>
          <w:u w:val="single"/>
        </w:rPr>
        <w:t xml:space="preserve">甲方所在地</w:t>
      </w:r>
      <w:r>
        <w:rPr>
          <w:rFonts w:ascii="宋体" w:hAnsi="宋体" w:eastAsia="宋体" w:cs="宋体"/>
          <w:color w:val="000000"/>
          <w:sz w:val="21"/>
        </w:rPr>
        <w:t xml:space="preserve">签订。合同经双方法定代表人或授权委托人签字盖章并经采购代理机构鉴证后生效。</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15.2  招标、投标文件是本合同不可或缺的部分，与合同具有同等效力。本合同未尽事宜，遵照《民法典》有关条文执行。</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  本合同正本一式</w:t>
      </w:r>
      <w:r>
        <w:rPr>
          <w:rFonts w:ascii="宋体" w:hAnsi="宋体" w:eastAsia="宋体" w:cs="宋体"/>
          <w:color w:val="000000"/>
          <w:sz w:val="21"/>
          <w:u w:val="single"/>
        </w:rPr>
        <w:t xml:space="preserve">肆</w:t>
      </w:r>
      <w:r>
        <w:rPr>
          <w:rFonts w:ascii="宋体" w:hAnsi="宋体" w:eastAsia="宋体" w:cs="宋体"/>
          <w:color w:val="000000"/>
          <w:sz w:val="21"/>
        </w:rPr>
        <w:t xml:space="preserve">份，具有同等法律效力，甲方执</w:t>
      </w:r>
      <w:r>
        <w:rPr>
          <w:rFonts w:ascii="宋体" w:hAnsi="宋体" w:eastAsia="宋体" w:cs="宋体"/>
          <w:color w:val="000000"/>
          <w:sz w:val="21"/>
          <w:u w:val="single"/>
        </w:rPr>
        <w:t xml:space="preserve">贰</w:t>
      </w:r>
      <w:r>
        <w:rPr>
          <w:rFonts w:ascii="宋体" w:hAnsi="宋体" w:eastAsia="宋体" w:cs="宋体"/>
          <w:color w:val="000000"/>
          <w:sz w:val="21"/>
        </w:rPr>
        <w:t xml:space="preserve">份，乙方执</w:t>
      </w:r>
      <w:r>
        <w:rPr>
          <w:rFonts w:ascii="宋体" w:hAnsi="宋体" w:eastAsia="宋体" w:cs="宋体"/>
          <w:color w:val="000000"/>
          <w:sz w:val="21"/>
          <w:u w:val="single"/>
        </w:rPr>
        <w:t xml:space="preserve">壹</w:t>
      </w:r>
      <w:r>
        <w:rPr>
          <w:rFonts w:ascii="宋体" w:hAnsi="宋体" w:eastAsia="宋体" w:cs="宋体"/>
          <w:color w:val="000000"/>
          <w:sz w:val="21"/>
        </w:rPr>
        <w:t xml:space="preserve">份，鉴证方执</w:t>
      </w:r>
      <w:r>
        <w:rPr>
          <w:rFonts w:ascii="宋体" w:hAnsi="宋体" w:eastAsia="宋体" w:cs="宋体"/>
          <w:color w:val="000000"/>
          <w:sz w:val="21"/>
          <w:u w:val="single"/>
        </w:rPr>
        <w:t xml:space="preserve">壹</w:t>
      </w:r>
      <w:r>
        <w:rPr>
          <w:rFonts w:ascii="宋体" w:hAnsi="宋体" w:eastAsia="宋体" w:cs="宋体"/>
          <w:color w:val="000000"/>
          <w:sz w:val="21"/>
        </w:rPr>
        <w:t xml:space="preserve">份。</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甲方（盖章）：泰兴市滨江镇马甸卫生院   乙方（盖章）：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地址：泰兴市滨江镇马甸双彭路38号     地址</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法定代表人或授权委托人（签字）：法定代表人或授权委托人（签字）：</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纳税人识别号：                        纳税人识别号：</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开户行：                              开户行：</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账号：                                账号：</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                            联系电话：</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见证方（盖章）：江苏苏豪创新科技集团高科有限公司</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地址：南京市雨花台区软件大道21号苏豪国际广场（北园）C座617室</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招标项目负责人（签字）：</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签订日期：2026年  月   日</w:t>
      </w:r>
      <w:r>
        <w:rPr>
          <w:rFonts w:ascii="宋体" w:hAnsi="宋体" w:eastAsia="宋体" w:cs="宋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第四章采购需求</w:t>
      </w:r>
      <w:r/>
    </w:p>
    <w:p>
      <w:pPr>
        <w:ind w:left="0" w:right="0" w:firstLine="373"/>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本章内容里斜体且有下划线部分为实质性要求和条件，投标文件不满足的，视为无效投标处理。以下技术参数中如出现产品品牌，均仅作为供应商参与投标时产品质量或标准的参考，供应商所投产品质量或标准不得低于参考品牌及参数要求，在满足参数要求的情况下，采购人接受其他品牌产品的投标。采购文件中推荐的型号也非指定的型号，供应商可在设备参数满足采购要求的情况下，选择相应的产品型号。</w:t>
      </w:r>
      <w:r/>
    </w:p>
    <w:p>
      <w:pPr>
        <w:ind w:left="0" w:right="0" w:firstLine="373"/>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项目属性：货物类项目</w:t>
      </w:r>
      <w:r/>
    </w:p>
    <w:p>
      <w:pPr>
        <w:numPr>
          <w:ilvl w:val="0"/>
          <w:numId w:val="6"/>
        </w:numPr>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采购需求：</w:t>
      </w:r>
      <w:r/>
    </w:p>
    <w:tbl>
      <w:tblPr>
        <w:tblStyle w:val="7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612"/>
        <w:gridCol w:w="948"/>
        <w:gridCol w:w="2325"/>
        <w:gridCol w:w="2194"/>
      </w:tblGrid>
      <w:tr>
        <w:trPr>
          <w:trHeight w:val="110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采购预算</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（万元人民币）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胃肠内镜一体机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动态DR</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医用CT</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0"/>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numPr>
          <w:ilvl w:val="0"/>
          <w:numId w:val="7"/>
        </w:numPr>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技术要求</w:t>
      </w:r>
      <w:r/>
    </w:p>
    <w:p>
      <w:pPr>
        <w:ind w:left="0" w:right="0" w:firstLine="241"/>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包1技术要求：</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★（一）配置要求：</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1、图像处理器系统1台；</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2、高清电子上消化道治疗胃镜 1根；</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3、高清电子下消化道治疗肠镜 1根；</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4、27寸专业医用显示器1台；</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5、医用台车1台。</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（二）主机基本功能及要求：</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▲1、图像处理器系统与光源为一体机式内镜系统。</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▲2、主机系统功能控制通过液晶显示屏操控系统并显示功能参数。</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3、图像处理器输入信号具有外部视频输入SDI、VIDEO信号，接口≥2个，具有实时存储视频、图片、键盘连接USB接口功能，USB端口≥2个。</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4、具有平均测光、峰值测光、自动测光等测光模式，每种测光方式下±9 级可调。</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5、具有窄带光特殊光观察成像功能，利于早癌筛查</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6、具有对比度调节功能，五档可调。</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7、具有红色、蓝色、色度调节等色彩调节功能，调节种类≥3种，每档调节级数＞20级，可自定义模式后存储个人模式。</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8、具有血液强化功能，对内窥镜图像进行图像处理，强化显示血管组织，增强对比。</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9、具有降噪功能，可降低图像的噪点，更好保证临床图像效果。</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10、具有暗区校正功能，暗区矫正功能可保持图像中亮区的亮度，提高图像中暗区的亮度。</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具有图像冻结功能，具有内镜按键、脚踏、图像处理器等≥3种冻结控制模式；在冻结时能同屏显示冻结和实时图像；图片冻结格式有BMP格式、JPG格式可选；并且具有预冻结功能，可自行选择冻结前图像中最清晰的图像显示存储。</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12、具有冻结、回放及冻结处理功能，可冻结图片和回放可再编辑，并支持实时存储U盘；支持图像回放，且对回放图像可以进行血红蛋白强调、结构强化、轮廓强化及数字放大等图像处理。</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13、具有秒表计时功能：支持开启、关闭、标记和清除计时。</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14、信息存储：支持用户自定义模式，用户数量≥100个；存储患者数量至少2000个；用户信息科自定义存储光源状态、气泵状态与等级、颜色设置、测光模式信息、内镜按钮等。</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15、内部存储空间容量≥300G。</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▲16、可兼容同品牌的高清胃镜，高清肠镜，高清治疗胃镜，高清治疗肠镜，超细经鼻胃镜，电子十二指肠镜，电子支气管镜，电子鼻咽喉镜。（需提供技术白皮书或彩页作为证明材料，不提供作为负偏离处理）</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17、支持 DICOM 标准协议，支持 DICOM 数据传输。</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18、多路LED光源，光源寿命≥20000h</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19、色温符合《 YY/T 1081-2011》标准中4.2.2相关色温中的要求，满足3000K～7000K。</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20、光照强度可调节，自动、手动调光，调光级别≥19级。</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21、具有强光照射透光功能。</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22、气泵压力范围40-90kPa；气泵流量</w:t>
      </w:r>
      <w:r>
        <w:rPr>
          <w:rFonts w:ascii="宋体" w:hAnsi="宋体" w:eastAsia="宋体" w:cs="宋体"/>
          <w:color w:val="000000"/>
          <w:sz w:val="24"/>
          <w:u w:val="none"/>
        </w:rPr>
        <w:t xml:space="preserve">≥4</w:t>
      </w:r>
      <w:r>
        <w:rPr>
          <w:rFonts w:ascii="宋体" w:hAnsi="宋体" w:eastAsia="宋体" w:cs="宋体"/>
          <w:color w:val="000000"/>
          <w:sz w:val="24"/>
        </w:rPr>
        <w:t xml:space="preserve">档可选。</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（三）电子胃肠镜参数要求：</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1.电子胃镜参数要求</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1、视野角度：145°，景深2-100mm。</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▲2、先端部外径≤9.8mm，插入部外径≤9.6mm；（需提供技术白皮书或彩页作为证明材料，不提供作为负偏离处理）</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▲3、弯曲角度：上≥210°，下≥120°，左/右≥100°。（需提供技术白皮书或彩页作为证明材料，不提供作为负偏离处理）</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▲4、有效长度≥1100mm，钳道内径≥3.2mm。（需提供技术白皮书或彩页作为证明材料，不提供作为负偏离处理。</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5、最小可视距离：距离先端部≤2mm。</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6、具有内镜信息记忆功能，配合内镜图像处理器系统具有窄带广成像功能。</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▲7、内镜操作手柄具有快捷功能按键并可自定义≥5个内镜手柄按键，冻结、放大、染色、测光等。（需提供技术白皮书或彩页作为证明材料，不提供作为负偏离处理）</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▲8、头端部采用≥3光窗照明设计。（需提供技术白皮书或彩页作为证明材料，不提供作为负偏离处理）</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2.电子肠镜参数要求</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1、视野角度：≥170°，景深2-100mm。</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2、先端部外径≤12.5mm，插入部外径≤12mm</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3、弯曲角度：上/下180°，左/右≥160°。</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4、有效长度≥1350mm，钳道内径≥3.8mm。</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5、具有内镜信息记忆功能，配合内镜图像处理器系统具有窄带广成像功能。</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▲6、内镜操作手柄具有快捷功能按键并可自定义≥5个内镜手柄按键，冻结、放大、染色、测光等；（需提供技术白皮书或彩页作为证明材料，不提供作为负偏离处理）</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▲7、插入管具有软硬度≥4档可调功能。</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▲8、头端部采用≥3光窗照明设计；（需提供技术白皮书或彩页作为证明材料，不提供作为负偏离处理）</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(四）医用显示器</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1、配备≥27寸医用液晶显示器</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2、显示器具有亮度、饱和度、清晰度、比例缩放等调节功能。</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3、显示视角：水平≥178°，垂直≥178°。</w:t>
      </w:r>
      <w:r/>
    </w:p>
    <w:p>
      <w:pPr>
        <w:ind w:left="0" w:right="0" w:firstLine="0"/>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373"/>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包2技术要求</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hint="eastAsia" w:ascii="宋体" w:hAnsi="宋体" w:cs="宋体"/>
          <w:color w:val="000000"/>
          <w:sz w:val="24"/>
          <w:lang w:val="en-US" w:eastAsia="zh-CN"/>
        </w:rPr>
        <w:t xml:space="preserve">一、</w:t>
      </w:r>
      <w:r>
        <w:rPr>
          <w:rFonts w:ascii="宋体" w:hAnsi="宋体" w:eastAsia="宋体" w:cs="宋体"/>
          <w:color w:val="000000"/>
          <w:sz w:val="24"/>
        </w:rPr>
        <w:t xml:space="preserve">整体要求：</w:t>
      </w:r>
      <w:r/>
    </w:p>
    <w:p>
      <w:pPr>
        <w:ind w:left="0" w:right="0" w:firstLine="372"/>
        <w:jc w:val="both"/>
        <w:spacing w:before="145"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sz w:val="24"/>
        </w:rPr>
        <w:t xml:space="preserve">整机功能</w:t>
      </w:r>
      <w:r>
        <w:rPr>
          <w:rFonts w:hint="eastAsia"/>
          <w:sz w:val="24"/>
          <w:lang w:eastAsia="zh-CN"/>
        </w:rPr>
        <w:t xml:space="preserve">：</w:t>
      </w:r>
      <w:r>
        <w:rPr>
          <w:sz w:val="24"/>
        </w:rPr>
        <w:t xml:space="preserve">落地式双立柱双板结构</w:t>
      </w:r>
      <w:r>
        <w:rPr>
          <w:rFonts w:hint="eastAsia"/>
          <w:sz w:val="24"/>
          <w:lang w:val="en-US" w:eastAsia="zh-CN"/>
        </w:rPr>
        <w:t xml:space="preserve">具备一块动态平板探测器和一块静态平板探测器，</w:t>
      </w:r>
      <w:r>
        <w:rPr>
          <w:sz w:val="24"/>
        </w:rPr>
        <w:t xml:space="preserve">具备DR摄影、数字透视及可视化摄影等功能，利用它可以进行头颅、胸部、腹部和四肢等部位的DR摄影，也可以进行胸部和腹部透视及部分造影等功能，还可用于在透视下进行骨折整复、取异物等</w:t>
      </w:r>
      <w:r>
        <w:rPr>
          <w:rFonts w:hint="eastAsia"/>
          <w:sz w:val="24"/>
          <w:lang w:eastAsia="zh-CN"/>
        </w:rPr>
        <w:t xml:space="preserve">。</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二、高压发生器</w:t>
      </w:r>
      <w:r>
        <w:rPr>
          <w:rFonts w:ascii="宋体" w:hAnsi="宋体" w:eastAsia="宋体" w:cs="宋体"/>
          <w:color w:val="000000"/>
          <w:sz w:val="24"/>
        </w:rPr>
        <w:t xml:space="preserve">：</w:t>
      </w:r>
      <w:r/>
    </w:p>
    <w:p>
      <w:pPr>
        <w:ind w:left="0" w:right="0" w:firstLine="372"/>
        <w:jc w:val="both"/>
        <w:spacing w:before="145" w:after="0" w:line="85"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w:t>
      </w:r>
      <w:r>
        <w:rPr>
          <w:rFonts w:ascii="宋体" w:hAnsi="宋体" w:eastAsia="宋体" w:cs="宋体"/>
          <w:color w:val="000000"/>
          <w:sz w:val="24"/>
        </w:rPr>
        <w:t xml:space="preserve">2.1</w:t>
      </w:r>
      <w:r>
        <w:rPr>
          <w:rFonts w:hint="eastAsia" w:ascii="宋体" w:hAnsi="宋体" w:cs="宋体"/>
          <w:color w:val="000000"/>
          <w:sz w:val="24"/>
          <w:lang w:val="en-US" w:eastAsia="zh-CN"/>
        </w:rPr>
        <w:t xml:space="preserve">最大输出功率：≥65KW</w:t>
      </w:r>
      <w:r/>
    </w:p>
    <w:p>
      <w:pPr>
        <w:ind w:left="0" w:right="0" w:firstLine="372"/>
        <w:jc w:val="both"/>
        <w:spacing w:before="145" w:after="0" w:line="85" w:lineRule="atLeast"/>
        <w:rPr>
          <w:rFonts w:hint="default"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w:t>
      </w:r>
      <w:r>
        <w:rPr>
          <w:rFonts w:hint="eastAsia" w:ascii="宋体" w:hAnsi="宋体" w:cs="宋体"/>
          <w:color w:val="000000"/>
          <w:sz w:val="24"/>
          <w:lang w:val="en-US" w:eastAsia="zh-CN"/>
        </w:rPr>
        <w:t xml:space="preserve">主逆变频率：≥500KHz</w:t>
      </w:r>
      <w:r/>
    </w:p>
    <w:p>
      <w:pPr>
        <w:ind w:left="0" w:right="0" w:firstLine="372"/>
        <w:jc w:val="both"/>
        <w:spacing w:before="145" w:after="0" w:line="85"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 </w:t>
      </w:r>
      <w:r>
        <w:rPr>
          <w:rFonts w:hint="eastAsia" w:ascii="宋体" w:hAnsi="宋体" w:cs="宋体"/>
          <w:color w:val="000000"/>
          <w:sz w:val="24"/>
          <w:lang w:val="en-US" w:eastAsia="zh-CN"/>
        </w:rPr>
        <w:t xml:space="preserve">摄影管最小电压：≥40kv</w:t>
      </w:r>
      <w:r/>
    </w:p>
    <w:p>
      <w:pPr>
        <w:ind w:left="0" w:right="0" w:firstLine="372"/>
        <w:jc w:val="both"/>
        <w:spacing w:before="145" w:after="0" w:line="85"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w:t>
      </w:r>
      <w:r>
        <w:rPr>
          <w:rFonts w:hint="eastAsia" w:ascii="宋体" w:hAnsi="宋体" w:cs="宋体"/>
          <w:color w:val="000000"/>
          <w:sz w:val="24"/>
          <w:lang w:val="en-US" w:eastAsia="zh-CN"/>
        </w:rPr>
        <w:t xml:space="preserve">摄影管最大电压：≥150kv</w:t>
      </w:r>
      <w:r/>
    </w:p>
    <w:p>
      <w:pPr>
        <w:ind w:left="0" w:right="0" w:firstLine="372"/>
        <w:jc w:val="both"/>
        <w:spacing w:before="145" w:after="0" w:line="85"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 </w:t>
      </w:r>
      <w:r>
        <w:rPr>
          <w:rFonts w:hint="eastAsia" w:ascii="宋体" w:hAnsi="宋体" w:cs="宋体"/>
          <w:color w:val="000000"/>
          <w:sz w:val="24"/>
          <w:lang w:val="en-US" w:eastAsia="zh-CN"/>
        </w:rPr>
        <w:t xml:space="preserve">最小摄影管电流：≤10mA</w:t>
      </w:r>
      <w:r/>
    </w:p>
    <w:p>
      <w:pPr>
        <w:ind w:left="0" w:right="0" w:firstLine="372"/>
        <w:jc w:val="both"/>
        <w:spacing w:before="145" w:after="0" w:line="85"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w:t>
      </w:r>
      <w:r>
        <w:rPr>
          <w:rFonts w:hint="eastAsia" w:ascii="宋体" w:hAnsi="宋体" w:cs="宋体"/>
          <w:color w:val="000000"/>
          <w:sz w:val="24"/>
          <w:lang w:val="en-US" w:eastAsia="zh-CN"/>
        </w:rPr>
        <w:t xml:space="preserve">最大摄影管电流：≥800mA</w:t>
      </w:r>
      <w:r/>
    </w:p>
    <w:p>
      <w:pPr>
        <w:ind w:left="0" w:right="0" w:firstLine="372"/>
        <w:jc w:val="both"/>
        <w:spacing w:before="145" w:after="0" w:line="85"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w:t>
      </w:r>
      <w:r>
        <w:rPr>
          <w:rFonts w:hint="eastAsia" w:ascii="宋体" w:hAnsi="宋体" w:cs="宋体"/>
          <w:color w:val="000000"/>
          <w:sz w:val="24"/>
          <w:lang w:val="en-US" w:eastAsia="zh-CN"/>
        </w:rPr>
        <w:t xml:space="preserve">最小摄影时间：≤1ms</w:t>
      </w:r>
      <w:r/>
    </w:p>
    <w:p>
      <w:pPr>
        <w:ind w:left="0" w:right="0" w:firstLine="372"/>
        <w:jc w:val="both"/>
        <w:spacing w:before="145" w:after="0" w:line="85"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w:t>
      </w:r>
      <w:r>
        <w:rPr>
          <w:rFonts w:hint="eastAsia" w:ascii="宋体" w:hAnsi="宋体" w:cs="宋体"/>
          <w:color w:val="000000"/>
          <w:sz w:val="24"/>
          <w:lang w:val="en-US" w:eastAsia="zh-CN"/>
        </w:rPr>
        <w:t xml:space="preserve">最大摄影时间：≥10s</w:t>
      </w:r>
      <w:r/>
    </w:p>
    <w:p>
      <w:pPr>
        <w:ind w:left="0" w:right="0" w:firstLine="372"/>
        <w:jc w:val="both"/>
        <w:spacing w:before="145" w:after="0" w:line="85" w:lineRule="atLeast"/>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w:t>
      </w:r>
      <w:r>
        <w:rPr>
          <w:rFonts w:hint="eastAsia" w:ascii="宋体" w:hAnsi="宋体" w:cs="宋体"/>
          <w:color w:val="000000"/>
          <w:sz w:val="24"/>
          <w:lang w:val="en-US" w:eastAsia="zh-CN"/>
        </w:rPr>
        <w:t xml:space="preserve">最小透视管电压：≥40kv</w:t>
      </w:r>
      <w:r/>
    </w:p>
    <w:p>
      <w:pPr>
        <w:ind w:left="0" w:right="0" w:firstLine="372"/>
        <w:jc w:val="both"/>
        <w:spacing w:before="145" w:after="0" w:line="85" w:lineRule="atLeast"/>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2.10最大透视管电压：≥125kv</w:t>
      </w:r>
      <w:r/>
    </w:p>
    <w:p>
      <w:pPr>
        <w:ind w:left="0" w:right="0" w:firstLine="372"/>
        <w:jc w:val="both"/>
        <w:spacing w:before="145" w:after="0" w:line="85" w:lineRule="atLeast"/>
        <w:rPr>
          <w:rFonts w:hint="eastAsia"/>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▲2.11连续透视管电流：</w:t>
      </w:r>
      <w:r>
        <w:rPr>
          <w:sz w:val="24"/>
        </w:rPr>
        <w:t xml:space="preserve">最小≤0.5mA，最大≤20mA</w:t>
      </w:r>
      <w:r>
        <w:rPr>
          <w:rFonts w:hint="eastAsia"/>
          <w:sz w:val="24"/>
          <w:lang w:val="en-US" w:eastAsia="zh-CN"/>
        </w:rPr>
        <w:t xml:space="preserve">提供第三方检验报告</w:t>
      </w:r>
      <w:r>
        <w:rPr>
          <w:rFonts w:hint="eastAsia"/>
          <w:sz w:val="24"/>
          <w:lang w:eastAsia="zh-CN"/>
        </w:rPr>
        <w:t xml:space="preserve">）</w:t>
      </w:r>
      <w:r/>
    </w:p>
    <w:p>
      <w:pPr>
        <w:ind w:left="0" w:right="0" w:firstLine="372"/>
        <w:jc w:val="both"/>
        <w:spacing w:before="145" w:after="0" w:line="85" w:lineRule="atLeast"/>
        <w:rPr>
          <w:rFonts w:hint="default"/>
          <w:sz w:val="24"/>
          <w:lang w:val="en-US" w:eastAsia="zh-CN"/>
        </w:rPr>
        <w:pBdr>
          <w:top w:val="none" w:color="000000" w:sz="0" w:space="0"/>
          <w:left w:val="none" w:color="000000" w:sz="0" w:space="0"/>
          <w:bottom w:val="none" w:color="000000" w:sz="0" w:space="0"/>
          <w:right w:val="none" w:color="000000" w:sz="0" w:space="0"/>
        </w:pBdr>
      </w:pPr>
      <w:r>
        <w:rPr>
          <w:rFonts w:hint="eastAsia"/>
          <w:sz w:val="24"/>
          <w:lang w:val="en-US" w:eastAsia="zh-CN"/>
        </w:rPr>
        <w:t xml:space="preserve">★2.12脉冲透视管电流：</w:t>
      </w:r>
      <w:r>
        <w:rPr>
          <w:sz w:val="24"/>
        </w:rPr>
        <w:t xml:space="preserve">最小≤5mA，最大≤40mA</w:t>
      </w:r>
      <w:r>
        <w:rPr>
          <w:rFonts w:hint="eastAsia"/>
          <w:sz w:val="24"/>
          <w:lang w:eastAsia="zh-CN"/>
        </w:rPr>
        <w:t xml:space="preserve">（</w:t>
      </w:r>
      <w:r>
        <w:rPr>
          <w:rFonts w:hint="eastAsia"/>
          <w:sz w:val="24"/>
          <w:lang w:val="en-US" w:eastAsia="zh-CN"/>
        </w:rPr>
        <w:t xml:space="preserve">提供第三方检验报告</w:t>
      </w:r>
      <w:r>
        <w:rPr>
          <w:rFonts w:hint="eastAsia"/>
          <w:sz w:val="24"/>
          <w:lang w:eastAsia="zh-CN"/>
        </w:rPr>
        <w:t xml:space="preserve">）</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三、X射线球管</w:t>
      </w:r>
      <w:r>
        <w:rPr>
          <w:rFonts w:ascii="宋体" w:hAnsi="宋体" w:eastAsia="宋体" w:cs="宋体"/>
          <w:color w:val="000000"/>
          <w:sz w:val="24"/>
        </w:rPr>
        <w:t xml:space="preserve">：</w:t>
      </w:r>
      <w:r/>
    </w:p>
    <w:p>
      <w:pPr>
        <w:ind w:left="0" w:right="0" w:firstLine="372"/>
        <w:jc w:val="both"/>
        <w:spacing w:before="145" w:after="0" w:line="85" w:lineRule="atLeast"/>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w:t>
      </w:r>
      <w:r>
        <w:rPr>
          <w:rFonts w:hint="eastAsia" w:ascii="宋体" w:hAnsi="宋体" w:cs="宋体"/>
          <w:color w:val="000000"/>
          <w:sz w:val="24"/>
          <w:lang w:val="en-US" w:eastAsia="zh-CN"/>
        </w:rPr>
        <w:t xml:space="preserve">球管焦点：</w:t>
      </w:r>
      <w:r>
        <w:rPr>
          <w:sz w:val="24"/>
        </w:rPr>
        <w:t xml:space="preserve">大焦/小焦 ≤ 1.2mm /0.6mm</w:t>
      </w:r>
      <w:r/>
    </w:p>
    <w:p>
      <w:pPr>
        <w:ind w:left="0" w:right="0" w:firstLine="372"/>
        <w:jc w:val="both"/>
        <w:spacing w:before="145" w:after="0" w:line="85" w:lineRule="atLeast"/>
        <w:rPr>
          <w:rFonts w:hint="eastAsia"/>
          <w:sz w:val="24"/>
          <w:lang w:eastAsia="zh-CN"/>
        </w:rPr>
        <w:pBdr>
          <w:top w:val="none" w:color="000000" w:sz="0" w:space="0"/>
          <w:left w:val="none" w:color="000000" w:sz="0" w:space="0"/>
          <w:bottom w:val="none" w:color="000000" w:sz="0" w:space="0"/>
          <w:right w:val="none" w:color="000000" w:sz="0" w:space="0"/>
        </w:pBdr>
      </w:pPr>
      <w:r>
        <w:rPr>
          <w:rFonts w:hint="eastAsia"/>
          <w:sz w:val="24"/>
          <w:lang w:val="en-US" w:eastAsia="zh-CN"/>
        </w:rPr>
        <w:t xml:space="preserve">★3.2焦点功率：</w:t>
      </w:r>
      <w:r>
        <w:rPr>
          <w:sz w:val="24"/>
        </w:rPr>
        <w:t xml:space="preserve">大焦点≤75kW </w:t>
      </w:r>
      <w:r>
        <w:rPr>
          <w:rFonts w:hint="eastAsia"/>
          <w:sz w:val="24"/>
          <w:lang w:eastAsia="zh-CN"/>
        </w:rPr>
        <w:t xml:space="preserve">，</w:t>
      </w:r>
      <w:r>
        <w:rPr>
          <w:sz w:val="24"/>
        </w:rPr>
        <w:t xml:space="preserve"> 小焦点≤27kW</w:t>
      </w:r>
      <w:r>
        <w:rPr>
          <w:rFonts w:hint="eastAsia"/>
          <w:sz w:val="24"/>
          <w:lang w:eastAsia="zh-CN"/>
        </w:rPr>
        <w:t xml:space="preserve">（</w:t>
      </w:r>
      <w:r>
        <w:rPr>
          <w:rFonts w:hint="eastAsia"/>
          <w:sz w:val="24"/>
          <w:lang w:val="en-US" w:eastAsia="zh-CN"/>
        </w:rPr>
        <w:t xml:space="preserve">提供制造商说明书或检验报告</w:t>
      </w:r>
      <w:r>
        <w:rPr>
          <w:rFonts w:hint="eastAsia"/>
          <w:sz w:val="24"/>
          <w:lang w:eastAsia="zh-CN"/>
        </w:rPr>
        <w:t xml:space="preserve">）</w:t>
      </w:r>
      <w:r/>
    </w:p>
    <w:p>
      <w:pPr>
        <w:ind w:left="0" w:right="0" w:firstLine="372"/>
        <w:jc w:val="both"/>
        <w:spacing w:before="145" w:after="0" w:line="85" w:lineRule="atLeast"/>
        <w:rPr>
          <w:rFonts w:hint="eastAsia"/>
          <w:sz w:val="24"/>
          <w:lang w:val="en-US" w:eastAsia="zh-CN"/>
        </w:rPr>
        <w:pBdr>
          <w:top w:val="none" w:color="000000" w:sz="0" w:space="0"/>
          <w:left w:val="none" w:color="000000" w:sz="0" w:space="0"/>
          <w:bottom w:val="none" w:color="000000" w:sz="0" w:space="0"/>
          <w:right w:val="none" w:color="000000" w:sz="0" w:space="0"/>
        </w:pBdr>
      </w:pPr>
      <w:r>
        <w:rPr>
          <w:rFonts w:hint="eastAsia"/>
          <w:sz w:val="24"/>
          <w:lang w:val="en-US" w:eastAsia="zh-CN"/>
        </w:rPr>
        <w:t xml:space="preserve">3.3阳极热容量：≥300KHU</w:t>
      </w:r>
      <w:r/>
    </w:p>
    <w:p>
      <w:pPr>
        <w:ind w:left="0" w:right="0" w:firstLine="372"/>
        <w:jc w:val="both"/>
        <w:spacing w:before="145" w:after="0" w:line="85" w:lineRule="atLeast"/>
        <w:rPr>
          <w:rFonts w:hint="eastAsia"/>
          <w:sz w:val="24"/>
          <w:lang w:val="en-US" w:eastAsia="zh-CN"/>
        </w:rPr>
        <w:pBdr>
          <w:top w:val="none" w:color="000000" w:sz="0" w:space="0"/>
          <w:left w:val="none" w:color="000000" w:sz="0" w:space="0"/>
          <w:bottom w:val="none" w:color="000000" w:sz="0" w:space="0"/>
          <w:right w:val="none" w:color="000000" w:sz="0" w:space="0"/>
        </w:pBdr>
      </w:pPr>
      <w:r>
        <w:rPr>
          <w:rFonts w:hint="eastAsia"/>
          <w:sz w:val="24"/>
          <w:lang w:val="en-US" w:eastAsia="zh-CN"/>
        </w:rPr>
        <w:t xml:space="preserve">3.4旋转阳极速度：≥9700rpm</w:t>
      </w:r>
      <w:r/>
    </w:p>
    <w:p>
      <w:pPr>
        <w:ind w:left="0" w:right="0" w:firstLine="372"/>
        <w:jc w:val="both"/>
        <w:spacing w:before="145" w:after="0" w:line="85" w:lineRule="atLeast"/>
        <w:rPr>
          <w:rFonts w:hint="eastAsia"/>
          <w:sz w:val="24"/>
          <w:lang w:val="en-US" w:eastAsia="zh-CN"/>
        </w:rPr>
        <w:pBdr>
          <w:top w:val="none" w:color="000000" w:sz="0" w:space="0"/>
          <w:left w:val="none" w:color="000000" w:sz="0" w:space="0"/>
          <w:bottom w:val="none" w:color="000000" w:sz="0" w:space="0"/>
          <w:right w:val="none" w:color="000000" w:sz="0" w:space="0"/>
        </w:pBdr>
      </w:pPr>
      <w:r>
        <w:rPr>
          <w:rFonts w:hint="eastAsia"/>
          <w:sz w:val="24"/>
          <w:lang w:val="en-US" w:eastAsia="zh-CN"/>
        </w:rPr>
        <w:t xml:space="preserve">3.5组件热容量：≥1250kHU</w:t>
      </w:r>
      <w:r/>
    </w:p>
    <w:p>
      <w:pPr>
        <w:ind w:left="0" w:right="0" w:firstLine="372"/>
        <w:jc w:val="both"/>
        <w:spacing w:before="145" w:after="0" w:line="85" w:lineRule="atLeast"/>
        <w:rPr>
          <w:rFonts w:hint="eastAsia"/>
          <w:sz w:val="24"/>
          <w:lang w:val="en-US" w:eastAsia="zh-CN"/>
        </w:rPr>
        <w:pBdr>
          <w:top w:val="none" w:color="000000" w:sz="0" w:space="0"/>
          <w:left w:val="none" w:color="000000" w:sz="0" w:space="0"/>
          <w:bottom w:val="none" w:color="000000" w:sz="0" w:space="0"/>
          <w:right w:val="none" w:color="000000" w:sz="0" w:space="0"/>
        </w:pBdr>
      </w:pPr>
      <w:r>
        <w:rPr>
          <w:rFonts w:hint="eastAsia"/>
          <w:sz w:val="24"/>
          <w:lang w:val="en-US" w:eastAsia="zh-CN"/>
        </w:rPr>
        <w:t xml:space="preserve">▲3.6球管散热设计：</w:t>
      </w:r>
      <w:r>
        <w:rPr>
          <w:rFonts w:ascii="宋体" w:hAnsi="宋体" w:eastAsia="宋体" w:cs="宋体"/>
          <w:color w:val="000000"/>
          <w:sz w:val="24"/>
        </w:rPr>
        <w:t xml:space="preserve">为方便球管快速散热，球管无额外球管罩</w:t>
      </w:r>
      <w:r>
        <w:rPr>
          <w:rFonts w:hint="eastAsia"/>
          <w:sz w:val="24"/>
          <w:lang w:val="en-US" w:eastAsia="zh-CN"/>
        </w:rPr>
        <w:t xml:space="preserve">（提供所投产品实际装机图片）</w:t>
      </w:r>
      <w:r/>
    </w:p>
    <w:p>
      <w:pPr>
        <w:numPr>
          <w:ilvl w:val="0"/>
          <w:numId w:val="8"/>
        </w:numPr>
        <w:ind w:left="0" w:right="0" w:firstLine="372"/>
        <w:jc w:val="both"/>
        <w:spacing w:before="145" w:after="0" w:line="85" w:lineRule="atLeast"/>
        <w:rPr>
          <w:rFonts w:hint="eastAsia"/>
          <w:sz w:val="24"/>
          <w:lang w:val="en-US" w:eastAsia="zh-CN"/>
        </w:rPr>
        <w:pBdr>
          <w:top w:val="none" w:color="000000" w:sz="0" w:space="0"/>
          <w:left w:val="none" w:color="000000" w:sz="0" w:space="0"/>
          <w:bottom w:val="none" w:color="000000" w:sz="0" w:space="0"/>
          <w:right w:val="none" w:color="000000" w:sz="0" w:space="0"/>
        </w:pBdr>
      </w:pPr>
      <w:r>
        <w:rPr>
          <w:rFonts w:hint="eastAsia"/>
          <w:sz w:val="24"/>
          <w:lang w:val="en-US" w:eastAsia="zh-CN"/>
        </w:rPr>
        <w:t xml:space="preserve">摄影床和球管立柱</w:t>
      </w:r>
      <w:r/>
    </w:p>
    <w:p>
      <w:pPr>
        <w:numPr>
          <w:ilvl w:val="0"/>
          <w:numId w:val="0"/>
        </w:numPr>
        <w:ind w:left="372" w:right="0"/>
        <w:jc w:val="both"/>
        <w:spacing w:before="145" w:after="0" w:line="85" w:lineRule="atLeast"/>
        <w:rPr>
          <w:rFonts w:hint="eastAsia"/>
          <w:sz w:val="24"/>
          <w:lang w:val="en-US" w:eastAsia="zh-CN"/>
        </w:rPr>
        <w:pBdr>
          <w:top w:val="none" w:color="000000" w:sz="0" w:space="0"/>
          <w:left w:val="none" w:color="000000" w:sz="0" w:space="0"/>
          <w:bottom w:val="none" w:color="000000" w:sz="0" w:space="0"/>
          <w:right w:val="none" w:color="000000" w:sz="0" w:space="0"/>
        </w:pBdr>
      </w:pPr>
      <w:r>
        <w:rPr>
          <w:rFonts w:hint="eastAsia"/>
          <w:sz w:val="24"/>
          <w:lang w:val="en-US" w:eastAsia="zh-CN"/>
        </w:rPr>
        <w:t xml:space="preserve">▲4.1床面运动解锁方式：</w:t>
      </w:r>
      <w:r>
        <w:rPr>
          <w:sz w:val="24"/>
        </w:rPr>
        <w:t xml:space="preserve">内踢式解锁非脚踏式</w:t>
      </w:r>
      <w:r>
        <w:rPr>
          <w:rFonts w:hint="eastAsia"/>
          <w:sz w:val="24"/>
          <w:lang w:val="en-US" w:eastAsia="zh-CN"/>
        </w:rPr>
        <w:t xml:space="preserve">（提供所投产品实际装机图片）</w:t>
      </w:r>
      <w:r/>
    </w:p>
    <w:p>
      <w:pPr>
        <w:numPr>
          <w:ilvl w:val="0"/>
          <w:numId w:val="0"/>
        </w:numPr>
        <w:ind w:left="372" w:right="0"/>
        <w:jc w:val="both"/>
        <w:spacing w:before="145" w:after="0" w:line="85" w:lineRule="atLeast"/>
        <w:rPr>
          <w:rFonts w:hint="eastAsia"/>
          <w:sz w:val="24"/>
          <w:lang w:val="en-US" w:eastAsia="zh-CN"/>
        </w:rPr>
        <w:pBdr>
          <w:top w:val="none" w:color="000000" w:sz="0" w:space="0"/>
          <w:left w:val="none" w:color="000000" w:sz="0" w:space="0"/>
          <w:bottom w:val="none" w:color="000000" w:sz="0" w:space="0"/>
          <w:right w:val="none" w:color="000000" w:sz="0" w:space="0"/>
        </w:pBdr>
      </w:pPr>
      <w:r>
        <w:rPr>
          <w:rFonts w:hint="eastAsia"/>
          <w:sz w:val="24"/>
          <w:lang w:val="en-US" w:eastAsia="zh-CN"/>
        </w:rPr>
        <w:t xml:space="preserve">▲4.2床面板设计：</w:t>
      </w:r>
      <w:r>
        <w:rPr>
          <w:sz w:val="24"/>
        </w:rPr>
        <w:t xml:space="preserve">床面板为无边框一体化R角设计</w:t>
      </w:r>
      <w:r>
        <w:rPr>
          <w:rFonts w:hint="eastAsia"/>
          <w:sz w:val="24"/>
          <w:lang w:val="en-US" w:eastAsia="zh-CN"/>
        </w:rPr>
        <w:t xml:space="preserve">（提供所投产品实际装机图片）</w:t>
      </w:r>
      <w:r/>
    </w:p>
    <w:p>
      <w:pPr>
        <w:numPr>
          <w:ilvl w:val="0"/>
          <w:numId w:val="0"/>
        </w:numPr>
        <w:ind w:left="372" w:right="0"/>
        <w:jc w:val="both"/>
        <w:spacing w:before="145" w:after="0" w:line="85" w:lineRule="atLeast"/>
        <w:rPr>
          <w:rFonts w:hint="eastAsia"/>
          <w:sz w:val="24"/>
          <w:lang w:val="en-US" w:eastAsia="zh-CN"/>
        </w:rPr>
        <w:pBdr>
          <w:top w:val="none" w:color="000000" w:sz="0" w:space="0"/>
          <w:left w:val="none" w:color="000000" w:sz="0" w:space="0"/>
          <w:bottom w:val="none" w:color="000000" w:sz="0" w:space="0"/>
          <w:right w:val="none" w:color="000000" w:sz="0" w:space="0"/>
        </w:pBdr>
      </w:pPr>
      <w:r>
        <w:rPr>
          <w:rFonts w:hint="eastAsia"/>
          <w:sz w:val="24"/>
          <w:lang w:val="en-US" w:eastAsia="zh-CN"/>
        </w:rPr>
        <w:t xml:space="preserve">▲4.3立柱和床体设计方式：球管立柱和床体为分离式独立导轨设计（提供所投产品实际装机图片）</w:t>
      </w:r>
      <w:r/>
    </w:p>
    <w:p>
      <w:pPr>
        <w:numPr>
          <w:ilvl w:val="0"/>
          <w:numId w:val="0"/>
        </w:numPr>
        <w:ind w:left="372" w:right="0"/>
        <w:jc w:val="both"/>
        <w:spacing w:before="145" w:after="0" w:line="85" w:lineRule="atLeast"/>
        <w:rPr>
          <w:rFonts w:hint="eastAsia"/>
          <w:sz w:val="24"/>
          <w:lang w:val="en-US" w:eastAsia="zh-CN"/>
        </w:rPr>
        <w:pBdr>
          <w:top w:val="none" w:color="000000" w:sz="0" w:space="0"/>
          <w:left w:val="none" w:color="000000" w:sz="0" w:space="0"/>
          <w:bottom w:val="none" w:color="000000" w:sz="0" w:space="0"/>
          <w:right w:val="none" w:color="000000" w:sz="0" w:space="0"/>
        </w:pBdr>
      </w:pPr>
      <w:r>
        <w:rPr>
          <w:rFonts w:hint="eastAsia"/>
          <w:sz w:val="24"/>
          <w:lang w:val="en-US" w:eastAsia="zh-CN"/>
        </w:rPr>
        <w:t xml:space="preserve">4.4球管立柱纵向行程：≥1500mm</w:t>
      </w:r>
      <w:r/>
    </w:p>
    <w:p>
      <w:pPr>
        <w:ind w:left="0" w:right="0" w:firstLine="372"/>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4.5球管沿立柱上下移动行程：≥1300mm</w:t>
      </w:r>
      <w:r/>
    </w:p>
    <w:p>
      <w:pPr>
        <w:ind w:left="0" w:right="0" w:firstLine="372"/>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4.6床面移动纵向行程（长轴）：≥1000mm</w:t>
      </w:r>
      <w:r/>
    </w:p>
    <w:p>
      <w:pPr>
        <w:ind w:left="0" w:right="0" w:firstLine="372"/>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4.7床面移动横向行程（短轴）：≥260mm</w:t>
      </w:r>
      <w:r/>
    </w:p>
    <w:p>
      <w:pPr>
        <w:ind w:left="0" w:right="0" w:firstLine="372"/>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4.8片盒移动纵向行程：≥500mm</w:t>
      </w:r>
      <w:r/>
    </w:p>
    <w:p>
      <w:pPr>
        <w:ind w:left="0" w:right="0" w:firstLine="372"/>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4.9球管中心距地最低处距离：≤350mm</w:t>
      </w:r>
      <w:r/>
    </w:p>
    <w:p>
      <w:pPr>
        <w:ind w:left="0" w:right="0" w:firstLine="372"/>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4.10牛头转动：≥±180°</w:t>
      </w:r>
      <w:r/>
    </w:p>
    <w:p>
      <w:pPr>
        <w:ind w:left="0" w:right="0" w:firstLine="372"/>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sz w:val="24"/>
          <w:lang w:val="en-US" w:eastAsia="zh-CN"/>
        </w:rPr>
        <w:t xml:space="preserve">▲</w:t>
      </w:r>
      <w:r>
        <w:rPr>
          <w:rFonts w:hint="eastAsia" w:eastAsia="宋体"/>
          <w:sz w:val="24"/>
          <w:lang w:val="en-US" w:eastAsia="zh-CN"/>
        </w:rPr>
        <w:t xml:space="preserve">4.11床面最低高度：≤550mm（提供第三方检验报告）</w:t>
      </w:r>
      <w:r/>
    </w:p>
    <w:p>
      <w:pPr>
        <w:ind w:left="0" w:right="0" w:firstLine="372"/>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sz w:val="24"/>
          <w:lang w:val="en-US" w:eastAsia="zh-CN"/>
        </w:rPr>
        <w:t xml:space="preserve">▲</w:t>
      </w:r>
      <w:r>
        <w:rPr>
          <w:rFonts w:hint="eastAsia" w:eastAsia="宋体"/>
          <w:sz w:val="24"/>
          <w:lang w:val="en-US" w:eastAsia="zh-CN"/>
        </w:rPr>
        <w:t xml:space="preserve">4.12限束器：按键式电动限束器，非旋钮式（提供所投产品实际装机图片）</w:t>
      </w:r>
      <w:r/>
    </w:p>
    <w:p>
      <w:pPr>
        <w:ind w:left="0" w:right="0" w:firstLine="372"/>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4.13滤线栅密度</w:t>
      </w:r>
      <w:r>
        <w:rPr>
          <w:rFonts w:hint="eastAsia" w:eastAsia="宋体"/>
          <w:sz w:val="24"/>
          <w:lang w:val="en-US" w:eastAsia="zh-CN"/>
        </w:rPr>
        <w:tab/>
      </w:r>
      <w:r>
        <w:rPr>
          <w:rFonts w:hint="eastAsia" w:eastAsia="宋体"/>
          <w:sz w:val="24"/>
          <w:lang w:val="en-US" w:eastAsia="zh-CN"/>
        </w:rPr>
        <w:t xml:space="preserve">≥103LP/INCH； SID：1000mm</w:t>
      </w:r>
      <w:r/>
    </w:p>
    <w:p>
      <w:pPr>
        <w:ind w:left="0" w:right="0" w:firstLine="372"/>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4.14滤线栅栅比≥10:1</w:t>
      </w:r>
      <w:r/>
    </w:p>
    <w:p>
      <w:pPr>
        <w:numPr>
          <w:ilvl w:val="0"/>
          <w:numId w:val="8"/>
        </w:numPr>
        <w:ind w:left="0" w:right="0" w:firstLine="372"/>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胸片架</w:t>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5.1</w:t>
      </w:r>
      <w:r>
        <w:rPr>
          <w:rFonts w:hint="eastAsia" w:eastAsia="宋体"/>
          <w:sz w:val="24"/>
          <w:lang w:val="en-US" w:eastAsia="zh-CN"/>
        </w:rPr>
        <w:tab/>
      </w:r>
      <w:r>
        <w:rPr>
          <w:rFonts w:hint="eastAsia" w:eastAsia="宋体"/>
          <w:sz w:val="24"/>
          <w:lang w:val="en-US" w:eastAsia="zh-CN"/>
        </w:rPr>
        <w:t xml:space="preserve">片盒沿立柱上下移动行程：≥1500mm</w:t>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5.2</w:t>
      </w:r>
      <w:r>
        <w:rPr>
          <w:rFonts w:hint="eastAsia" w:eastAsia="宋体"/>
          <w:sz w:val="24"/>
          <w:lang w:val="en-US" w:eastAsia="zh-CN"/>
        </w:rPr>
        <w:tab/>
      </w:r>
      <w:r>
        <w:rPr>
          <w:rFonts w:hint="eastAsia" w:eastAsia="宋体"/>
          <w:sz w:val="24"/>
          <w:lang w:val="en-US" w:eastAsia="zh-CN"/>
        </w:rPr>
        <w:t xml:space="preserve">片盒中心点最低离地：≤350mm</w:t>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5.3</w:t>
      </w:r>
      <w:r>
        <w:rPr>
          <w:rFonts w:hint="eastAsia" w:eastAsia="宋体"/>
          <w:sz w:val="24"/>
          <w:lang w:val="en-US" w:eastAsia="zh-CN"/>
        </w:rPr>
        <w:tab/>
      </w:r>
      <w:r>
        <w:rPr>
          <w:rFonts w:hint="eastAsia" w:eastAsia="宋体"/>
          <w:sz w:val="24"/>
          <w:lang w:val="en-US" w:eastAsia="zh-CN"/>
        </w:rPr>
        <w:t xml:space="preserve">具备球管和胸片架片盒同步自动跟踪</w:t>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▲5.4滤线栅密度：≥225LP/INCH ； SID：1800mm（提供证明文件）</w:t>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5.5</w:t>
      </w:r>
      <w:r>
        <w:rPr>
          <w:rFonts w:hint="eastAsia" w:eastAsia="宋体"/>
          <w:sz w:val="24"/>
          <w:lang w:val="en-US" w:eastAsia="zh-CN"/>
        </w:rPr>
        <w:tab/>
      </w:r>
      <w:r>
        <w:rPr>
          <w:rFonts w:hint="eastAsia" w:eastAsia="宋体"/>
          <w:sz w:val="24"/>
          <w:lang w:val="en-US" w:eastAsia="zh-CN"/>
        </w:rPr>
        <w:t xml:space="preserve">滤线栅栅比：≥10:1</w:t>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5.6</w:t>
      </w:r>
      <w:r>
        <w:rPr>
          <w:rFonts w:hint="eastAsia" w:eastAsia="宋体"/>
          <w:sz w:val="24"/>
          <w:lang w:val="en-US" w:eastAsia="zh-CN"/>
        </w:rPr>
        <w:tab/>
      </w:r>
      <w:r>
        <w:rPr>
          <w:rFonts w:hint="eastAsia" w:eastAsia="宋体"/>
          <w:sz w:val="24"/>
          <w:lang w:val="en-US" w:eastAsia="zh-CN"/>
        </w:rPr>
        <w:t xml:space="preserve">操控方式：手动+电动</w:t>
      </w:r>
      <w:r/>
    </w:p>
    <w:p>
      <w:pPr>
        <w:numPr>
          <w:ilvl w:val="0"/>
          <w:numId w:val="8"/>
        </w:numPr>
        <w:ind w:left="0" w:right="0" w:firstLine="372"/>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动态平板探测器</w:t>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6.1材质：非晶硅碘化铯</w:t>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6.2有效面积：≥420mm(H)×420mm(V)</w:t>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6.3相素矩阵：≥3060(H)×3060(V)</w:t>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6.4相素间距：≤139μm</w:t>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▲6.5透视最高帧频：≥30fps（提供证明文件）</w:t>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6.6空间分辨率：≥3.7lp/mm</w:t>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6.7 A / D转换：≥16bit</w:t>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▲6.8数据传输方式：有线数据传输（提供所投产品实际装机图片）</w:t>
      </w:r>
      <w:r/>
    </w:p>
    <w:p>
      <w:pPr>
        <w:numPr>
          <w:ilvl w:val="0"/>
          <w:numId w:val="8"/>
        </w:numPr>
        <w:ind w:left="0" w:right="0" w:firstLine="372"/>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静态平板探测器</w:t>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7.1材质：非晶硅碘化铯</w:t>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7.2有效面积：≥420mm(H)×420mm(V)</w:t>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7.3相素矩阵：≥3060(H)×3060(V)</w:t>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7.4相素间距：≤139μm</w:t>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7.5 A / D转换：≥16bit</w:t>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7.6空间分辨率：≥3.7lp/mm</w:t>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7.7数据传输方式：无线数据传输</w:t>
      </w:r>
      <w:r/>
    </w:p>
    <w:p>
      <w:pPr>
        <w:numPr>
          <w:ilvl w:val="0"/>
          <w:numId w:val="8"/>
        </w:numPr>
        <w:ind w:left="0" w:right="0" w:firstLine="372"/>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近台触控显示屏</w:t>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8.1触控屏尺寸：≥10.4寸</w:t>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8.2具备与工作站信息双向传输功能</w:t>
      </w:r>
      <w:r>
        <w:rPr>
          <w:rFonts w:hint="eastAsia" w:eastAsia="宋体"/>
          <w:sz w:val="24"/>
          <w:lang w:val="en-US" w:eastAsia="zh-CN"/>
        </w:rPr>
        <w:tab/>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8.3具备画面自适应功能</w:t>
      </w:r>
      <w:r>
        <w:rPr>
          <w:rFonts w:hint="eastAsia" w:eastAsia="宋体"/>
          <w:sz w:val="24"/>
          <w:lang w:val="en-US" w:eastAsia="zh-CN"/>
        </w:rPr>
        <w:tab/>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8.4具备曝光参数设置功能</w:t>
      </w:r>
      <w:r>
        <w:rPr>
          <w:rFonts w:hint="eastAsia" w:eastAsia="宋体"/>
          <w:sz w:val="24"/>
          <w:lang w:val="en-US" w:eastAsia="zh-CN"/>
        </w:rPr>
        <w:tab/>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8.5具备曝光图像预览功能</w:t>
      </w:r>
      <w:r>
        <w:rPr>
          <w:rFonts w:hint="eastAsia" w:eastAsia="宋体"/>
          <w:sz w:val="24"/>
          <w:lang w:val="en-US" w:eastAsia="zh-CN"/>
        </w:rPr>
        <w:tab/>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8.6具备设备运动参数显示和调节功能</w:t>
      </w:r>
      <w:r>
        <w:rPr>
          <w:rFonts w:hint="eastAsia" w:eastAsia="宋体"/>
          <w:sz w:val="24"/>
          <w:lang w:val="en-US" w:eastAsia="zh-CN"/>
        </w:rPr>
        <w:tab/>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8.7具备3D摆位指引</w:t>
      </w:r>
      <w:r>
        <w:rPr>
          <w:rFonts w:hint="eastAsia" w:eastAsia="宋体"/>
          <w:sz w:val="24"/>
          <w:lang w:val="en-US" w:eastAsia="zh-CN"/>
        </w:rPr>
        <w:tab/>
      </w:r>
      <w:r/>
    </w:p>
    <w:p>
      <w:pPr>
        <w:numPr>
          <w:ilvl w:val="0"/>
          <w:numId w:val="8"/>
        </w:numPr>
        <w:ind w:left="0" w:right="0" w:firstLine="372"/>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数字化X线摄影透视操作系统</w:t>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9.1配置</w:t>
      </w:r>
      <w:r>
        <w:rPr>
          <w:rFonts w:hint="eastAsia" w:eastAsia="宋体"/>
          <w:sz w:val="24"/>
          <w:lang w:val="en-US" w:eastAsia="zh-CN"/>
        </w:rPr>
        <w:tab/>
      </w:r>
      <w:r>
        <w:rPr>
          <w:rFonts w:hint="eastAsia" w:eastAsia="宋体"/>
          <w:sz w:val="24"/>
          <w:lang w:val="en-US" w:eastAsia="zh-CN"/>
        </w:rPr>
        <w:t xml:space="preserve">CPU：相同或者优于I5-12400</w:t>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9.2内存：≥6G</w:t>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9.3硬盘：≥1TB</w:t>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9.4显示器：≥24英寸</w:t>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9.5具备图像采集工作站软件操作界面均为中文界面</w:t>
      </w:r>
      <w:r>
        <w:rPr>
          <w:rFonts w:hint="eastAsia" w:eastAsia="宋体"/>
          <w:sz w:val="24"/>
          <w:lang w:val="en-US" w:eastAsia="zh-CN"/>
        </w:rPr>
        <w:tab/>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9.6具备实时显示与检索患者信息</w:t>
      </w:r>
      <w:r>
        <w:rPr>
          <w:rFonts w:hint="eastAsia" w:eastAsia="宋体"/>
          <w:sz w:val="24"/>
          <w:lang w:val="en-US" w:eastAsia="zh-CN"/>
        </w:rPr>
        <w:tab/>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9.7具备自定义患者列表显示</w:t>
      </w:r>
      <w:r>
        <w:rPr>
          <w:rFonts w:hint="eastAsia" w:eastAsia="宋体"/>
          <w:sz w:val="24"/>
          <w:lang w:val="en-US" w:eastAsia="zh-CN"/>
        </w:rPr>
        <w:tab/>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9.8具备患者拍摄摆位指示图</w:t>
      </w:r>
      <w:r>
        <w:rPr>
          <w:rFonts w:hint="eastAsia" w:eastAsia="宋体"/>
          <w:sz w:val="24"/>
          <w:lang w:val="en-US" w:eastAsia="zh-CN"/>
        </w:rPr>
        <w:tab/>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9.9具备检查不同状态显示与排序</w:t>
      </w:r>
      <w:r>
        <w:rPr>
          <w:rFonts w:hint="eastAsia" w:eastAsia="宋体"/>
          <w:sz w:val="24"/>
          <w:lang w:val="en-US" w:eastAsia="zh-CN"/>
        </w:rPr>
        <w:tab/>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9.10具备显示球管热容量状态百分比</w:t>
      </w:r>
      <w:r>
        <w:rPr>
          <w:rFonts w:hint="eastAsia" w:eastAsia="宋体"/>
          <w:sz w:val="24"/>
          <w:lang w:val="en-US" w:eastAsia="zh-CN"/>
        </w:rPr>
        <w:tab/>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9.11支持DICOM3.0，支持DICOM打印</w:t>
      </w:r>
      <w:r>
        <w:rPr>
          <w:rFonts w:hint="eastAsia" w:eastAsia="宋体"/>
          <w:sz w:val="24"/>
          <w:lang w:val="en-US" w:eastAsia="zh-CN"/>
        </w:rPr>
        <w:tab/>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9.12支持DICOM存档、支持DICOM网络传输</w:t>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9.13支持DICOM WORKLIST，具有移动存储或DVD刻录功能</w:t>
      </w:r>
      <w:r>
        <w:rPr>
          <w:rFonts w:hint="eastAsia" w:eastAsia="宋体"/>
          <w:sz w:val="24"/>
          <w:lang w:val="en-US" w:eastAsia="zh-CN"/>
        </w:rPr>
        <w:tab/>
      </w:r>
      <w:r>
        <w:rPr>
          <w:rFonts w:hint="eastAsia" w:eastAsia="宋体"/>
          <w:sz w:val="24"/>
          <w:lang w:val="en-US" w:eastAsia="zh-CN"/>
        </w:rPr>
        <w:t xml:space="preserve">具备</w:t>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9.14具备图像基本后处理功能，如图像预览、缩放、窗宽/窗位调整、标注、反色、翻转、旋转、输入文本、长度测量及校正、裁剪功能、感兴趣区域及角度测量</w:t>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9.15透视参数设置：具备曝光模式、帧率设置、kVp、mA、ABS、时间清零</w:t>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9.16具备透视影像保存和回放功能</w:t>
      </w:r>
      <w:r>
        <w:rPr>
          <w:rFonts w:hint="eastAsia" w:eastAsia="宋体"/>
          <w:sz w:val="24"/>
          <w:lang w:val="en-US" w:eastAsia="zh-CN"/>
        </w:rPr>
        <w:tab/>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▲9.17具备心胸比（CTR）、距离测量、角度测量、脊柱测量的功能；（提供第三方检验报告）</w:t>
      </w:r>
      <w:r>
        <w:rPr>
          <w:rFonts w:hint="eastAsia" w:eastAsia="宋体"/>
          <w:sz w:val="24"/>
          <w:lang w:val="en-US" w:eastAsia="zh-CN"/>
        </w:rPr>
        <w:tab/>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9.18具备硬件AEC电离室</w:t>
      </w:r>
      <w:r>
        <w:rPr>
          <w:rFonts w:hint="eastAsia" w:eastAsia="宋体"/>
          <w:sz w:val="24"/>
          <w:lang w:val="en-US" w:eastAsia="zh-CN"/>
        </w:rPr>
        <w:tab/>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9.19具备DAP辐射剂量监测功能</w:t>
      </w:r>
      <w:r>
        <w:rPr>
          <w:rFonts w:hint="eastAsia" w:eastAsia="宋体"/>
          <w:sz w:val="24"/>
          <w:lang w:val="en-US" w:eastAsia="zh-CN"/>
        </w:rPr>
        <w:tab/>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9.20具备全脊柱图像拼接功能</w:t>
      </w:r>
      <w:r>
        <w:rPr>
          <w:rFonts w:hint="eastAsia" w:eastAsia="宋体"/>
          <w:sz w:val="24"/>
          <w:lang w:val="en-US" w:eastAsia="zh-CN"/>
        </w:rPr>
        <w:tab/>
      </w:r>
      <w:r/>
    </w:p>
    <w:p>
      <w:pPr>
        <w:numPr>
          <w:ilvl w:val="0"/>
          <w:numId w:val="0"/>
        </w:numPr>
        <w:ind w:left="372" w:right="0"/>
        <w:jc w:val="both"/>
        <w:spacing w:before="145" w:after="0" w:line="85" w:lineRule="atLeast"/>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lang w:val="en-US" w:eastAsia="zh-CN"/>
        </w:rPr>
        <w:t xml:space="preserve">▲9.21具备摇杆式隔室操作台（摇杆数量≥2个），能够隔室调节限束器视野大小和球管平板自动跟踪运动（提供所投产品实际装机图片）</w:t>
      </w:r>
      <w:r/>
    </w:p>
    <w:p>
      <w:pPr>
        <w:pStyle w:val="711"/>
      </w:pPr>
      <w:r/>
      <w:r/>
    </w:p>
    <w:p>
      <w:pPr>
        <w:rPr>
          <w:rFonts w:ascii="宋体" w:hAnsi="宋体" w:eastAsia="宋体" w:cs="宋体"/>
          <w:b/>
          <w:color w:val="000000"/>
          <w:sz w:val="24"/>
        </w:rPr>
      </w:pPr>
      <w:r>
        <w:rPr>
          <w:rFonts w:ascii="宋体" w:hAnsi="宋体" w:eastAsia="宋体" w:cs="宋体"/>
          <w:b/>
          <w:color w:val="000000"/>
          <w:sz w:val="24"/>
        </w:rPr>
        <w:br w:type="page" w:clear="all"/>
      </w:r>
      <w:r/>
    </w:p>
    <w:p>
      <w:pPr>
        <w:ind w:left="0" w:right="0" w:firstLine="373"/>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包3技术要求</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1.扫描架系统</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1.1扫描架孔径：≥700mm</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▲1.2机架具备物理倾角：≥±30°</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1.3滑环类型：低压滑环</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1.4探测器类型：高速稀土陶瓷</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★1.5探测器物理排数：≥32排</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1.6探测器数目（每排）：≥720个/每排</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▲1.7每排探测器Z轴覆盖尺寸：≤0.6mm</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▲1.8探测器Z轴覆盖范围≥21 mm</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▲1.9探测器物理单元总数≥30000个</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1.10焦点到探测器距离：≤1000mm</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1.11焦点到ISO等中心距离：≤570mm</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1.12探测器数据采样率：≥4000 views/圈</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1.13具备人工智能摄像辅助摆位系统</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2.扫描床系统</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2.1床水平可扫描范围：≥1600 mm</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2.2床水平移动最大速度：≥100mm/s</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2.3病人床承重量：≥200kg</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2.4床垂直升降范围：≥400mm</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3.X线球管及高压发生器</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3.1球管阳极物理热容量（非等效）：≥3.5MHU</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▲3.2球管最大电流（非等效）：≥400mA</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▲3.3球管最小电压≤70KV</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3.4球管最大电压：≥130KV</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3.5球管最小焦点：≤0.7mm×0.8mm</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3.6球管最大焦点：≤1.2mm×1.4mm</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▲3.7发生器功率：≥42KW（非等效功率）</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▲3.8 具备自研自主生产X射线管组件能力（提供同品牌CT医用X射线管组件注册证/国药监局注册网页截图证明</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 扫描参数和图像质量</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★4.1轴扫每圈扫描获得层数：≥64层/圈</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▲4.2最短扫描时间：≤0.7s/360°</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4.3 扫描采集视野：≥500mm</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4.4螺距连续可调：0.5-1.5，连接可调</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4.5最快覆盖速度：≥100mm/s</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4.6最大连续螺旋扫描：≥120秒</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4.7空间分辨率：≥20 LP/cm@0%MTF</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4.8密度分辨率：≤3mm@0.3%</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 计算机系统</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5.1主频：≥2.8GHz</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5.2内存：≥8.0GB</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5.3硬盘容量：≥400GB</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5.4图像重建速度：≥10幅/秒</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5.5存储系统：CD-RW</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5.6外设存储系统：DVD刻录</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5.7图像格式和传输存储：标准DICOM 3.0</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5.8 与现有PACS端口兼容</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 提供临床应用软件</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6.1多平面重建MPR</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6.2任意曲面重建CVMPR</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6.3最大密度投影MIP，最小密度投影MinP</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6.5 CT血管成像CTA</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6.6容积处理软件VR</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6.7 CT电影</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6.8虚拟内镜CTE</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6.9容积伪影去除</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6.10去金属伪影软件</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6.11肺结节分析评估软件</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▲6.12 所投产品支持能谱成像，需在注册证使用范围中体现（《X射线计算机体层摄影设备能谱成像技术注册审查指导原则（2024年第26号）》支持能谱成像的产品，在注册时，适用范围中必须体现），提供国家药监局网站注册证网页截图证明。</w:t>
      </w:r>
      <w:r>
        <w:rPr>
          <w:rFonts w:ascii="宋体" w:hAnsi="宋体" w:eastAsia="宋体" w:cs="宋体"/>
          <w:color w:val="000000"/>
          <w:sz w:val="24"/>
        </w:rPr>
        <w:br w:type="page" w:clear="all"/>
      </w:r>
      <w:r/>
    </w:p>
    <w:p>
      <w:pPr>
        <w:ind w:left="0" w:right="0" w:firstLine="373"/>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w:t>
      </w:r>
      <w:r>
        <w:rPr>
          <w:rFonts w:ascii="宋体" w:hAnsi="宋体" w:eastAsia="宋体" w:cs="宋体"/>
          <w:i/>
          <w:color w:val="000000"/>
          <w:sz w:val="24"/>
          <w:u w:val="single"/>
        </w:rPr>
        <w:t xml:space="preserve">★</w:t>
      </w:r>
      <w:r>
        <w:rPr>
          <w:rFonts w:ascii="宋体" w:hAnsi="宋体" w:eastAsia="宋体" w:cs="宋体"/>
          <w:b/>
          <w:i/>
          <w:color w:val="000000"/>
          <w:sz w:val="24"/>
          <w:u w:val="single"/>
        </w:rPr>
        <w:t xml:space="preserve">商务要求</w:t>
      </w:r>
      <w:r>
        <w:rPr>
          <w:rFonts w:ascii="宋体" w:hAnsi="宋体" w:eastAsia="宋体" w:cs="宋体"/>
          <w:b/>
          <w:color w:val="000000"/>
          <w:sz w:val="24"/>
        </w:rPr>
        <w:t xml:space="preserve">：</w:t>
      </w:r>
      <w:r/>
    </w:p>
    <w:p>
      <w:pPr>
        <w:ind w:left="0" w:right="0" w:firstLine="480"/>
        <w:jc w:val="both"/>
        <w:spacing w:before="0" w:after="0"/>
        <w:tabs>
          <w:tab w:val="left" w:pos="851" w:leader="none"/>
          <w:tab w:val="left" w:pos="1276" w:leader="none"/>
          <w:tab w:val="left" w:pos="141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下列条款中甲方为：泰兴市滨江镇马甸卫生院，乙方为：本项目的中标投标人</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3.1、交货期：合同签订后30个工作日；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3.2、交货地点：甲方指定地点；</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3.3、付款条件：</w:t>
      </w:r>
      <w:r>
        <w:rPr>
          <w:rFonts w:ascii="宋体" w:hAnsi="宋体" w:eastAsia="宋体" w:cs="宋体"/>
          <w:i/>
          <w:color w:val="000000"/>
          <w:sz w:val="24"/>
          <w:u w:val="none"/>
        </w:rPr>
        <w:t xml:space="preserve">合同签订后且乙方向甲方出具发票后，甲方15日内支付合同款的30%，项目验收合格后，甲方支付合同款的</w:t>
      </w:r>
      <w:r>
        <w:rPr>
          <w:rFonts w:ascii="宋体" w:hAnsi="宋体" w:eastAsia="宋体" w:cs="宋体"/>
          <w:i/>
          <w:color w:val="000000"/>
          <w:sz w:val="24"/>
          <w:u w:val="single"/>
        </w:rPr>
        <w:t xml:space="preserve">60%，设备验收合格满1年后，甲方支付尾款。</w:t>
      </w:r>
      <w:r/>
    </w:p>
    <w:p>
      <w:pPr>
        <w:ind w:left="0" w:right="0" w:firstLine="480"/>
        <w:jc w:val="both"/>
        <w:spacing w:before="0" w:after="0"/>
        <w:tabs>
          <w:tab w:val="left" w:pos="851" w:leader="none"/>
          <w:tab w:val="left" w:pos="1276" w:leader="none"/>
          <w:tab w:val="left" w:pos="1418" w:leader="none"/>
        </w:tabs>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3.4、包装和运输：</w:t>
      </w:r>
      <w:r/>
    </w:p>
    <w:p>
      <w:pPr>
        <w:ind w:left="0" w:right="0" w:firstLine="480"/>
        <w:jc w:val="both"/>
        <w:spacing w:before="0" w:after="0"/>
        <w:tabs>
          <w:tab w:val="left" w:pos="851" w:leader="none"/>
          <w:tab w:val="left" w:pos="1276" w:leader="none"/>
          <w:tab w:val="left" w:pos="1418" w:leader="none"/>
        </w:tabs>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3.4.1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0" w:right="0" w:firstLine="480"/>
        <w:jc w:val="both"/>
        <w:spacing w:before="0" w:after="0"/>
        <w:tabs>
          <w:tab w:val="left" w:pos="851" w:leader="none"/>
          <w:tab w:val="left" w:pos="1276" w:leader="none"/>
          <w:tab w:val="left" w:pos="1418" w:leader="none"/>
        </w:tabs>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3.4.2使用说明书、质量检验证明书、随配附件和工具以及清单一并附于货物内。</w:t>
      </w:r>
      <w:r/>
    </w:p>
    <w:p>
      <w:pPr>
        <w:ind w:left="0" w:right="0" w:firstLine="480"/>
        <w:jc w:val="both"/>
        <w:spacing w:before="0" w:after="0"/>
        <w:tabs>
          <w:tab w:val="left" w:pos="851" w:leader="none"/>
          <w:tab w:val="left" w:pos="1276" w:leader="none"/>
          <w:tab w:val="left" w:pos="1418" w:leader="none"/>
        </w:tabs>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3.4.3乙方在货物发运手续办理完毕后24小时内或货到甲方48小时前通知甲方，以准备接货。</w:t>
      </w:r>
      <w:r/>
    </w:p>
    <w:p>
      <w:pPr>
        <w:ind w:left="0" w:right="0" w:firstLine="480"/>
        <w:jc w:val="both"/>
        <w:spacing w:before="0" w:after="0"/>
        <w:tabs>
          <w:tab w:val="left" w:pos="851" w:leader="none"/>
          <w:tab w:val="left" w:pos="1276" w:leader="none"/>
          <w:tab w:val="left" w:pos="1418" w:leader="none"/>
        </w:tabs>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3.4.5货物在交付甲方前发生的风险均由乙方负责。</w:t>
      </w:r>
      <w:r/>
    </w:p>
    <w:p>
      <w:pPr>
        <w:ind w:left="0" w:right="0" w:firstLine="480"/>
        <w:jc w:val="both"/>
        <w:spacing w:before="0" w:after="0"/>
        <w:tabs>
          <w:tab w:val="left" w:pos="851" w:leader="none"/>
          <w:tab w:val="left" w:pos="1276" w:leader="none"/>
          <w:tab w:val="left" w:pos="1418" w:leader="none"/>
        </w:tabs>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3.4.6货物在规定的交付期限内由乙方送达甲方指定的地点视为交付，乙方同时需通知甲方货物已送达。</w:t>
      </w:r>
      <w:r/>
    </w:p>
    <w:p>
      <w:pPr>
        <w:ind w:left="0" w:right="0" w:firstLine="482"/>
        <w:jc w:val="both"/>
        <w:spacing w:before="0" w:after="0"/>
        <w:tabs>
          <w:tab w:val="left" w:pos="851" w:leader="none"/>
          <w:tab w:val="left" w:pos="1276" w:leader="none"/>
          <w:tab w:val="left" w:pos="1418" w:leader="none"/>
        </w:tabs>
        <w:pBdr>
          <w:top w:val="none" w:color="000000" w:sz="0" w:space="0"/>
          <w:left w:val="none" w:color="000000" w:sz="0" w:space="0"/>
          <w:bottom w:val="none" w:color="000000" w:sz="0" w:space="0"/>
          <w:right w:val="none" w:color="000000" w:sz="0" w:space="0"/>
        </w:pBdr>
      </w:pPr>
      <w:r>
        <w:rPr>
          <w:rFonts w:ascii="宋体" w:hAnsi="宋体" w:eastAsia="宋体" w:cs="宋体"/>
          <w:b/>
          <w:i/>
          <w:color w:val="000000"/>
          <w:sz w:val="24"/>
          <w:u w:val="single"/>
        </w:rPr>
        <w:t xml:space="preserve">3.5、售后服务：</w:t>
      </w:r>
      <w:r/>
    </w:p>
    <w:p>
      <w:pPr>
        <w:ind w:left="0" w:right="0" w:firstLine="480"/>
        <w:jc w:val="both"/>
        <w:spacing w:before="0" w:after="0"/>
        <w:tabs>
          <w:tab w:val="left" w:pos="851" w:leader="none"/>
          <w:tab w:val="left" w:pos="1276" w:leader="none"/>
          <w:tab w:val="left" w:pos="1418" w:leader="none"/>
        </w:tabs>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3.5.1乙方应按招标文件规定的货物性能、技术要求、质量标准向甲方提供未经使用的全新产品。</w:t>
      </w:r>
      <w:r/>
    </w:p>
    <w:p>
      <w:pPr>
        <w:ind w:left="0" w:right="0" w:firstLine="480"/>
        <w:jc w:val="both"/>
        <w:spacing w:before="0" w:after="0"/>
        <w:tabs>
          <w:tab w:val="left" w:pos="851" w:leader="none"/>
          <w:tab w:val="left" w:pos="1276" w:leader="none"/>
          <w:tab w:val="left" w:pos="1418" w:leader="none"/>
        </w:tabs>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3.5.2乙方提供的货物在质量期内因货物本身的质量问题发生故障，乙方应负责免费更换。对达不到技术要求者，根据实际情况，经双方协商，可按以下办法处理：</w:t>
      </w:r>
      <w:r/>
    </w:p>
    <w:p>
      <w:pPr>
        <w:ind w:left="0" w:right="0" w:firstLine="480"/>
        <w:jc w:val="both"/>
        <w:spacing w:before="0" w:after="0"/>
        <w:tabs>
          <w:tab w:val="left" w:pos="851" w:leader="none"/>
          <w:tab w:val="left" w:pos="1276" w:leader="none"/>
          <w:tab w:val="left" w:pos="1418" w:leader="none"/>
        </w:tabs>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⑴更换：由乙方承担所发生的全部费用。</w:t>
      </w:r>
      <w:r/>
    </w:p>
    <w:p>
      <w:pPr>
        <w:ind w:left="0" w:right="0" w:firstLine="480"/>
        <w:jc w:val="both"/>
        <w:spacing w:before="0" w:after="0"/>
        <w:tabs>
          <w:tab w:val="left" w:pos="851" w:leader="none"/>
          <w:tab w:val="left" w:pos="1276" w:leader="none"/>
          <w:tab w:val="left" w:pos="1418" w:leader="none"/>
        </w:tabs>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⑵贬值处理：由甲乙双方合议定价。</w:t>
      </w:r>
      <w:r/>
    </w:p>
    <w:p>
      <w:pPr>
        <w:ind w:left="0" w:right="0" w:firstLine="480"/>
        <w:jc w:val="both"/>
        <w:spacing w:before="0" w:after="0"/>
        <w:tabs>
          <w:tab w:val="left" w:pos="851" w:leader="none"/>
          <w:tab w:val="left" w:pos="1276" w:leader="none"/>
          <w:tab w:val="left" w:pos="1418" w:leader="none"/>
        </w:tabs>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⑶退货处理：乙方应退还甲方支付的合同款，同时应承担该货物的直接费用（运输、保险、检验、货款利息及银行手续费等）。</w:t>
      </w:r>
      <w:r/>
    </w:p>
    <w:p>
      <w:pPr>
        <w:ind w:left="0" w:right="0" w:firstLine="372"/>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3.5.3如在使用过程中发生质量问题，乙方在接到甲方通知后，20分钟内电话响应，6小时内到达现场并解决问题，如不能现场解决故障问题，需24小时或48小时内提供备品或者备用机器，以防止影响日常手术使用。</w:t>
      </w:r>
      <w:r/>
    </w:p>
    <w:p>
      <w:pPr>
        <w:ind w:left="0" w:right="0" w:firstLine="480"/>
        <w:jc w:val="both"/>
        <w:spacing w:before="0" w:after="0"/>
        <w:tabs>
          <w:tab w:val="left" w:pos="851" w:leader="none"/>
          <w:tab w:val="left" w:pos="1276" w:leader="none"/>
          <w:tab w:val="left" w:pos="1418" w:leader="none"/>
        </w:tabs>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3.5.4在质保期内，乙方应对货物出现的质量及安全问题负责处理解决并承担一切费用。</w:t>
      </w:r>
      <w:r/>
    </w:p>
    <w:p>
      <w:pPr>
        <w:ind w:left="0" w:right="0" w:firstLine="480"/>
        <w:jc w:val="both"/>
        <w:spacing w:before="0" w:after="0"/>
        <w:tabs>
          <w:tab w:val="left" w:pos="851" w:leader="none"/>
          <w:tab w:val="left" w:pos="1276" w:leader="none"/>
          <w:tab w:val="left" w:pos="1418" w:leader="none"/>
        </w:tabs>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3.5.5上述货物免费保修期≥3年（自交货验收合格之日起计），因人为因素出现的故障不在免费保修范围内。超过保修期的机器设备，终身维修，维修时只收部件成本费。</w:t>
      </w:r>
      <w:r/>
    </w:p>
    <w:p>
      <w:pPr>
        <w:ind w:left="0" w:right="0" w:firstLine="482"/>
        <w:jc w:val="both"/>
        <w:spacing w:before="0" w:after="0"/>
        <w:tabs>
          <w:tab w:val="left" w:pos="851" w:leader="none"/>
          <w:tab w:val="left" w:pos="1276" w:leader="none"/>
          <w:tab w:val="left" w:pos="1418" w:leader="none"/>
        </w:tabs>
        <w:pBdr>
          <w:top w:val="none" w:color="000000" w:sz="0" w:space="0"/>
          <w:left w:val="none" w:color="000000" w:sz="0" w:space="0"/>
          <w:bottom w:val="none" w:color="000000" w:sz="0" w:space="0"/>
          <w:right w:val="none" w:color="000000" w:sz="0" w:space="0"/>
        </w:pBdr>
      </w:pPr>
      <w:r>
        <w:rPr>
          <w:rFonts w:ascii="宋体" w:hAnsi="宋体" w:eastAsia="宋体" w:cs="宋体"/>
          <w:b/>
          <w:i/>
          <w:color w:val="000000"/>
          <w:sz w:val="24"/>
          <w:u w:val="single"/>
        </w:rPr>
        <w:t xml:space="preserve">3.6技术培训</w:t>
      </w:r>
      <w:r/>
    </w:p>
    <w:p>
      <w:pPr>
        <w:ind w:left="0" w:right="0" w:firstLine="480"/>
        <w:jc w:val="both"/>
        <w:spacing w:before="0" w:after="0"/>
        <w:tabs>
          <w:tab w:val="left" w:pos="851" w:leader="none"/>
          <w:tab w:val="left" w:pos="1276" w:leader="none"/>
          <w:tab w:val="left" w:pos="1418" w:leader="none"/>
        </w:tabs>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3.6.1在安装过程中或安装结束后，乙方工程师或有关人员有义务对甲方工程师和操作人员进行现场维修、保养、操作培训，解答甲方人员提出的问题。必要时提供正规培训班培训，确保操作人员掌握完成日常工作所需的基本操作方法为止，工程师掌握基本的维护保养操作技术为止。</w:t>
      </w:r>
      <w:r/>
    </w:p>
    <w:p>
      <w:pPr>
        <w:ind w:left="0" w:right="0" w:firstLine="373"/>
        <w:jc w:val="both"/>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四、其他说明：</w:t>
      </w:r>
      <w:r/>
    </w:p>
    <w:p>
      <w:pPr>
        <w:ind w:left="0" w:right="0" w:firstLine="480"/>
        <w:jc w:val="both"/>
        <w:spacing w:before="0" w:after="0"/>
        <w:tabs>
          <w:tab w:val="left" w:pos="851" w:leader="none"/>
          <w:tab w:val="left" w:pos="1276" w:leader="none"/>
          <w:tab w:val="left" w:pos="141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4.1上述中加注“★”符号的关键条款指标，不允许负偏离，否则投标无效；加注“▲”符号的重要条款指标；其他为一般条款指标。</w:t>
      </w:r>
      <w:r/>
    </w:p>
    <w:p>
      <w:pPr>
        <w:ind w:left="0" w:right="0" w:firstLine="480"/>
        <w:jc w:val="both"/>
        <w:spacing w:before="0" w:after="0"/>
        <w:tabs>
          <w:tab w:val="left" w:pos="851" w:leader="none"/>
          <w:tab w:val="left" w:pos="1276" w:leader="none"/>
          <w:tab w:val="left" w:pos="141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w:t>
      </w:r>
      <w:r>
        <w:rPr>
          <w:rFonts w:ascii="宋体" w:hAnsi="宋体" w:eastAsia="宋体" w:cs="宋体"/>
          <w:i/>
          <w:color w:val="000000"/>
          <w:sz w:val="24"/>
          <w:u w:val="single"/>
        </w:rPr>
        <w:t xml:space="preserve">本招标文件中斜体且有下划线部分为实质性要求和条件，不允许负偏离，否则投标无效。</w:t>
      </w:r>
      <w:r/>
    </w:p>
    <w:p>
      <w:pPr>
        <w:ind w:left="0" w:right="0" w:firstLine="480"/>
        <w:jc w:val="both"/>
        <w:spacing w:before="0" w:after="0"/>
        <w:tabs>
          <w:tab w:val="left" w:pos="851" w:leader="none"/>
          <w:tab w:val="left" w:pos="1276" w:leader="none"/>
          <w:tab w:val="left" w:pos="141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4.3上述商务要求不接受任何一项的负偏离或者不满足，允许正偏离。</w:t>
      </w:r>
      <w:r/>
    </w:p>
    <w:p>
      <w:pPr>
        <w:ind w:left="0" w:right="0" w:firstLine="480"/>
        <w:jc w:val="both"/>
        <w:spacing w:before="0" w:after="0"/>
        <w:tabs>
          <w:tab w:val="left" w:pos="851" w:leader="none"/>
          <w:tab w:val="left" w:pos="1276" w:leader="none"/>
          <w:tab w:val="left" w:pos="141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4.4采购标的对应的中小企业划分标准所属行业为：工业</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照得分由高到低的顺序推荐1名中标候选人。</w:t>
      </w:r>
      <w:r/>
    </w:p>
    <w:p>
      <w:pPr>
        <w:pStyle w:val="701"/>
        <w:ind w:left="0" w:right="0" w:firstLine="0"/>
        <w:jc w:val="center"/>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（一）资格审查对照表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按照招标文件《第一章 投标邀请》申请人的资格要求进行资格审查。</w:t>
      </w:r>
      <w:r/>
    </w:p>
    <w:p>
      <w:pPr>
        <w:pStyle w:val="701"/>
        <w:numPr>
          <w:ilvl w:val="0"/>
          <w:numId w:val="9"/>
        </w:numPr>
        <w:jc w:val="center"/>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符合性审查对照表</w:t>
      </w:r>
      <w:r/>
    </w:p>
    <w:p>
      <w:pPr>
        <w:numPr>
          <w:ilvl w:val="0"/>
          <w:numId w:val="10"/>
        </w:numP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报价要求：</w:t>
      </w:r>
      <w:r>
        <w:rPr>
          <w:rFonts w:ascii="宋体" w:hAnsi="宋体" w:eastAsia="宋体" w:cs="宋体"/>
          <w:color w:val="000000"/>
          <w:sz w:val="24"/>
        </w:rPr>
        <w:t xml:space="preserve">投标报价表中的货物名称、数量、单位必须与招标文件采购需求一致，报价不超过最高限价。</w:t>
      </w:r>
      <w:r/>
    </w:p>
    <w:p>
      <w:pPr>
        <w:numPr>
          <w:ilvl w:val="0"/>
          <w:numId w:val="10"/>
        </w:numP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商务要求：</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采购需求中必须满足的实质性要求，否则投标无效</w:t>
      </w:r>
      <w:r/>
    </w:p>
    <w:tbl>
      <w:tblPr>
        <w:tblStyle w:val="7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40"/>
      </w:tblGrid>
      <w:tr>
        <w:trPr>
          <w:trHeight w:val="33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40"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实质性要求响应表</w:t>
            </w:r>
            <w:r/>
          </w:p>
          <w:tbl>
            <w:tblPr>
              <w:tblStyle w:val="7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4595"/>
              <w:gridCol w:w="1638"/>
              <w:gridCol w:w="140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实质性采购要求内容</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投标人响应</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both"/>
                    <w:spacing w:before="210" w:after="21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《第四章 采购需求》中“二、技术要求”加注“★”符号的关键条款指标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£全部满足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£不满足</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both"/>
                    <w:spacing w:before="210" w:after="21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《第四章 采购需求》中“三、★商务要求”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£全部满足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£不满足</w:t>
                  </w:r>
                  <w:r/>
                </w:p>
              </w:tc>
            </w:tr>
          </w:tbl>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备注：1.技术要求加注“★”符号的关键条款指标，不允许负偏离，否则投标无效</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2.商务要求不接受任何一项的负偏离或者不满足，允许正偏离。</w:t>
            </w:r>
            <w:r/>
          </w:p>
          <w:p>
            <w:pPr>
              <w:ind w:left="0" w:right="0" w:firstLine="422"/>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3.具体响应内容以投标文件中的“技术/商务要求响应及偏离表”为准。</w:t>
            </w:r>
            <w:r/>
          </w:p>
        </w:tc>
      </w:tr>
    </w:tbl>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投标文件没有重大负偏离，所谓重大负偏离是指投标人所投标的</w:t>
      </w:r>
      <w:r>
        <w:rPr>
          <w:rFonts w:ascii="宋体" w:hAnsi="宋体" w:eastAsia="宋体" w:cs="宋体"/>
          <w:color w:val="000000"/>
          <w:sz w:val="24"/>
          <w:u w:val="single"/>
        </w:rPr>
        <w:t xml:space="preserve">范围、质量、数量、付款方式、质保期和交货期限</w:t>
      </w:r>
      <w:r>
        <w:rPr>
          <w:rFonts w:ascii="宋体" w:hAnsi="宋体" w:eastAsia="宋体" w:cs="宋体"/>
          <w:color w:val="000000"/>
          <w:sz w:val="24"/>
        </w:rPr>
        <w:t xml:space="preserve">等明显不能满足招标文件的要求。重大负偏离的认定须经评标委员会三分之二以上同意；</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 《第六章 投标文件构成》中“投标文件构成”没有缺漏；</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 投标函：应按招标文件要求填写，没有缺漏；</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 法人授权书：应按招标文件要求填写，没有缺漏；</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 投标分项报价表：表中的设备名称、数量、单位必须与招标文件采购需求一致，报价不超过最高限价。</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2.3.4 其他格式要求：应按招标文件要求填写，没有缺漏；</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 投标有效期符合招标文件要求；</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 本项目不接受联合体投标</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 本项目不接受备选投标方案</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 投标文件没有采购人不能接受的附加条件</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 投标文件没有法律、法规和招标文件规定的其他无效情形</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numPr>
          <w:ilvl w:val="0"/>
          <w:numId w:val="10"/>
        </w:numP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技术要求：</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投标文件中的《技术要求响应及偏离表》按照表格要求编制，点对点应答。</w:t>
      </w:r>
      <w:r/>
    </w:p>
    <w:p>
      <w:pPr>
        <w:ind w:left="0" w:right="0" w:firstLine="482"/>
        <w:spacing w:before="145"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w:t>
      </w:r>
      <w:r>
        <w:rPr>
          <w:rFonts w:ascii="宋体" w:hAnsi="宋体" w:eastAsia="宋体" w:cs="宋体"/>
          <w:b/>
          <w:color w:val="000000"/>
          <w:sz w:val="24"/>
          <w:u w:val="single"/>
        </w:rPr>
        <w:t xml:space="preserve">10%</w:t>
      </w:r>
      <w:r>
        <w:rPr>
          <w:rFonts w:ascii="宋体" w:hAnsi="宋体" w:eastAsia="宋体" w:cs="宋体"/>
          <w:color w:val="000000"/>
          <w:sz w:val="24"/>
        </w:rPr>
        <w:t xml:space="preserve">的扣除价格，用扣除后的价格参与评审。（2）供应商需按照采购文件的要求提供相应的《小微企业声明函》。</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w:t>
      </w:r>
      <w:r>
        <w:rPr>
          <w:rFonts w:ascii="宋体" w:hAnsi="宋体" w:eastAsia="宋体" w:cs="宋体"/>
          <w:color w:val="000000"/>
          <w:sz w:val="24"/>
          <w:u w:val="single"/>
        </w:rPr>
        <w:t xml:space="preserve">10%</w:t>
      </w:r>
      <w:r>
        <w:rPr>
          <w:rFonts w:ascii="宋体" w:hAnsi="宋体" w:eastAsia="宋体" w:cs="宋体"/>
          <w:color w:val="000000"/>
          <w:sz w:val="24"/>
        </w:rPr>
        <w:t xml:space="preserve">的价格扣除，用扣除后的价格参与评审。</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w:t>
      </w:r>
      <w:r>
        <w:rPr>
          <w:rFonts w:ascii="宋体" w:hAnsi="宋体" w:eastAsia="宋体" w:cs="宋体"/>
          <w:color w:val="000000"/>
          <w:sz w:val="24"/>
          <w:u w:val="single"/>
        </w:rPr>
        <w:t xml:space="preserve">10%</w:t>
      </w:r>
      <w:r>
        <w:rPr>
          <w:rFonts w:ascii="宋体" w:hAnsi="宋体" w:eastAsia="宋体" w:cs="宋体"/>
          <w:color w:val="000000"/>
          <w:sz w:val="24"/>
        </w:rPr>
        <w:t xml:space="preserve">的价格扣除，用扣除后的价格参与评审。</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eastAsia="宋体" w:cs="宋体"/>
          <w:color w:val="000000"/>
          <w:sz w:val="24"/>
          <w:u w:val="single"/>
        </w:rPr>
        <w:t xml:space="preserve">6%</w:t>
      </w:r>
      <w:r>
        <w:rPr>
          <w:rFonts w:ascii="宋体" w:hAnsi="宋体" w:eastAsia="宋体" w:cs="宋体"/>
          <w:color w:val="000000"/>
          <w:sz w:val="24"/>
        </w:rPr>
        <w:t xml:space="preserve">的价格扣除，用扣除后的价格参与评审。</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6.联合体各方均为小型、微型企业（残疾人福利单位、监狱企业）的，联合体享受</w:t>
      </w:r>
      <w:r>
        <w:rPr>
          <w:rFonts w:ascii="宋体" w:hAnsi="宋体" w:eastAsia="宋体" w:cs="宋体"/>
          <w:color w:val="000000"/>
          <w:sz w:val="24"/>
          <w:u w:val="single"/>
        </w:rPr>
        <w:t xml:space="preserve">10%</w:t>
      </w:r>
      <w:r>
        <w:rPr>
          <w:rFonts w:ascii="宋体" w:hAnsi="宋体" w:eastAsia="宋体" w:cs="宋体"/>
          <w:color w:val="000000"/>
          <w:sz w:val="24"/>
        </w:rPr>
        <w:t xml:space="preserve">价格扣除，用扣除后的价格参与评审。</w:t>
      </w:r>
      <w:r/>
    </w:p>
    <w:p>
      <w:pPr>
        <w:ind w:left="0" w:right="0" w:firstLine="482"/>
        <w:spacing w:before="29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采购本国产品的支持政策</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本项目政府采购活动中既有本国产品又有非本国产品参与竞争的，依法对本国产品给予价格评审优惠，对本国产品的报价给予20%的价格扣除，用扣除后的价格参与评审。</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供应商需按照招标文件的要求提供《关于符合本国产品标准的声明函》（以下简称《声明函》），如不提供将不享受本国产品价格评审优惠。</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2"/>
        <w:spacing w:before="145"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强化政府采购异常低价审查</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（一）评审过程中出现下列情形之一的，评审委员会应当启动异常低价投标（响应）审查程序：</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3.投标（响应）报价低于采购项目最高限价45%的，即投标（响应）报价&lt;采购项目最高限价×45%；</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4.评审委员会基于专业判断，认为供应商报价过低，有可能影响产品质量或者不能诚信履约的其他情形。</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01"/>
        <w:numPr>
          <w:ilvl w:val="0"/>
          <w:numId w:val="9"/>
        </w:numPr>
        <w:jc w:val="center"/>
        <w:spacing w:before="145" w:after="0" w:line="85" w:lineRule="atLeast"/>
        <w:pBdr>
          <w:top w:val="none" w:color="000000" w:sz="0" w:space="0"/>
          <w:left w:val="none" w:color="000000" w:sz="0" w:space="0"/>
          <w:bottom w:val="none" w:color="000000" w:sz="0" w:space="0"/>
          <w:right w:val="none" w:color="000000" w:sz="0" w:space="0"/>
        </w:pBdr>
      </w:pPr>
      <w:r>
        <w:br w:type="page" w:clear="all"/>
      </w:r>
      <w:r/>
    </w:p>
    <w:p>
      <w:pPr>
        <w:pStyle w:val="701"/>
        <w:numPr>
          <w:ilvl w:val="0"/>
          <w:numId w:val="9"/>
        </w:numPr>
        <w:jc w:val="center"/>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包</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评审方法</w:t>
      </w:r>
      <w:r/>
    </w:p>
    <w:tbl>
      <w:tblPr>
        <w:tblStyle w:val="7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69"/>
        <w:gridCol w:w="7479"/>
      </w:tblGrid>
      <w:tr>
        <w:trPr>
          <w:trHeight w:val="6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38"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评分标准</w:t>
            </w:r>
            <w:r/>
          </w:p>
        </w:tc>
      </w:tr>
      <w:tr>
        <w:trPr>
          <w:trHeight w:val="8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价格</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30</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8"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以满足招标文件要求的最低报价为基准价，得</w:t>
            </w:r>
            <w:r>
              <w:rPr>
                <w:rFonts w:ascii="Times New Roman" w:hAnsi="Times New Roman" w:eastAsia="Times New Roman" w:cs="Times New Roman"/>
                <w:color w:val="000000"/>
                <w:sz w:val="21"/>
              </w:rPr>
              <w:t xml:space="preserve">30</w:t>
            </w:r>
            <w:r>
              <w:rPr>
                <w:rFonts w:ascii="宋体" w:hAnsi="宋体" w:eastAsia="宋体" w:cs="宋体"/>
                <w:color w:val="000000"/>
                <w:sz w:val="21"/>
              </w:rPr>
              <w:t xml:space="preserve">分，其他报价得分</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（基准价</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报价）</w:t>
            </w:r>
            <w:r>
              <w:rPr>
                <w:rFonts w:ascii="Times New Roman" w:hAnsi="Times New Roman" w:eastAsia="Times New Roman" w:cs="Times New Roman"/>
                <w:color w:val="000000"/>
                <w:sz w:val="21"/>
              </w:rPr>
              <w:t xml:space="preserve">×</w:t>
            </w:r>
            <w:r>
              <w:rPr>
                <w:rFonts w:ascii="Times New Roman" w:hAnsi="Times New Roman" w:eastAsia="Times New Roman" w:cs="Times New Roman"/>
                <w:b/>
                <w:color w:val="000000"/>
                <w:sz w:val="21"/>
              </w:rPr>
              <w:t xml:space="preserve">30</w:t>
            </w:r>
            <w:r>
              <w:rPr>
                <w:rFonts w:ascii="Times New Roman" w:hAnsi="Times New Roman" w:eastAsia="Times New Roman" w:cs="Times New Roman"/>
                <w:color w:val="000000"/>
                <w:sz w:val="21"/>
              </w:rPr>
              <w:t xml:space="preserve">×100%</w:t>
            </w:r>
            <w:r>
              <w:rPr>
                <w:rFonts w:ascii="宋体" w:hAnsi="宋体" w:eastAsia="宋体" w:cs="宋体"/>
                <w:color w:val="000000"/>
                <w:sz w:val="21"/>
              </w:rPr>
              <w:t xml:space="preserve">（小数保留</w:t>
            </w: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位）</w:t>
            </w:r>
            <w:r/>
          </w:p>
        </w:tc>
      </w:tr>
      <w:tr>
        <w:trPr>
          <w:trHeight w:val="3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性能</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37</w:t>
            </w:r>
            <w:r>
              <w:rPr>
                <w:rFonts w:ascii="宋体" w:hAnsi="宋体" w:eastAsia="宋体" w:cs="宋体"/>
                <w:color w:val="000000"/>
                <w:sz w:val="21"/>
              </w:rPr>
              <w:t xml:space="preserve">分）</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8"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投标人所投产品技术参数完全满足招标文件的相关要求的得</w:t>
            </w:r>
            <w:r>
              <w:rPr>
                <w:rFonts w:ascii="Times New Roman" w:hAnsi="Times New Roman" w:eastAsia="Times New Roman" w:cs="Times New Roman"/>
                <w:color w:val="000000"/>
                <w:sz w:val="21"/>
              </w:rPr>
              <w:t xml:space="preserve">37</w:t>
            </w:r>
            <w:r>
              <w:rPr>
                <w:rFonts w:ascii="宋体" w:hAnsi="宋体" w:eastAsia="宋体" w:cs="宋体"/>
                <w:color w:val="000000"/>
                <w:sz w:val="21"/>
              </w:rPr>
              <w:t xml:space="preserve">分；</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★项参数为关键参数，负偏离则废标；</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加</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项为主要参数，每有一项负偏离扣</w:t>
            </w: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分；</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非加</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项为一般性参数，每有一项负偏离扣</w:t>
            </w:r>
            <w:r>
              <w:rPr>
                <w:rFonts w:ascii="Times New Roman" w:hAnsi="Times New Roman" w:eastAsia="Times New Roman" w:cs="Times New Roman"/>
                <w:color w:val="000000"/>
                <w:sz w:val="21"/>
              </w:rPr>
              <w:t xml:space="preserve">0.5</w:t>
            </w:r>
            <w:r>
              <w:rPr>
                <w:rFonts w:ascii="宋体" w:hAnsi="宋体" w:eastAsia="宋体" w:cs="宋体"/>
                <w:color w:val="000000"/>
                <w:sz w:val="21"/>
              </w:rPr>
              <w:t xml:space="preserve">分，扣完为止。</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注：带“★”的参数需求为实质性要求，若有任何一条未响应或不满足则导致投标无效。</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加</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项各投标人按参数要求提供材料。如未做具体要求的，各投标人需提供相关证明材料（如白皮书或彩页或手册或检测报告等其他相关证明材料）并对照参数要求列出并对比。</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非加</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项各投标人按参数要求提供材料，如未做具体要求的，各投标人需提供相关证明材料（如符合参数的承诺或白皮书或彩页或手册或检测报告等其他相关证明材料）</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若发现提供虚假的证明材料或虚假应答技术偏离表的，视为无效投标，并追究相关责任。</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产品综合评价</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人应提供产品设计、制造工艺及材质方案，方案应至少包含①产品设计；②产品制造工艺；③产品材质等方面；④产品易用性等方面，投标人可提供产品彩页、产品技术宣传白皮书、产品检测报告等任意一种相关证明材料辅以相关文字介绍。评委会根据投标人提供的方案内容进行综合评审：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（1）方案所述内容完整详实，清晰描述相关内容的得4分，方案基本完整，对相关内容均有表述的得2分，完整性有缺陷或未提供不得分；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（2）经评审，方案具备较强合理性的得3分，方案具备一定合理性的得1分，方案合理性有缺陷或未提供不得分；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（3）经评审，方案具备较强针对性且切实可行的得3分，方案具备一定针对性及可行性的得1分，方案针对性或可行性有缺陷或未提供不得分。</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设备到货、安装、调试方案</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等方面。评委会根据投标人提供的方案内容进行综合评审：</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（1）方案所述内容完整详实，清晰描述相关内容的得2分，方案基本完整，对相关内容均有表述的得1分，完整性有缺陷或未提供不得分；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（2）经评审，方案具备较强合理性的得2分，方案具备一定合理性的得1分，方案合理性有缺陷或未提供不得分；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（3）经评审，方案具备较强针对性且切实可行的得2分，方案具备一定针对性及可行性的得1分，方案针对性或可行性有缺陷或未提供不得分。</w:t>
            </w:r>
            <w:r/>
          </w:p>
        </w:tc>
      </w:tr>
      <w:tr>
        <w:trPr>
          <w:trHeight w:val="17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培训方案</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投标人应提供培训方案，方案应至少包含①人员操作培训；②维修保养培训；③进阶培训、学习方案。评委会根据投标人提供的方案内容进行综合评审：</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（1）方案所述内容完整详实，清晰描述相关内容的得2分，方案基本完整，对相关内容均有表述的得1分，完整性有缺陷或未提供不得分；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（2）经评审，方案具备较强合理性的得2分，方案具备一定合理性的得1分，方案合理性有缺陷或未提供不得分；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（3）经评审，方案具备较强针对性且切实可行的得1分，方案具备一定针对性及可行性的得0.5分，方案针对性或可行性有缺陷或未提供不得分。</w:t>
            </w:r>
            <w:r/>
          </w:p>
        </w:tc>
      </w:tr>
      <w:tr>
        <w:trPr>
          <w:trHeight w:val="17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售后服务实施方案</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人应提供售后服务方案，方案应至少包含①质保期内售后服务（质保延长、响应时间，回访巡检方案、故障解决措施、技术人员保障等）；②服务能力（服务网点、维修网点设置情况以及技术人员安排情况）；③出保后售后服务（响应时间，故障解决措施、技术人员保障、维护保养要点、备品配件价格、出保后每年维保费等）。评委会根据投标人提供的方案内容进行综合评审：</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（1）方案所述内容完整详实，清晰描述相关内容的得2分，方案基本完整，对相关内容均有表述的得1分，完整性有缺陷或未提供不得分；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（2）经评审，方案具备较强合理性的得2分，方案具备一定合理性的得1分，方案合理性有缺陷或未提供不得分；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（3）经评审，方案具备较强针对性且切实可行的得2分，方案具备一定针对性及可行性的得1分，方案针对性或可行性有缺陷或未提供不得分。</w:t>
            </w:r>
            <w:r/>
          </w:p>
        </w:tc>
      </w:tr>
      <w:tr>
        <w:trPr>
          <w:trHeight w:val="172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5"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合理性”是指内容符合项目特点，同时不存在逻辑漏洞、常识错误、前后矛盾等情形；“针对性”是指针对本项目采购需求结合实际情况所提出的具体措施及方案，且具备可行性；“缺陷”是指涉及的规范及标准错误、地点区域错误、内容缺项、表述不完整等情形。</w:t>
            </w:r>
            <w:r/>
          </w:p>
        </w:tc>
      </w:tr>
      <w:tr>
        <w:trPr>
          <w:trHeight w:val="10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业绩</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6</w:t>
            </w:r>
            <w:r>
              <w:rPr>
                <w:rFonts w:ascii="宋体" w:hAnsi="宋体" w:eastAsia="宋体" w:cs="宋体"/>
                <w:color w:val="000000"/>
                <w:sz w:val="21"/>
              </w:rPr>
              <w:t xml:space="preserve">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38"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自</w:t>
            </w:r>
            <w:r>
              <w:rPr>
                <w:rFonts w:ascii="Times New Roman" w:hAnsi="Times New Roman" w:eastAsia="Times New Roman" w:cs="Times New Roman"/>
                <w:color w:val="000000"/>
                <w:sz w:val="21"/>
              </w:rPr>
              <w:t xml:space="preserve">2023</w:t>
            </w:r>
            <w:r>
              <w:rPr>
                <w:rFonts w:ascii="宋体" w:hAnsi="宋体" w:eastAsia="宋体" w:cs="宋体"/>
                <w:color w:val="000000"/>
                <w:sz w:val="21"/>
              </w:rPr>
              <w:t xml:space="preserve">年</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月</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日（以合同签订时间为准）以来，与所投产品同品牌的类似项目业绩，每提供一份有效业绩证明材料得</w:t>
            </w: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分，满分</w:t>
            </w:r>
            <w:r>
              <w:rPr>
                <w:rFonts w:ascii="Times New Roman" w:hAnsi="Times New Roman" w:eastAsia="Times New Roman" w:cs="Times New Roman"/>
                <w:color w:val="000000"/>
                <w:sz w:val="21"/>
              </w:rPr>
              <w:t xml:space="preserve">6</w:t>
            </w:r>
            <w:r>
              <w:rPr>
                <w:rFonts w:ascii="宋体" w:hAnsi="宋体" w:eastAsia="宋体" w:cs="宋体"/>
                <w:color w:val="000000"/>
                <w:sz w:val="21"/>
              </w:rPr>
              <w:t xml:space="preserve">分（同一采购人不重复计分）</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包2评审方法</w:t>
      </w:r>
      <w:r/>
    </w:p>
    <w:tbl>
      <w:tblPr>
        <w:tblStyle w:val="7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0"/>
        <w:gridCol w:w="7808"/>
      </w:tblGrid>
      <w:tr>
        <w:trPr>
          <w:trHeight w:val="3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评审项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7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评审标准</w:t>
            </w:r>
            <w:r/>
          </w:p>
        </w:tc>
      </w:tr>
      <w:tr>
        <w:trPr>
          <w:trHeight w:val="9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投标报价（30分）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4"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采用低价优先法计算，即满足招标文件要求且投标价格最低的投标报价为评标基准价，其价格分为满分。</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其他投标人的价格分统一按照下列公式计算：</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投标报价得分=(评标基准价／投标报价)×30×100%，结果保留两位有效小数。</w:t>
            </w:r>
            <w:r/>
          </w:p>
        </w:tc>
      </w:tr>
      <w:tr>
        <w:trPr>
          <w:trHeight w:val="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技术参数响应</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（39分）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4"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1.根据《技术规格偏离表》，所投设备技术指标完全满足招标文件货物需求中所投包的技术要求的得基础分39分。</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2.★项参数为关键参数，负偏离则废标。</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3.▲项参数为重要参数，按照要求提供证明材料，每负偏离一项、未提供或未按要求提供佐证材料的扣</w:t>
            </w:r>
            <w:r>
              <w:rPr>
                <w:rFonts w:hint="eastAsia" w:ascii="宋体" w:hAnsi="宋体" w:cs="宋体"/>
                <w:color w:val="000000"/>
                <w:sz w:val="21"/>
                <w:lang w:val="en-US" w:eastAsia="zh-CN"/>
              </w:rPr>
              <w:t xml:space="preserve">3</w:t>
            </w:r>
            <w:r>
              <w:rPr>
                <w:rFonts w:ascii="宋体" w:hAnsi="宋体" w:eastAsia="宋体" w:cs="宋体"/>
                <w:color w:val="000000"/>
                <w:sz w:val="21"/>
              </w:rPr>
              <w:t xml:space="preserve">分；</w:t>
            </w:r>
            <w:r/>
          </w:p>
          <w:p>
            <w:pPr>
              <w:ind w:left="0" w:right="0" w:firstLine="0"/>
              <w:jc w:val="both"/>
              <w:spacing w:before="0" w:after="0" w:line="240" w:lineRule="auto"/>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3、技术参数中，未标注“★”“▲”的为一般参数，每负偏离一项扣0.5分</w:t>
            </w:r>
            <w:r>
              <w:rPr>
                <w:rFonts w:hint="eastAsia" w:ascii="宋体" w:hAnsi="宋体" w:cs="宋体"/>
                <w:color w:val="000000"/>
                <w:sz w:val="21"/>
                <w:lang w:eastAsia="zh-CN"/>
              </w:rPr>
              <w:t xml:space="preserve">；</w:t>
            </w:r>
            <w:r>
              <w:rPr>
                <w:rFonts w:hint="eastAsia" w:ascii="宋体" w:hAnsi="宋体" w:cs="宋体"/>
                <w:color w:val="000000"/>
                <w:sz w:val="21"/>
                <w:lang w:val="en-US" w:eastAsia="zh-CN"/>
              </w:rPr>
              <w:t xml:space="preserve">扣完为止</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备注：技术指标的响应程度需提供有效证明材料（供应商须提供功能截图或证明材料并加盖公章），评标委员会仅根据投标人提供的技术证明文件对技术进行评判，而不以投标人自身应答及响应作为评标依据，投标人的技术参数仅做出响应而未提供证明文件的视为无效应答。（投标人完全复制招标文件货物需求中的部分相关内容作为其证明材料的，按未提供证明材料处理。）</w:t>
            </w:r>
            <w:r/>
          </w:p>
        </w:tc>
      </w:tr>
      <w:tr>
        <w:trPr>
          <w:trHeight w:val="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产品综合评价</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4"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人应提供产品设计、制造工艺及材质方案，方案应至少包含①产品设计；②产品制造工艺；③产品材质等方面；④产品易用性等方面，投标人可提供产品彩页、产品技术宣传白皮书、产品检测报告等任意一种相关证明材料辅以相关文字介绍。评委会根据投标人提供的方案内容进行综合评审：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（1）方案所述内容完整详实，清晰描述相关内容的得4分，方案基本完整，对相关内容均有表述的得2分，完整性有缺陷或未提供不得分；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（2）经评审，方案具备较强合理性的得3分，方案具备一定合理性的得1分，方案合理性有缺陷或未提供不得分；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（3）经评审，方案具备较强针对性且切实可行的得3分，方案具备一定针对性及可行性的得1分，方案针对性或可行性有缺陷或未提供不得分。</w:t>
            </w:r>
            <w:r/>
          </w:p>
        </w:tc>
      </w:tr>
      <w:tr>
        <w:trPr>
          <w:trHeight w:val="14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设备到货、安装、调试方案</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hint="eastAsia" w:ascii="宋体" w:hAnsi="宋体" w:cs="宋体"/>
                <w:color w:val="000000"/>
                <w:sz w:val="21"/>
                <w:lang w:val="en-US" w:eastAsia="zh-CN"/>
              </w:rPr>
              <w:t xml:space="preserve">6</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4"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等方面。评委会根据投标人提供的方案内容进行综合评审：</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（1）方案所述内容完整详实，清晰描述相关内容的得2分，方案基本完整，对相关内容均有表述的得1分，完整性有缺陷或未提供不得分；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（2）经评审，方案具备较强合理性的得2分，方案具备一定合理性的得1分，方案合理性有缺陷或未提供不得分；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（3）经评审，方案具备较强针对性且切实可行的得</w:t>
            </w:r>
            <w:r>
              <w:rPr>
                <w:rFonts w:hint="eastAsia" w:ascii="宋体" w:hAnsi="宋体" w:cs="宋体"/>
                <w:color w:val="000000"/>
                <w:sz w:val="21"/>
                <w:lang w:val="en-US" w:eastAsia="zh-CN"/>
              </w:rPr>
              <w:t xml:space="preserve">2</w:t>
            </w:r>
            <w:r>
              <w:rPr>
                <w:rFonts w:ascii="宋体" w:hAnsi="宋体" w:eastAsia="宋体" w:cs="宋体"/>
                <w:color w:val="000000"/>
                <w:sz w:val="21"/>
              </w:rPr>
              <w:t xml:space="preserve">分，方案具备一定针对性及可行性的得</w:t>
            </w:r>
            <w:r>
              <w:rPr>
                <w:rFonts w:hint="eastAsia" w:ascii="宋体" w:hAnsi="宋体" w:cs="宋体"/>
                <w:color w:val="000000"/>
                <w:sz w:val="21"/>
                <w:lang w:val="en-US" w:eastAsia="zh-CN"/>
              </w:rPr>
              <w:t xml:space="preserve">1</w:t>
            </w:r>
            <w:r>
              <w:rPr>
                <w:rFonts w:ascii="宋体" w:hAnsi="宋体" w:eastAsia="宋体" w:cs="宋体"/>
                <w:color w:val="000000"/>
                <w:sz w:val="21"/>
              </w:rPr>
              <w:t xml:space="preserve">分，方案针对性或可行性有缺陷或未提供不得分。</w:t>
            </w:r>
            <w:r/>
          </w:p>
        </w:tc>
      </w:tr>
      <w:tr>
        <w:trPr>
          <w:trHeight w:val="14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培训方案</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hint="eastAsia" w:ascii="宋体" w:hAnsi="宋体" w:cs="宋体"/>
                <w:color w:val="000000"/>
                <w:sz w:val="21"/>
                <w:lang w:val="en-US" w:eastAsia="zh-CN"/>
              </w:rPr>
              <w:t xml:space="preserve">6</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4"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投标人应提供培训方案，方案应至少包含①人员操作培训；②维修保养培训；③进阶培训、学习方案。评委会根据投标人提供的方案内容进行综合评审：</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（1）方案所述内容完整详实，清晰描述相关内容的得2分，方案基本完整，对相关内容均有表述的得1分，完整性有缺陷或未提供不得分；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（2）经评审，方案具备较强合理性的得2分，方案具备一定合理性的得1分，方案合理性有缺陷或未提供不得分；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（3）经评审，方案具备较强针对性且切实可行的得</w:t>
            </w:r>
            <w:r>
              <w:rPr>
                <w:rFonts w:hint="eastAsia" w:ascii="宋体" w:hAnsi="宋体" w:cs="宋体"/>
                <w:color w:val="000000"/>
                <w:sz w:val="21"/>
                <w:lang w:val="en-US" w:eastAsia="zh-CN"/>
              </w:rPr>
              <w:t xml:space="preserve">2</w:t>
            </w:r>
            <w:r>
              <w:rPr>
                <w:rFonts w:ascii="宋体" w:hAnsi="宋体" w:eastAsia="宋体" w:cs="宋体"/>
                <w:color w:val="000000"/>
                <w:sz w:val="21"/>
              </w:rPr>
              <w:t xml:space="preserve">分，方案具备一定针对性及可行性的得</w:t>
            </w:r>
            <w:r>
              <w:rPr>
                <w:rFonts w:hint="eastAsia" w:ascii="宋体" w:hAnsi="宋体" w:cs="宋体"/>
                <w:color w:val="000000"/>
                <w:sz w:val="21"/>
                <w:lang w:val="en-US" w:eastAsia="zh-CN"/>
              </w:rPr>
              <w:t xml:space="preserve">1</w:t>
            </w:r>
            <w:r>
              <w:rPr>
                <w:rFonts w:ascii="宋体" w:hAnsi="宋体" w:eastAsia="宋体" w:cs="宋体"/>
                <w:color w:val="000000"/>
                <w:sz w:val="21"/>
              </w:rPr>
              <w:t xml:space="preserve">分，方案针对性或可行性有缺陷或未提供不得分。</w:t>
            </w:r>
            <w:r/>
          </w:p>
        </w:tc>
      </w:tr>
      <w:tr>
        <w:trPr>
          <w:trHeight w:val="8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售后服务实施方案</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hint="eastAsia" w:ascii="宋体" w:hAnsi="宋体" w:cs="宋体"/>
                <w:color w:val="000000"/>
                <w:sz w:val="21"/>
                <w:lang w:val="en-US" w:eastAsia="zh-CN"/>
              </w:rPr>
              <w:t xml:space="preserve">6</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4"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人应提供售后服务方案，方案应至少包含①质保期内售后服务（质保延长、响应时间，回访巡检方案、故障解决措施、技术人员保障等）；②服务能力（服务网点、维修网点设置情况以及技术人员安排情况）；③出保后售后服务（响应时间，故障解决措施、技术人员保障、维护保养要点、备品配件价格、出保后每年维保费等）。评委会根据投标人提供的方案内容进行综合评审：</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（1）方案所述内容完整详实，清晰描述相关内容的得2分，方案基本完整，对相关内容均有表述的得1分，完整性有缺陷或未提供不得分；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（2）经评审，方案具备较强合理性的得2分，方案具备一定合理性的得1分，方案合理性有缺陷或未提供不得分；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（3）经评审，方案具备较强针对性且切实可行的得</w:t>
            </w:r>
            <w:r>
              <w:rPr>
                <w:rFonts w:hint="eastAsia" w:ascii="宋体" w:hAnsi="宋体" w:cs="宋体"/>
                <w:color w:val="000000"/>
                <w:sz w:val="21"/>
                <w:lang w:val="en-US" w:eastAsia="zh-CN"/>
              </w:rPr>
              <w:t xml:space="preserve">2</w:t>
            </w:r>
            <w:r>
              <w:rPr>
                <w:rFonts w:ascii="宋体" w:hAnsi="宋体" w:eastAsia="宋体" w:cs="宋体"/>
                <w:color w:val="000000"/>
                <w:sz w:val="21"/>
              </w:rPr>
              <w:t xml:space="preserve">分，方案具备一定针对性及可行性的得</w:t>
            </w:r>
            <w:r>
              <w:rPr>
                <w:rFonts w:hint="eastAsia" w:ascii="宋体" w:hAnsi="宋体" w:cs="宋体"/>
                <w:color w:val="000000"/>
                <w:sz w:val="21"/>
                <w:lang w:val="en-US" w:eastAsia="zh-CN"/>
              </w:rPr>
              <w:t xml:space="preserve">1</w:t>
            </w:r>
            <w:r>
              <w:rPr>
                <w:rFonts w:ascii="宋体" w:hAnsi="宋体" w:eastAsia="宋体" w:cs="宋体"/>
                <w:color w:val="000000"/>
                <w:sz w:val="21"/>
              </w:rPr>
              <w:t xml:space="preserve">分，方案针对性或可行性有缺陷或未提供不得分。</w:t>
            </w:r>
            <w:r/>
          </w:p>
        </w:tc>
      </w:tr>
      <w:tr>
        <w:trPr>
          <w:trHeight w:val="84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2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合理性”是指内容符合项目特点，同时不存在逻辑漏洞、常识错误、前后矛盾等情形；“针对性”是指针对本项目采购需求结合实际情况所提出的具体措施及方案，且具备可行性；“缺陷”是指涉及的规范及标准错误、地点区域错误、内容缺项、表述不完整等情形。</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业绩</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hint="eastAsia" w:cs="Times New Roman"/>
                <w:color w:val="000000"/>
                <w:sz w:val="21"/>
                <w:lang w:val="en-US" w:eastAsia="zh-CN"/>
              </w:rPr>
              <w:t xml:space="preserve">3</w:t>
            </w:r>
            <w:r>
              <w:rPr>
                <w:rFonts w:ascii="宋体" w:hAnsi="宋体" w:eastAsia="宋体" w:cs="宋体"/>
                <w:color w:val="000000"/>
                <w:sz w:val="21"/>
              </w:rPr>
              <w:t xml:space="preserve">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74"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自</w:t>
            </w:r>
            <w:r>
              <w:rPr>
                <w:rFonts w:ascii="Times New Roman" w:hAnsi="Times New Roman" w:eastAsia="Times New Roman" w:cs="Times New Roman"/>
                <w:color w:val="000000"/>
                <w:sz w:val="21"/>
              </w:rPr>
              <w:t xml:space="preserve">2023</w:t>
            </w:r>
            <w:r>
              <w:rPr>
                <w:rFonts w:ascii="宋体" w:hAnsi="宋体" w:eastAsia="宋体" w:cs="宋体"/>
                <w:color w:val="000000"/>
                <w:sz w:val="21"/>
              </w:rPr>
              <w:t xml:space="preserve">年</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月</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日（以合同签订时间为准）以来，与所投产品同品牌的类似项目业绩，每提供一份有效业绩证明材料得</w:t>
            </w:r>
            <w:r>
              <w:rPr>
                <w:rFonts w:hint="eastAsia" w:cs="Times New Roman"/>
                <w:color w:val="000000"/>
                <w:sz w:val="21"/>
                <w:lang w:val="en-US" w:eastAsia="zh-CN"/>
              </w:rPr>
              <w:t xml:space="preserve">1</w:t>
            </w:r>
            <w:r>
              <w:rPr>
                <w:rFonts w:ascii="宋体" w:hAnsi="宋体" w:eastAsia="宋体" w:cs="宋体"/>
                <w:color w:val="000000"/>
                <w:sz w:val="21"/>
              </w:rPr>
              <w:t xml:space="preserve">分，满分</w:t>
            </w:r>
            <w:r>
              <w:rPr>
                <w:rFonts w:hint="eastAsia" w:cs="Times New Roman"/>
                <w:color w:val="000000"/>
                <w:sz w:val="21"/>
                <w:lang w:val="en-US" w:eastAsia="zh-CN"/>
              </w:rPr>
              <w:t xml:space="preserve">3</w:t>
            </w:r>
            <w:r>
              <w:rPr>
                <w:rFonts w:ascii="宋体" w:hAnsi="宋体" w:eastAsia="宋体" w:cs="宋体"/>
                <w:color w:val="000000"/>
                <w:sz w:val="21"/>
              </w:rPr>
              <w:t xml:space="preserve">分（同一采购人不重复计分）</w:t>
            </w:r>
            <w:r/>
          </w:p>
        </w:tc>
      </w:tr>
    </w:tbl>
    <w:p>
      <w:pPr>
        <w:ind w:left="0" w:right="0" w:firstLine="0"/>
        <w:spacing w:before="240" w:after="240"/>
        <w:pBdr>
          <w:top w:val="none" w:color="000000" w:sz="0" w:space="0"/>
          <w:left w:val="none" w:color="000000" w:sz="0" w:space="0"/>
          <w:bottom w:val="none" w:color="000000" w:sz="0" w:space="0"/>
          <w:right w:val="none" w:color="000000" w:sz="0" w:space="0"/>
        </w:pBdr>
      </w:pPr>
      <w:r>
        <w:br w:type="page" w:clear="all"/>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包3评审方法</w:t>
      </w:r>
      <w:r/>
    </w:p>
    <w:tbl>
      <w:tblPr>
        <w:tblStyle w:val="7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66"/>
        <w:gridCol w:w="4366"/>
      </w:tblGrid>
      <w:tr>
        <w:trPr>
          <w:trHeight w:val="3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评审项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评审标准</w:t>
            </w:r>
            <w:r/>
          </w:p>
        </w:tc>
      </w:tr>
      <w:tr>
        <w:trPr>
          <w:trHeight w:val="9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投标报价（30分）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采用低价优先法计算，即满足招标文件要求且投标价格最低的投标报价为评标基准价，其价格分为满分。</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其他投标人的价格分统一按照下列公式计算：</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投标报价得分=(评标基准价／投标报价)×30×100%，结果保留两位有效小数。</w:t>
            </w:r>
            <w:r/>
          </w:p>
        </w:tc>
      </w:tr>
      <w:tr>
        <w:trPr>
          <w:trHeight w:val="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技术参数响应</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1.根据《技术规格偏离表》，所投设备技术指标完全满足招标文件货物需求中所投包的技术要求的得基础分40分。</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2.★项参数为关键参数，负偏离则废标。</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3.▲项参数为重要参数，按照要求提供证明材料，每负偏离一项、未提供或未按要求提供佐证材料的扣2分；</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3、技术参数中，未标注“★”“▲”的为一般参数，每负偏离一项扣0.5分</w:t>
            </w:r>
            <w:r>
              <w:rPr>
                <w:rFonts w:hint="eastAsia" w:ascii="宋体" w:hAnsi="宋体" w:cs="宋体"/>
                <w:color w:val="000000"/>
                <w:sz w:val="21"/>
                <w:lang w:eastAsia="zh-CN"/>
              </w:rPr>
              <w:t xml:space="preserve">；</w:t>
            </w:r>
            <w:r>
              <w:rPr>
                <w:rFonts w:hint="eastAsia" w:ascii="宋体" w:hAnsi="宋体" w:cs="宋体"/>
                <w:color w:val="000000"/>
                <w:sz w:val="21"/>
                <w:lang w:val="en-US" w:eastAsia="zh-CN"/>
              </w:rPr>
              <w:t xml:space="preserve">扣完为止</w:t>
            </w:r>
            <w:r>
              <w:rPr>
                <w:rFonts w:ascii="宋体" w:hAnsi="宋体" w:eastAsia="宋体" w:cs="宋体"/>
                <w:color w:val="000000"/>
                <w:sz w:val="21"/>
              </w:rPr>
              <w:t xml:space="preserve">。</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备注：技术指标的响应程度需提供有效证明材料（供应商须提供功能截图或证明材料并加盖公章），评标委员会仅根据投标人提供的技术证明文件对技术进行评判，而不以投标人自身应答及响应作为评标依据，投标人的技术参数仅做出响应而未提供证明文件的视为无效应答。（投标人完全复制招标文件货物需求中的部分相关内容作为其证明材料的，按未提供证明材料处理。）</w:t>
            </w:r>
            <w:r/>
          </w:p>
        </w:tc>
      </w:tr>
      <w:tr>
        <w:trPr>
          <w:trHeight w:val="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产品综合评价</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人应提供产品设计、制造工艺及材质方案，方案应至少包含①产品设计；②产品制造工艺；③产品材质等方面；④产品易用性等方面，投标人可提供产品彩页、产品技术宣传白皮书、产品检测报告等任意一种相关证明材料辅以相关文字介绍。评委会根据投标人提供的方案内容进行综合评审：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（1）方案所述内容完整详实，清晰描述相关内容的得4分，方案基本完整，对相关内容均有表述的得2分，完整性有缺陷或未提供不得分；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（2）经评审，方案具备较强合理性的得4分，方案具备一定合理性的得2分，方案合理性有缺陷或未提供不得分；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（3）经评审，方案具备较强针对性且切实可行的得2分，方案具备一定针对性及可行性的得1分，方案针对性或可行性有缺陷或未提供不得分。</w:t>
            </w:r>
            <w:r/>
          </w:p>
        </w:tc>
      </w:tr>
      <w:tr>
        <w:trPr>
          <w:trHeight w:val="14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设备到货、安装、调试方案</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等方面。评委会根据投标人提供的方案内容进行综合评审：</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（1）方案所述内容完整详实，清晰描述相关内容的得2分，方案基本完整，对相关内容均有表述的得1分，完整性有缺陷或未提供不得分；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（2）经评审，方案具备较强合理性的得2分，方案具备一定合理性的得1分，方案合理性有缺陷或未提供不得分；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（3）经评审，方案具备较强针对性且切实可行的得2分，方案具备一定针对性及可行性的得1分，方案针对性或可行性有缺陷或未提供不得分。</w:t>
            </w:r>
            <w:r/>
          </w:p>
        </w:tc>
      </w:tr>
      <w:tr>
        <w:trPr>
          <w:trHeight w:val="14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培训方案</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投标人应提供培训方案，方案应至少包含①人员操作培训；②维修保养培训；③进阶培训、学习方案。评委会根据投标人提供的方案内容进行综合评审：</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（1）方案所述内容完整详实，清晰描述相关内容的得2分，方案基本完整，对相关内容均有表述的得1分，完整性有缺陷或未提供不得分；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（2）经评审，方案具备较强合理性的得2分，方案具备一定合理性的得1分，方案合理性有缺陷或未提供不得分；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（3）经评审，方案具备较强针对性且切实可行的得2分，方案具备一定针对性及可行性的1分，方案针对性或可行性有缺陷或未提供不得分。</w:t>
            </w:r>
            <w:r/>
          </w:p>
        </w:tc>
      </w:tr>
      <w:tr>
        <w:trPr>
          <w:trHeight w:val="8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售后服务实施方案</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人应提供售后服务方案，方案应至少包含①质保期内售后服务（质保延长、响应时间，回访巡检方案、故障解决措施、技术人员保障等）；②服务能力（服务网点、维修网点设置情况以及技术人员安排情况）；③出保后售后服务（响应时间，故障解决措施、技术人员保障、维护保养要点、备品配件价格、出保后每年维保费等）。评委会根据投标人提供的方案内容进行综合评审：</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（1）方案所述内容完整详实，清晰描述相关内容的得2分，方案基本完整，对相关内容均有表述的得1分，完整性有缺陷或未提供不得分；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（2）经评审，方案具备较强合理性的得2分，方案具备一定合理性的得1分，方案合理性有缺陷或未提供不得分；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（3）经评审，方案具备较强针对性且切实可行的得2分，方案具备一定针对性及可行性的得1分，方案针对性或可行性有缺陷或未提供不得分。</w:t>
            </w:r>
            <w:r/>
          </w:p>
        </w:tc>
      </w:tr>
      <w:tr>
        <w:trPr>
          <w:trHeight w:val="84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合理性”是指内容符合项目特点，同时不存在逻辑漏洞、常识错误、前后矛盾等情形；“针对性”是指针对本项目采购需求结合实际情况所提出的具体措施及方案，且具备可行性；“缺陷”是指涉及的规范及标准错误、地点区域错误、内容缺项、表述不完整等情形。</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使用年限</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所投设备使用年限：0&lt;使用年限≤10年的，不得分；10&lt;使用年限≤20年的，得1分；使用年限≥30年，得2分。（提供设备铭牌照片或使用说明书证明）</w:t>
            </w:r>
            <w:r/>
          </w:p>
        </w:tc>
      </w:tr>
    </w:tbl>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第六章投标文件格式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u w:val="none"/>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包号及设备名称：</w:t>
      </w:r>
      <w:r>
        <w:rPr>
          <w:rFonts w:ascii="宋体" w:hAnsi="宋体" w:eastAsia="宋体" w:cs="宋体"/>
          <w:b/>
          <w:color w:val="000000"/>
          <w:sz w:val="36"/>
          <w:u w:val="single"/>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 ：</w:t>
      </w:r>
      <w:r>
        <w:rPr>
          <w:rFonts w:ascii="宋体" w:hAnsi="宋体" w:eastAsia="宋体" w:cs="宋体"/>
          <w:b/>
          <w:color w:val="000000"/>
          <w:sz w:val="36"/>
          <w:u w:val="single"/>
        </w:rPr>
        <w:t xml:space="preserve">（加盖CA电子公章）</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 ：</w:t>
      </w:r>
      <w:r>
        <w:rPr>
          <w:rFonts w:ascii="宋体" w:hAnsi="宋体" w:eastAsia="宋体" w:cs="宋体"/>
          <w:b/>
          <w:color w:val="000000"/>
          <w:sz w:val="36"/>
          <w:u w:val="single"/>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投标文件目录</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numPr>
          <w:ilvl w:val="0"/>
          <w:numId w:val="11"/>
        </w:numPr>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投标函</w:t>
      </w:r>
      <w:r/>
    </w:p>
    <w:p>
      <w:pPr>
        <w:numPr>
          <w:ilvl w:val="0"/>
          <w:numId w:val="11"/>
        </w:numPr>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开标一览表</w:t>
      </w:r>
      <w:r/>
    </w:p>
    <w:p>
      <w:pPr>
        <w:numPr>
          <w:ilvl w:val="0"/>
          <w:numId w:val="11"/>
        </w:numPr>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投标分项报价表</w:t>
      </w:r>
      <w:r/>
    </w:p>
    <w:p>
      <w:pPr>
        <w:numPr>
          <w:ilvl w:val="0"/>
          <w:numId w:val="11"/>
        </w:numPr>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技术要求响应及偏离表</w:t>
      </w:r>
      <w:r/>
    </w:p>
    <w:p>
      <w:pPr>
        <w:numPr>
          <w:ilvl w:val="0"/>
          <w:numId w:val="11"/>
        </w:numPr>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商务要求响应及偏离表</w:t>
      </w:r>
      <w:r/>
    </w:p>
    <w:p>
      <w:pPr>
        <w:numPr>
          <w:ilvl w:val="0"/>
          <w:numId w:val="11"/>
        </w:numPr>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资格要求的证明文件</w:t>
      </w:r>
      <w:r/>
    </w:p>
    <w:p>
      <w:pPr>
        <w:numPr>
          <w:ilvl w:val="0"/>
          <w:numId w:val="11"/>
        </w:numPr>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法人授权书</w:t>
      </w:r>
      <w:r/>
    </w:p>
    <w:p>
      <w:pPr>
        <w:numPr>
          <w:ilvl w:val="0"/>
          <w:numId w:val="11"/>
        </w:numPr>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业绩情况表（如有）</w:t>
      </w:r>
      <w:r/>
    </w:p>
    <w:p>
      <w:pPr>
        <w:numPr>
          <w:ilvl w:val="0"/>
          <w:numId w:val="11"/>
        </w:numPr>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服务方案（如有）</w:t>
      </w:r>
      <w:r/>
    </w:p>
    <w:p>
      <w:pPr>
        <w:numPr>
          <w:ilvl w:val="0"/>
          <w:numId w:val="11"/>
        </w:numPr>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价格扣除证明文件（如有）</w:t>
      </w:r>
      <w:r/>
    </w:p>
    <w:p>
      <w:pPr>
        <w:numPr>
          <w:ilvl w:val="0"/>
          <w:numId w:val="11"/>
        </w:numPr>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投标人认为需要提供的其他资料（如有）</w:t>
      </w:r>
      <w:r/>
    </w:p>
    <w:p>
      <w:pPr>
        <w:numPr>
          <w:ilvl w:val="0"/>
          <w:numId w:val="11"/>
        </w:numPr>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联合体协议（本项目不适用）</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701"/>
        <w:numPr>
          <w:ilvl w:val="0"/>
          <w:numId w:val="12"/>
        </w:numPr>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701"/>
        <w:numPr>
          <w:ilvl w:val="0"/>
          <w:numId w:val="12"/>
        </w:numPr>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投标函</w:t>
      </w:r>
      <w:r/>
    </w:p>
    <w:p>
      <w:pPr>
        <w:ind w:left="0" w:right="0" w:firstLine="0"/>
        <w:spacing w:before="145"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致：江苏苏豪创新科技集团高科有限公司</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根据贵方的JSZC-***</w:t>
      </w:r>
      <w:r>
        <w:rPr>
          <w:rFonts w:ascii="宋体" w:hAnsi="宋体" w:eastAsia="宋体" w:cs="宋体"/>
          <w:b/>
          <w:color w:val="000000"/>
          <w:sz w:val="36"/>
          <w:u w:val="single"/>
        </w:rPr>
        <w:t xml:space="preserve">     </w:t>
      </w:r>
      <w:r>
        <w:rPr>
          <w:rFonts w:ascii="宋体" w:hAnsi="宋体" w:eastAsia="宋体" w:cs="宋体"/>
          <w:color w:val="000000"/>
          <w:sz w:val="24"/>
        </w:rPr>
        <w:t xml:space="preserve">号（分包号：）招标文件，正式授权下述签字人________（姓名）代表我方______________（投标人的名称），全权处理本次项目投标的有关事宜。</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w:t>
      </w:r>
      <w:r/>
    </w:p>
    <w:p>
      <w:pPr>
        <w:ind w:left="42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日期：________年____月____日</w:t>
      </w:r>
      <w:r/>
    </w:p>
    <w:p>
      <w:pPr>
        <w:pStyle w:val="701"/>
        <w:numPr>
          <w:ilvl w:val="0"/>
          <w:numId w:val="12"/>
        </w:numPr>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701"/>
        <w:numPr>
          <w:ilvl w:val="0"/>
          <w:numId w:val="12"/>
        </w:numPr>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开标一览表</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招标编号：</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分包号：                                   </w:t>
      </w:r>
      <w:r/>
    </w:p>
    <w:tbl>
      <w:tblPr>
        <w:tblStyle w:val="7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3"/>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投标总报价</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val="false"/>
          </w:tcPr>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pStyle w:val="701"/>
        <w:numPr>
          <w:ilvl w:val="0"/>
          <w:numId w:val="12"/>
        </w:numPr>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投标分项报价表（分包号：***）</w:t>
      </w:r>
      <w:r/>
    </w:p>
    <w:tbl>
      <w:tblPr>
        <w:tblStyle w:val="7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0"/>
        <w:gridCol w:w="893"/>
        <w:gridCol w:w="1067"/>
        <w:gridCol w:w="569"/>
        <w:gridCol w:w="782"/>
        <w:gridCol w:w="769"/>
        <w:gridCol w:w="724"/>
        <w:gridCol w:w="789"/>
        <w:gridCol w:w="978"/>
        <w:gridCol w:w="752"/>
        <w:gridCol w:w="782"/>
      </w:tblGrid>
      <w:tr>
        <w:trPr>
          <w:trHeight w:val="104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规格及型号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制造商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质保期</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交货期</w:t>
            </w:r>
            <w:r/>
          </w:p>
        </w:tc>
      </w:tr>
      <w:tr>
        <w:trPr>
          <w:trHeight w:val="104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line="240" w:lineRule="auto"/>
              <w:tabs>
                <w:tab w:val="left" w:pos="420" w:leader="none"/>
              </w:tabs>
              <w:pBdr>
                <w:top w:val="none" w:color="000000" w:sz="0" w:space="0"/>
                <w:left w:val="none" w:color="000000" w:sz="0" w:space="0"/>
                <w:bottom w:val="single" w:color="000000" w:sz="6"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104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00"/>
        </w:trPr>
        <w:tc>
          <w:tcPr>
            <w:gridSpan w:val="5"/>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81"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总价合计（小写）</w:t>
            </w:r>
            <w:r/>
          </w:p>
        </w:tc>
        <w:tc>
          <w:tcPr>
            <w:gridSpan w:val="6"/>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94"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r>
      <w:tr>
        <w:trPr>
          <w:trHeight w:val="600"/>
        </w:trPr>
        <w:tc>
          <w:tcPr>
            <w:gridSpan w:val="11"/>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675"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本采购包中提供的符合本国产品标准的产品成本之和占该采购包提供的全部产品成本之和的比例为</w:t>
            </w:r>
            <w:r>
              <w:rPr>
                <w:rFonts w:ascii="宋体" w:hAnsi="宋体" w:eastAsia="宋体" w:cs="宋体"/>
                <w:color w:val="000000"/>
                <w:sz w:val="28"/>
                <w:u w:val="single"/>
              </w:rPr>
              <w:t xml:space="preserve">***</w:t>
            </w:r>
            <w:r>
              <w:rPr>
                <w:rFonts w:ascii="宋体" w:hAnsi="宋体" w:eastAsia="宋体" w:cs="宋体"/>
                <w:color w:val="000000"/>
                <w:sz w:val="28"/>
              </w:rPr>
              <w:t xml:space="preserve">%。</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numPr>
          <w:ilvl w:val="0"/>
          <w:numId w:val="13"/>
        </w:numPr>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numPr>
          <w:ilvl w:val="0"/>
          <w:numId w:val="13"/>
        </w:numPr>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“投标分项报价表”中“投标总报价”数额应当与“开标一览表”中“投标总报价”数额一致。</w:t>
      </w:r>
      <w:r/>
    </w:p>
    <w:p>
      <w:pPr>
        <w:numPr>
          <w:ilvl w:val="0"/>
          <w:numId w:val="13"/>
        </w:numPr>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13"/>
        </w:numPr>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投标人需认真填写本报价表，尤其注意规格型号的准确填写。</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pStyle w:val="701"/>
        <w:numPr>
          <w:ilvl w:val="0"/>
          <w:numId w:val="12"/>
        </w:numPr>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技术要求响应及偏离表（分包号：**）</w:t>
      </w:r>
      <w:r/>
    </w:p>
    <w:tbl>
      <w:tblPr>
        <w:tblStyle w:val="7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3007"/>
        <w:gridCol w:w="2697"/>
        <w:gridCol w:w="1368"/>
        <w:gridCol w:w="91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招标文件技术要求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证明</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注：1.行数不够，可自行添加；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2.本表需要对招标文件《第四章 采购需求》技术要求的全部内容逐项/点对点响应，按照投标情况填写超出、符合或偏离；</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3.如果招标文件要求提供证明材料，投标人需将证明材料列于该表之下。</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4.对于技术要求中列明的▲或★参数，投标人须在此表后按顺序进行逐条佐证，提供相关证明材料（包括制造商技术白皮书或Data Sheet或医疗器械检测所检测报告或国家承认的第三方机构出具的检测报告或厂家公开发行的宣传彩页等），并在该表</w:t>
      </w:r>
      <w:r>
        <w:rPr>
          <w:rFonts w:ascii="宋体" w:hAnsi="宋体" w:eastAsia="宋体" w:cs="宋体"/>
          <w:b/>
          <w:color w:val="000000"/>
          <w:sz w:val="24"/>
        </w:rPr>
        <w:t xml:space="preserve">证明材料</w:t>
      </w:r>
      <w:r>
        <w:rPr>
          <w:rFonts w:ascii="宋体" w:hAnsi="宋体" w:eastAsia="宋体" w:cs="宋体"/>
          <w:color w:val="000000"/>
          <w:sz w:val="24"/>
        </w:rPr>
        <w:t xml:space="preserve">栏中标注相应证明文件页码及相关证明条款，未提供相关证明材料视为负偏离，页面或相关材料不清晰或页码标注问题影响评审，评标委员会有权视为负偏离或作无效标处理。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5.投标人需确保提供佐证材料的真实性，如被认定提供实质性虚假材料，将会导致无效响应处理。</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701"/>
        <w:numPr>
          <w:ilvl w:val="0"/>
          <w:numId w:val="12"/>
        </w:numPr>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商务要求响应及偏离表（分包号：**）</w:t>
      </w:r>
      <w:r/>
    </w:p>
    <w:tbl>
      <w:tblPr>
        <w:tblStyle w:val="7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9"/>
        <w:gridCol w:w="2945"/>
        <w:gridCol w:w="2762"/>
        <w:gridCol w:w="1266"/>
        <w:gridCol w:w="1136"/>
      </w:tblGrid>
      <w:tr>
        <w:trPr>
          <w:trHeight w:val="11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证明</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材料</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w:t>
      </w:r>
      <w:r/>
    </w:p>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1.商务要求不接受任何一项的负偏离或者不满足，允许正偏离，否则投标无效；</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2.投标人对招标文件商务要求条款没有提出修改要求的，可以提供经签署、盖章的空白表格，采购人将视为供应商完全接受招标文件商务要求条款内容。</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pStyle w:val="701"/>
        <w:numPr>
          <w:ilvl w:val="0"/>
          <w:numId w:val="12"/>
        </w:numPr>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资格要求的证明文件</w:t>
      </w:r>
      <w:r/>
    </w:p>
    <w:p>
      <w:pPr>
        <w:ind w:left="0" w:right="0" w:firstLine="0"/>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8"/>
          <w:u w:val="single"/>
        </w:rPr>
        <w:t xml:space="preserve">5.1 法人或者其他组织的营业执照等证明文件，自然人的身份证明；</w:t>
      </w:r>
      <w:r/>
    </w:p>
    <w:p>
      <w:pPr>
        <w:ind w:left="0" w:right="0" w:firstLine="0"/>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8"/>
          <w:u w:val="single"/>
        </w:rPr>
        <w:t xml:space="preserve">5.2 上一年度的财务状况报告（成立不满一年无需提供）；</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提供距开标时间六个月内任意一月份的财务状况报告（至少包括资产负债表和利润表），或其银行出具的资信证书（复印件）（开标前六个月内），或其2024年度或2025年经审计的财务报告复印件加盖公章；（投标人为参加本次政府采购活动前一年内注册的公司，无须提供）；</w:t>
      </w:r>
      <w:r/>
    </w:p>
    <w:p>
      <w:pPr>
        <w:ind w:left="0" w:right="0" w:firstLine="0"/>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8"/>
          <w:u w:val="single"/>
        </w:rPr>
        <w:t xml:space="preserve">5.3依法缴纳税收和社会保障资金的相关材料</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8"/>
          <w:u w:val="single"/>
        </w:rPr>
        <w:t xml:space="preserve">5.4具备履行合同所必需的设备和专业技术能力的书面声明；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声明</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致：泰兴市滨江镇马甸卫生院</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特此声明！</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投标人名称：（加盖CA电子公章）</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日期：2026年XX月XX日</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8"/>
          <w:u w:val="single"/>
        </w:rPr>
        <w:t xml:space="preserve">5.5参加政府采购活动前3年内在经营活动中没有重大违法记录的书面声明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声明</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特此声明！</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投标人名称：（加盖CA电子公章）</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日期：2026年XX月XX日</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8"/>
          <w:u w:val="single"/>
        </w:rPr>
        <w:t xml:space="preserve">5.6供应商信用承诺书</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供应商信用承诺书</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承诺主体名称：</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统一社会信用代码：</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四、自觉接受行政管理部门、行业组织、社会公众、新闻舆论的监督；</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六、提出政府采购质疑和投诉坚持依法依规、诚实信用原则，在全国范围12个月内没有三次以上查无实据的政府采购投诉；</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七、严格遵守信用信息公示相关规定，向社会公示信用信息；</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八、在“信用中国”和“中国政府采购网”网站中无违法违规、较重或严重失信记录；</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十、本承诺书自签订之日起生效。</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（注：法定代表人或负责人、主体名称发生变更的应当重新做出承诺。）</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承诺单位（签章）：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法定代表人（负责人）：</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年    月    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 </w:t>
      </w:r>
      <w:r/>
    </w:p>
    <w:p>
      <w:pPr>
        <w:ind w:left="0" w:right="0" w:firstLine="0"/>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8"/>
          <w:u w:val="single"/>
        </w:rPr>
        <w:t xml:space="preserve">5.7 投标产品如果属于医疗设备注册范畴的；投标人须根据投标产品的类别，提供《医疗器械经营企业许可证》或者《医疗器械经营备案凭证》（复印件）；</w:t>
      </w:r>
      <w:r/>
    </w:p>
    <w:p>
      <w:pPr>
        <w:ind w:left="0" w:right="0" w:firstLine="0"/>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8"/>
          <w:u w:val="single"/>
        </w:rPr>
        <w:t xml:space="preserve">5.8 投标产品如果属于医疗设备注册范畴的；投标人须提供投标产品的《医疗器械注册证》（复印件）；</w:t>
      </w:r>
      <w:r/>
    </w:p>
    <w:p>
      <w:pPr>
        <w:ind w:left="0" w:right="0" w:firstLine="0"/>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8"/>
          <w:u w:val="single"/>
        </w:rPr>
        <w:t xml:space="preserve">5.9若投标人是投标产品的制造商，必须具备《辐射安全许可证》（具体范围中必须包含可生产及销售本次所投标的产品）（包1不适用）；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8"/>
          <w:u w:val="single"/>
        </w:rPr>
        <w:t xml:space="preserve">5.10若投标人是投标产品的代理经销商，必须具备《辐射安全许可证》（具体范围中必须包含可销售本次投标的产品），还须提供投标产品制造商的《辐射安全许可证》（具体范围中必须包含可生产本次所投标的产品）（包1不适用）</w:t>
      </w:r>
      <w:r/>
    </w:p>
    <w:p>
      <w:pPr>
        <w:ind w:left="0" w:right="0" w:firstLine="0"/>
        <w:spacing w:before="145"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701"/>
        <w:numPr>
          <w:ilvl w:val="0"/>
          <w:numId w:val="12"/>
        </w:numPr>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701"/>
        <w:numPr>
          <w:ilvl w:val="0"/>
          <w:numId w:val="12"/>
        </w:numPr>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法人授权</w:t>
      </w:r>
      <w:r/>
    </w:p>
    <w:p>
      <w:pPr>
        <w:ind w:left="0" w:right="0" w:firstLine="480"/>
        <w:jc w:val="both"/>
        <w:spacing w:before="0" w:after="0"/>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本授权书声明：____________（投标人名称）授权________________（被授权人的姓名）为我方就JSZC-</w:t>
      </w:r>
      <w:r>
        <w:rPr>
          <w:rFonts w:ascii="宋体" w:hAnsi="宋体" w:eastAsia="宋体" w:cs="宋体"/>
          <w:color w:val="000000"/>
          <w:sz w:val="24"/>
          <w:u w:val="single"/>
        </w:rPr>
        <w:t xml:space="preserve">        </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本授权书于______年____月____日起生效，特此声明。</w:t>
      </w:r>
      <w:r/>
    </w:p>
    <w:p>
      <w:pPr>
        <w:ind w:left="0" w:right="0" w:firstLine="0"/>
        <w:jc w:val="both"/>
        <w:spacing w:before="0" w:after="0"/>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被授权人身份证号码：</w:t>
      </w:r>
      <w:r>
        <w:rPr>
          <w:rFonts w:ascii="宋体" w:hAnsi="宋体" w:eastAsia="宋体" w:cs="宋体"/>
          <w:color w:val="000000"/>
          <w:sz w:val="24"/>
          <w:u w:val="single"/>
        </w:rPr>
        <w:t xml:space="preserve">                              </w:t>
      </w:r>
      <w:r/>
    </w:p>
    <w:p>
      <w:pPr>
        <w:ind w:left="0" w:right="0" w:firstLine="0"/>
        <w:jc w:val="both"/>
        <w:spacing w:before="0" w:after="0"/>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被授权人联系电话：（手机）</w:t>
      </w:r>
      <w:r>
        <w:rPr>
          <w:rFonts w:ascii="宋体" w:hAnsi="宋体" w:eastAsia="宋体" w:cs="宋体"/>
          <w:color w:val="000000"/>
          <w:sz w:val="24"/>
          <w:u w:val="single"/>
        </w:rPr>
        <w:t xml:space="preserve">                          </w:t>
      </w:r>
      <w:r/>
    </w:p>
    <w:p>
      <w:pPr>
        <w:ind w:left="0" w:right="0" w:firstLine="1200"/>
        <w:jc w:val="both"/>
        <w:spacing w:before="0" w:after="0"/>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480"/>
        <w:jc w:val="both"/>
        <w:spacing w:before="0" w:after="0"/>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单位地址：</w:t>
      </w:r>
      <w:r>
        <w:rPr>
          <w:rFonts w:ascii="宋体" w:hAnsi="宋体" w:eastAsia="宋体" w:cs="宋体"/>
          <w:color w:val="000000"/>
          <w:sz w:val="24"/>
          <w:u w:val="single"/>
        </w:rPr>
        <w:t xml:space="preserve">                                         </w:t>
      </w:r>
      <w:r/>
    </w:p>
    <w:p>
      <w:pPr>
        <w:ind w:left="0" w:right="0" w:firstLine="480"/>
        <w:jc w:val="both"/>
        <w:spacing w:before="0" w:after="0"/>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rPr>
          <w:rFonts w:ascii="宋体" w:hAnsi="宋体" w:eastAsia="宋体" w:cs="宋体"/>
          <w:color w:val="000000"/>
          <w:sz w:val="24"/>
          <w:u w:val="single"/>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（1）本授权委托书之后需附上法定代表人、授权委托人身份证复印件（正反面）；</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（2）如果是法定代表人直接参与响应的可以不提供授权委托书；但必须在营业执照之后附上法定代表人身份证复印件；</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ascii="宋体" w:hAnsi="宋体" w:eastAsia="宋体" w:cs="宋体"/>
          <w:b/>
          <w:i/>
          <w:color w:val="000000"/>
          <w:sz w:val="24"/>
          <w:u w:val="single"/>
        </w:rPr>
        <w:t xml:space="preserve">未按上述规定随附身份证复印件的，投标无效。</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701"/>
        <w:numPr>
          <w:ilvl w:val="0"/>
          <w:numId w:val="12"/>
        </w:numPr>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701"/>
        <w:numPr>
          <w:ilvl w:val="0"/>
          <w:numId w:val="12"/>
        </w:numPr>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业绩情况表（如有）</w:t>
      </w:r>
      <w:r/>
    </w:p>
    <w:tbl>
      <w:tblPr>
        <w:tblStyle w:val="7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1448"/>
        <w:gridCol w:w="1541"/>
        <w:gridCol w:w="738"/>
        <w:gridCol w:w="1391"/>
        <w:gridCol w:w="1661"/>
        <w:gridCol w:w="129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签订日期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1.投标人须提供上述业绩合同复印件及评分标准中其他资料；</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2.所有合同复印件应清晰，应能体现合同签订时间、双方签名盖章等内容；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3.投标人应在不涉及商业秘密的前提下尽可能提供详细的合同复印件内容。</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br w:type="page" w:clear="all"/>
      </w:r>
      <w:r/>
    </w:p>
    <w:p>
      <w:pPr>
        <w:pStyle w:val="701"/>
        <w:numPr>
          <w:ilvl w:val="0"/>
          <w:numId w:val="12"/>
        </w:numPr>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服务方案（如有）</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投标人根据本项目的采购需求及评分标准的要求编制项目服务方案，格式自拟</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701"/>
        <w:numPr>
          <w:ilvl w:val="0"/>
          <w:numId w:val="12"/>
        </w:numPr>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价格扣除证明文件（如有）</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（1）小微企业声明函（货物）（分包号：**）</w:t>
      </w:r>
      <w:r/>
    </w:p>
    <w:p>
      <w:pPr>
        <w:ind w:left="0" w:right="0" w:firstLine="36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w:t>
      </w:r>
      <w:r>
        <w:rPr>
          <w:rFonts w:ascii="宋体" w:hAnsi="宋体" w:eastAsia="宋体" w:cs="宋体"/>
          <w:color w:val="000000"/>
          <w:sz w:val="24"/>
          <w:u w:val="single"/>
        </w:rPr>
        <w:t xml:space="preserve">（单位名称）</w:t>
      </w:r>
      <w:r>
        <w:rPr>
          <w:rFonts w:ascii="宋体" w:hAnsi="宋体" w:eastAsia="宋体" w:cs="宋体"/>
          <w:color w:val="000000"/>
          <w:sz w:val="24"/>
        </w:rPr>
        <w:t xml:space="preserve">采购编号为</w:t>
      </w:r>
      <w:r>
        <w:rPr>
          <w:rFonts w:ascii="宋体" w:hAnsi="宋体" w:eastAsia="宋体" w:cs="宋体"/>
          <w:color w:val="000000"/>
          <w:sz w:val="24"/>
          <w:u w:val="single"/>
        </w:rPr>
        <w:t xml:space="preserve">（项目名称）</w:t>
      </w:r>
      <w:r>
        <w:rPr>
          <w:rFonts w:ascii="宋体" w:hAnsi="宋体" w:eastAsia="宋体" w:cs="宋体"/>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000000"/>
          <w:sz w:val="24"/>
          <w:u w:val="single"/>
        </w:rPr>
        <w:t xml:space="preserve">       </w:t>
      </w:r>
      <w:r>
        <w:rPr>
          <w:rFonts w:ascii="宋体" w:hAnsi="宋体" w:eastAsia="宋体" w:cs="宋体"/>
          <w:color w:val="000000"/>
          <w:sz w:val="24"/>
        </w:rPr>
        <w:t xml:space="preserve">行业；制造商为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（小型企业、微型企业）；</w:t>
      </w:r>
      <w:r/>
    </w:p>
    <w:p>
      <w:pPr>
        <w:ind w:left="0" w:right="0" w:firstLine="36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000000"/>
          <w:sz w:val="24"/>
          <w:u w:val="single"/>
        </w:rPr>
        <w:t xml:space="preserve">       </w:t>
      </w:r>
      <w:r>
        <w:rPr>
          <w:rFonts w:ascii="宋体" w:hAnsi="宋体" w:eastAsia="宋体" w:cs="宋体"/>
          <w:color w:val="000000"/>
          <w:sz w:val="24"/>
        </w:rPr>
        <w:t xml:space="preserve">行业；制造商为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（小型企业、微型企业）；</w:t>
      </w:r>
      <w:r/>
    </w:p>
    <w:p>
      <w:pPr>
        <w:ind w:left="0" w:right="0" w:firstLine="36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180" w:firstLine="360"/>
        <w:jc w:val="right"/>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36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2.供应商如不提供此声明函，价格将不做相应扣除。</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4.此声明函将随中标结果同时公告，接受社会监督</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（2）残疾人福利性单位声明函（如适用）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宋体" w:hAnsi="宋体" w:eastAsia="宋体" w:cs="宋体"/>
          <w:color w:val="000000"/>
          <w:sz w:val="24"/>
          <w:u w:val="single"/>
        </w:rPr>
        <w:t xml:space="preserve">       </w:t>
      </w:r>
      <w:r>
        <w:rPr>
          <w:rFonts w:ascii="宋体" w:hAnsi="宋体" w:eastAsia="宋体" w:cs="宋体"/>
          <w:color w:val="000000"/>
          <w:sz w:val="24"/>
        </w:rPr>
        <w:t xml:space="preserve">项目（分包号：**）采购活动提供本单位制造的货物，或者提供其他残疾人福利性单位制造的货物（不包括使用非残疾人福利性单位注册商标的货物）。</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（备注：1、供应商如不提供此声明函，价格将不做相应扣除。2、中标供应商为残疾人福利单位的，此声明函将随中标结果同时公告，接受社会监督）</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180" w:firstLine="360"/>
        <w:jc w:val="right"/>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（3）关于符合本国产品标准的声明函（采购包号：**）</w:t>
      </w:r>
      <w:r/>
    </w:p>
    <w:p>
      <w:pPr>
        <w:ind w:left="0" w:right="0" w:firstLine="42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828675" cy="16192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a:stretch/>
                      </pic:blipFill>
                      <pic:spPr bwMode="auto">
                        <a:xfrm>
                          <a:off x="0" y="0"/>
                          <a:ext cx="828675"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5.2pt;height:12.8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895350" cy="13335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a:stretch/>
                      </pic:blipFill>
                      <pic:spPr bwMode="auto">
                        <a:xfrm>
                          <a:off x="0" y="0"/>
                          <a:ext cx="895349"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0.5pt;height:10.5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209550" cy="11430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a:stretch/>
                      </pic:blipFill>
                      <pic:spPr bwMode="auto">
                        <a:xfrm>
                          <a:off x="0" y="0"/>
                          <a:ext cx="2095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6.5pt;height:9.0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828675" cy="11430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a:stretch/>
                      </pic:blipFill>
                      <pic:spPr bwMode="auto">
                        <a:xfrm>
                          <a:off x="0" y="0"/>
                          <a:ext cx="82867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5.2pt;height:9.0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581025" cy="14287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a:stretch/>
                      </pic:blipFill>
                      <pic:spPr bwMode="auto">
                        <a:xfrm>
                          <a:off x="0" y="0"/>
                          <a:ext cx="581024"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8pt;height:11.2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381000" cy="11430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a:stretch/>
                      </pic:blipFill>
                      <pic:spPr bwMode="auto">
                        <a:xfrm>
                          <a:off x="0" y="0"/>
                          <a:ext cx="3809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0.0pt;height:9.0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828675" cy="9525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a:stretch/>
                      </pic:blipFill>
                      <pic:spPr bwMode="auto">
                        <a:xfrm>
                          <a:off x="0" y="0"/>
                          <a:ext cx="828675" cy="952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5.2pt;height:7.5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590550" cy="104775"/>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a:stretch/>
                      </pic:blipFill>
                      <pic:spPr bwMode="auto">
                        <a:xfrm>
                          <a:off x="0" y="0"/>
                          <a:ext cx="590549"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6.5pt;height:8.2pt;mso-wrap-distance-left:0.0pt;mso-wrap-distance-top:0.0pt;mso-wrap-distance-right:0.0pt;mso-wrap-distance-bottom:0.0pt;" stroked="false">
                <v:path textboxrect="0,0,0,0"/>
              </v:shape>
            </w:pict>
          </mc:Fallback>
        </mc:AlternateContent>
      </w: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0"/>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0"/>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（产品名称1）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（规定比例）</w:t>
      </w:r>
      <w:r>
        <w:rPr>
          <w:rFonts w:ascii="宋体" w:hAnsi="宋体" w:eastAsia="宋体" w:cs="宋体"/>
          <w:color w:val="000000"/>
          <w:sz w:val="20"/>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（关键组件）</w:t>
      </w:r>
      <w:r>
        <w:rPr>
          <w:rFonts w:ascii="宋体" w:hAnsi="宋体" w:eastAsia="宋体" w:cs="宋体"/>
          <w:color w:val="000000"/>
          <w:sz w:val="20"/>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（关键工序）</w:t>
      </w:r>
      <w:r>
        <w:rPr>
          <w:rFonts w:ascii="宋体" w:hAnsi="宋体" w:eastAsia="宋体" w:cs="宋体"/>
          <w:color w:val="000000"/>
          <w:sz w:val="20"/>
          <w:highlight w:val="white"/>
          <w:vertAlign w:val="superscript"/>
        </w:rPr>
        <w:t xml:space="preserve">5</w:t>
      </w:r>
      <w:r>
        <w:rPr>
          <w:rFonts w:ascii="宋体" w:hAnsi="宋体" w:eastAsia="宋体" w:cs="宋体"/>
          <w:color w:val="000000"/>
          <w:sz w:val="24"/>
          <w:highlight w:val="white"/>
        </w:rPr>
        <w:t xml:space="preserve">在中国境内完成。</w:t>
      </w:r>
      <w:r/>
    </w:p>
    <w:p>
      <w:pPr>
        <w:ind w:left="0" w:right="0" w:firstLine="420"/>
        <w:spacing w:before="30" w:after="30"/>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838200" cy="114300"/>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r/>
                      </pic:nvPicPr>
                      <pic:blipFill>
                        <a:blip/>
                        <a:stretch/>
                      </pic:blipFill>
                      <pic:spPr bwMode="auto">
                        <a:xfrm>
                          <a:off x="0" y="0"/>
                          <a:ext cx="838198"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6.0pt;height:9.0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923925" cy="15240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r/>
                      </pic:nvPicPr>
                      <pic:blipFill>
                        <a:blip/>
                        <a:stretch/>
                      </pic:blipFill>
                      <pic:spPr bwMode="auto">
                        <a:xfrm>
                          <a:off x="0" y="0"/>
                          <a:ext cx="923924"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2.8pt;height:12.0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476250" cy="161925"/>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r/>
                      </pic:nvPicPr>
                      <pic:blipFill>
                        <a:blip/>
                        <a:stretch/>
                      </pic:blipFill>
                      <pic:spPr bwMode="auto">
                        <a:xfrm>
                          <a:off x="0" y="0"/>
                          <a:ext cx="4762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7.5pt;height:12.8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866775" cy="133350"/>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r/>
                      </pic:nvPicPr>
                      <pic:blipFill>
                        <a:blip/>
                        <a:stretch/>
                      </pic:blipFill>
                      <pic:spPr bwMode="auto">
                        <a:xfrm>
                          <a:off x="0" y="0"/>
                          <a:ext cx="866774"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8.2pt;height:10.5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857250" cy="142875"/>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r/>
                      </pic:nvPicPr>
                      <pic:blipFill>
                        <a:blip/>
                        <a:stretch/>
                      </pic:blipFill>
                      <pic:spPr bwMode="auto">
                        <a:xfrm>
                          <a:off x="0" y="0"/>
                          <a:ext cx="85725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7.5pt;height:11.2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733425" cy="114300"/>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r/>
                      </pic:nvPicPr>
                      <pic:blipFill>
                        <a:blip/>
                        <a:stretch/>
                      </pic:blipFill>
                      <pic:spPr bwMode="auto">
                        <a:xfrm>
                          <a:off x="0" y="0"/>
                          <a:ext cx="733424"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7.8pt;height:9.0pt;mso-wrap-distance-left:0.0pt;mso-wrap-distance-top:0.0pt;mso-wrap-distance-right:0.0pt;mso-wrap-distance-bottom:0.0pt;" stroked="false">
                <v:path textboxrect="0,0,0,0"/>
              </v:shape>
            </w:pict>
          </mc:Fallback>
        </mc:AlternateContent>
      </w: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（规定比例）</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（关键组件）</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（关键工序）</w:t>
      </w:r>
      <w:r>
        <w:rPr>
          <w:rFonts w:ascii="宋体" w:hAnsi="宋体" w:eastAsia="宋体" w:cs="宋体"/>
          <w:color w:val="000000"/>
          <w:sz w:val="24"/>
          <w:highlight w:val="white"/>
        </w:rPr>
        <w:t xml:space="preserve">在中国境内完成。</w:t>
      </w:r>
      <w:r/>
    </w:p>
    <w:p>
      <w:pPr>
        <w:ind w:left="0" w:right="0" w:firstLine="42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480" w:firstLine="372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公司（单位）名称（盖章）：　</w:t>
      </w:r>
      <w:r/>
    </w:p>
    <w:p>
      <w:pPr>
        <w:ind w:left="0" w:right="0" w:firstLine="0"/>
        <w:jc w:val="center"/>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日期：　   年　  月　  日         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__________________</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1.产品如有型号，请在“产品名称”栏一并填写。</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2.生产厂名与厂址应与生产厂营业执照载明的相关信息保持一致。</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3.该产品的中国境内生产的组件成本占比相关要求实施前，“规定比例”栏可不填，下同。</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4.该产品的关键组件要求实施前，“关键组件”栏可不填，下同。</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5.该产品的关键工序要求实施前，“关键工序”栏可不填，下同。</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6.用斜线划除的地方无需填写。</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701"/>
        <w:numPr>
          <w:ilvl w:val="0"/>
          <w:numId w:val="12"/>
        </w:numPr>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701"/>
        <w:numPr>
          <w:ilvl w:val="0"/>
          <w:numId w:val="12"/>
        </w:numPr>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投标人认为需要提供的其他材料（如有）</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请在此文档中增加所需其他相关内容</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（包括资格要求、评分办法、采购需求中涉及的佐证资料及其他投标人认为有必要提供的资料），如没有请将此空文档上传。</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例如（1）配置清单（如有）</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（格式自拟）</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例如（2）备品、配套零部件、易损易耗件价格表（如有）</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（免费质保期满后价格）</w:t>
      </w:r>
      <w:r/>
    </w:p>
    <w:tbl>
      <w:tblPr>
        <w:tblStyle w:val="7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9"/>
        <w:gridCol w:w="609"/>
        <w:gridCol w:w="1145"/>
        <w:gridCol w:w="798"/>
        <w:gridCol w:w="548"/>
        <w:gridCol w:w="669"/>
        <w:gridCol w:w="661"/>
        <w:gridCol w:w="3"/>
        <w:gridCol w:w="3598"/>
        <w:gridCol w:w="308"/>
      </w:tblGrid>
      <w:tr>
        <w:trPr>
          <w:trHeight w:val="6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备件名称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单位</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价格（元）</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备注</w:t>
            </w:r>
            <w:r/>
          </w:p>
        </w:tc>
      </w:tr>
      <w:tr>
        <w:trPr>
          <w:gridAfter w:val="1"/>
          <w:trHeight w:val="625"/>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总价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center"/>
        <w:spacing w:before="260" w:after="0" w:line="98"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260" w:after="0" w:line="9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29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 </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签字（签章）：公章：</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3.质疑供应商若对项目的某一分包进行质疑，质疑函中应列明具体分包号。</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r/>
      <w:r/>
    </w:p>
    <w:sectPr>
      <w:headerReference w:type="default" r:id="rId9"/>
      <w:footerReference w:type="default" r:id="rId10"/>
      <w:footerReference w:type="even" r:id="rId11"/>
      <w:footnotePr/>
      <w:endnotePr/>
      <w:type w:val="nextPage"/>
      <w:pgSz w:w="11906" w:h="16838" w:orient="portrait"/>
      <w:pgMar w:top="1417" w:right="1587" w:bottom="850" w:left="1587" w:header="851"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Tahoma">
    <w:panose1 w:val="020B0604030504040204"/>
  </w:font>
  <w:font w:name="Courier New">
    <w:panose1 w:val="02070309020205020404"/>
  </w:font>
  <w:font w:name="楷体_GB2312">
    <w:panose1 w:val="02010609060101010101"/>
  </w:font>
  <w:font w:name="Calibri">
    <w:panose1 w:val="020F0502020204030204"/>
  </w:font>
  <w:font w:name="微软雅黑">
    <w:panose1 w:val="020B0503020204020204"/>
  </w:font>
  <w:font w:name="黑体">
    <w:panose1 w:val="02010609060101010101"/>
  </w:font>
  <w:font w:name="幼圆">
    <w:panose1 w:val="02010509060101010101"/>
  </w:font>
  <w:font w:name="仿宋_GB2312">
    <w:panose1 w:val="02010609060101010101"/>
  </w:font>
  <w:font w:name="Verdana">
    <w:panose1 w:val="020B0604030504040204"/>
  </w:font>
  <w:font w:name="Adobe 仿宋 Std R">
    <w:panose1 w:val="020B0503020202020204"/>
  </w:font>
  <w:font w:name="方正黑体_GBK">
    <w:panose1 w:val="020B0503020202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rPr>
        <w:rFonts w:hint="eastAsia"/>
        <w:b/>
        <w:i/>
        <w:sz w:val="32"/>
        <w:szCs w:val="32"/>
      </w:rPr>
    </w:pPr>
    <w:r>
      <w:rPr>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3238500</wp:posOffset>
              </wp:positionH>
              <wp:positionV relativeFrom="paragraph">
                <wp:posOffset>19050</wp:posOffset>
              </wp:positionV>
              <wp:extent cx="1621790" cy="1905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621790" cy="190500"/>
                      </a:xfrm>
                      <a:prstGeom prst="rect">
                        <a:avLst/>
                      </a:prstGeom>
                      <a:noFill/>
                      <a:ln>
                        <a:noFill/>
                      </a:ln>
                    </wps:spPr>
                    <wps:txbx>
                      <w:txbxContent>
                        <w:p>
                          <w:pPr>
                            <w:pStyle w:val="927"/>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255.0pt;mso-position-horizontal:absolute;mso-position-vertical-relative:text;margin-top:1.5pt;mso-position-vertical:absolute;width:127.7pt;height:15.0pt;mso-wrap-distance-left:9.0pt;mso-wrap-distance-top:0.0pt;mso-wrap-distance-right:9.0pt;mso-wrap-distance-bottom:0.0pt;visibility:visible;" filled="f" stroked="f">
              <v:textbox inset="0,0,0,0">
                <w:txbxContent>
                  <w:p>
                    <w:pPr>
                      <w:pStyle w:val="927"/>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p>
                  <w:p>
                    <w:r/>
                    <w:r/>
                  </w:p>
                </w:txbxContent>
              </v:textbox>
            </v:shape>
          </w:pict>
        </mc:Fallback>
      </mc:AlternateContent>
    </w:r>
    <w:r>
      <w:rPr>
        <w:b/>
        <w:i/>
        <w:sz w:val="32"/>
        <w:szCs w:val="32"/>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rPr>
        <w:rStyle w:val="952"/>
      </w:rPr>
      <w:framePr w:wrap="around" w:vAnchor="text" w:hAnchor="margin" w:xAlign="center" w:y="1"/>
    </w:pPr>
    <w:r>
      <w:fldChar w:fldCharType="begin"/>
    </w:r>
    <w:r>
      <w:rPr>
        <w:rStyle w:val="952"/>
      </w:rPr>
      <w:instrText xml:space="preserve">PAGE  </w:instrText>
    </w:r>
    <w:r>
      <w:fldChar w:fldCharType="separate"/>
    </w:r>
    <w:r>
      <w:rPr>
        <w:rStyle w:val="952"/>
      </w:rPr>
      <w:t xml:space="preserve">1</w:t>
    </w:r>
    <w:r>
      <w:fldChar w:fldCharType="end"/>
    </w:r>
    <w:r/>
  </w:p>
  <w:p>
    <w:pPr>
      <w:pStyle w:val="9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8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upperLetter"/>
      <w:pStyle w:val="97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7"/>
      <w:isLgl w:val="false"/>
      <w:suff w:val="nothing"/>
      <w:lvlText w:val=""/>
      <w:lvlJc w:val="left"/>
      <w:pPr>
        <w:ind w:left="0" w:firstLine="0"/>
      </w:pPr>
      <w:rPr>
        <w:rFonts w:hint="eastAsia"/>
      </w:rPr>
    </w:lvl>
    <w:lvl w:ilvl="6">
      <w:start w:val="1"/>
      <w:numFmt w:val="decimal"/>
      <w:pStyle w:val="888"/>
      <w:isLgl w:val="false"/>
      <w:suff w:val="nothing"/>
      <w:lvlText w:val=""/>
      <w:lvlJc w:val="left"/>
      <w:pPr>
        <w:ind w:left="0" w:firstLine="0"/>
      </w:pPr>
      <w:rPr>
        <w:rFonts w:hint="eastAsia"/>
      </w:rPr>
    </w:lvl>
    <w:lvl w:ilvl="7">
      <w:start w:val="1"/>
      <w:numFmt w:val="decimal"/>
      <w:pStyle w:val="889"/>
      <w:isLgl w:val="false"/>
      <w:suff w:val="nothing"/>
      <w:lvlText w:val=""/>
      <w:lvlJc w:val="left"/>
      <w:pPr>
        <w:ind w:left="0" w:firstLine="0"/>
      </w:pPr>
      <w:rPr>
        <w:rFonts w:hint="eastAsia"/>
      </w:rPr>
    </w:lvl>
    <w:lvl w:ilvl="8">
      <w:start w:val="1"/>
      <w:numFmt w:val="decimal"/>
      <w:pStyle w:val="890"/>
      <w:isLgl w:val="false"/>
      <w:suff w:val="nothing"/>
      <w:lvlText w:val=""/>
      <w:lvlJc w:val="left"/>
      <w:pPr>
        <w:ind w:left="0" w:firstLine="0"/>
      </w:pPr>
      <w:rPr>
        <w:rFonts w:hint="eastAsia"/>
      </w:rPr>
    </w:lvl>
  </w:abstractNum>
  <w:abstractNum w:abstractNumId="4">
    <w:multiLevelType w:val="hybridMultilevel"/>
    <w:lvl w:ilvl="0">
      <w:start w:val="1"/>
      <w:numFmt w:val="chineseCounting"/>
      <w:pStyle w:val="881"/>
      <w:isLgl w:val="false"/>
      <w:suff w:val="nothing"/>
      <w:lvlText w:val="%1、"/>
      <w:lvlJc w:val="left"/>
      <w:pPr>
        <w:ind w:left="0" w:firstLine="3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japaneseCounting"/>
      <w:isLgl w:val="false"/>
      <w:suff w:val="tab"/>
      <w:lvlText w:val="%1、"/>
      <w:lvlJc w:val="left"/>
      <w:pPr>
        <w:ind w:left="720" w:hanging="720"/>
        <w:tabs>
          <w:tab w:val="left" w:pos="720" w:leader="none"/>
        </w:tabs>
      </w:pPr>
    </w:lvl>
    <w:lvl w:ilvl="1">
      <w:start w:val="1"/>
      <w:numFmt w:val="decimal"/>
      <w:pStyle w:val="957"/>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2"/>
  </w:num>
  <w:num w:numId="9">
    <w:abstractNumId w:val="11"/>
  </w:num>
  <w:num w:numId="10">
    <w:abstractNumId w:val="5"/>
  </w:num>
  <w:num w:numId="11">
    <w:abstractNumId w:val="0"/>
  </w:num>
  <w:num w:numId="12">
    <w:abstractNumId w:val="8"/>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default="1">
    <w:name w:val="Normal"/>
    <w:next w:val="711"/>
    <w:link w:val="100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0">
    <w:name w:val="Heading 1"/>
    <w:basedOn w:val="699"/>
    <w:next w:val="699"/>
    <w:link w:val="733"/>
    <w:uiPriority w:val="9"/>
    <w:qFormat/>
    <w:pPr>
      <w:keepLines/>
      <w:keepNext/>
      <w:spacing w:before="480" w:after="200"/>
      <w:outlineLvl w:val="0"/>
    </w:pPr>
    <w:rPr>
      <w:rFonts w:ascii="Arial" w:hAnsi="Arial" w:eastAsia="Arial" w:cs="Arial"/>
      <w:sz w:val="40"/>
      <w:szCs w:val="40"/>
    </w:rPr>
  </w:style>
  <w:style w:type="paragraph" w:styleId="701">
    <w:name w:val="Heading 2"/>
    <w:basedOn w:val="699"/>
    <w:next w:val="699"/>
    <w:link w:val="734"/>
    <w:uiPriority w:val="9"/>
    <w:unhideWhenUsed/>
    <w:qFormat/>
    <w:pPr>
      <w:keepLines/>
      <w:keepNext/>
      <w:spacing w:before="360" w:after="200"/>
      <w:outlineLvl w:val="1"/>
    </w:pPr>
    <w:rPr>
      <w:rFonts w:ascii="Arial" w:hAnsi="Arial" w:eastAsia="Arial" w:cs="Arial"/>
      <w:sz w:val="34"/>
    </w:rPr>
  </w:style>
  <w:style w:type="paragraph" w:styleId="702">
    <w:name w:val="Heading 3"/>
    <w:basedOn w:val="699"/>
    <w:next w:val="699"/>
    <w:link w:val="735"/>
    <w:uiPriority w:val="9"/>
    <w:unhideWhenUsed/>
    <w:qFormat/>
    <w:pPr>
      <w:keepLines/>
      <w:keepNext/>
      <w:spacing w:before="320" w:after="200"/>
      <w:outlineLvl w:val="2"/>
    </w:pPr>
    <w:rPr>
      <w:rFonts w:ascii="Arial" w:hAnsi="Arial" w:eastAsia="Arial" w:cs="Arial"/>
      <w:sz w:val="30"/>
      <w:szCs w:val="30"/>
    </w:rPr>
  </w:style>
  <w:style w:type="paragraph" w:styleId="703">
    <w:name w:val="Heading 4"/>
    <w:basedOn w:val="699"/>
    <w:next w:val="699"/>
    <w:link w:val="736"/>
    <w:uiPriority w:val="9"/>
    <w:unhideWhenUsed/>
    <w:qFormat/>
    <w:pPr>
      <w:keepLines/>
      <w:keepNext/>
      <w:spacing w:before="320" w:after="200"/>
      <w:outlineLvl w:val="3"/>
    </w:pPr>
    <w:rPr>
      <w:rFonts w:ascii="Arial" w:hAnsi="Arial" w:eastAsia="Arial" w:cs="Arial"/>
      <w:b/>
      <w:bCs/>
      <w:sz w:val="26"/>
      <w:szCs w:val="26"/>
    </w:rPr>
  </w:style>
  <w:style w:type="paragraph" w:styleId="704">
    <w:name w:val="Heading 5"/>
    <w:basedOn w:val="699"/>
    <w:next w:val="699"/>
    <w:link w:val="737"/>
    <w:uiPriority w:val="9"/>
    <w:unhideWhenUsed/>
    <w:qFormat/>
    <w:pPr>
      <w:keepLines/>
      <w:keepNext/>
      <w:spacing w:before="320" w:after="200"/>
      <w:outlineLvl w:val="4"/>
    </w:pPr>
    <w:rPr>
      <w:rFonts w:ascii="Arial" w:hAnsi="Arial" w:eastAsia="Arial" w:cs="Arial"/>
      <w:b/>
      <w:bCs/>
      <w:sz w:val="24"/>
      <w:szCs w:val="24"/>
    </w:rPr>
  </w:style>
  <w:style w:type="paragraph" w:styleId="705">
    <w:name w:val="Heading 6"/>
    <w:basedOn w:val="699"/>
    <w:next w:val="699"/>
    <w:link w:val="738"/>
    <w:uiPriority w:val="9"/>
    <w:unhideWhenUsed/>
    <w:qFormat/>
    <w:pPr>
      <w:keepLines/>
      <w:keepNext/>
      <w:spacing w:before="320" w:after="200"/>
      <w:outlineLvl w:val="5"/>
    </w:pPr>
    <w:rPr>
      <w:rFonts w:ascii="Arial" w:hAnsi="Arial" w:eastAsia="Arial" w:cs="Arial"/>
      <w:b/>
      <w:bCs/>
      <w:sz w:val="22"/>
      <w:szCs w:val="22"/>
    </w:rPr>
  </w:style>
  <w:style w:type="paragraph" w:styleId="706">
    <w:name w:val="Heading 7"/>
    <w:basedOn w:val="699"/>
    <w:next w:val="699"/>
    <w:link w:val="739"/>
    <w:uiPriority w:val="9"/>
    <w:unhideWhenUsed/>
    <w:qFormat/>
    <w:pPr>
      <w:keepLines/>
      <w:keepNext/>
      <w:spacing w:before="320" w:after="200"/>
      <w:outlineLvl w:val="6"/>
    </w:pPr>
    <w:rPr>
      <w:rFonts w:ascii="Arial" w:hAnsi="Arial" w:eastAsia="Arial" w:cs="Arial"/>
      <w:b/>
      <w:bCs/>
      <w:i/>
      <w:iCs/>
      <w:sz w:val="22"/>
      <w:szCs w:val="22"/>
    </w:rPr>
  </w:style>
  <w:style w:type="paragraph" w:styleId="707">
    <w:name w:val="Heading 8"/>
    <w:basedOn w:val="699"/>
    <w:next w:val="699"/>
    <w:link w:val="740"/>
    <w:uiPriority w:val="9"/>
    <w:unhideWhenUsed/>
    <w:qFormat/>
    <w:pPr>
      <w:keepLines/>
      <w:keepNext/>
      <w:spacing w:before="320" w:after="200"/>
      <w:outlineLvl w:val="7"/>
    </w:pPr>
    <w:rPr>
      <w:rFonts w:ascii="Arial" w:hAnsi="Arial" w:eastAsia="Arial" w:cs="Arial"/>
      <w:i/>
      <w:iCs/>
      <w:sz w:val="22"/>
      <w:szCs w:val="22"/>
    </w:rPr>
  </w:style>
  <w:style w:type="paragraph" w:styleId="708">
    <w:name w:val="Heading 9"/>
    <w:basedOn w:val="699"/>
    <w:next w:val="699"/>
    <w:link w:val="741"/>
    <w:uiPriority w:val="9"/>
    <w:unhideWhenUsed/>
    <w:qFormat/>
    <w:pPr>
      <w:keepLines/>
      <w:keepNext/>
      <w:spacing w:before="320" w:after="200"/>
      <w:outlineLvl w:val="8"/>
    </w:pPr>
    <w:rPr>
      <w:rFonts w:ascii="Arial" w:hAnsi="Arial" w:eastAsia="Arial" w:cs="Arial"/>
      <w:i/>
      <w:iCs/>
      <w:sz w:val="21"/>
      <w:szCs w:val="21"/>
    </w:rPr>
  </w:style>
  <w:style w:type="character" w:styleId="709" w:default="1">
    <w:name w:val="Default Paragraph Font"/>
    <w:uiPriority w:val="1"/>
    <w:semiHidden/>
    <w:unhideWhenUsed/>
    <w:qFormat/>
  </w:style>
  <w:style w:type="table" w:styleId="710" w:default="1">
    <w:name w:val="Normal Table"/>
    <w:uiPriority w:val="99"/>
    <w:semiHidden/>
    <w:unhideWhenUsed/>
    <w:qFormat/>
    <w:tblPr>
      <w:tblCellMar>
        <w:left w:w="108" w:type="dxa"/>
        <w:top w:w="0" w:type="dxa"/>
        <w:right w:w="108" w:type="dxa"/>
        <w:bottom w:w="0" w:type="dxa"/>
      </w:tblCellMar>
    </w:tblPr>
  </w:style>
  <w:style w:type="paragraph" w:styleId="711" w:customStyle="1">
    <w:name w:val="正文1"/>
    <w:uiPriority w:val="99"/>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712">
    <w:name w:val="toc 7"/>
    <w:basedOn w:val="699"/>
    <w:next w:val="699"/>
    <w:uiPriority w:val="39"/>
    <w:unhideWhenUsed/>
    <w:pPr>
      <w:ind w:left="1701" w:right="0" w:firstLine="0"/>
      <w:spacing w:after="57"/>
    </w:pPr>
  </w:style>
  <w:style w:type="paragraph" w:styleId="713">
    <w:name w:val="Caption"/>
    <w:basedOn w:val="699"/>
    <w:next w:val="699"/>
    <w:uiPriority w:val="35"/>
    <w:semiHidden/>
    <w:unhideWhenUsed/>
    <w:qFormat/>
    <w:pPr>
      <w:spacing w:line="276" w:lineRule="auto"/>
    </w:pPr>
    <w:rPr>
      <w:b/>
      <w:bCs/>
      <w:color w:val="4f81bd" w:themeColor="accent1"/>
      <w:sz w:val="18"/>
      <w:szCs w:val="18"/>
    </w:rPr>
  </w:style>
  <w:style w:type="paragraph" w:styleId="714">
    <w:name w:val="toc 5"/>
    <w:basedOn w:val="699"/>
    <w:next w:val="699"/>
    <w:uiPriority w:val="39"/>
    <w:unhideWhenUsed/>
    <w:pPr>
      <w:ind w:left="1134" w:right="0" w:firstLine="0"/>
      <w:spacing w:after="57"/>
    </w:pPr>
  </w:style>
  <w:style w:type="paragraph" w:styleId="715">
    <w:name w:val="toc 3"/>
    <w:basedOn w:val="699"/>
    <w:next w:val="699"/>
    <w:uiPriority w:val="39"/>
    <w:unhideWhenUsed/>
    <w:qFormat/>
    <w:pPr>
      <w:ind w:left="567" w:right="0" w:firstLine="0"/>
      <w:spacing w:after="57"/>
    </w:pPr>
  </w:style>
  <w:style w:type="paragraph" w:styleId="716">
    <w:name w:val="toc 8"/>
    <w:basedOn w:val="699"/>
    <w:next w:val="699"/>
    <w:uiPriority w:val="39"/>
    <w:unhideWhenUsed/>
    <w:qFormat/>
    <w:pPr>
      <w:ind w:left="1984" w:right="0" w:firstLine="0"/>
      <w:spacing w:after="57"/>
    </w:pPr>
  </w:style>
  <w:style w:type="paragraph" w:styleId="717">
    <w:name w:val="endnote text"/>
    <w:basedOn w:val="699"/>
    <w:link w:val="879"/>
    <w:uiPriority w:val="99"/>
    <w:semiHidden/>
    <w:unhideWhenUsed/>
    <w:qFormat/>
    <w:pPr>
      <w:spacing w:after="0" w:line="240" w:lineRule="auto"/>
    </w:pPr>
    <w:rPr>
      <w:sz w:val="20"/>
    </w:rPr>
  </w:style>
  <w:style w:type="paragraph" w:styleId="718">
    <w:name w:val="Footer"/>
    <w:basedOn w:val="699"/>
    <w:link w:val="752"/>
    <w:uiPriority w:val="99"/>
    <w:unhideWhenUsed/>
    <w:qFormat/>
    <w:pPr>
      <w:spacing w:after="0" w:line="240" w:lineRule="auto"/>
      <w:tabs>
        <w:tab w:val="center" w:pos="7143" w:leader="none"/>
        <w:tab w:val="right" w:pos="14287" w:leader="none"/>
      </w:tabs>
    </w:pPr>
  </w:style>
  <w:style w:type="paragraph" w:styleId="719">
    <w:name w:val="Header"/>
    <w:basedOn w:val="699"/>
    <w:link w:val="750"/>
    <w:uiPriority w:val="99"/>
    <w:unhideWhenUsed/>
    <w:qFormat/>
    <w:pPr>
      <w:spacing w:after="0" w:line="240" w:lineRule="auto"/>
      <w:tabs>
        <w:tab w:val="center" w:pos="7143" w:leader="none"/>
        <w:tab w:val="right" w:pos="14287" w:leader="none"/>
      </w:tabs>
    </w:pPr>
  </w:style>
  <w:style w:type="paragraph" w:styleId="720">
    <w:name w:val="toc 1"/>
    <w:basedOn w:val="699"/>
    <w:next w:val="699"/>
    <w:uiPriority w:val="39"/>
    <w:unhideWhenUsed/>
    <w:qFormat/>
    <w:pPr>
      <w:ind w:left="0" w:right="0" w:firstLine="0"/>
      <w:spacing w:after="57"/>
    </w:pPr>
  </w:style>
  <w:style w:type="paragraph" w:styleId="721">
    <w:name w:val="toc 4"/>
    <w:basedOn w:val="699"/>
    <w:next w:val="699"/>
    <w:uiPriority w:val="39"/>
    <w:unhideWhenUsed/>
    <w:qFormat/>
    <w:pPr>
      <w:ind w:left="850" w:right="0" w:firstLine="0"/>
      <w:spacing w:after="57"/>
    </w:pPr>
  </w:style>
  <w:style w:type="paragraph" w:styleId="722">
    <w:name w:val="Subtitle"/>
    <w:basedOn w:val="699"/>
    <w:next w:val="699"/>
    <w:link w:val="745"/>
    <w:uiPriority w:val="11"/>
    <w:qFormat/>
    <w:pPr>
      <w:spacing w:before="200" w:after="200"/>
    </w:pPr>
    <w:rPr>
      <w:sz w:val="24"/>
      <w:szCs w:val="24"/>
    </w:rPr>
  </w:style>
  <w:style w:type="paragraph" w:styleId="723">
    <w:name w:val="footnote text"/>
    <w:basedOn w:val="699"/>
    <w:link w:val="878"/>
    <w:uiPriority w:val="99"/>
    <w:semiHidden/>
    <w:unhideWhenUsed/>
    <w:qFormat/>
    <w:pPr>
      <w:spacing w:after="40" w:line="240" w:lineRule="auto"/>
    </w:pPr>
    <w:rPr>
      <w:sz w:val="18"/>
    </w:rPr>
  </w:style>
  <w:style w:type="paragraph" w:styleId="724">
    <w:name w:val="toc 6"/>
    <w:basedOn w:val="699"/>
    <w:next w:val="699"/>
    <w:uiPriority w:val="39"/>
    <w:unhideWhenUsed/>
    <w:qFormat/>
    <w:pPr>
      <w:ind w:left="1417" w:right="0" w:firstLine="0"/>
      <w:spacing w:after="57"/>
    </w:pPr>
  </w:style>
  <w:style w:type="paragraph" w:styleId="725">
    <w:name w:val="table of figures"/>
    <w:basedOn w:val="699"/>
    <w:next w:val="699"/>
    <w:uiPriority w:val="99"/>
    <w:unhideWhenUsed/>
    <w:qFormat/>
    <w:pPr>
      <w:spacing w:after="0" w:afterAutospacing="0"/>
    </w:pPr>
  </w:style>
  <w:style w:type="paragraph" w:styleId="726">
    <w:name w:val="toc 2"/>
    <w:basedOn w:val="699"/>
    <w:next w:val="699"/>
    <w:uiPriority w:val="39"/>
    <w:unhideWhenUsed/>
    <w:qFormat/>
    <w:pPr>
      <w:ind w:left="283" w:right="0" w:firstLine="0"/>
      <w:spacing w:after="57"/>
    </w:pPr>
  </w:style>
  <w:style w:type="paragraph" w:styleId="727">
    <w:name w:val="toc 9"/>
    <w:basedOn w:val="699"/>
    <w:next w:val="699"/>
    <w:uiPriority w:val="39"/>
    <w:unhideWhenUsed/>
    <w:qFormat/>
    <w:pPr>
      <w:ind w:left="2268" w:right="0" w:firstLine="0"/>
      <w:spacing w:after="57"/>
    </w:pPr>
  </w:style>
  <w:style w:type="paragraph" w:styleId="728">
    <w:name w:val="Title"/>
    <w:basedOn w:val="699"/>
    <w:next w:val="699"/>
    <w:link w:val="744"/>
    <w:uiPriority w:val="10"/>
    <w:qFormat/>
    <w:pPr>
      <w:contextualSpacing/>
      <w:spacing w:before="300" w:after="200"/>
    </w:pPr>
    <w:rPr>
      <w:sz w:val="48"/>
      <w:szCs w:val="48"/>
    </w:rPr>
  </w:style>
  <w:style w:type="table" w:styleId="72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0">
    <w:name w:val="endnote reference"/>
    <w:uiPriority w:val="99"/>
    <w:semiHidden/>
    <w:unhideWhenUsed/>
    <w:qFormat/>
    <w:rPr>
      <w:vertAlign w:val="superscript"/>
    </w:rPr>
  </w:style>
  <w:style w:type="character" w:styleId="731">
    <w:name w:val="Hyperlink"/>
    <w:uiPriority w:val="99"/>
    <w:unhideWhenUsed/>
    <w:qFormat/>
    <w:rPr>
      <w:color w:val="0000ff" w:themeColor="hyperlink"/>
      <w:u w:val="single"/>
    </w:rPr>
  </w:style>
  <w:style w:type="character" w:styleId="732">
    <w:name w:val="footnote reference"/>
    <w:uiPriority w:val="99"/>
    <w:unhideWhenUsed/>
    <w:qFormat/>
    <w:rPr>
      <w:vertAlign w:val="superscript"/>
    </w:rPr>
  </w:style>
  <w:style w:type="character" w:styleId="733" w:customStyle="1">
    <w:name w:val="Heading 1 Char"/>
    <w:link w:val="700"/>
    <w:uiPriority w:val="9"/>
    <w:qFormat/>
    <w:rPr>
      <w:rFonts w:ascii="Arial" w:hAnsi="Arial" w:eastAsia="Arial" w:cs="Arial"/>
      <w:sz w:val="40"/>
      <w:szCs w:val="40"/>
    </w:rPr>
  </w:style>
  <w:style w:type="character" w:styleId="734" w:customStyle="1">
    <w:name w:val="Heading 2 Char"/>
    <w:link w:val="701"/>
    <w:uiPriority w:val="9"/>
    <w:qFormat/>
    <w:rPr>
      <w:rFonts w:ascii="Arial" w:hAnsi="Arial" w:eastAsia="Arial" w:cs="Arial"/>
      <w:sz w:val="34"/>
    </w:rPr>
  </w:style>
  <w:style w:type="character" w:styleId="735" w:customStyle="1">
    <w:name w:val="Heading 3 Char"/>
    <w:link w:val="702"/>
    <w:uiPriority w:val="9"/>
    <w:qFormat/>
    <w:rPr>
      <w:rFonts w:ascii="Arial" w:hAnsi="Arial" w:eastAsia="Arial" w:cs="Arial"/>
      <w:sz w:val="30"/>
      <w:szCs w:val="30"/>
    </w:rPr>
  </w:style>
  <w:style w:type="character" w:styleId="736" w:customStyle="1">
    <w:name w:val="Heading 4 Char"/>
    <w:link w:val="703"/>
    <w:uiPriority w:val="9"/>
    <w:qFormat/>
    <w:rPr>
      <w:rFonts w:ascii="Arial" w:hAnsi="Arial" w:eastAsia="Arial" w:cs="Arial"/>
      <w:b/>
      <w:bCs/>
      <w:sz w:val="26"/>
      <w:szCs w:val="26"/>
    </w:rPr>
  </w:style>
  <w:style w:type="character" w:styleId="737" w:customStyle="1">
    <w:name w:val="Heading 5 Char"/>
    <w:link w:val="704"/>
    <w:uiPriority w:val="9"/>
    <w:qFormat/>
    <w:rPr>
      <w:rFonts w:ascii="Arial" w:hAnsi="Arial" w:eastAsia="Arial" w:cs="Arial"/>
      <w:b/>
      <w:bCs/>
      <w:sz w:val="24"/>
      <w:szCs w:val="24"/>
    </w:rPr>
  </w:style>
  <w:style w:type="character" w:styleId="738" w:customStyle="1">
    <w:name w:val="Heading 6 Char"/>
    <w:link w:val="705"/>
    <w:uiPriority w:val="9"/>
    <w:qFormat/>
    <w:rPr>
      <w:rFonts w:ascii="Arial" w:hAnsi="Arial" w:eastAsia="Arial" w:cs="Arial"/>
      <w:b/>
      <w:bCs/>
      <w:sz w:val="22"/>
      <w:szCs w:val="22"/>
    </w:rPr>
  </w:style>
  <w:style w:type="character" w:styleId="739" w:customStyle="1">
    <w:name w:val="Heading 7 Char"/>
    <w:link w:val="706"/>
    <w:uiPriority w:val="9"/>
    <w:qFormat/>
    <w:rPr>
      <w:rFonts w:ascii="Arial" w:hAnsi="Arial" w:eastAsia="Arial" w:cs="Arial"/>
      <w:b/>
      <w:bCs/>
      <w:i/>
      <w:iCs/>
      <w:sz w:val="22"/>
      <w:szCs w:val="22"/>
    </w:rPr>
  </w:style>
  <w:style w:type="character" w:styleId="740" w:customStyle="1">
    <w:name w:val="Heading 8 Char"/>
    <w:link w:val="707"/>
    <w:uiPriority w:val="9"/>
    <w:qFormat/>
    <w:rPr>
      <w:rFonts w:ascii="Arial" w:hAnsi="Arial" w:eastAsia="Arial" w:cs="Arial"/>
      <w:i/>
      <w:iCs/>
      <w:sz w:val="22"/>
      <w:szCs w:val="22"/>
    </w:rPr>
  </w:style>
  <w:style w:type="character" w:styleId="741" w:customStyle="1">
    <w:name w:val="Heading 9 Char"/>
    <w:link w:val="708"/>
    <w:uiPriority w:val="9"/>
    <w:qFormat/>
    <w:rPr>
      <w:rFonts w:ascii="Arial" w:hAnsi="Arial" w:eastAsia="Arial" w:cs="Arial"/>
      <w:i/>
      <w:iCs/>
      <w:sz w:val="21"/>
      <w:szCs w:val="21"/>
    </w:rPr>
  </w:style>
  <w:style w:type="paragraph" w:styleId="742">
    <w:name w:val="List Paragraph"/>
    <w:basedOn w:val="699"/>
    <w:uiPriority w:val="34"/>
    <w:qFormat/>
    <w:pPr>
      <w:contextualSpacing/>
      <w:ind w:left="720"/>
    </w:pPr>
  </w:style>
  <w:style w:type="paragraph" w:styleId="743">
    <w:name w:val="No Spacing"/>
    <w:uiPriority w:val="1"/>
    <w:qFormat/>
    <w:pPr>
      <w:spacing w:before="0" w:after="0" w:line="240" w:lineRule="auto"/>
    </w:pPr>
    <w:rPr>
      <w:rFonts w:hint="default" w:ascii="Times New Roman" w:hAnsi="Times New Roman" w:eastAsia="宋体" w:cs="Times New Roman"/>
    </w:rPr>
  </w:style>
  <w:style w:type="character" w:styleId="744" w:customStyle="1">
    <w:name w:val="Title Char"/>
    <w:link w:val="728"/>
    <w:uiPriority w:val="10"/>
    <w:qFormat/>
    <w:rPr>
      <w:sz w:val="48"/>
      <w:szCs w:val="48"/>
    </w:rPr>
  </w:style>
  <w:style w:type="character" w:styleId="745" w:customStyle="1">
    <w:name w:val="Subtitle Char"/>
    <w:link w:val="722"/>
    <w:uiPriority w:val="11"/>
    <w:qFormat/>
    <w:rPr>
      <w:sz w:val="24"/>
      <w:szCs w:val="24"/>
    </w:rPr>
  </w:style>
  <w:style w:type="paragraph" w:styleId="746">
    <w:name w:val="Quote"/>
    <w:basedOn w:val="699"/>
    <w:next w:val="699"/>
    <w:link w:val="747"/>
    <w:uiPriority w:val="29"/>
    <w:qFormat/>
    <w:pPr>
      <w:ind w:left="720" w:right="720"/>
    </w:pPr>
    <w:rPr>
      <w:i/>
    </w:rPr>
  </w:style>
  <w:style w:type="character" w:styleId="747" w:customStyle="1">
    <w:name w:val="Quote Char"/>
    <w:link w:val="746"/>
    <w:uiPriority w:val="29"/>
    <w:qFormat/>
    <w:rPr>
      <w:i/>
    </w:rPr>
  </w:style>
  <w:style w:type="paragraph" w:styleId="748">
    <w:name w:val="Intense Quote"/>
    <w:basedOn w:val="699"/>
    <w:next w:val="699"/>
    <w:link w:val="7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customStyle="1">
    <w:name w:val="Intense Quote Char"/>
    <w:link w:val="748"/>
    <w:uiPriority w:val="30"/>
    <w:qFormat/>
    <w:rPr>
      <w:i/>
    </w:rPr>
  </w:style>
  <w:style w:type="character" w:styleId="750" w:customStyle="1">
    <w:name w:val="Header Char"/>
    <w:link w:val="719"/>
    <w:uiPriority w:val="99"/>
    <w:qFormat/>
  </w:style>
  <w:style w:type="character" w:styleId="751" w:customStyle="1">
    <w:name w:val="Footer Char"/>
    <w:link w:val="718"/>
    <w:uiPriority w:val="99"/>
    <w:qFormat/>
  </w:style>
  <w:style w:type="character" w:styleId="752" w:customStyle="1">
    <w:name w:val="Caption Char"/>
    <w:link w:val="718"/>
    <w:uiPriority w:val="99"/>
    <w:qFormat/>
  </w:style>
  <w:style w:type="table" w:styleId="75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0"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1"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2"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3"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2"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3"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4"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5"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6"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7"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9"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1"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2"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3"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5"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9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0"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1"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7"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1"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2"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3"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5"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6"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8"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0"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1"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2"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5"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6"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7"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8"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9"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2"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3"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4"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5"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6"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7"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8"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9"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1"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2"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4"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5"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6"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47"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9"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2"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6"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7"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8"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2"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4"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5"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7"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8" w:customStyle="1">
    <w:name w:val="Footnote Text Char"/>
    <w:link w:val="723"/>
    <w:uiPriority w:val="99"/>
    <w:qFormat/>
    <w:rPr>
      <w:sz w:val="18"/>
    </w:rPr>
  </w:style>
  <w:style w:type="character" w:styleId="879" w:customStyle="1">
    <w:name w:val="Endnote Text Char"/>
    <w:link w:val="717"/>
    <w:uiPriority w:val="99"/>
    <w:rPr>
      <w:sz w:val="20"/>
    </w:rPr>
  </w:style>
  <w:style w:type="paragraph" w:styleId="880" w:customStyle="1">
    <w:name w:val="TOC Heading"/>
    <w:uiPriority w:val="39"/>
    <w:unhideWhenUsed/>
    <w:qFormat/>
    <w:rPr>
      <w:rFonts w:hint="default" w:ascii="Times New Roman" w:hAnsi="Times New Roman" w:eastAsia="宋体" w:cs="Times New Roman"/>
    </w:rPr>
  </w:style>
  <w:style w:type="paragraph" w:styleId="881" w:customStyle="1">
    <w:name w:val="标题 11"/>
    <w:basedOn w:val="699"/>
    <w:next w:val="699"/>
    <w:link w:val="893"/>
    <w:uiPriority w:val="0"/>
    <w:qFormat/>
    <w:pPr>
      <w:numPr>
        <w:ilvl w:val="0"/>
        <w:numId w:val="1"/>
      </w:numPr>
      <w:jc w:val="center"/>
      <w:keepNext/>
      <w:outlineLvl w:val="0"/>
    </w:pPr>
    <w:rPr>
      <w:rFonts w:ascii="宋体" w:hAnsi="宋体" w:eastAsia="宋体" w:cs="Times New Roman"/>
      <w:sz w:val="36"/>
      <w:szCs w:val="28"/>
    </w:rPr>
  </w:style>
  <w:style w:type="paragraph" w:styleId="882" w:customStyle="1">
    <w:name w:val="标题 21"/>
    <w:basedOn w:val="699"/>
    <w:next w:val="883"/>
    <w:link w:val="894"/>
    <w:uiPriority w:val="0"/>
    <w:qFormat/>
    <w:pPr>
      <w:jc w:val="center"/>
      <w:keepLines/>
      <w:keepNext/>
      <w:spacing w:line="240" w:lineRule="auto"/>
      <w:outlineLvl w:val="1"/>
    </w:pPr>
    <w:rPr>
      <w:rFonts w:ascii="Arial" w:hAnsi="Arial" w:eastAsia="宋体" w:cs="Arial"/>
      <w:bCs/>
      <w:sz w:val="36"/>
      <w:szCs w:val="44"/>
    </w:rPr>
  </w:style>
  <w:style w:type="paragraph" w:styleId="883" w:customStyle="1">
    <w:name w:val="正文缩进1"/>
    <w:basedOn w:val="699"/>
    <w:next w:val="699"/>
    <w:link w:val="895"/>
    <w:uiPriority w:val="0"/>
    <w:qFormat/>
    <w:pPr>
      <w:ind w:firstLine="420"/>
    </w:pPr>
    <w:rPr>
      <w:szCs w:val="21"/>
    </w:rPr>
  </w:style>
  <w:style w:type="paragraph" w:styleId="884" w:customStyle="1">
    <w:name w:val="标题 311"/>
    <w:basedOn w:val="699"/>
    <w:next w:val="883"/>
    <w:link w:val="896"/>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5" w:customStyle="1">
    <w:name w:val="标题 41"/>
    <w:basedOn w:val="699"/>
    <w:next w:val="883"/>
    <w:link w:val="897"/>
    <w:uiPriority w:val="0"/>
    <w:qFormat/>
    <w:pPr>
      <w:keepLines/>
      <w:keepNext/>
      <w:spacing w:before="280" w:after="290" w:line="376" w:lineRule="auto"/>
      <w:outlineLvl w:val="3"/>
    </w:pPr>
    <w:rPr>
      <w:rFonts w:ascii="Arial" w:hAnsi="Arial" w:eastAsia="黑体" w:cs="Arial"/>
      <w:b/>
      <w:bCs/>
      <w:sz w:val="28"/>
      <w:szCs w:val="28"/>
    </w:rPr>
  </w:style>
  <w:style w:type="paragraph" w:styleId="886" w:customStyle="1">
    <w:name w:val="标题 51"/>
    <w:basedOn w:val="699"/>
    <w:next w:val="883"/>
    <w:link w:val="898"/>
    <w:uiPriority w:val="0"/>
    <w:qFormat/>
    <w:pPr>
      <w:keepNext/>
      <w:outlineLvl w:val="4"/>
    </w:pPr>
    <w:rPr>
      <w:rFonts w:ascii="宋体" w:hAnsi="Times New Roman" w:eastAsia="宋体" w:cs="Times New Roman"/>
      <w:color w:val="000000"/>
      <w:sz w:val="28"/>
      <w:szCs w:val="28"/>
    </w:rPr>
  </w:style>
  <w:style w:type="paragraph" w:styleId="887" w:customStyle="1">
    <w:name w:val="标题 61"/>
    <w:basedOn w:val="699"/>
    <w:next w:val="699"/>
    <w:link w:val="899"/>
    <w:uiPriority w:val="0"/>
    <w:qFormat/>
    <w:pPr>
      <w:numPr>
        <w:ilvl w:val="5"/>
        <w:numId w:val="2"/>
      </w:numPr>
      <w:keepLines/>
      <w:keepNext/>
      <w:spacing w:before="240" w:after="64" w:line="320" w:lineRule="auto"/>
      <w:outlineLvl w:val="5"/>
    </w:pPr>
    <w:rPr>
      <w:rFonts w:ascii="Arial" w:hAnsi="Arial" w:eastAsia="黑体" w:cs="Times New Roman"/>
      <w:b/>
      <w:bCs/>
      <w:sz w:val="24"/>
      <w:szCs w:val="24"/>
    </w:rPr>
  </w:style>
  <w:style w:type="paragraph" w:styleId="888" w:customStyle="1">
    <w:name w:val="标题 71"/>
    <w:basedOn w:val="699"/>
    <w:next w:val="699"/>
    <w:link w:val="900"/>
    <w:uiPriority w:val="0"/>
    <w:qFormat/>
    <w:pPr>
      <w:numPr>
        <w:ilvl w:val="6"/>
        <w:numId w:val="2"/>
      </w:numPr>
      <w:keepLines/>
      <w:keepNext/>
      <w:spacing w:before="240" w:after="64" w:line="320" w:lineRule="auto"/>
      <w:outlineLvl w:val="6"/>
    </w:pPr>
    <w:rPr>
      <w:rFonts w:ascii="Times New Roman" w:hAnsi="Times New Roman" w:eastAsia="宋体" w:cs="Times New Roman"/>
      <w:b/>
      <w:bCs/>
      <w:sz w:val="24"/>
      <w:szCs w:val="24"/>
    </w:rPr>
  </w:style>
  <w:style w:type="paragraph" w:styleId="889" w:customStyle="1">
    <w:name w:val="标题 81"/>
    <w:basedOn w:val="699"/>
    <w:next w:val="699"/>
    <w:link w:val="901"/>
    <w:uiPriority w:val="0"/>
    <w:qFormat/>
    <w:pPr>
      <w:numPr>
        <w:ilvl w:val="7"/>
        <w:numId w:val="2"/>
      </w:numPr>
      <w:keepLines/>
      <w:keepNext/>
      <w:spacing w:before="240" w:after="64" w:line="320" w:lineRule="auto"/>
      <w:outlineLvl w:val="7"/>
    </w:pPr>
    <w:rPr>
      <w:rFonts w:ascii="Arial" w:hAnsi="Arial" w:eastAsia="黑体" w:cs="Times New Roman"/>
      <w:sz w:val="24"/>
      <w:szCs w:val="24"/>
    </w:rPr>
  </w:style>
  <w:style w:type="paragraph" w:styleId="890" w:customStyle="1">
    <w:name w:val="标题 91"/>
    <w:basedOn w:val="699"/>
    <w:next w:val="699"/>
    <w:link w:val="902"/>
    <w:uiPriority w:val="0"/>
    <w:qFormat/>
    <w:pPr>
      <w:numPr>
        <w:ilvl w:val="8"/>
        <w:numId w:val="2"/>
      </w:numPr>
      <w:keepLines/>
      <w:keepNext/>
      <w:spacing w:before="240" w:after="64" w:line="320" w:lineRule="auto"/>
      <w:outlineLvl w:val="8"/>
    </w:pPr>
    <w:rPr>
      <w:rFonts w:ascii="Arial" w:hAnsi="Arial" w:eastAsia="黑体" w:cs="Times New Roman"/>
      <w:szCs w:val="21"/>
    </w:rPr>
  </w:style>
  <w:style w:type="character" w:styleId="891" w:customStyle="1">
    <w:name w:val="默认段落字体1"/>
    <w:link w:val="699"/>
    <w:uiPriority w:val="1"/>
    <w:unhideWhenUsed/>
  </w:style>
  <w:style w:type="table" w:styleId="892" w:customStyle="1">
    <w:name w:val="普通表格1"/>
    <w:uiPriority w:val="99"/>
    <w:unhideWhenUsed/>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93" w:customStyle="1">
    <w:name w:val="标题 1 字符"/>
    <w:link w:val="881"/>
    <w:uiPriority w:val="0"/>
    <w:rPr>
      <w:rFonts w:ascii="宋体" w:hAnsi="宋体" w:eastAsia="宋体" w:cs="Times New Roman"/>
      <w:sz w:val="36"/>
      <w:szCs w:val="28"/>
    </w:rPr>
  </w:style>
  <w:style w:type="character" w:styleId="894" w:customStyle="1">
    <w:name w:val="标题 2 字符"/>
    <w:link w:val="882"/>
    <w:uiPriority w:val="0"/>
    <w:rPr>
      <w:rFonts w:ascii="Arial" w:hAnsi="Arial" w:eastAsia="宋体" w:cs="Arial"/>
      <w:bCs/>
      <w:sz w:val="36"/>
      <w:szCs w:val="44"/>
    </w:rPr>
  </w:style>
  <w:style w:type="character" w:styleId="895" w:customStyle="1">
    <w:name w:val="正文缩进 字符"/>
    <w:link w:val="883"/>
    <w:uiPriority w:val="0"/>
    <w:rPr>
      <w:szCs w:val="21"/>
    </w:rPr>
  </w:style>
  <w:style w:type="character" w:styleId="896" w:customStyle="1">
    <w:name w:val="标题 3 字符"/>
    <w:link w:val="884"/>
    <w:uiPriority w:val="0"/>
    <w:rPr>
      <w:rFonts w:ascii="Times New Roman" w:hAnsi="Times New Roman" w:eastAsia="宋体" w:cs="Times New Roman"/>
      <w:b/>
      <w:bCs/>
      <w:sz w:val="32"/>
      <w:szCs w:val="32"/>
    </w:rPr>
  </w:style>
  <w:style w:type="character" w:styleId="897" w:customStyle="1">
    <w:name w:val="标题 4 字符"/>
    <w:link w:val="885"/>
    <w:uiPriority w:val="0"/>
    <w:rPr>
      <w:rFonts w:ascii="Arial" w:hAnsi="Arial" w:eastAsia="黑体" w:cs="Arial"/>
      <w:b/>
      <w:bCs/>
      <w:sz w:val="28"/>
      <w:szCs w:val="28"/>
    </w:rPr>
  </w:style>
  <w:style w:type="character" w:styleId="898" w:customStyle="1">
    <w:name w:val="标题 5 字符"/>
    <w:link w:val="886"/>
    <w:uiPriority w:val="0"/>
    <w:qFormat/>
    <w:rPr>
      <w:rFonts w:ascii="宋体" w:hAnsi="Times New Roman" w:eastAsia="宋体" w:cs="Times New Roman"/>
      <w:color w:val="000000"/>
      <w:sz w:val="28"/>
      <w:szCs w:val="28"/>
    </w:rPr>
  </w:style>
  <w:style w:type="character" w:styleId="899" w:customStyle="1">
    <w:name w:val="标题 6 字符"/>
    <w:link w:val="887"/>
    <w:uiPriority w:val="0"/>
    <w:qFormat/>
    <w:rPr>
      <w:rFonts w:ascii="Arial" w:hAnsi="Arial" w:eastAsia="黑体"/>
      <w:b/>
      <w:bCs/>
      <w:sz w:val="24"/>
      <w:szCs w:val="24"/>
    </w:rPr>
  </w:style>
  <w:style w:type="character" w:styleId="900" w:customStyle="1">
    <w:name w:val="标题 7 字符"/>
    <w:link w:val="888"/>
    <w:uiPriority w:val="0"/>
    <w:rPr>
      <w:rFonts w:ascii="Times New Roman" w:hAnsi="Times New Roman"/>
      <w:b/>
      <w:bCs/>
      <w:sz w:val="24"/>
      <w:szCs w:val="24"/>
    </w:rPr>
  </w:style>
  <w:style w:type="character" w:styleId="901" w:customStyle="1">
    <w:name w:val="标题 8 字符"/>
    <w:link w:val="889"/>
    <w:uiPriority w:val="0"/>
    <w:rPr>
      <w:rFonts w:ascii="Arial" w:hAnsi="Arial" w:eastAsia="黑体"/>
      <w:sz w:val="24"/>
      <w:szCs w:val="24"/>
    </w:rPr>
  </w:style>
  <w:style w:type="character" w:styleId="902" w:customStyle="1">
    <w:name w:val="标题 9 字符"/>
    <w:link w:val="890"/>
    <w:uiPriority w:val="0"/>
    <w:rPr>
      <w:rFonts w:ascii="Arial" w:hAnsi="Arial" w:eastAsia="黑体"/>
      <w:sz w:val="21"/>
      <w:szCs w:val="21"/>
    </w:rPr>
  </w:style>
  <w:style w:type="paragraph" w:styleId="903" w:customStyle="1">
    <w:name w:val="列表 31"/>
    <w:basedOn w:val="699"/>
    <w:uiPriority w:val="0"/>
    <w:pPr>
      <w:ind w:left="100" w:hanging="200"/>
    </w:pPr>
    <w:rPr>
      <w:rFonts w:ascii="Times New Roman" w:hAnsi="Times New Roman" w:eastAsia="宋体" w:cs="Times New Roman"/>
      <w:szCs w:val="21"/>
    </w:rPr>
  </w:style>
  <w:style w:type="paragraph" w:styleId="904" w:customStyle="1">
    <w:name w:val="目录 71"/>
    <w:basedOn w:val="699"/>
    <w:next w:val="699"/>
    <w:uiPriority w:val="0"/>
    <w:semiHidden/>
    <w:pPr>
      <w:ind w:left="1260"/>
      <w:jc w:val="left"/>
    </w:pPr>
    <w:rPr>
      <w:rFonts w:ascii="Times New Roman" w:hAnsi="Times New Roman" w:eastAsia="宋体" w:cs="Times New Roman"/>
      <w:szCs w:val="21"/>
    </w:rPr>
  </w:style>
  <w:style w:type="paragraph" w:styleId="905" w:customStyle="1">
    <w:name w:val="文档结构图1"/>
    <w:basedOn w:val="699"/>
    <w:link w:val="906"/>
    <w:uiPriority w:val="0"/>
    <w:semiHidden/>
    <w:pPr>
      <w:shd w:val="clear" w:color="auto" w:fill="000080"/>
    </w:pPr>
    <w:rPr>
      <w:rFonts w:ascii="Times New Roman" w:hAnsi="Times New Roman" w:eastAsia="宋体" w:cs="Times New Roman"/>
      <w:szCs w:val="21"/>
    </w:rPr>
  </w:style>
  <w:style w:type="character" w:styleId="906" w:customStyle="1">
    <w:name w:val="文档结构图 字符"/>
    <w:link w:val="905"/>
    <w:uiPriority w:val="0"/>
    <w:semiHidden/>
    <w:rPr>
      <w:rFonts w:ascii="Times New Roman" w:hAnsi="Times New Roman" w:eastAsia="宋体" w:cs="Times New Roman"/>
      <w:szCs w:val="21"/>
      <w:shd w:val="clear" w:color="auto" w:fill="000080"/>
    </w:rPr>
  </w:style>
  <w:style w:type="paragraph" w:styleId="907" w:customStyle="1">
    <w:name w:val="批注文字1"/>
    <w:basedOn w:val="699"/>
    <w:link w:val="908"/>
    <w:uiPriority w:val="0"/>
    <w:unhideWhenUsed/>
    <w:pPr>
      <w:jc w:val="left"/>
    </w:pPr>
  </w:style>
  <w:style w:type="character" w:styleId="908" w:customStyle="1">
    <w:name w:val="批注文字 字符"/>
    <w:link w:val="907"/>
    <w:uiPriority w:val="99"/>
    <w:semiHidden/>
  </w:style>
  <w:style w:type="paragraph" w:styleId="909" w:customStyle="1">
    <w:name w:val="正文文本 31"/>
    <w:basedOn w:val="699"/>
    <w:link w:val="910"/>
    <w:uiPriority w:val="0"/>
    <w:rPr>
      <w:rFonts w:ascii="仿宋_GB2312" w:hAnsi="Arial" w:eastAsia="仿宋_GB2312" w:cs="Times New Roman"/>
      <w:sz w:val="32"/>
      <w:szCs w:val="32"/>
    </w:rPr>
  </w:style>
  <w:style w:type="character" w:styleId="910" w:customStyle="1">
    <w:name w:val="正文文本 3 字符"/>
    <w:link w:val="909"/>
    <w:uiPriority w:val="0"/>
    <w:qFormat/>
    <w:rPr>
      <w:rFonts w:ascii="仿宋_GB2312" w:hAnsi="Arial" w:eastAsia="仿宋_GB2312" w:cs="Times New Roman"/>
      <w:sz w:val="32"/>
      <w:szCs w:val="32"/>
    </w:rPr>
  </w:style>
  <w:style w:type="paragraph" w:styleId="911" w:customStyle="1">
    <w:name w:val="正文文本1"/>
    <w:basedOn w:val="699"/>
    <w:next w:val="699"/>
    <w:link w:val="912"/>
    <w:uiPriority w:val="0"/>
    <w:qFormat/>
    <w:rPr>
      <w:rFonts w:ascii="楷体_GB2312" w:hAnsi="Arial" w:eastAsia="楷体_GB2312" w:cs="Times New Roman"/>
      <w:sz w:val="28"/>
      <w:szCs w:val="28"/>
    </w:rPr>
  </w:style>
  <w:style w:type="character" w:styleId="912" w:customStyle="1">
    <w:name w:val="正文文本 字符"/>
    <w:link w:val="911"/>
    <w:uiPriority w:val="0"/>
    <w:rPr>
      <w:rFonts w:ascii="楷体_GB2312" w:hAnsi="Arial" w:eastAsia="楷体_GB2312" w:cs="Times New Roman"/>
      <w:sz w:val="28"/>
      <w:szCs w:val="28"/>
    </w:rPr>
  </w:style>
  <w:style w:type="paragraph" w:styleId="913" w:customStyle="1">
    <w:name w:val="正文文本缩进1"/>
    <w:basedOn w:val="699"/>
    <w:next w:val="699"/>
    <w:link w:val="914"/>
    <w:uiPriority w:val="0"/>
    <w:unhideWhenUsed/>
    <w:qFormat/>
    <w:pPr>
      <w:ind w:left="420"/>
      <w:spacing w:after="120"/>
    </w:pPr>
  </w:style>
  <w:style w:type="character" w:styleId="914" w:customStyle="1">
    <w:name w:val="正文文本缩进 字符"/>
    <w:link w:val="913"/>
    <w:uiPriority w:val="99"/>
    <w:semiHidden/>
  </w:style>
  <w:style w:type="paragraph" w:styleId="915" w:customStyle="1">
    <w:name w:val="列表 21"/>
    <w:basedOn w:val="699"/>
    <w:uiPriority w:val="0"/>
    <w:qFormat/>
    <w:pPr>
      <w:ind w:left="100" w:hanging="200"/>
    </w:pPr>
    <w:rPr>
      <w:rFonts w:ascii="Times New Roman" w:hAnsi="Times New Roman" w:eastAsia="宋体" w:cs="Times New Roman"/>
      <w:szCs w:val="21"/>
    </w:rPr>
  </w:style>
  <w:style w:type="paragraph" w:styleId="916" w:customStyle="1">
    <w:name w:val="目录 51"/>
    <w:basedOn w:val="699"/>
    <w:next w:val="699"/>
    <w:uiPriority w:val="0"/>
    <w:semiHidden/>
    <w:pPr>
      <w:ind w:left="840"/>
      <w:jc w:val="left"/>
    </w:pPr>
    <w:rPr>
      <w:rFonts w:ascii="Times New Roman" w:hAnsi="Times New Roman" w:eastAsia="宋体" w:cs="Times New Roman"/>
      <w:szCs w:val="21"/>
    </w:rPr>
  </w:style>
  <w:style w:type="paragraph" w:styleId="917" w:customStyle="1">
    <w:name w:val="目录 31"/>
    <w:basedOn w:val="699"/>
    <w:next w:val="699"/>
    <w:uiPriority w:val="0"/>
    <w:semiHidden/>
    <w:pPr>
      <w:ind w:left="420"/>
      <w:jc w:val="left"/>
    </w:pPr>
    <w:rPr>
      <w:rFonts w:ascii="Times New Roman" w:hAnsi="Times New Roman" w:eastAsia="宋体" w:cs="Times New Roman"/>
      <w:i/>
      <w:iCs/>
      <w:szCs w:val="24"/>
    </w:rPr>
  </w:style>
  <w:style w:type="paragraph" w:styleId="918" w:customStyle="1">
    <w:name w:val="纯文本1"/>
    <w:basedOn w:val="699"/>
    <w:link w:val="919"/>
    <w:uiPriority w:val="0"/>
    <w:qFormat/>
    <w:rPr>
      <w:rFonts w:ascii="宋体" w:hAnsi="Courier New" w:eastAsia="宋体" w:cs="Courier New"/>
      <w:szCs w:val="21"/>
    </w:rPr>
  </w:style>
  <w:style w:type="character" w:styleId="919" w:customStyle="1">
    <w:name w:val="纯文本 字符"/>
    <w:link w:val="918"/>
    <w:uiPriority w:val="0"/>
    <w:rPr>
      <w:rFonts w:ascii="宋体" w:hAnsi="Courier New" w:eastAsia="宋体" w:cs="Courier New"/>
      <w:szCs w:val="21"/>
    </w:rPr>
  </w:style>
  <w:style w:type="paragraph" w:styleId="920" w:customStyle="1">
    <w:name w:val="目录 81"/>
    <w:basedOn w:val="699"/>
    <w:next w:val="699"/>
    <w:uiPriority w:val="0"/>
    <w:semiHidden/>
    <w:qFormat/>
    <w:pPr>
      <w:ind w:left="1470"/>
      <w:jc w:val="left"/>
    </w:pPr>
    <w:rPr>
      <w:rFonts w:ascii="Times New Roman" w:hAnsi="Times New Roman" w:eastAsia="宋体" w:cs="Times New Roman"/>
      <w:szCs w:val="21"/>
    </w:rPr>
  </w:style>
  <w:style w:type="paragraph" w:styleId="921" w:customStyle="1">
    <w:name w:val="日期1"/>
    <w:basedOn w:val="699"/>
    <w:next w:val="699"/>
    <w:link w:val="922"/>
    <w:uiPriority w:val="0"/>
    <w:rPr>
      <w:rFonts w:ascii="Times New Roman" w:hAnsi="Times New Roman" w:eastAsia="宋体" w:cs="Times New Roman"/>
      <w:sz w:val="24"/>
      <w:szCs w:val="24"/>
    </w:rPr>
  </w:style>
  <w:style w:type="character" w:styleId="922" w:customStyle="1">
    <w:name w:val="日期 字符"/>
    <w:link w:val="921"/>
    <w:uiPriority w:val="0"/>
    <w:rPr>
      <w:rFonts w:ascii="Times New Roman" w:hAnsi="Times New Roman" w:eastAsia="宋体" w:cs="Times New Roman"/>
      <w:sz w:val="24"/>
      <w:szCs w:val="24"/>
    </w:rPr>
  </w:style>
  <w:style w:type="paragraph" w:styleId="923" w:customStyle="1">
    <w:name w:val="正文文本缩进 21"/>
    <w:basedOn w:val="699"/>
    <w:link w:val="924"/>
    <w:uiPriority w:val="0"/>
    <w:qFormat/>
    <w:pPr>
      <w:ind w:left="630" w:firstLine="645"/>
    </w:pPr>
    <w:rPr>
      <w:rFonts w:ascii="Arial" w:hAnsi="Arial" w:eastAsia="仿宋_GB2312" w:cs="Arial"/>
      <w:sz w:val="32"/>
      <w:szCs w:val="32"/>
    </w:rPr>
  </w:style>
  <w:style w:type="character" w:styleId="924" w:customStyle="1">
    <w:name w:val="正文文本缩进 2 字符"/>
    <w:link w:val="923"/>
    <w:uiPriority w:val="0"/>
    <w:rPr>
      <w:rFonts w:ascii="Arial" w:hAnsi="Arial" w:eastAsia="仿宋_GB2312" w:cs="Arial"/>
      <w:sz w:val="32"/>
      <w:szCs w:val="32"/>
    </w:rPr>
  </w:style>
  <w:style w:type="paragraph" w:styleId="925" w:customStyle="1">
    <w:name w:val="批注框文本1"/>
    <w:basedOn w:val="699"/>
    <w:link w:val="926"/>
    <w:uiPriority w:val="0"/>
    <w:semiHidden/>
    <w:qFormat/>
    <w:rPr>
      <w:rFonts w:ascii="Times New Roman" w:hAnsi="Times New Roman" w:eastAsia="宋体" w:cs="Times New Roman"/>
      <w:sz w:val="18"/>
      <w:szCs w:val="18"/>
    </w:rPr>
  </w:style>
  <w:style w:type="character" w:styleId="926" w:customStyle="1">
    <w:name w:val="批注框文本 字符"/>
    <w:link w:val="925"/>
    <w:uiPriority w:val="0"/>
    <w:semiHidden/>
    <w:rPr>
      <w:rFonts w:ascii="Times New Roman" w:hAnsi="Times New Roman" w:eastAsia="宋体" w:cs="Times New Roman"/>
      <w:sz w:val="18"/>
      <w:szCs w:val="18"/>
    </w:rPr>
  </w:style>
  <w:style w:type="paragraph" w:styleId="927" w:customStyle="1">
    <w:name w:val="页脚1"/>
    <w:basedOn w:val="699"/>
    <w:link w:val="928"/>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28" w:customStyle="1">
    <w:name w:val="页脚 字符"/>
    <w:link w:val="927"/>
    <w:uiPriority w:val="0"/>
    <w:rPr>
      <w:rFonts w:ascii="Times New Roman" w:hAnsi="Times New Roman" w:eastAsia="宋体" w:cs="Times New Roman"/>
      <w:sz w:val="18"/>
      <w:szCs w:val="18"/>
    </w:rPr>
  </w:style>
  <w:style w:type="paragraph" w:styleId="929" w:customStyle="1">
    <w:name w:val="页眉1"/>
    <w:basedOn w:val="699"/>
    <w:link w:val="930"/>
    <w:uiPriority w:val="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30" w:customStyle="1">
    <w:name w:val="页眉 字符"/>
    <w:link w:val="929"/>
    <w:uiPriority w:val="0"/>
    <w:qFormat/>
    <w:rPr>
      <w:rFonts w:ascii="Times New Roman" w:hAnsi="Times New Roman" w:eastAsia="宋体" w:cs="Times New Roman"/>
      <w:sz w:val="18"/>
      <w:szCs w:val="18"/>
    </w:rPr>
  </w:style>
  <w:style w:type="paragraph" w:styleId="931" w:customStyle="1">
    <w:name w:val="目录 11"/>
    <w:basedOn w:val="699"/>
    <w:next w:val="699"/>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32" w:customStyle="1">
    <w:name w:val="目录 41"/>
    <w:basedOn w:val="699"/>
    <w:next w:val="699"/>
    <w:uiPriority w:val="0"/>
    <w:semiHidden/>
    <w:pPr>
      <w:ind w:left="630"/>
      <w:jc w:val="left"/>
    </w:pPr>
    <w:rPr>
      <w:rFonts w:ascii="Times New Roman" w:hAnsi="Times New Roman" w:eastAsia="宋体" w:cs="Times New Roman"/>
      <w:szCs w:val="21"/>
    </w:rPr>
  </w:style>
  <w:style w:type="paragraph" w:styleId="933" w:customStyle="1">
    <w:name w:val="列表1"/>
    <w:basedOn w:val="699"/>
    <w:uiPriority w:val="0"/>
    <w:pPr>
      <w:ind w:left="200" w:hanging="200"/>
    </w:pPr>
    <w:rPr>
      <w:rFonts w:ascii="Times New Roman" w:hAnsi="Times New Roman" w:eastAsia="宋体" w:cs="Times New Roman"/>
      <w:szCs w:val="21"/>
    </w:rPr>
  </w:style>
  <w:style w:type="paragraph" w:styleId="934" w:customStyle="1">
    <w:name w:val="目录 61"/>
    <w:basedOn w:val="699"/>
    <w:next w:val="699"/>
    <w:uiPriority w:val="0"/>
    <w:semiHidden/>
    <w:pPr>
      <w:ind w:left="1050"/>
      <w:jc w:val="left"/>
    </w:pPr>
    <w:rPr>
      <w:rFonts w:ascii="Times New Roman" w:hAnsi="Times New Roman" w:eastAsia="宋体" w:cs="Times New Roman"/>
      <w:szCs w:val="21"/>
    </w:rPr>
  </w:style>
  <w:style w:type="paragraph" w:styleId="935" w:customStyle="1">
    <w:name w:val="正文文本缩进 31"/>
    <w:basedOn w:val="699"/>
    <w:link w:val="936"/>
    <w:uiPriority w:val="0"/>
    <w:pPr>
      <w:ind w:left="645" w:firstLine="645"/>
    </w:pPr>
    <w:rPr>
      <w:rFonts w:ascii="Arial" w:hAnsi="Arial" w:eastAsia="仿宋_GB2312" w:cs="Arial"/>
      <w:color w:val="ffff00"/>
      <w:sz w:val="32"/>
      <w:szCs w:val="32"/>
    </w:rPr>
  </w:style>
  <w:style w:type="character" w:styleId="936" w:customStyle="1">
    <w:name w:val="正文文本缩进 3 字符"/>
    <w:link w:val="935"/>
    <w:uiPriority w:val="0"/>
    <w:rPr>
      <w:rFonts w:ascii="Arial" w:hAnsi="Arial" w:eastAsia="仿宋_GB2312" w:cs="Arial"/>
      <w:color w:val="ffff00"/>
      <w:sz w:val="32"/>
      <w:szCs w:val="32"/>
    </w:rPr>
  </w:style>
  <w:style w:type="paragraph" w:styleId="937" w:customStyle="1">
    <w:name w:val="图表目录1"/>
    <w:basedOn w:val="699"/>
    <w:next w:val="699"/>
    <w:uiPriority w:val="0"/>
    <w:semiHidden/>
    <w:pPr>
      <w:ind w:left="840" w:hanging="420"/>
    </w:pPr>
    <w:rPr>
      <w:rFonts w:ascii="Times New Roman" w:hAnsi="Times New Roman" w:eastAsia="宋体" w:cs="Times New Roman"/>
      <w:szCs w:val="21"/>
    </w:rPr>
  </w:style>
  <w:style w:type="paragraph" w:styleId="938" w:customStyle="1">
    <w:name w:val="目录 21"/>
    <w:basedOn w:val="699"/>
    <w:next w:val="699"/>
    <w:uiPriority w:val="0"/>
    <w:semiHidden/>
    <w:pPr>
      <w:ind w:left="210"/>
      <w:jc w:val="left"/>
    </w:pPr>
    <w:rPr>
      <w:rFonts w:ascii="Times New Roman" w:hAnsi="Times New Roman" w:eastAsia="宋体" w:cs="Times New Roman"/>
      <w:smallCaps/>
      <w:szCs w:val="24"/>
    </w:rPr>
  </w:style>
  <w:style w:type="paragraph" w:styleId="939" w:customStyle="1">
    <w:name w:val="目录 91"/>
    <w:basedOn w:val="699"/>
    <w:next w:val="699"/>
    <w:uiPriority w:val="0"/>
    <w:semiHidden/>
    <w:pPr>
      <w:ind w:left="1680"/>
      <w:jc w:val="left"/>
    </w:pPr>
    <w:rPr>
      <w:rFonts w:ascii="Times New Roman" w:hAnsi="Times New Roman" w:eastAsia="宋体" w:cs="Times New Roman"/>
      <w:szCs w:val="21"/>
    </w:rPr>
  </w:style>
  <w:style w:type="paragraph" w:styleId="940" w:customStyle="1">
    <w:name w:val="正文文本 21"/>
    <w:basedOn w:val="699"/>
    <w:link w:val="941"/>
    <w:uiPriority w:val="0"/>
    <w:qFormat/>
    <w:pPr>
      <w:jc w:val="center"/>
      <w:widowControl/>
    </w:pPr>
    <w:rPr>
      <w:rFonts w:ascii="楷体_GB2312" w:hAnsi="Times New Roman" w:eastAsia="楷体_GB2312" w:cs="Times New Roman"/>
      <w:sz w:val="28"/>
      <w:szCs w:val="28"/>
    </w:rPr>
  </w:style>
  <w:style w:type="character" w:styleId="941" w:customStyle="1">
    <w:name w:val="正文文本 2 字符"/>
    <w:link w:val="940"/>
    <w:uiPriority w:val="0"/>
    <w:qFormat/>
    <w:rPr>
      <w:rFonts w:ascii="楷体_GB2312" w:hAnsi="Times New Roman" w:eastAsia="楷体_GB2312" w:cs="Times New Roman"/>
      <w:sz w:val="28"/>
      <w:szCs w:val="28"/>
    </w:rPr>
  </w:style>
  <w:style w:type="paragraph" w:styleId="942" w:customStyle="1">
    <w:name w:val="普通(网站)1"/>
    <w:basedOn w:val="699"/>
    <w:uiPriority w:val="99"/>
    <w:qFormat/>
    <w:pPr>
      <w:jc w:val="left"/>
      <w:spacing w:before="100" w:beforeAutospacing="1" w:after="100" w:afterAutospacing="1"/>
      <w:widowControl/>
    </w:pPr>
    <w:rPr>
      <w:rFonts w:ascii="宋体" w:hAnsi="宋体" w:eastAsia="宋体" w:cs="宋体"/>
      <w:sz w:val="24"/>
      <w:szCs w:val="24"/>
    </w:rPr>
  </w:style>
  <w:style w:type="paragraph" w:styleId="943" w:customStyle="1">
    <w:name w:val="索引 11"/>
    <w:basedOn w:val="699"/>
    <w:next w:val="699"/>
    <w:uiPriority w:val="0"/>
    <w:semiHidden/>
    <w:pPr>
      <w:spacing w:line="240" w:lineRule="atLeast"/>
    </w:pPr>
    <w:rPr>
      <w:rFonts w:ascii="Times New Roman" w:hAnsi="Times New Roman" w:eastAsia="宋体" w:cs="Times New Roman"/>
      <w:b/>
      <w:bCs/>
      <w:szCs w:val="21"/>
    </w:rPr>
  </w:style>
  <w:style w:type="paragraph" w:styleId="944" w:customStyle="1">
    <w:name w:val="批注主题1"/>
    <w:basedOn w:val="907"/>
    <w:next w:val="907"/>
    <w:link w:val="945"/>
    <w:uiPriority w:val="0"/>
    <w:semiHidden/>
    <w:rPr>
      <w:rFonts w:ascii="Times New Roman" w:hAnsi="Times New Roman" w:eastAsia="宋体" w:cs="Times New Roman"/>
      <w:b/>
      <w:bCs/>
      <w:szCs w:val="21"/>
    </w:rPr>
  </w:style>
  <w:style w:type="character" w:styleId="945" w:customStyle="1">
    <w:name w:val="批注主题 字符"/>
    <w:link w:val="944"/>
    <w:uiPriority w:val="0"/>
    <w:semiHidden/>
    <w:rPr>
      <w:rFonts w:ascii="Times New Roman" w:hAnsi="Times New Roman" w:eastAsia="宋体" w:cs="Times New Roman"/>
      <w:b/>
      <w:bCs/>
      <w:szCs w:val="21"/>
    </w:rPr>
  </w:style>
  <w:style w:type="paragraph" w:styleId="946" w:customStyle="1">
    <w:name w:val="正文首行缩进1"/>
    <w:basedOn w:val="699"/>
    <w:link w:val="947"/>
    <w:uiPriority w:val="0"/>
    <w:pPr>
      <w:ind w:firstLine="200"/>
      <w:spacing w:line="360" w:lineRule="auto"/>
    </w:pPr>
    <w:rPr>
      <w:rFonts w:ascii="仿宋_GB2312" w:hAnsi="Times New Roman" w:eastAsia="仿宋_GB2312" w:cs="Times New Roman"/>
      <w:sz w:val="30"/>
      <w:szCs w:val="30"/>
    </w:rPr>
  </w:style>
  <w:style w:type="character" w:styleId="947" w:customStyle="1">
    <w:name w:val="正文文本首行缩进 字符"/>
    <w:link w:val="946"/>
    <w:uiPriority w:val="0"/>
    <w:qFormat/>
    <w:rPr>
      <w:rFonts w:ascii="仿宋_GB2312" w:hAnsi="Times New Roman" w:eastAsia="仿宋_GB2312" w:cs="Times New Roman"/>
      <w:sz w:val="30"/>
      <w:szCs w:val="30"/>
    </w:rPr>
  </w:style>
  <w:style w:type="paragraph" w:styleId="948" w:customStyle="1">
    <w:name w:val="正文首行缩进 21"/>
    <w:basedOn w:val="913"/>
    <w:link w:val="949"/>
    <w:uiPriority w:val="0"/>
    <w:qFormat/>
    <w:pPr>
      <w:ind w:left="0" w:firstLine="420"/>
      <w:spacing w:after="0" w:line="360" w:lineRule="auto"/>
    </w:pPr>
    <w:rPr>
      <w:rFonts w:ascii="宋体" w:hAnsi="宋体" w:eastAsia="宋体" w:cs="Times New Roman"/>
      <w:szCs w:val="20"/>
    </w:rPr>
  </w:style>
  <w:style w:type="character" w:styleId="949" w:customStyle="1">
    <w:name w:val="正文文本首行缩进 2 字符"/>
    <w:link w:val="948"/>
    <w:uiPriority w:val="0"/>
    <w:rPr>
      <w:rFonts w:ascii="宋体" w:hAnsi="宋体" w:eastAsia="宋体" w:cs="Times New Roman"/>
      <w:szCs w:val="20"/>
    </w:rPr>
  </w:style>
  <w:style w:type="table" w:styleId="950" w:customStyle="1">
    <w:name w:val="网格型1"/>
    <w:basedOn w:val="892"/>
    <w:uiPriority w:val="59"/>
    <w:pPr>
      <w:jc w:val="both"/>
      <w:widowControl w:val="off"/>
    </w:pPr>
    <w:rPr>
      <w:rFonts w:ascii="Times New Roman" w:hAnsi="Times New Roman" w:eastAsia="宋体" w:cs="Times New Roman"/>
      <w:sz w:val="20"/>
      <w:szCs w:val="20"/>
    </w:rPr>
    <w:tblPr/>
  </w:style>
  <w:style w:type="character" w:styleId="951" w:customStyle="1">
    <w:name w:val="要点1"/>
    <w:link w:val="699"/>
    <w:uiPriority w:val="0"/>
    <w:qFormat/>
    <w:rPr>
      <w:b/>
      <w:bCs/>
    </w:rPr>
  </w:style>
  <w:style w:type="character" w:styleId="952" w:customStyle="1">
    <w:name w:val="页码1"/>
    <w:link w:val="699"/>
    <w:uiPriority w:val="0"/>
  </w:style>
  <w:style w:type="character" w:styleId="953" w:customStyle="1">
    <w:name w:val="已访问的超链接1"/>
    <w:link w:val="699"/>
    <w:uiPriority w:val="0"/>
    <w:rPr>
      <w:color w:val="800080"/>
      <w:u w:val="single"/>
    </w:rPr>
  </w:style>
  <w:style w:type="character" w:styleId="954" w:customStyle="1">
    <w:name w:val="强调1"/>
    <w:link w:val="699"/>
    <w:uiPriority w:val="0"/>
    <w:qFormat/>
    <w:rPr>
      <w:i/>
    </w:rPr>
  </w:style>
  <w:style w:type="character" w:styleId="955" w:customStyle="1">
    <w:name w:val="超链接1"/>
    <w:link w:val="699"/>
    <w:uiPriority w:val="0"/>
    <w:rPr>
      <w:color w:val="0000ff"/>
      <w:u w:val="single"/>
    </w:rPr>
  </w:style>
  <w:style w:type="character" w:styleId="956" w:customStyle="1">
    <w:name w:val="批注引用1"/>
    <w:link w:val="699"/>
    <w:uiPriority w:val="0"/>
    <w:semiHidden/>
    <w:qFormat/>
    <w:rPr>
      <w:sz w:val="21"/>
      <w:szCs w:val="21"/>
    </w:rPr>
  </w:style>
  <w:style w:type="paragraph" w:styleId="957" w:customStyle="1">
    <w:name w:val="一级条标题"/>
    <w:basedOn w:val="958"/>
    <w:next w:val="959"/>
    <w:uiPriority w:val="0"/>
    <w:qFormat/>
    <w:pPr>
      <w:numPr>
        <w:ilvl w:val="1"/>
        <w:numId w:val="3"/>
      </w:numPr>
      <w:tabs>
        <w:tab w:val="left" w:pos="810" w:leader="none"/>
        <w:tab w:val="left" w:pos="1265" w:leader="none"/>
      </w:tabs>
      <w:outlineLvl w:val="2"/>
    </w:pPr>
    <w:rPr>
      <w:rFonts w:hAnsi="Times New Roman" w:cs="Times New Roman"/>
      <w:szCs w:val="21"/>
    </w:rPr>
  </w:style>
  <w:style w:type="paragraph" w:styleId="958" w:customStyle="1">
    <w:name w:val="章标题"/>
    <w:next w:val="69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59" w:customStyle="1">
    <w:name w:val="段"/>
    <w:basedOn w:val="699"/>
    <w:next w:val="699"/>
    <w:uiPriority w:val="0"/>
    <w:qFormat/>
    <w:pPr>
      <w:ind w:firstLine="200"/>
      <w:widowControl/>
    </w:pPr>
    <w:rPr>
      <w:rFonts w:hint="eastAsia" w:ascii="宋体"/>
      <w:szCs w:val="20"/>
    </w:rPr>
  </w:style>
  <w:style w:type="paragraph" w:styleId="960" w:customStyle="1">
    <w:name w:val="标题 31"/>
    <w:basedOn w:val="699"/>
    <w:next w:val="699"/>
    <w:uiPriority w:val="0"/>
    <w:qFormat/>
    <w:pPr>
      <w:ind w:firstLine="1687"/>
      <w:keepLines/>
      <w:keepNext/>
      <w:spacing w:before="100" w:line="240" w:lineRule="auto"/>
      <w:outlineLvl w:val="2"/>
    </w:pPr>
    <w:rPr>
      <w:rFonts w:ascii="Times New Roman" w:hAnsi="Times New Roman" w:eastAsia="宋体" w:cs="Times New Roman"/>
      <w:b/>
      <w:bCs/>
      <w:sz w:val="30"/>
      <w:szCs w:val="32"/>
    </w:rPr>
  </w:style>
  <w:style w:type="character" w:styleId="961" w:customStyle="1">
    <w:name w:val="font5 Char"/>
    <w:link w:val="699"/>
    <w:uiPriority w:val="0"/>
    <w:rPr>
      <w:rFonts w:ascii="宋体" w:hAnsi="宋体" w:eastAsia="宋体"/>
      <w:sz w:val="28"/>
      <w:szCs w:val="28"/>
      <w:lang w:val="en-US" w:eastAsia="zh-CN" w:bidi="ar-SA"/>
    </w:rPr>
  </w:style>
  <w:style w:type="character" w:styleId="962" w:customStyle="1">
    <w:name w:val="二级目录 Char"/>
    <w:link w:val="963"/>
    <w:uiPriority w:val="0"/>
    <w:rPr>
      <w:b/>
      <w:sz w:val="30"/>
      <w:szCs w:val="28"/>
    </w:rPr>
  </w:style>
  <w:style w:type="paragraph" w:styleId="963" w:customStyle="1">
    <w:name w:val="二级目录"/>
    <w:next w:val="699"/>
    <w:link w:val="962"/>
    <w:uiPriority w:val="0"/>
    <w:pPr>
      <w:numPr>
        <w:ilvl w:val="0"/>
        <w:numId w:val="4"/>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4" w:customStyle="1">
    <w:name w:val="列出段落 Char"/>
    <w:link w:val="965"/>
    <w:uiPriority w:val="0"/>
    <w:qFormat/>
    <w:rPr>
      <w:rFonts w:ascii="Calibri" w:hAnsi="Calibri"/>
      <w:sz w:val="24"/>
      <w:szCs w:val="24"/>
      <w:lang w:eastAsia="en-US" w:bidi="en-US"/>
    </w:rPr>
  </w:style>
  <w:style w:type="paragraph" w:styleId="965" w:customStyle="1">
    <w:name w:val="列出段落1"/>
    <w:basedOn w:val="699"/>
    <w:link w:val="964"/>
    <w:uiPriority w:val="0"/>
    <w:qFormat/>
    <w:pPr>
      <w:contextualSpacing/>
      <w:ind w:left="720"/>
      <w:jc w:val="left"/>
      <w:widowControl/>
    </w:pPr>
    <w:rPr>
      <w:rFonts w:ascii="Calibri" w:hAnsi="Calibri"/>
      <w:sz w:val="24"/>
      <w:szCs w:val="24"/>
      <w:lang w:eastAsia="en-US" w:bidi="en-US"/>
    </w:rPr>
  </w:style>
  <w:style w:type="paragraph" w:styleId="966" w:customStyle="1">
    <w:name w:val="Body Text(ch)"/>
    <w:basedOn w:val="699"/>
    <w:next w:val="911"/>
    <w:uiPriority w:val="0"/>
    <w:pPr>
      <w:spacing w:after="120"/>
    </w:pPr>
    <w:rPr>
      <w:rFonts w:ascii="宋体" w:hAnsi="Arial" w:eastAsia="宋体" w:cs="Times New Roman"/>
      <w:bCs/>
      <w:iCs/>
      <w:szCs w:val="24"/>
    </w:rPr>
  </w:style>
  <w:style w:type="paragraph" w:styleId="967" w:customStyle="1">
    <w:name w:val="xl27"/>
    <w:basedOn w:val="69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8" w:customStyle="1">
    <w:name w:val="xl26"/>
    <w:basedOn w:val="699"/>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9" w:customStyle="1">
    <w:name w:val="Char"/>
    <w:basedOn w:val="699"/>
    <w:uiPriority w:val="0"/>
    <w:qFormat/>
    <w:pPr>
      <w:ind w:firstLine="200"/>
      <w:tabs>
        <w:tab w:val="left" w:pos="360" w:leader="none"/>
      </w:tabs>
    </w:pPr>
    <w:rPr>
      <w:rFonts w:ascii="Times New Roman" w:hAnsi="Times New Roman" w:eastAsia="宋体" w:cs="Times New Roman"/>
      <w:sz w:val="28"/>
      <w:szCs w:val="30"/>
    </w:rPr>
  </w:style>
  <w:style w:type="paragraph" w:styleId="970" w:customStyle="1">
    <w:name w:val=" Char"/>
    <w:basedOn w:val="905"/>
    <w:uiPriority w:val="0"/>
    <w:rPr>
      <w:rFonts w:ascii="Tahoma" w:hAnsi="Tahoma"/>
      <w:sz w:val="24"/>
      <w:szCs w:val="24"/>
    </w:rPr>
  </w:style>
  <w:style w:type="paragraph" w:styleId="971" w:customStyle="1">
    <w:name w:val="普通正文"/>
    <w:basedOn w:val="699"/>
    <w:uiPriority w:val="0"/>
    <w:qFormat/>
    <w:pPr>
      <w:ind w:firstLine="480"/>
      <w:jc w:val="left"/>
      <w:spacing w:before="120" w:after="120" w:line="360" w:lineRule="auto"/>
    </w:pPr>
    <w:rPr>
      <w:rFonts w:ascii="Arial" w:hAnsi="Arial" w:eastAsia="宋体" w:cs="Times New Roman"/>
      <w:sz w:val="24"/>
      <w:szCs w:val="24"/>
    </w:rPr>
  </w:style>
  <w:style w:type="paragraph" w:styleId="972" w:customStyle="1">
    <w:name w:val="table_lines"/>
    <w:basedOn w:val="699"/>
    <w:uiPriority w:val="0"/>
    <w:pPr>
      <w:jc w:val="left"/>
      <w:widowControl/>
    </w:pPr>
    <w:rPr>
      <w:rFonts w:ascii="Times New Roman" w:hAnsi="Times New Roman" w:eastAsia="宋体" w:cs="Times New Roman"/>
      <w:sz w:val="20"/>
      <w:szCs w:val="20"/>
      <w:lang w:val="de-DE" w:eastAsia="de-DE"/>
    </w:rPr>
  </w:style>
  <w:style w:type="paragraph" w:styleId="973" w:customStyle="1">
    <w:name w:val="附录1"/>
    <w:uiPriority w:val="0"/>
    <w:pPr>
      <w:numPr>
        <w:ilvl w:val="0"/>
        <w:numId w:val="4"/>
      </w:numPr>
      <w:spacing w:before="240" w:line="600" w:lineRule="atLeast"/>
    </w:pPr>
    <w:rPr>
      <w:rFonts w:hint="default" w:ascii="Times New Roman" w:hAnsi="Times New Roman" w:eastAsia="宋体" w:cs="Times New Roman"/>
      <w:b/>
      <w:i/>
      <w:sz w:val="28"/>
      <w:lang w:val="en-US" w:eastAsia="zh-CN" w:bidi="ar-SA"/>
    </w:rPr>
  </w:style>
  <w:style w:type="paragraph" w:styleId="974" w:customStyle="1">
    <w:name w:val="font7"/>
    <w:basedOn w:val="699"/>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75" w:customStyle="1">
    <w:name w:val=" Char Char Char Char"/>
    <w:basedOn w:val="905"/>
    <w:uiPriority w:val="0"/>
    <w:pPr>
      <w:spacing w:line="360" w:lineRule="auto"/>
    </w:pPr>
    <w:rPr>
      <w:rFonts w:ascii="Tahoma" w:hAnsi="Tahoma"/>
      <w:sz w:val="24"/>
      <w:szCs w:val="24"/>
    </w:rPr>
  </w:style>
  <w:style w:type="paragraph" w:styleId="976" w:customStyle="1">
    <w:name w:val="列表段落"/>
    <w:basedOn w:val="699"/>
    <w:uiPriority w:val="34"/>
    <w:qFormat/>
    <w:pPr>
      <w:contextualSpacing/>
      <w:ind w:left="720"/>
      <w:jc w:val="left"/>
      <w:widowControl/>
    </w:pPr>
    <w:rPr>
      <w:rFonts w:ascii="Calibri" w:hAnsi="Calibri" w:eastAsia="宋体" w:cs="Times New Roman"/>
      <w:sz w:val="24"/>
      <w:szCs w:val="24"/>
      <w:lang w:eastAsia="en-US" w:bidi="en-US"/>
    </w:rPr>
  </w:style>
  <w:style w:type="paragraph" w:styleId="977" w:customStyle="1">
    <w:name w:val="4"/>
    <w:basedOn w:val="699"/>
    <w:next w:val="935"/>
    <w:uiPriority w:val="0"/>
    <w:pPr>
      <w:ind w:firstLine="420"/>
      <w:spacing w:line="360" w:lineRule="auto"/>
    </w:pPr>
    <w:rPr>
      <w:rFonts w:ascii="Times New Roman" w:hAnsi="Times New Roman" w:eastAsia="宋体" w:cs="Times New Roman"/>
      <w:color w:val="ff0000"/>
      <w:sz w:val="24"/>
      <w:szCs w:val="24"/>
    </w:rPr>
  </w:style>
  <w:style w:type="paragraph" w:styleId="978" w:customStyle="1">
    <w:name w:val="普通 (Web)"/>
    <w:basedOn w:val="699"/>
    <w:uiPriority w:val="0"/>
    <w:pPr>
      <w:jc w:val="left"/>
      <w:spacing w:before="100" w:beforeAutospacing="1" w:after="100" w:afterAutospacing="1"/>
      <w:widowControl/>
    </w:pPr>
    <w:rPr>
      <w:rFonts w:ascii="宋体" w:hAnsi="宋体" w:eastAsia="宋体" w:cs="Times New Roman"/>
      <w:sz w:val="24"/>
      <w:szCs w:val="24"/>
    </w:rPr>
  </w:style>
  <w:style w:type="paragraph" w:styleId="979" w:customStyle="1">
    <w:name w:val=" Char Char Char Char Char Char Char Char Char Char"/>
    <w:basedOn w:val="699"/>
    <w:uiPriority w:val="0"/>
    <w:pPr>
      <w:spacing w:line="360" w:lineRule="auto"/>
    </w:pPr>
    <w:rPr>
      <w:rFonts w:ascii="Times New Roman" w:hAnsi="Times New Roman" w:eastAsia="宋体" w:cs="Times New Roman"/>
      <w:sz w:val="24"/>
      <w:szCs w:val="20"/>
    </w:rPr>
  </w:style>
  <w:style w:type="paragraph" w:styleId="980" w:customStyle="1">
    <w:name w:val="样式1"/>
    <w:basedOn w:val="699"/>
    <w:uiPriority w:val="0"/>
    <w:qFormat/>
    <w:pPr>
      <w:numPr>
        <w:ilvl w:val="0"/>
        <w:numId w:val="5"/>
      </w:numPr>
    </w:pPr>
    <w:rPr>
      <w:rFonts w:ascii="宋体" w:hAnsi="宋体" w:eastAsia="宋体" w:cs="Times New Roman"/>
      <w:szCs w:val="21"/>
    </w:rPr>
  </w:style>
  <w:style w:type="paragraph" w:styleId="981" w:customStyle="1">
    <w:name w:val="font6"/>
    <w:basedOn w:val="699"/>
    <w:uiPriority w:val="0"/>
    <w:pPr>
      <w:jc w:val="left"/>
      <w:spacing w:before="100" w:beforeAutospacing="1" w:after="100" w:afterAutospacing="1"/>
      <w:widowControl/>
    </w:pPr>
    <w:rPr>
      <w:rFonts w:hint="eastAsia" w:ascii="宋体" w:hAnsi="宋体" w:eastAsia="宋体" w:cs="Times New Roman"/>
      <w:sz w:val="28"/>
      <w:szCs w:val="28"/>
      <w:u w:val="single"/>
    </w:rPr>
  </w:style>
  <w:style w:type="paragraph" w:styleId="982" w:customStyle="1">
    <w:name w:val="xl25"/>
    <w:basedOn w:val="69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3" w:customStyle="1">
    <w:name w:val="图标"/>
    <w:basedOn w:val="699"/>
    <w:next w:val="699"/>
    <w:uiPriority w:val="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4" w:customStyle="1">
    <w:name w:val="标题3"/>
    <w:basedOn w:val="699"/>
    <w:next w:val="699"/>
    <w:uiPriority w:val="0"/>
    <w:pPr>
      <w:ind w:firstLine="624"/>
      <w:spacing w:line="590" w:lineRule="atLeast"/>
    </w:pPr>
    <w:rPr>
      <w:rFonts w:ascii="方正黑体_GBK" w:hAnsi="Times New Roman" w:eastAsia="方正黑体_GBK" w:cs="Times New Roman"/>
      <w:sz w:val="32"/>
      <w:szCs w:val="32"/>
    </w:rPr>
  </w:style>
  <w:style w:type="paragraph" w:styleId="985" w:customStyle="1">
    <w:name w:val="xl24"/>
    <w:basedOn w:val="69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6" w:customStyle="1">
    <w:name w:val="xl29"/>
    <w:basedOn w:val="699"/>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7" w:customStyle="1">
    <w:name w:val="Char Char Char Char Char Char Char Char"/>
    <w:basedOn w:val="699"/>
    <w:uiPriority w:val="0"/>
    <w:pPr>
      <w:jc w:val="left"/>
      <w:spacing w:after="160" w:line="240" w:lineRule="exact"/>
      <w:widowControl/>
    </w:pPr>
    <w:rPr>
      <w:rFonts w:ascii="Verdana" w:hAnsi="Verdana" w:eastAsia="宋体" w:cs="Times New Roman"/>
      <w:sz w:val="20"/>
      <w:szCs w:val="20"/>
      <w:lang w:eastAsia="en-US"/>
    </w:rPr>
  </w:style>
  <w:style w:type="paragraph" w:styleId="988" w:customStyle="1">
    <w:name w:val="xl28"/>
    <w:basedOn w:val="69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9" w:customStyle="1">
    <w:name w:val=" Char Char Char Char Char Char Char Char"/>
    <w:basedOn w:val="699"/>
    <w:uiPriority w:val="0"/>
    <w:pPr>
      <w:jc w:val="left"/>
      <w:spacing w:after="160" w:line="240" w:lineRule="exact"/>
      <w:widowControl/>
    </w:pPr>
    <w:rPr>
      <w:rFonts w:ascii="Verdana" w:hAnsi="Verdana" w:eastAsia="宋体" w:cs="Times New Roman"/>
      <w:sz w:val="20"/>
      <w:szCs w:val="20"/>
      <w:lang w:eastAsia="en-US"/>
    </w:rPr>
  </w:style>
  <w:style w:type="paragraph" w:styleId="990" w:customStyle="1">
    <w:name w:val="xl30"/>
    <w:basedOn w:val="699"/>
    <w:uiPriority w:val="0"/>
    <w:pPr>
      <w:jc w:val="center"/>
      <w:spacing w:before="100" w:beforeAutospacing="1" w:after="100" w:afterAutospacing="1"/>
      <w:widowControl/>
    </w:pPr>
    <w:rPr>
      <w:rFonts w:ascii="宋体" w:hAnsi="宋体" w:eastAsia="宋体" w:cs="Times New Roman"/>
      <w:b/>
      <w:bCs/>
      <w:sz w:val="36"/>
      <w:szCs w:val="36"/>
    </w:rPr>
  </w:style>
  <w:style w:type="paragraph" w:styleId="991" w:customStyle="1">
    <w:name w:val="Char Char Char Char"/>
    <w:basedOn w:val="905"/>
    <w:uiPriority w:val="0"/>
    <w:qFormat/>
    <w:pPr>
      <w:spacing w:line="360" w:lineRule="auto"/>
    </w:pPr>
    <w:rPr>
      <w:rFonts w:ascii="Tahoma" w:hAnsi="Tahoma"/>
      <w:sz w:val="24"/>
      <w:szCs w:val="24"/>
    </w:rPr>
  </w:style>
  <w:style w:type="paragraph" w:styleId="992" w:customStyle="1">
    <w:name w:val="table_1stline"/>
    <w:basedOn w:val="699"/>
    <w:uiPriority w:val="0"/>
    <w:pPr>
      <w:jc w:val="left"/>
      <w:spacing w:before="120"/>
      <w:widowControl/>
    </w:pPr>
    <w:rPr>
      <w:rFonts w:ascii="Times New Roman" w:hAnsi="Times New Roman" w:eastAsia="宋体" w:cs="Times New Roman"/>
      <w:bCs/>
      <w:sz w:val="20"/>
      <w:szCs w:val="20"/>
      <w:lang w:val="de-DE" w:eastAsia="de-DE"/>
    </w:rPr>
  </w:style>
  <w:style w:type="paragraph" w:styleId="993" w:customStyle="1">
    <w:name w:val="font5"/>
    <w:basedOn w:val="699"/>
    <w:uiPriority w:val="0"/>
    <w:pPr>
      <w:jc w:val="left"/>
      <w:spacing w:before="100" w:beforeAutospacing="1" w:after="100" w:afterAutospacing="1"/>
      <w:widowControl/>
    </w:pPr>
    <w:rPr>
      <w:rFonts w:hint="eastAsia" w:ascii="宋体" w:hAnsi="宋体" w:eastAsia="宋体" w:cs="Times New Roman"/>
      <w:sz w:val="28"/>
      <w:szCs w:val="28"/>
    </w:rPr>
  </w:style>
  <w:style w:type="paragraph" w:styleId="994" w:customStyle="1">
    <w:name w:val="标题1"/>
    <w:basedOn w:val="699"/>
    <w:next w:val="699"/>
    <w:uiPriority w:val="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5"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96"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97" w:customStyle="1">
    <w:name w:val="正文文本缩进2"/>
    <w:basedOn w:val="699"/>
    <w:uiPriority w:val="99"/>
    <w:qFormat/>
    <w:pPr>
      <w:ind w:firstLine="301"/>
      <w:spacing w:line="200" w:lineRule="exact"/>
    </w:pPr>
    <w:rPr>
      <w:rFonts w:ascii="宋体" w:hAnsi="Courier New"/>
      <w:spacing w:val="-4"/>
      <w:sz w:val="18"/>
      <w:szCs w:val="24"/>
    </w:rPr>
  </w:style>
  <w:style w:type="paragraph" w:styleId="998" w:customStyle="1">
    <w:name w:val="正文文本11"/>
    <w:basedOn w:val="699"/>
    <w:next w:val="699"/>
    <w:uiPriority w:val="0"/>
    <w:qFormat/>
    <w:rPr>
      <w:rFonts w:ascii="楷体_GB2312" w:hAnsi="Arial" w:eastAsia="楷体_GB2312"/>
      <w:sz w:val="28"/>
      <w:szCs w:val="28"/>
    </w:rPr>
  </w:style>
  <w:style w:type="character" w:styleId="999" w:customStyle="1">
    <w:name w:val="font31"/>
    <w:link w:val="699"/>
    <w:uiPriority w:val="0"/>
    <w:qFormat/>
    <w:rPr>
      <w:rFonts w:hint="eastAsia" w:ascii="宋体" w:hAnsi="宋体" w:eastAsia="宋体" w:cs="宋体"/>
      <w:color w:val="000000"/>
      <w:sz w:val="24"/>
      <w:szCs w:val="24"/>
      <w:u w:val="none"/>
    </w:rPr>
  </w:style>
  <w:style w:type="character" w:styleId="1000" w:customStyle="1">
    <w:name w:val="bot_zi"/>
    <w:link w:val="699"/>
    <w:uiPriority w:val="0"/>
    <w:qFormat/>
  </w:style>
  <w:style w:type="character" w:styleId="1001" w:customStyle="1">
    <w:name w:val="font21"/>
    <w:link w:val="699"/>
    <w:uiPriority w:val="0"/>
    <w:rPr>
      <w:rFonts w:hint="eastAsia" w:ascii="微软雅黑" w:hAnsi="微软雅黑" w:eastAsia="微软雅黑" w:cs="微软雅黑"/>
      <w:color w:val="000000"/>
      <w:sz w:val="21"/>
      <w:szCs w:val="21"/>
      <w:u w:val="none"/>
    </w:rPr>
  </w:style>
  <w:style w:type="character" w:styleId="1002" w:customStyle="1">
    <w:name w:val="font51"/>
    <w:link w:val="699"/>
    <w:uiPriority w:val="0"/>
    <w:rPr>
      <w:rFonts w:hint="eastAsia" w:ascii="微软雅黑" w:hAnsi="微软雅黑" w:eastAsia="微软雅黑" w:cs="微软雅黑"/>
      <w:color w:val="ff0000"/>
      <w:sz w:val="21"/>
      <w:szCs w:val="21"/>
      <w:u w:val="none"/>
    </w:rPr>
  </w:style>
  <w:style w:type="character" w:styleId="1003" w:customStyle="1">
    <w:name w:val="font41"/>
    <w:link w:val="699"/>
    <w:uiPriority w:val="0"/>
    <w:rPr>
      <w:rFonts w:hint="eastAsia" w:ascii="微软雅黑" w:hAnsi="微软雅黑" w:eastAsia="微软雅黑" w:cs="微软雅黑"/>
      <w:color w:val="000000"/>
      <w:sz w:val="21"/>
      <w:szCs w:val="21"/>
      <w:u w:val="none"/>
    </w:rPr>
  </w:style>
  <w:style w:type="character" w:styleId="1004" w:customStyle="1">
    <w:name w:val="font11"/>
    <w:link w:val="699"/>
    <w:uiPriority w:val="0"/>
    <w:rPr>
      <w:rFonts w:hint="eastAsia" w:ascii="幼圆" w:hAnsi="幼圆" w:eastAsia="幼圆" w:cs="幼圆"/>
      <w:b/>
      <w:bCs/>
      <w:color w:val="000000"/>
      <w:sz w:val="24"/>
      <w:szCs w:val="24"/>
      <w:u w:val="none"/>
    </w:rPr>
  </w:style>
  <w:style w:type="paragraph" w:styleId="1005" w:customStyle="1">
    <w:name w:val="Default"/>
    <w:next w:val="699"/>
    <w:uiPriority w:val="0"/>
    <w:qFormat/>
    <w:pPr>
      <w:widowControl w:val="off"/>
    </w:pPr>
    <w:rPr>
      <w:rFonts w:hint="default" w:ascii="宋体" w:hAnsi="Times New Roman" w:eastAsia="宋体" w:cs="宋体"/>
      <w:color w:val="000000"/>
      <w:sz w:val="24"/>
      <w:szCs w:val="24"/>
      <w:lang w:val="en-US" w:eastAsia="zh-CN" w:bidi="ar-SA"/>
    </w:rPr>
  </w:style>
  <w:style w:type="character" w:styleId="1006" w:customStyle="1">
    <w:name w:val="font81"/>
    <w:basedOn w:val="891"/>
    <w:link w:val="699"/>
    <w:uiPriority w:val="0"/>
    <w:rPr>
      <w:rFonts w:ascii="Times New Roman" w:hAnsi="Times New Roman" w:cs="Times New Roman"/>
      <w:color w:val="000000"/>
      <w:sz w:val="24"/>
      <w:szCs w:val="24"/>
      <w:u w:val="none"/>
    </w:rPr>
  </w:style>
  <w:style w:type="numbering" w:styleId="99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吴冬晓</cp:lastModifiedBy>
  <cp:revision>8</cp:revision>
  <dcterms:created xsi:type="dcterms:W3CDTF">2023-12-18T06:54:00Z</dcterms:created>
  <dcterms:modified xsi:type="dcterms:W3CDTF">2026-09-14T07:10:46Z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eyJoZGlkIjoiODUzODAzNjQ1NTk4OWE1ODEyODlkNzkzODE2ZTllMjYiLCJ1c2VySWQiOiIzMTk2NTAxNDYifQ==</vt:lpwstr>
  </property>
  <property fmtid="{D5CDD505-2E9C-101B-9397-08002B2CF9AE}" pid="3" name="KSOProductBuildVer">
    <vt:lpwstr>2052-12.1.0.28505</vt:lpwstr>
  </property>
  <property fmtid="{D5CDD505-2E9C-101B-9397-08002B2CF9AE}" pid="4" name="ICV">
    <vt:lpwstr>6EBC4108F0D945ADA4E56C94B7AD0211_13</vt:lpwstr>
  </property>
</Properties>
</file>