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929"/>
        <w:ind w:firstLine="880"/>
        <w:rPr>
          <w:rFonts w:ascii="黑体" w:hAnsi="宋体" w:eastAsia="黑体"/>
          <w:color w:val="auto"/>
          <w:sz w:val="44"/>
          <w:highlight w:val="none"/>
        </w:rPr>
      </w:pPr>
      <w:r>
        <w:rPr>
          <w:rFonts w:ascii="黑体" w:hAnsi="宋体" w:eastAsia="黑体"/>
          <w:color w:val="auto"/>
          <w:sz w:val="44"/>
          <w:highlight w:val="none"/>
        </w:rPr>
      </w:r>
      <w:r/>
    </w:p>
    <w:p>
      <w:pPr>
        <w:pStyle w:val="929"/>
        <w:ind w:firstLine="880"/>
        <w:rPr>
          <w:rFonts w:ascii="黑体" w:hAnsi="宋体" w:eastAsia="黑体"/>
          <w:color w:val="auto"/>
          <w:sz w:val="44"/>
          <w:highlight w:val="none"/>
        </w:rPr>
      </w:pPr>
      <w:r>
        <w:rPr>
          <w:rFonts w:ascii="黑体" w:hAnsi="宋体" w:eastAsia="黑体"/>
          <w:color w:val="auto"/>
          <w:sz w:val="44"/>
          <w:highlight w:val="none"/>
        </w:rPr>
      </w:r>
      <w:r/>
    </w:p>
    <w:tbl>
      <w:tblPr>
        <w:tblStyle w:val="867"/>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41"/>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 xml:space="preserve">项目编号：</w:t>
            </w:r>
            <w:r>
              <w:rPr>
                <w:rFonts w:hint="eastAsia" w:ascii="黑体" w:hAnsi="宋体" w:eastAsia="黑体"/>
                <w:color w:val="auto"/>
                <w:sz w:val="44"/>
                <w:highlight w:val="none"/>
                <w:lang w:eastAsia="zh-CN"/>
              </w:rPr>
              <w:t xml:space="preserve">JSZC-320000-SMDG-G2026-0127</w:t>
            </w:r>
            <w:r/>
          </w:p>
          <w:p>
            <w:pPr>
              <w:ind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2200" w:hanging="2200"/>
              <w:spacing w:line="288" w:lineRule="auto"/>
              <w:rPr>
                <w:rFonts w:ascii="黑体" w:eastAsia="黑体"/>
                <w:color w:val="auto"/>
                <w:sz w:val="44"/>
                <w:szCs w:val="44"/>
                <w:highlight w:val="none"/>
              </w:rPr>
            </w:pPr>
            <w:r>
              <w:rPr>
                <w:rFonts w:hint="eastAsia" w:ascii="黑体" w:hAnsi="宋体" w:eastAsia="黑体"/>
                <w:color w:val="auto"/>
                <w:sz w:val="44"/>
                <w:highlight w:val="none"/>
              </w:rPr>
              <w:t xml:space="preserve">项目名称：江苏新沂—赣榆钛（金红石）、晶质石墨矿调查评价与区块优选岩心钻探（2026年度）</w:t>
            </w:r>
            <w:r/>
          </w:p>
        </w:tc>
      </w:tr>
    </w:tbl>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spacing w:line="288" w:lineRule="auto"/>
        <w:rPr>
          <w:rFonts w:ascii="黑体" w:hAnsi="宋体" w:eastAsia="黑体"/>
          <w:color w:val="auto"/>
          <w:sz w:val="44"/>
          <w:szCs w:val="44"/>
          <w:highlight w:val="none"/>
        </w:rPr>
      </w:pPr>
      <w:r>
        <w:rPr>
          <w:rFonts w:ascii="黑体" w:hAnsi="宋体" w:eastAsia="黑体"/>
          <w:color w:val="auto"/>
          <w:sz w:val="44"/>
          <w:szCs w:val="44"/>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bookmarkStart w:id="139" w:name="_GoBack"/>
      <w:r/>
      <w:bookmarkEnd w:id="139"/>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十</w:t>
      </w:r>
      <w:r>
        <w:rPr>
          <w:rFonts w:hint="eastAsia" w:ascii="黑体" w:hAnsi="宋体" w:eastAsia="黑体"/>
          <w:color w:val="auto"/>
          <w:sz w:val="44"/>
          <w:highlight w:val="none"/>
        </w:rPr>
        <w:t xml:space="preserve">月</w:t>
      </w:r>
      <w:r/>
    </w:p>
    <w:p>
      <w:pPr>
        <w:ind w:firstLine="425"/>
        <w:jc w:val="center"/>
        <w:spacing w:line="288" w:lineRule="auto"/>
        <w:rPr>
          <w:rFonts w:ascii="黑体" w:hAnsi="宋体" w:eastAsia="黑体"/>
          <w:color w:val="auto"/>
          <w:sz w:val="44"/>
          <w:highlight w:val="none"/>
        </w:rPr>
        <w:sectPr>
          <w:footerReference w:type="default" r:id="rId10"/>
          <w:footerReference w:type="even" r:id="rId11"/>
          <w:footerReference w:type="first" r:id="rId12"/>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firstLine="425"/>
        <w:jc w:val="center"/>
        <w:spacing w:line="288" w:lineRule="auto"/>
        <w:rPr>
          <w:rFonts w:ascii="黑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 xml:space="preserve">招标</w:t>
      </w:r>
      <w:r>
        <w:rPr>
          <w:rFonts w:hint="eastAsia" w:ascii="黑体" w:hAnsi="宋体" w:eastAsia="黑体"/>
          <w:color w:val="auto"/>
          <w:spacing w:val="-10"/>
          <w:sz w:val="36"/>
          <w:szCs w:val="36"/>
          <w:highlight w:val="none"/>
          <w:lang w:val="en-US"/>
        </w:rPr>
        <w:t xml:space="preserve">公告</w:t>
      </w:r>
      <w:r/>
    </w:p>
    <w:p>
      <w:pPr>
        <w:spacing w:line="288" w:lineRule="auto"/>
        <w:rPr>
          <w:rFonts w:ascii="宋体" w:hAnsi="宋体"/>
          <w:color w:val="auto"/>
          <w:szCs w:val="21"/>
          <w:highlight w:val="none"/>
        </w:rPr>
      </w:pPr>
      <w:r>
        <w:rPr>
          <w:rFonts w:ascii="宋体" w:hAnsi="宋体"/>
          <w:color w:val="auto"/>
          <w:szCs w:val="21"/>
          <w:highlight w:val="none"/>
        </w:rPr>
      </w:r>
      <w:r/>
    </w:p>
    <w:p>
      <w:pPr>
        <w:ind w:firstLine="422"/>
        <w:jc w:val="left"/>
        <w:spacing w:line="360" w:lineRule="auto"/>
        <w:tabs>
          <w:tab w:val="left" w:pos="390" w:leader="none"/>
          <w:tab w:val="center" w:pos="4404" w:leader="none"/>
        </w:tabs>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项目概况</w:t>
      </w:r>
      <w:r/>
    </w:p>
    <w:p>
      <w:pPr>
        <w:ind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江苏省地质调查研究院江苏新沂—赣榆钛（金红石）、晶质石墨矿调查评价与区块优选岩心钻探（2026年度）的潜在供应商应在苏采云线上获取</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文件，并于</w:t>
      </w:r>
      <w:r>
        <w:rPr>
          <w:rFonts w:hint="eastAsia" w:ascii="宋体" w:hAnsi="宋体" w:eastAsia="宋体"/>
          <w:color w:val="auto"/>
          <w:sz w:val="21"/>
          <w:szCs w:val="21"/>
          <w:highlight w:val="none"/>
          <w:lang w:eastAsia="zh-CN"/>
        </w:rPr>
        <w:t xml:space="preserve">2026年11月17日14：00</w:t>
      </w:r>
      <w:r>
        <w:rPr>
          <w:rFonts w:hint="eastAsia" w:ascii="宋体" w:hAnsi="宋体" w:eastAsia="宋体"/>
          <w:color w:val="auto"/>
          <w:sz w:val="21"/>
          <w:szCs w:val="21"/>
          <w:highlight w:val="none"/>
        </w:rPr>
        <w:t xml:space="preserve">（北京时间）前提交投标文件。</w:t>
      </w:r>
      <w:r/>
    </w:p>
    <w:p>
      <w:pPr>
        <w:ind w:firstLine="42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一、项目基本情况</w:t>
      </w:r>
      <w:r/>
    </w:p>
    <w:p>
      <w:pPr>
        <w:ind w:firstLine="42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项目编号：</w:t>
      </w:r>
      <w:r>
        <w:rPr>
          <w:rFonts w:hint="eastAsia" w:ascii="宋体" w:hAnsi="宋体" w:eastAsia="宋体"/>
          <w:color w:val="auto"/>
          <w:sz w:val="21"/>
          <w:szCs w:val="21"/>
          <w:highlight w:val="none"/>
          <w:lang w:eastAsia="zh-CN"/>
        </w:rPr>
        <w:t xml:space="preserve">JSZC-320000-SMDG-G2026-0127</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项目名称：江苏新沂—赣榆钛（金红石）、晶质石墨矿调查评价与区块优选岩心钻探（2026年度）</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采购方式：公开招标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预算金额：人民币</w:t>
      </w:r>
      <w:r>
        <w:rPr>
          <w:rFonts w:hint="eastAsia" w:ascii="宋体" w:hAnsi="宋体" w:eastAsia="宋体"/>
          <w:color w:val="auto"/>
          <w:sz w:val="21"/>
          <w:szCs w:val="21"/>
          <w:highlight w:val="none"/>
          <w:lang w:val="en-US"/>
        </w:rPr>
        <w:t xml:space="preserve">126.00万</w:t>
      </w:r>
      <w:r>
        <w:rPr>
          <w:rFonts w:hint="eastAsia" w:ascii="宋体" w:hAnsi="宋体" w:eastAsia="宋体"/>
          <w:color w:val="auto"/>
          <w:sz w:val="21"/>
          <w:szCs w:val="21"/>
          <w:highlight w:val="none"/>
        </w:rPr>
        <w:t xml:space="preserve">元整</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szCs w:val="21"/>
          <w:highlight w:val="none"/>
        </w:rPr>
        <w:t xml:space="preserve">人民币</w:t>
      </w:r>
      <w:r>
        <w:rPr>
          <w:rFonts w:hint="eastAsia" w:ascii="宋体" w:hAnsi="宋体" w:eastAsia="宋体"/>
          <w:color w:val="auto"/>
          <w:sz w:val="21"/>
          <w:szCs w:val="21"/>
          <w:highlight w:val="none"/>
          <w:lang w:val="en-US"/>
        </w:rPr>
        <w:t xml:space="preserve">126.00万</w:t>
      </w:r>
      <w:r>
        <w:rPr>
          <w:rFonts w:hint="eastAsia" w:ascii="宋体" w:hAnsi="宋体" w:eastAsia="宋体"/>
          <w:color w:val="auto"/>
          <w:sz w:val="21"/>
          <w:szCs w:val="21"/>
          <w:highlight w:val="none"/>
        </w:rPr>
        <w:t xml:space="preserve">元整，</w:t>
      </w:r>
      <w:bookmarkStart w:id="0" w:name="OLE_LINK3"/>
      <w:r/>
      <w:bookmarkStart w:id="1" w:name="OLE_LINK2"/>
      <w:r>
        <w:rPr>
          <w:rFonts w:hint="eastAsia" w:ascii="宋体" w:hAnsi="宋体" w:eastAsia="宋体"/>
          <w:color w:val="auto"/>
          <w:sz w:val="21"/>
          <w:szCs w:val="21"/>
          <w:highlight w:val="none"/>
          <w:lang w:val="en-US"/>
        </w:rPr>
        <w:t xml:space="preserve">报价超过预算/最高限价的作无效投标处理。</w:t>
      </w:r>
      <w:bookmarkEnd w:id="0"/>
      <w:r/>
      <w:bookmarkEnd w:id="1"/>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采购需求：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江苏新沂—赣榆钛（金红石）、晶质石墨矿调查评价与区块优选岩心钻探（2026年度）</w:t>
      </w:r>
      <w:r>
        <w:rPr>
          <w:rFonts w:hint="eastAsia" w:ascii="宋体" w:hAnsi="宋体" w:eastAsia="宋体"/>
          <w:color w:val="auto"/>
          <w:sz w:val="21"/>
          <w:szCs w:val="21"/>
          <w:highlight w:val="none"/>
          <w:lang w:val="en-US"/>
        </w:rPr>
        <w:t xml:space="preserve">（详见第四章 服务要求）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合同履行期限：</w:t>
      </w:r>
      <w:r>
        <w:rPr>
          <w:rFonts w:ascii="宋体" w:hAnsi="宋体" w:eastAsia="宋体"/>
          <w:color w:val="auto"/>
          <w:sz w:val="21"/>
          <w:szCs w:val="21"/>
          <w:highlight w:val="none"/>
          <w:lang w:val="en-US"/>
        </w:rPr>
        <w:t xml:space="preserve">自合同签订之日-2027年6月</w:t>
      </w:r>
      <w:r>
        <w:rPr>
          <w:rFonts w:hint="eastAsia" w:ascii="宋体" w:hAnsi="宋体" w:eastAsia="宋体"/>
          <w:color w:val="auto"/>
          <w:sz w:val="21"/>
          <w:szCs w:val="21"/>
          <w:highlight w:val="none"/>
          <w:lang w:val="en-US"/>
        </w:rPr>
        <w:t xml:space="preserve">。</w:t>
      </w:r>
      <w:r/>
    </w:p>
    <w:p>
      <w:pPr>
        <w:ind w:left="416" w:firstLine="18"/>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w:t>
      </w:r>
      <w:r/>
    </w:p>
    <w:p>
      <w:pPr>
        <w:ind w:left="416" w:firstLine="18"/>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面向中小企业（残疾人福利单位、监狱企业）采购项目。</w:t>
      </w:r>
      <w:r>
        <w:rPr>
          <w:rFonts w:hint="eastAsia" w:ascii="宋体" w:hAnsi="宋体" w:eastAsia="宋体"/>
          <w:color w:val="auto"/>
          <w:sz w:val="21"/>
          <w:szCs w:val="21"/>
          <w:highlight w:val="none"/>
        </w:rPr>
        <w:br/>
      </w:r>
      <w:r>
        <w:rPr>
          <w:rFonts w:hint="eastAsia" w:ascii="宋体" w:hAnsi="宋体" w:eastAsia="宋体"/>
          <w:b/>
          <w:bCs/>
          <w:color w:val="auto"/>
          <w:sz w:val="21"/>
          <w:szCs w:val="21"/>
          <w:highlight w:val="none"/>
          <w:lang w:val="en-US"/>
        </w:rPr>
        <w:t xml:space="preserve">本项目所属行业：</w:t>
      </w:r>
      <w:r>
        <w:rPr>
          <w:rFonts w:hint="eastAsia" w:ascii="宋体" w:hAnsi="宋体" w:eastAsia="宋体"/>
          <w:color w:val="auto"/>
          <w:sz w:val="21"/>
          <w:szCs w:val="21"/>
          <w:highlight w:val="none"/>
          <w:lang w:val="en-US"/>
        </w:rPr>
        <w:t xml:space="preserve">其他未列明行业（包括科学研究和技术服务业，水利、环境和公共设施管理业，居民服务、修理和其他服务业，社会工作，文化、体育和娱乐业等）</w:t>
      </w:r>
      <w:r/>
    </w:p>
    <w:p>
      <w:pPr>
        <w:ind w:firstLine="42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二、申请人的资格要求：</w:t>
      </w:r>
      <w:r/>
    </w:p>
    <w:p>
      <w:pPr>
        <w:ind w:firstLine="42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1.满足《中华人民共和国政府采购法》第二十二条规定；</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（1）具有独立承担民事责任的能力（提供法人或者其他组织的营业执照，自然人的身份证明）；</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有良好的商业信誉和健全的财务会计制度（提供参加本次政府采购活动前一年内（任意一个月）企业编制的会计报表（至少包含资产负债表和利润表）或者2024年度或2025年度的审计报告，成立不足一年的提供银行资信证明复印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（3）具有履行合同所必需的设备和专业技术能力（根据项目需求提供履行合同所必需的设备和专业技术能力的证明材料）；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（4）有依法缴纳税收和社会保障资金的良好记录（提供参加本次政府采购活动前一年内（至少一个月）依法缴纳税收和社会保障资金的相关材料）；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（6）法律、行政法规规定的其他条件（提供项目实施所必须的许可资质证明材料）；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（7）本次项目不接受联合体投标；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2.落实政府采购政策需满足的资格要求：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3.本项目的特定资格要求：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拒绝下述供应商参加本次采购活动：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（1）供应商单位负责人为同一人或者存在直接控股、管理关系的不同供应商，不得参加同一合同项下的政府采购活动。</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（2）供应商被“信用中国”（www.creditchina.gov.cn）、“中国政府采购网”、(www.ccgp.gov.cn)列入失信被执行人、重大税收违法案件当事人名单、政府采购严重违法失信行为记录名单的，不得参加本次采购活动。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三、获取采购文件</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1.获取时间：自招标公告发布之日起5个工作日 </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2.地点：“苏采云”系统注册登记成功后免费下载</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3.获取方式：本项目采用网上注册登记方式</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3.1潜在供应商访问电子招标响应交易平台的网络地址和方法：</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99"/>
        <w:jc w:val="left"/>
        <w:rPr>
          <w:rFonts w:ascii="宋体" w:hAnsi="宋体" w:eastAsia="宋体"/>
          <w:color w:val="auto"/>
          <w:sz w:val="21"/>
          <w:highlight w:val="none"/>
        </w:rPr>
      </w:pPr>
      <w:r>
        <w:rPr>
          <w:rFonts w:hint="eastAsia" w:ascii="宋体" w:hAnsi="宋体" w:eastAsia="宋体"/>
          <w:color w:val="auto"/>
          <w:sz w:val="21"/>
          <w:highlight w:val="none"/>
        </w:rPr>
        <w:t xml:space="preserve">3.2潜在供应商访问“苏采云”系统的网络地址和方法：“苏采云”系统的网址：http://jszfcg.jsczt.cn/。</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3.3“CA数字证书”的获取：</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3.4采购文件（后缀名为“.kedt”）、供应商操作手册及政府采购客户端工具可通过“苏采云”系统--已报名项目--报名详情页面内相应链接进行下载。</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3.5招标代理机构（采购代理机构）将数据电文形式的采购文件加载至“苏采云”系统，供潜在供应商下载或者查阅。</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highlight w:val="none"/>
        </w:rPr>
        <w:t xml:space="preserve">3.6请潜在投标单位提前安装相应的控件（详见《江苏省政府采购管理交易系统（苏采云）供应商操作手册》）并使用谷歌浏览器登录“苏采云”系统参与不见面开评标。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四、投标截止时间、开标时间和地点</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1.投标截止时间：</w:t>
      </w:r>
      <w:r>
        <w:rPr>
          <w:rFonts w:hint="eastAsia" w:ascii="宋体" w:hAnsi="宋体" w:eastAsia="宋体"/>
          <w:color w:val="auto"/>
          <w:sz w:val="21"/>
          <w:highlight w:val="none"/>
          <w:lang w:eastAsia="zh-CN"/>
        </w:rPr>
        <w:t xml:space="preserve">2026年11月17日14：00</w:t>
      </w:r>
      <w:r>
        <w:rPr>
          <w:rFonts w:hint="eastAsia" w:ascii="宋体" w:hAnsi="宋体" w:eastAsia="宋体"/>
          <w:color w:val="auto"/>
          <w:sz w:val="21"/>
          <w:highlight w:val="none"/>
        </w:rPr>
        <w:t xml:space="preserve">（北京时间）</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2.开标时间：</w:t>
      </w:r>
      <w:r>
        <w:rPr>
          <w:rFonts w:hint="eastAsia" w:ascii="宋体" w:hAnsi="宋体" w:eastAsia="宋体"/>
          <w:color w:val="auto"/>
          <w:sz w:val="21"/>
          <w:highlight w:val="none"/>
          <w:lang w:eastAsia="zh-CN"/>
        </w:rPr>
        <w:t xml:space="preserve">2026年11月17日14：00</w:t>
      </w:r>
      <w:r>
        <w:rPr>
          <w:rFonts w:hint="eastAsia" w:ascii="宋体" w:hAnsi="宋体" w:eastAsia="宋体"/>
          <w:color w:val="auto"/>
          <w:sz w:val="21"/>
          <w:highlight w:val="none"/>
        </w:rPr>
        <w:t xml:space="preserve">（北京时间） </w:t>
      </w:r>
      <w:r/>
    </w:p>
    <w:p>
      <w:pPr>
        <w:pStyle w:val="1299"/>
        <w:rPr>
          <w:rFonts w:ascii="宋体" w:hAnsi="宋体" w:eastAsia="宋体"/>
          <w:color w:val="auto"/>
          <w:sz w:val="21"/>
          <w:highlight w:val="none"/>
        </w:rPr>
      </w:pPr>
      <w:r>
        <w:rPr>
          <w:rFonts w:hint="eastAsia" w:ascii="宋体" w:hAnsi="宋体" w:eastAsia="宋体"/>
          <w:color w:val="auto"/>
          <w:sz w:val="21"/>
          <w:highlight w:val="none"/>
        </w:rPr>
        <w:t xml:space="preserve">3.开标地点：“苏采云”系统（网址：http://jszfcg.jsczt.cn/）“开标大厅”，点击“苏采云”进入系统“开标大厅”。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注：各供应商请关注开标大厅交流区，在开标结束后，请勿离开开标大厅。</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五</w:t>
      </w:r>
      <w:r>
        <w:rPr>
          <w:rFonts w:hint="eastAsia" w:ascii="宋体" w:hAnsi="宋体" w:eastAsia="宋体"/>
          <w:b/>
          <w:bCs/>
          <w:color w:val="auto"/>
          <w:sz w:val="21"/>
          <w:szCs w:val="21"/>
          <w:highlight w:val="none"/>
        </w:rPr>
        <w:t xml:space="preserve">、公告期限</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ind w:firstLine="42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六</w:t>
      </w:r>
      <w:r>
        <w:rPr>
          <w:rFonts w:hint="eastAsia" w:ascii="宋体" w:hAnsi="宋体" w:eastAsia="宋体"/>
          <w:b/>
          <w:bCs/>
          <w:color w:val="auto"/>
          <w:sz w:val="21"/>
          <w:szCs w:val="21"/>
          <w:highlight w:val="none"/>
        </w:rPr>
        <w:t xml:space="preserve">、其他补充事宜</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1.本项目公告媒体：江苏政府采购网（http://www.ccgp-jiangsu.gov.cn/）</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http://www.ccgp-jiangsu.gov.cn/jiangsu/zlxz/ee/ee3a4bc5a3454aa2b0d9312230633ce9.html。</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4.有关本次招标的事项若存在变动或修改，敬请及时关注在“江苏政府采购网”发布的更正公告。</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七</w:t>
      </w:r>
      <w:r>
        <w:rPr>
          <w:rFonts w:hint="eastAsia" w:ascii="宋体" w:hAnsi="宋体" w:eastAsia="宋体"/>
          <w:b/>
          <w:bCs/>
          <w:color w:val="auto"/>
          <w:sz w:val="21"/>
          <w:szCs w:val="21"/>
          <w:highlight w:val="none"/>
        </w:rPr>
        <w:t xml:space="preserve">、凡对本次采购提出询问，请按以下方式联系。</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w:t>
      </w:r>
      <w:r>
        <w:rPr>
          <w:rFonts w:ascii="宋体" w:hAnsi="宋体" w:eastAsia="宋体"/>
          <w:color w:val="auto"/>
          <w:sz w:val="21"/>
          <w:szCs w:val="21"/>
          <w:highlight w:val="none"/>
        </w:rPr>
        <w:t xml:space="preserve">江苏省地质调查研究院</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地    址：南京市玄武区珠江路700号</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 系 人：易工</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联系方式：</w:t>
      </w:r>
      <w:r>
        <w:rPr>
          <w:rFonts w:ascii="宋体" w:hAnsi="宋体" w:eastAsia="宋体"/>
          <w:color w:val="auto"/>
          <w:sz w:val="21"/>
          <w:szCs w:val="21"/>
          <w:highlight w:val="none"/>
          <w:lang w:val="en-US"/>
        </w:rPr>
        <w:t xml:space="preserve">025-84368726</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联系方式：025-84531327</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rPr>
        <w:t xml:space="preserve">冯帆、高雅婧</w:t>
      </w:r>
      <w:r>
        <w:rPr>
          <w:rFonts w:hint="eastAsia" w:ascii="宋体" w:hAnsi="宋体" w:eastAsia="宋体"/>
          <w:color w:val="auto"/>
          <w:sz w:val="21"/>
          <w:szCs w:val="21"/>
          <w:highlight w:val="none"/>
        </w:rPr>
        <w:t xml:space="preserve">、杨扬</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　　 话：025-84531327</w:t>
      </w:r>
      <w:r>
        <w:rPr>
          <w:rFonts w:hint="eastAsia" w:ascii="宋体" w:hAnsi="宋体" w:eastAsia="宋体"/>
          <w:color w:val="auto"/>
          <w:sz w:val="21"/>
          <w:szCs w:val="21"/>
          <w:highlight w:val="none"/>
          <w:lang w:val="en-US"/>
        </w:rPr>
        <w:t xml:space="preserve">、84532452</w:t>
      </w:r>
      <w:r>
        <w:rPr>
          <w:rFonts w:hint="eastAsia" w:ascii="宋体" w:hAnsi="宋体" w:eastAsia="宋体"/>
          <w:color w:val="auto"/>
          <w:sz w:val="21"/>
          <w:szCs w:val="21"/>
          <w:highlight w:val="none"/>
        </w:rPr>
        <w:t xml:space="preserve">、84532455</w:t>
      </w:r>
      <w:r/>
    </w:p>
    <w:p>
      <w:pPr>
        <w:jc w:val="center"/>
        <w:spacing w:line="288" w:lineRule="auto"/>
        <w:rPr>
          <w:rFonts w:ascii="黑体" w:hAnsi="宋体" w:eastAsia="黑体"/>
          <w:color w:val="auto"/>
          <w:spacing w:val="-10"/>
          <w:sz w:val="36"/>
          <w:szCs w:val="36"/>
          <w:highlight w:val="none"/>
        </w:rPr>
        <w:outlineLvl w:val="0"/>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 xml:space="preserve">第二章 投标人须知</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一、总    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适用</w:t>
      </w:r>
      <w:r>
        <w:rPr>
          <w:rFonts w:hint="eastAsia" w:ascii="宋体" w:hAnsi="宋体" w:eastAsia="宋体"/>
          <w:color w:val="auto"/>
          <w:sz w:val="21"/>
          <w:szCs w:val="21"/>
          <w:highlight w:val="none"/>
        </w:rPr>
        <w:t xml:space="preserve">法律</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《中华人民共和国政府采购法》、《中华人民共和国政府采购法实施条例》、《政府采购非招标方式管理办法》等有关法律、规章和规定等。</w:t>
      </w:r>
      <w:r/>
    </w:p>
    <w:p>
      <w:pPr>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2、定义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 “</w:t>
      </w:r>
      <w:r>
        <w:rPr>
          <w:rFonts w:hint="eastAsia" w:ascii="宋体" w:hAnsi="宋体" w:eastAsia="宋体"/>
          <w:b/>
          <w:color w:val="auto"/>
          <w:sz w:val="21"/>
          <w:szCs w:val="21"/>
          <w:highlight w:val="none"/>
        </w:rPr>
        <w:t xml:space="preserve">供应商</w:t>
      </w:r>
      <w:r>
        <w:rPr>
          <w:rFonts w:hint="eastAsia" w:ascii="宋体" w:hAnsi="宋体" w:eastAsia="宋体"/>
          <w:color w:val="auto"/>
          <w:sz w:val="21"/>
          <w:szCs w:val="21"/>
          <w:highlight w:val="none"/>
        </w:rPr>
        <w:t xml:space="preserve">”是指参加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竞争，并符合采购文件规定资格条件的法人、其他组织或者自然人。</w:t>
      </w:r>
      <w:r/>
    </w:p>
    <w:p>
      <w:pPr>
        <w:ind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2.2 “货物和服务”指本采购文件中所述产品及</w:t>
      </w:r>
      <w:r>
        <w:rPr>
          <w:rFonts w:hint="eastAsia" w:ascii="宋体" w:hAnsi="宋体" w:eastAsia="宋体"/>
          <w:b/>
          <w:bCs/>
          <w:color w:val="auto"/>
          <w:sz w:val="21"/>
          <w:szCs w:val="21"/>
          <w:highlight w:val="none"/>
        </w:rPr>
        <w:t xml:space="preserve">相关服务</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“用户或使用单位”是指使用产品及服务的单位。</w:t>
      </w:r>
      <w:r/>
    </w:p>
    <w:p>
      <w:pPr>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3、政策功能</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3.1促进中小企业发展政策：</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（1）对于非专门面向中小微企业采购的项目，</w:t>
      </w:r>
      <w:r>
        <w:rPr>
          <w:rFonts w:hint="eastAsia" w:ascii="宋体" w:hAnsi="宋体" w:eastAsia="宋体"/>
          <w:bCs/>
          <w:color w:val="auto"/>
          <w:sz w:val="21"/>
          <w:szCs w:val="21"/>
          <w:highlight w:val="none"/>
        </w:rPr>
        <w:t xml:space="preserve">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对于专门面向中小微型企业采购的项目，只面向中小微型企业采购，必须提供《中小企业声明函》，否则作无效投标处理。</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auto"/>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3.2节能产品、环境标志产品政策</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（1）政府采购节能产品、环境标志产品实施品目清单管理。</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（2）拟采购产品属于节能产品、环境标志产品品目清单规定必须强制采购的，实行强制采购。</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（3）拟采购产品属于节能产品、环境标志产品品目清单规定优先采购的，在性能、技术、服务等指标同等条件下，实行优先采购。</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3.4提供的产品属于信息安全产品的，供应商应当选择经国家认证的信息安全产品投标，并提供由中国信息安全认证中心按国家标准认证颁发的有效认证证书复印件。</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3.6为推进社会诚信体系建设，根据财政部等政策要求，在政府采购活动中查询、使用信用记录，推进政府采购领域联合惩戒工作。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二、招标文件</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4、招标文件组成</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4.1 招标文件组成：招标公告、供应商须知、供应商应当提交的资格证明文件、投标报价要求、投标文件编制要求和投标保证金缴纳方式、服务</w:t>
      </w:r>
      <w:r>
        <w:rPr>
          <w:rFonts w:hint="eastAsia" w:ascii="宋体" w:hAnsi="宋体" w:eastAsia="宋体"/>
          <w:bCs/>
          <w:color w:val="auto"/>
          <w:sz w:val="21"/>
          <w:szCs w:val="21"/>
          <w:highlight w:val="none"/>
          <w:lang w:val="en-US"/>
        </w:rPr>
        <w:t xml:space="preserve">要</w:t>
      </w:r>
      <w:r>
        <w:rPr>
          <w:rFonts w:hint="eastAsia" w:ascii="宋体" w:hAnsi="宋体" w:eastAsia="宋体"/>
          <w:bCs/>
          <w:color w:val="auto"/>
          <w:sz w:val="21"/>
          <w:szCs w:val="21"/>
          <w:highlight w:val="none"/>
        </w:rPr>
        <w:t xml:space="preserve">求、合同主要条款及合同签订方式、提供服务的时间、付款条件、评标方法、评标标准、无效投标和废标条款、附件等。</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4.2 招标的最小单位是包。服务需求中未分包的，供应商对要求提供的服务不得部分投标；服务需求中已经分包的，以包为单位投标。</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4.3 代理机构如果要求供应商按照招标文件规定提交备选投标方案的，供应商可以提交备选方案；否则，备选方案将被拒绝。</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5、招标文件的澄清、修改</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5.1 代理机构对已发出的招标文件进行必要澄清或者修改的，将在招标文件要求提交投标文件截止时间十五日前，在原招标公告媒体发布更正公告，该澄清或者修改的内容为招标文件的组成部分。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5.2 代理机构在招标文件要求提交投标文件截止时间前，有权决定延长投标截止时间和开标时间，并在原采购信息发布媒体上发布变更公告。</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5.3 供应商应在投标截止时间前关注相关网站有关本招标项目有无变更公告。</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三</w:t>
      </w:r>
      <w:r>
        <w:rPr>
          <w:rFonts w:hint="eastAsia" w:ascii="宋体" w:hAnsi="宋体" w:eastAsia="宋体"/>
          <w:b/>
          <w:bCs/>
          <w:color w:val="auto"/>
          <w:sz w:val="21"/>
          <w:szCs w:val="21"/>
          <w:highlight w:val="none"/>
        </w:rPr>
        <w:t xml:space="preserve">、投标文件编制</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6</w:t>
      </w:r>
      <w:r>
        <w:rPr>
          <w:rFonts w:hint="eastAsia" w:ascii="宋体" w:hAnsi="宋体" w:eastAsia="宋体"/>
          <w:b/>
          <w:bCs/>
          <w:color w:val="auto"/>
          <w:sz w:val="21"/>
          <w:szCs w:val="21"/>
          <w:highlight w:val="none"/>
        </w:rPr>
        <w:t xml:space="preserve">、</w:t>
      </w:r>
      <w:r>
        <w:rPr>
          <w:rFonts w:hint="eastAsia" w:ascii="宋体" w:hAnsi="宋体" w:eastAsia="宋体"/>
          <w:color w:val="auto"/>
          <w:sz w:val="21"/>
          <w:szCs w:val="21"/>
          <w:highlight w:val="none"/>
        </w:rPr>
        <w:t xml:space="preserve">供应商应当按照招标文件的要求编制投标文件，并对其提交的投标文件真实性、合法性承担法律责任。</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7</w:t>
      </w:r>
      <w:r>
        <w:rPr>
          <w:rFonts w:hint="eastAsia" w:ascii="宋体" w:hAnsi="宋体" w:eastAsia="宋体"/>
          <w:b/>
          <w:bCs/>
          <w:color w:val="auto"/>
          <w:sz w:val="21"/>
          <w:szCs w:val="21"/>
          <w:highlight w:val="none"/>
        </w:rPr>
        <w:t xml:space="preserve">、投标文件的语言、计量单位、货币和编制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.1 提交的投标文件、技术文件和资料，包括图纸中的说明，以及供应商与代理机构就有关</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.2 供应商所使用的计量单位应为国家法定计量单位。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.3 供应商应用人民币报价。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.4 投标文件应字迹清楚、内容齐全、不得涂改。如有修改，修改处须有供应商公章或法定代表人或其授权代表签字。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.5 投标文件应按照招标文件规定的顺序，统一用A4规格幅面双面打印、装订成册并编制目录，由于编排混乱导致招标文件被误读或查找不到，责任由供应商承担。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.6投标文件应逐页编码，不得跳页（包括但不限于授权、证明材料、声明及产品介绍、彩页等）。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.7 供应商应在投标文件中写清相应的项目编号、项目名称、供应商名称、地址、电话、传真等。</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8</w:t>
      </w:r>
      <w:r>
        <w:rPr>
          <w:rFonts w:hint="eastAsia" w:ascii="宋体" w:hAnsi="宋体" w:eastAsia="宋体"/>
          <w:b/>
          <w:bCs/>
          <w:color w:val="auto"/>
          <w:sz w:val="21"/>
          <w:szCs w:val="21"/>
          <w:highlight w:val="none"/>
        </w:rPr>
        <w:t xml:space="preserve">、投标文件的组成</w:t>
      </w:r>
      <w:r>
        <w:rPr>
          <w:rFonts w:hint="eastAsia" w:ascii="Arial" w:hAnsi="Arial" w:cs="Arial"/>
          <w:b/>
          <w:bCs/>
          <w:color w:val="auto"/>
          <w:szCs w:val="21"/>
          <w:highlight w:val="none"/>
        </w:rPr>
        <w:t xml:space="preserve">（相应内容上传至投标客户端，并签电子公章）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8.1 供应商应当根据招标文件要求编制投标文件，并根据自己的商务能力、技术水平对招标文件提出的要求和条件逐条标明是否响应。投标文件由商务部分、技术部分、价格部分，以及其他部分组成。</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8.2 </w:t>
      </w:r>
      <w:r>
        <w:rPr>
          <w:rFonts w:hint="eastAsia" w:ascii="宋体" w:hAnsi="宋体" w:eastAsia="宋体"/>
          <w:b/>
          <w:bCs/>
          <w:color w:val="auto"/>
          <w:sz w:val="21"/>
          <w:szCs w:val="21"/>
          <w:highlight w:val="none"/>
        </w:rPr>
        <w:t xml:space="preserve">投标文件的商务部分。</w:t>
      </w:r>
      <w:r>
        <w:rPr>
          <w:rFonts w:hint="eastAsia" w:ascii="宋体" w:hAnsi="宋体" w:eastAsia="宋体"/>
          <w:color w:val="auto"/>
          <w:sz w:val="21"/>
          <w:szCs w:val="21"/>
          <w:highlight w:val="none"/>
        </w:rPr>
        <w:t xml:space="preserve">商务部分是证明供应商有资格参加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和中标后有能力履行合同的文件，这些文件应能满足公开招标的要求，包括但不限于下列文件，</w:t>
      </w:r>
      <w:r>
        <w:rPr>
          <w:rFonts w:hint="eastAsia" w:ascii="宋体" w:hAnsi="宋体" w:eastAsia="宋体"/>
          <w:b/>
          <w:bCs/>
          <w:color w:val="auto"/>
          <w:sz w:val="21"/>
          <w:szCs w:val="21"/>
          <w:highlight w:val="none"/>
        </w:rPr>
        <w:t xml:space="preserve">其中加“</w:t>
      </w:r>
      <w:r>
        <w:rPr>
          <w:rFonts w:hint="eastAsia" w:ascii="宋体" w:hAnsi="宋体" w:eastAsia="宋体"/>
          <w:b/>
          <w:bCs/>
          <w:color w:val="auto"/>
          <w:sz w:val="21"/>
          <w:szCs w:val="21"/>
          <w:highlight w:val="none"/>
          <w:lang w:val="en-US"/>
        </w:rPr>
        <w:t xml:space="preserve">*</w:t>
      </w:r>
      <w:r>
        <w:rPr>
          <w:rFonts w:hint="eastAsia" w:ascii="宋体" w:hAnsi="宋体" w:eastAsia="宋体"/>
          <w:b/>
          <w:bCs/>
          <w:color w:val="auto"/>
          <w:sz w:val="21"/>
          <w:szCs w:val="21"/>
          <w:highlight w:val="none"/>
        </w:rPr>
        <w:t xml:space="preserve">”项目不得有缺失或无效，</w:t>
      </w:r>
      <w:r>
        <w:rPr>
          <w:rFonts w:hint="eastAsia" w:ascii="宋体" w:hAnsi="宋体" w:eastAsia="宋体"/>
          <w:b/>
          <w:bCs/>
          <w:color w:val="auto"/>
          <w:sz w:val="21"/>
          <w:szCs w:val="21"/>
          <w:highlight w:val="none"/>
          <w:lang w:val="en-US"/>
        </w:rPr>
        <w:t xml:space="preserve">否则作无效投标处理</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投标函（投标申请及声明）；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 法定代表人授权委托书及委托代理人的身份证复印件； </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（3）《投标保证金汇款凭证复印件》</w:t>
      </w:r>
      <w:r>
        <w:rPr>
          <w:rFonts w:hint="eastAsia"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lang w:val="en-US"/>
        </w:rPr>
        <w:t xml:space="preserve">如有</w:t>
      </w:r>
      <w:r>
        <w:rPr>
          <w:rFonts w:hint="eastAsia" w:ascii="宋体" w:hAnsi="宋体" w:eastAsia="宋体"/>
          <w:b/>
          <w:bCs/>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 法人、其他组织的营业执照（副本复印件）；供应商是自然人的，提供自然人的身份证明（复印件）；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第一章招标公告中“二、申请人的资格要求”</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《中华人民共和国政府采购法》第二十二条规定规定的资格条件证明文件；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 第一章招标公告中“二、申请人的资格要求” </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采购人根据采购项目的特殊要求规定的特定条件证明文件；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《商务条款偏离表》；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（6）合同草案条款；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（7）供应商认为需要提供的其他资格证明文件和商务资料。</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8.3 </w:t>
      </w:r>
      <w:r>
        <w:rPr>
          <w:rFonts w:hint="eastAsia" w:ascii="宋体" w:hAnsi="宋体" w:eastAsia="宋体"/>
          <w:b/>
          <w:bCs/>
          <w:color w:val="auto"/>
          <w:sz w:val="21"/>
          <w:szCs w:val="21"/>
          <w:highlight w:val="none"/>
        </w:rPr>
        <w:t xml:space="preserve">投标文件的技术部分。</w:t>
      </w:r>
      <w:r>
        <w:rPr>
          <w:rFonts w:hint="eastAsia" w:ascii="宋体" w:hAnsi="宋体" w:eastAsia="宋体"/>
          <w:color w:val="auto"/>
          <w:sz w:val="21"/>
          <w:szCs w:val="21"/>
          <w:highlight w:val="none"/>
        </w:rPr>
        <w:t xml:space="preserve">技术部分是证明供应商提供的服务是合格的，并符合招标文件要求的证明文件，以及对服务的详细说明，这些文件可以是文字资料、图纸和数据等。提供的服务如与招标文件要求有不符之处，应说明其差别之所在。包括但不限于下列文件，</w:t>
      </w:r>
      <w:r>
        <w:rPr>
          <w:rFonts w:hint="eastAsia" w:ascii="宋体" w:hAnsi="宋体" w:eastAsia="宋体"/>
          <w:b/>
          <w:bCs/>
          <w:color w:val="auto"/>
          <w:sz w:val="21"/>
          <w:szCs w:val="21"/>
          <w:highlight w:val="none"/>
        </w:rPr>
        <w:t xml:space="preserve">其中加“</w:t>
      </w:r>
      <w:r>
        <w:rPr>
          <w:rFonts w:hint="eastAsia" w:ascii="宋体" w:hAnsi="宋体" w:eastAsia="宋体"/>
          <w:b/>
          <w:bCs/>
          <w:color w:val="auto"/>
          <w:sz w:val="21"/>
          <w:szCs w:val="21"/>
          <w:highlight w:val="none"/>
          <w:lang w:val="en-US"/>
        </w:rPr>
        <w:t xml:space="preserve">*</w:t>
      </w:r>
      <w:r>
        <w:rPr>
          <w:rFonts w:hint="eastAsia" w:ascii="宋体" w:hAnsi="宋体" w:eastAsia="宋体"/>
          <w:b/>
          <w:bCs/>
          <w:color w:val="auto"/>
          <w:sz w:val="21"/>
          <w:szCs w:val="21"/>
          <w:highlight w:val="none"/>
        </w:rPr>
        <w:t xml:space="preserve">”项目不得有缺失或无效，否则作无效投标处理</w:t>
      </w:r>
      <w:r>
        <w:rPr>
          <w:rFonts w:hint="eastAsia" w:ascii="宋体" w:hAnsi="宋体" w:eastAsia="宋体"/>
          <w:color w:val="auto"/>
          <w:sz w:val="21"/>
          <w:szCs w:val="21"/>
          <w:highlight w:val="none"/>
        </w:rPr>
        <w:t xml:space="preserve">：</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服务内容的详细说明；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《技术条款偏离表》；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w:t>
      </w:r>
      <w:r>
        <w:rPr>
          <w:rFonts w:hint="eastAsia" w:ascii="宋体" w:hAnsi="宋体" w:eastAsia="宋体"/>
          <w:color w:val="auto"/>
          <w:sz w:val="21"/>
          <w:szCs w:val="21"/>
          <w:highlight w:val="none"/>
          <w:lang w:val="en-US"/>
        </w:rPr>
        <w:t xml:space="preserve">服务</w:t>
      </w:r>
      <w:r>
        <w:rPr>
          <w:rFonts w:hint="eastAsia" w:ascii="宋体" w:hAnsi="宋体" w:eastAsia="宋体"/>
          <w:color w:val="auto"/>
          <w:sz w:val="21"/>
          <w:szCs w:val="21"/>
          <w:highlight w:val="none"/>
        </w:rPr>
        <w:t xml:space="preserve">方案</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（4）供应商认为需要提供的其他技术资料。</w:t>
      </w:r>
      <w:r/>
    </w:p>
    <w:p>
      <w:pPr>
        <w:ind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8.4 </w:t>
      </w:r>
      <w:r>
        <w:rPr>
          <w:rFonts w:hint="eastAsia" w:ascii="宋体" w:hAnsi="宋体" w:eastAsia="宋体"/>
          <w:b/>
          <w:color w:val="auto"/>
          <w:sz w:val="21"/>
          <w:szCs w:val="21"/>
          <w:highlight w:val="none"/>
        </w:rPr>
        <w:t xml:space="preserve">投标文件的价格部分</w:t>
      </w:r>
      <w:r/>
    </w:p>
    <w:p>
      <w:pPr>
        <w:ind w:firstLine="48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（1）价格部分是对服务价格构成的说明，招标文件如没有特别说明的话，对每一项服务仅接受一个价格。</w:t>
      </w:r>
      <w:r/>
    </w:p>
    <w:p>
      <w:pPr>
        <w:ind w:firstLine="48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（2）报价应包含完成本服务项目发生的所有含税费用、支付给员工的工资和国家强制缴纳的各种社会保障资金，以及供应商认为需要的其他费用等。</w:t>
      </w:r>
      <w:r/>
    </w:p>
    <w:p>
      <w:pPr>
        <w:ind w:firstLine="48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供应商</w:t>
      </w:r>
      <w:r>
        <w:rPr>
          <w:rFonts w:hint="eastAsia" w:ascii="宋体" w:hAnsi="宋体" w:eastAsia="宋体"/>
          <w:color w:val="auto"/>
          <w:sz w:val="21"/>
          <w:szCs w:val="21"/>
          <w:highlight w:val="none"/>
        </w:rPr>
        <w:t xml:space="preserve">的任何错漏、优惠、竞争性报价不得作为减轻责任、减少服务、增加收费、降低质量的理由。</w:t>
      </w:r>
      <w:r/>
    </w:p>
    <w:p>
      <w:pPr>
        <w:ind w:firstLine="48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应在《开标一览表》、《投标分项报价》等标明提供服务的单价、总价以及分项报价。供应商系中小企业（含中型、小型、微型企业），并提供本企业制造的货物、承担的工程或者服务，或者提供其他中小企业制造的货物，须在《开标一览表》、《投标分项报价》中注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8.5 </w:t>
      </w:r>
      <w:r>
        <w:rPr>
          <w:rFonts w:hint="eastAsia" w:ascii="宋体" w:hAnsi="宋体" w:eastAsia="宋体"/>
          <w:b/>
          <w:color w:val="auto"/>
          <w:sz w:val="21"/>
          <w:szCs w:val="21"/>
          <w:highlight w:val="none"/>
        </w:rPr>
        <w:t xml:space="preserve">投标文件的其他部分。</w:t>
      </w:r>
      <w:r>
        <w:rPr>
          <w:rFonts w:hint="eastAsia" w:ascii="宋体" w:hAnsi="宋体" w:eastAsia="宋体"/>
          <w:color w:val="auto"/>
          <w:sz w:val="21"/>
          <w:szCs w:val="21"/>
          <w:highlight w:val="none"/>
        </w:rPr>
        <w:t xml:space="preserve">其他部分由供应商根据编制投标文件需要提供的其他相关文件。</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9</w:t>
      </w:r>
      <w:r>
        <w:rPr>
          <w:rFonts w:hint="eastAsia" w:ascii="宋体" w:hAnsi="宋体" w:eastAsia="宋体"/>
          <w:b/>
          <w:bCs/>
          <w:color w:val="auto"/>
          <w:sz w:val="21"/>
          <w:szCs w:val="21"/>
          <w:highlight w:val="none"/>
        </w:rPr>
        <w:t xml:space="preserve">、投标保证金（</w:t>
      </w:r>
      <w:r>
        <w:rPr>
          <w:rFonts w:hint="eastAsia" w:ascii="宋体" w:hAnsi="宋体" w:eastAsia="宋体"/>
          <w:b/>
          <w:color w:val="auto"/>
          <w:sz w:val="21"/>
          <w:szCs w:val="21"/>
          <w:highlight w:val="none"/>
          <w:lang w:val="en-US"/>
        </w:rPr>
        <w:t xml:space="preserve">本项目不收取投标保证金</w:t>
      </w:r>
      <w:r>
        <w:rPr>
          <w:rFonts w:hint="eastAsia" w:ascii="宋体" w:hAnsi="宋体" w:eastAsia="宋体"/>
          <w:b/>
          <w:bCs/>
          <w:color w:val="auto"/>
          <w:sz w:val="21"/>
          <w:szCs w:val="21"/>
          <w:highlight w:val="none"/>
        </w:rPr>
        <w:t xml:space="preserve">）</w:t>
      </w:r>
      <w:r/>
    </w:p>
    <w:p>
      <w:pPr>
        <w:ind w:firstLine="40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投标保证金金额：</w:t>
      </w:r>
      <w:r>
        <w:rPr>
          <w:rFonts w:hint="eastAsia" w:ascii="宋体" w:hAnsi="宋体" w:eastAsia="宋体"/>
          <w:color w:val="auto"/>
          <w:sz w:val="21"/>
          <w:szCs w:val="21"/>
          <w:highlight w:val="none"/>
          <w:lang w:val="en-US"/>
        </w:rPr>
        <w:t xml:space="preserve">/</w:t>
      </w:r>
      <w:r/>
    </w:p>
    <w:p>
      <w:pPr>
        <w:ind w:firstLine="40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投标保证金的形式：</w:t>
      </w:r>
      <w:r>
        <w:rPr>
          <w:rFonts w:hint="eastAsia" w:ascii="宋体" w:hAnsi="宋体" w:eastAsia="宋体"/>
          <w:color w:val="auto"/>
          <w:sz w:val="21"/>
          <w:szCs w:val="21"/>
          <w:highlight w:val="none"/>
          <w:lang w:val="en-US"/>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.1 供应商应按照</w:t>
      </w: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款提交投标保证金，并作为其投标的一部分。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.2 投标保证金应按照</w:t>
      </w: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款规定的数额和办法缴纳。</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.3 未中标供应商的投标保证金，将在中标通知发出后</w:t>
      </w:r>
      <w:r>
        <w:rPr>
          <w:rFonts w:hint="eastAsia" w:ascii="宋体" w:hAnsi="宋体" w:eastAsia="宋体"/>
          <w:b/>
          <w:bCs/>
          <w:i/>
          <w:iCs/>
          <w:color w:val="auto"/>
          <w:sz w:val="21"/>
          <w:szCs w:val="21"/>
          <w:highlight w:val="none"/>
          <w:u w:val="single"/>
        </w:rPr>
        <w:t xml:space="preserve">五个工作日</w:t>
      </w:r>
      <w:r>
        <w:rPr>
          <w:rFonts w:hint="eastAsia" w:ascii="宋体" w:hAnsi="宋体" w:eastAsia="宋体"/>
          <w:color w:val="auto"/>
          <w:sz w:val="21"/>
          <w:szCs w:val="21"/>
          <w:highlight w:val="none"/>
        </w:rPr>
        <w:t xml:space="preserve">内退还。未中标供应商应</w:t>
      </w:r>
      <w:r>
        <w:rPr>
          <w:rFonts w:hint="eastAsia" w:ascii="宋体" w:hAnsi="宋体" w:eastAsia="宋体"/>
          <w:b/>
          <w:color w:val="auto"/>
          <w:sz w:val="21"/>
          <w:szCs w:val="21"/>
          <w:highlight w:val="none"/>
        </w:rPr>
        <w:t xml:space="preserve">主动与投标文件接收人联系办理投标保证金退还事宜，以及办理退还手续，</w:t>
      </w:r>
      <w:r>
        <w:rPr>
          <w:rFonts w:hint="eastAsia" w:ascii="宋体" w:hAnsi="宋体" w:eastAsia="宋体"/>
          <w:color w:val="auto"/>
          <w:sz w:val="21"/>
          <w:szCs w:val="21"/>
          <w:highlight w:val="none"/>
        </w:rPr>
        <w:t xml:space="preserve">由于供应商的自身原因未及时办理投标保证金退还的，其责任和由此造成的后果由供应商自行承担。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.4 中标供应商的投标保证金，将在采购合同签订后</w:t>
      </w:r>
      <w:r>
        <w:rPr>
          <w:rFonts w:hint="eastAsia" w:ascii="宋体" w:hAnsi="宋体" w:eastAsia="宋体"/>
          <w:b/>
          <w:bCs/>
          <w:i/>
          <w:iCs/>
          <w:color w:val="auto"/>
          <w:sz w:val="21"/>
          <w:szCs w:val="21"/>
          <w:highlight w:val="none"/>
          <w:u w:val="single"/>
        </w:rPr>
        <w:t xml:space="preserve">五个工作日</w:t>
      </w:r>
      <w:r>
        <w:rPr>
          <w:rFonts w:hint="eastAsia" w:ascii="宋体" w:hAnsi="宋体" w:eastAsia="宋体"/>
          <w:color w:val="auto"/>
          <w:sz w:val="21"/>
          <w:szCs w:val="21"/>
          <w:highlight w:val="none"/>
        </w:rPr>
        <w:t xml:space="preserve">内退还。</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.5 下列任何情况发生时，投标保证金不予退还</w:t>
      </w:r>
      <w:r>
        <w:rPr>
          <w:rFonts w:hint="eastAsia" w:ascii="宋体" w:hAnsi="宋体" w:eastAsia="宋体"/>
          <w:color w:val="auto"/>
          <w:sz w:val="21"/>
          <w:szCs w:val="21"/>
          <w:highlight w:val="none"/>
          <w:lang w:val="en-US"/>
        </w:rPr>
        <w:t xml:space="preserve">或者扣除相应信用分</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（1）投标有效期内撤回其投标的；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（2）中标通知书发出后三十天内，中标供应商未与采购人签订合同的；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（3）提供虚假材料谋取中标的；</w:t>
      </w:r>
      <w:r/>
    </w:p>
    <w:p>
      <w:pPr>
        <w:pStyle w:val="92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（4）经查实属于陪标、串通投标的等。</w:t>
      </w:r>
      <w:r/>
    </w:p>
    <w:p>
      <w:pPr>
        <w:pStyle w:val="92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投标有效期</w:t>
      </w:r>
      <w:r/>
    </w:p>
    <w:p>
      <w:pPr>
        <w:pStyle w:val="92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.1 自开标之日起90天内投标有效。</w:t>
      </w:r>
      <w:r/>
    </w:p>
    <w:p>
      <w:pPr>
        <w:pStyle w:val="92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四</w:t>
      </w:r>
      <w:r>
        <w:rPr>
          <w:rFonts w:hint="eastAsia" w:ascii="宋体" w:hAnsi="宋体" w:eastAsia="宋体"/>
          <w:b/>
          <w:bCs/>
          <w:color w:val="auto"/>
          <w:sz w:val="21"/>
          <w:szCs w:val="21"/>
          <w:highlight w:val="none"/>
        </w:rPr>
        <w:t xml:space="preserve">、投标文件签署与提交</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11</w:t>
      </w:r>
      <w:r>
        <w:rPr>
          <w:rFonts w:hint="eastAsia" w:ascii="宋体" w:hAnsi="宋体" w:eastAsia="宋体"/>
          <w:b/>
          <w:bCs/>
          <w:color w:val="auto"/>
          <w:sz w:val="21"/>
          <w:szCs w:val="21"/>
          <w:highlight w:val="none"/>
        </w:rPr>
        <w:t xml:space="preserve">、投标文件签署</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11.1投标人应由其法定代表人或法定代表人授权代表在规定的网上投标时间，凭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11.2投标人应对 CA 证书妥善保管，如被他人盗用投标，因此带来的结果均由投标人自行承担。</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11.3投标人应当对招标文件提出的要求和条件作出实质性响应，并在电子投标系统逐条应答。</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auto"/>
          <w:sz w:val="21"/>
          <w:szCs w:val="21"/>
          <w:highlight w:val="none"/>
        </w:rPr>
      </w:pPr>
      <w:r/>
      <w:bookmarkStart w:id="2" w:name="_Toc462564084"/>
      <w:r/>
      <w:bookmarkStart w:id="3" w:name="_Toc513029225"/>
      <w:r/>
      <w:bookmarkStart w:id="4" w:name="_Toc20823297"/>
      <w:r/>
      <w:bookmarkStart w:id="5" w:name="_Toc16938541"/>
      <w:r>
        <w:rPr>
          <w:rFonts w:hint="eastAsia" w:ascii="宋体" w:hAnsi="宋体" w:cs="Arial"/>
          <w:b/>
          <w:bCs/>
          <w:color w:val="auto"/>
          <w:sz w:val="21"/>
          <w:szCs w:val="21"/>
          <w:highlight w:val="none"/>
        </w:rPr>
        <w:t xml:space="preserve">1</w:t>
      </w:r>
      <w:r>
        <w:rPr>
          <w:rFonts w:hint="eastAsia" w:ascii="宋体" w:hAnsi="宋体" w:eastAsia="宋体" w:cs="Arial"/>
          <w:b/>
          <w:bCs/>
          <w:color w:val="auto"/>
          <w:sz w:val="21"/>
          <w:szCs w:val="21"/>
          <w:highlight w:val="none"/>
          <w:lang w:val="en-US"/>
        </w:rPr>
        <w:t xml:space="preserve">2</w:t>
      </w:r>
      <w:r>
        <w:rPr>
          <w:rFonts w:hint="eastAsia" w:ascii="宋体" w:hAnsi="宋体" w:cs="Arial"/>
          <w:b/>
          <w:bCs/>
          <w:color w:val="auto"/>
          <w:sz w:val="21"/>
          <w:szCs w:val="21"/>
          <w:highlight w:val="none"/>
        </w:rPr>
        <w:t xml:space="preserve">.电子投标文件</w:t>
      </w:r>
      <w:bookmarkEnd w:id="2"/>
      <w:r/>
      <w:bookmarkEnd w:id="3"/>
      <w:r/>
      <w:bookmarkEnd w:id="4"/>
      <w:r/>
      <w:bookmarkEnd w:id="5"/>
      <w:r>
        <w:rPr>
          <w:rFonts w:hint="eastAsia" w:ascii="宋体" w:hAnsi="宋体" w:cs="Arial"/>
          <w:b/>
          <w:bCs/>
          <w:color w:val="auto"/>
          <w:sz w:val="21"/>
          <w:szCs w:val="21"/>
          <w:highlight w:val="none"/>
        </w:rPr>
        <w:t xml:space="preserve">的递交</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2</w:t>
      </w:r>
      <w:r>
        <w:rPr>
          <w:rFonts w:hint="eastAsia" w:ascii="宋体" w:hAnsi="宋体" w:cs="Arial"/>
          <w:color w:val="auto"/>
          <w:sz w:val="21"/>
          <w:szCs w:val="21"/>
          <w:highlight w:val="none"/>
        </w:rPr>
        <w:t xml:space="preserve">.1投标人应当按照规定，在投标截止时间前制作并上传电子投标文件。</w:t>
      </w:r>
      <w:bookmarkStart w:id="6" w:name="_Toc20823298"/>
      <w:r/>
      <w:bookmarkEnd w:id="6"/>
      <w:r/>
      <w:bookmarkStart w:id="7" w:name="_Toc16938542"/>
      <w:r/>
      <w:bookmarkEnd w:id="7"/>
      <w:r/>
      <w:r/>
    </w:p>
    <w:p>
      <w:pPr>
        <w:ind w:firstLine="420"/>
        <w:spacing w:line="360" w:lineRule="auto"/>
        <w:shd w:val="clear" w:color="auto" w:fill="ffffff"/>
        <w:widowControl/>
        <w:rPr>
          <w:rFonts w:ascii="宋体" w:hAnsi="宋体" w:cs="Arial"/>
          <w:b/>
          <w:bCs/>
          <w:color w:val="auto"/>
          <w:sz w:val="21"/>
          <w:szCs w:val="21"/>
          <w:highlight w:val="none"/>
        </w:rPr>
      </w:pPr>
      <w:r>
        <w:rPr>
          <w:rFonts w:hint="eastAsia" w:ascii="宋体" w:hAnsi="宋体" w:cs="Arial"/>
          <w:b/>
          <w:bCs/>
          <w:color w:val="auto"/>
          <w:sz w:val="21"/>
          <w:szCs w:val="21"/>
          <w:highlight w:val="none"/>
        </w:rPr>
        <w:t xml:space="preserve">1</w:t>
      </w:r>
      <w:r>
        <w:rPr>
          <w:rFonts w:hint="eastAsia" w:ascii="宋体" w:hAnsi="宋体" w:eastAsia="宋体" w:cs="Arial"/>
          <w:b/>
          <w:bCs/>
          <w:color w:val="auto"/>
          <w:sz w:val="21"/>
          <w:szCs w:val="21"/>
          <w:highlight w:val="none"/>
          <w:lang w:val="en-US"/>
        </w:rPr>
        <w:t xml:space="preserve">3</w:t>
      </w:r>
      <w:r>
        <w:rPr>
          <w:rFonts w:hint="eastAsia" w:ascii="宋体" w:hAnsi="宋体" w:cs="Arial"/>
          <w:b/>
          <w:bCs/>
          <w:color w:val="auto"/>
          <w:sz w:val="21"/>
          <w:szCs w:val="21"/>
          <w:highlight w:val="none"/>
        </w:rPr>
        <w:t xml:space="preserve">.投标截止日期</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3</w:t>
      </w:r>
      <w:r>
        <w:rPr>
          <w:rFonts w:hint="eastAsia" w:ascii="宋体" w:hAnsi="宋体" w:cs="Arial"/>
          <w:color w:val="auto"/>
          <w:sz w:val="21"/>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3</w:t>
      </w:r>
      <w:r>
        <w:rPr>
          <w:rFonts w:hint="eastAsia" w:ascii="宋体" w:hAnsi="宋体" w:cs="Arial"/>
          <w:color w:val="auto"/>
          <w:sz w:val="21"/>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auto"/>
          <w:sz w:val="21"/>
          <w:szCs w:val="21"/>
          <w:highlight w:val="none"/>
        </w:rPr>
      </w:pPr>
      <w:r/>
      <w:bookmarkStart w:id="8" w:name="_Toc20823299"/>
      <w:r/>
      <w:bookmarkStart w:id="9" w:name="_Toc16938543"/>
      <w:r/>
      <w:bookmarkStart w:id="10" w:name="_Toc513029227"/>
      <w:r>
        <w:rPr>
          <w:rFonts w:hint="eastAsia" w:ascii="宋体" w:hAnsi="宋体" w:cs="Arial"/>
          <w:b/>
          <w:bCs/>
          <w:color w:val="auto"/>
          <w:sz w:val="21"/>
          <w:szCs w:val="21"/>
          <w:highlight w:val="none"/>
        </w:rPr>
        <w:t xml:space="preserve">1</w:t>
      </w:r>
      <w:r>
        <w:rPr>
          <w:rFonts w:hint="eastAsia" w:ascii="宋体" w:hAnsi="宋体" w:eastAsia="宋体" w:cs="Arial"/>
          <w:b/>
          <w:bCs/>
          <w:color w:val="auto"/>
          <w:sz w:val="21"/>
          <w:szCs w:val="21"/>
          <w:highlight w:val="none"/>
          <w:lang w:val="en-US"/>
        </w:rPr>
        <w:t xml:space="preserve">4</w:t>
      </w:r>
      <w:r>
        <w:rPr>
          <w:rFonts w:hint="eastAsia" w:ascii="宋体" w:hAnsi="宋体" w:cs="Arial"/>
          <w:b/>
          <w:bCs/>
          <w:color w:val="auto"/>
          <w:sz w:val="21"/>
          <w:szCs w:val="21"/>
          <w:highlight w:val="none"/>
        </w:rPr>
        <w:t xml:space="preserve">.投标文件</w:t>
      </w:r>
      <w:bookmarkEnd w:id="8"/>
      <w:r/>
      <w:bookmarkEnd w:id="9"/>
      <w:r/>
      <w:bookmarkEnd w:id="10"/>
      <w:r>
        <w:rPr>
          <w:rFonts w:hint="eastAsia" w:ascii="宋体" w:hAnsi="宋体" w:cs="Arial"/>
          <w:b/>
          <w:bCs/>
          <w:color w:val="auto"/>
          <w:sz w:val="21"/>
          <w:szCs w:val="21"/>
          <w:highlight w:val="none"/>
        </w:rPr>
        <w:t xml:space="preserve">的拒收</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4</w:t>
      </w:r>
      <w:r>
        <w:rPr>
          <w:rFonts w:hint="eastAsia" w:ascii="宋体" w:hAnsi="宋体" w:cs="Arial"/>
          <w:color w:val="auto"/>
          <w:sz w:val="21"/>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auto"/>
          <w:sz w:val="21"/>
          <w:szCs w:val="21"/>
          <w:highlight w:val="none"/>
        </w:rPr>
      </w:pPr>
      <w:r/>
      <w:bookmarkStart w:id="11" w:name="_Toc20823300"/>
      <w:r/>
      <w:bookmarkStart w:id="12" w:name="_Toc16938544"/>
      <w:r/>
      <w:bookmarkStart w:id="13" w:name="_Toc513029228"/>
      <w:r>
        <w:rPr>
          <w:rFonts w:hint="eastAsia" w:ascii="宋体" w:hAnsi="宋体" w:cs="Arial"/>
          <w:b/>
          <w:bCs/>
          <w:color w:val="auto"/>
          <w:sz w:val="21"/>
          <w:szCs w:val="21"/>
          <w:highlight w:val="none"/>
        </w:rPr>
        <w:t xml:space="preserve">1</w:t>
      </w:r>
      <w:r>
        <w:rPr>
          <w:rFonts w:hint="eastAsia" w:ascii="宋体" w:hAnsi="宋体" w:eastAsia="宋体" w:cs="Arial"/>
          <w:b/>
          <w:bCs/>
          <w:color w:val="auto"/>
          <w:sz w:val="21"/>
          <w:szCs w:val="21"/>
          <w:highlight w:val="none"/>
          <w:lang w:val="en-US"/>
        </w:rPr>
        <w:t xml:space="preserve">5</w:t>
      </w:r>
      <w:r>
        <w:rPr>
          <w:rFonts w:hint="eastAsia" w:ascii="宋体" w:hAnsi="宋体" w:cs="Arial"/>
          <w:b/>
          <w:bCs/>
          <w:color w:val="auto"/>
          <w:sz w:val="21"/>
          <w:szCs w:val="21"/>
          <w:highlight w:val="none"/>
        </w:rPr>
        <w:t xml:space="preserve">.投标文件的撤回和修改</w:t>
      </w:r>
      <w:bookmarkEnd w:id="11"/>
      <w:r/>
      <w:bookmarkEnd w:id="12"/>
      <w:r/>
      <w:bookmarkEnd w:id="13"/>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5</w:t>
      </w:r>
      <w:r>
        <w:rPr>
          <w:rFonts w:hint="eastAsia" w:ascii="宋体" w:hAnsi="宋体" w:cs="Arial"/>
          <w:color w:val="auto"/>
          <w:sz w:val="21"/>
          <w:szCs w:val="21"/>
          <w:highlight w:val="none"/>
        </w:rPr>
        <w:t xml:space="preserve">.1 投标文件的撤回</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5</w:t>
      </w:r>
      <w:r>
        <w:rPr>
          <w:rFonts w:hint="eastAsia" w:ascii="宋体" w:hAnsi="宋体" w:cs="Arial"/>
          <w:color w:val="auto"/>
          <w:sz w:val="21"/>
          <w:szCs w:val="21"/>
          <w:highlight w:val="none"/>
        </w:rPr>
        <w:t xml:space="preserve">.1.1 电子投标文件的撤回</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5</w:t>
      </w:r>
      <w:r>
        <w:rPr>
          <w:rFonts w:hint="eastAsia" w:ascii="宋体" w:hAnsi="宋体" w:cs="Arial"/>
          <w:color w:val="auto"/>
          <w:sz w:val="21"/>
          <w:szCs w:val="21"/>
          <w:highlight w:val="none"/>
        </w:rPr>
        <w:t xml:space="preserve">.1.2 投标人撤回电子投标文件，则认为其不再参与本项目投标活动。</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5</w:t>
      </w:r>
      <w:r>
        <w:rPr>
          <w:rFonts w:hint="eastAsia" w:ascii="宋体" w:hAnsi="宋体" w:cs="Arial"/>
          <w:color w:val="auto"/>
          <w:sz w:val="21"/>
          <w:szCs w:val="21"/>
          <w:highlight w:val="none"/>
        </w:rPr>
        <w:t xml:space="preserve">.2 投标文件的修改</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5</w:t>
      </w:r>
      <w:r>
        <w:rPr>
          <w:rFonts w:hint="eastAsia" w:ascii="宋体" w:hAnsi="宋体" w:cs="Arial"/>
          <w:color w:val="auto"/>
          <w:sz w:val="21"/>
          <w:szCs w:val="21"/>
          <w:highlight w:val="none"/>
        </w:rPr>
        <w:t xml:space="preserve">.2.1投标人可在投标截止时间前，对其电子投标文件进行修改。</w:t>
      </w:r>
      <w:r/>
    </w:p>
    <w:p>
      <w:pPr>
        <w:ind w:firstLine="420"/>
        <w:spacing w:line="360" w:lineRule="auto"/>
        <w:shd w:val="clear" w:color="auto" w:fill="ffffff"/>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5</w:t>
      </w:r>
      <w:r>
        <w:rPr>
          <w:rFonts w:hint="eastAsia" w:ascii="宋体" w:hAnsi="宋体" w:cs="Arial"/>
          <w:color w:val="auto"/>
          <w:sz w:val="21"/>
          <w:szCs w:val="21"/>
          <w:highlight w:val="none"/>
        </w:rPr>
        <w:t xml:space="preserve">.2.2 在投标截止时间之后，投标人不得对其电子投标文件作任何修改。</w:t>
      </w:r>
      <w:r/>
    </w:p>
    <w:p>
      <w:pPr>
        <w:pStyle w:val="868"/>
        <w:rPr>
          <w:color w:val="auto"/>
          <w:sz w:val="21"/>
          <w:szCs w:val="21"/>
          <w:highlight w:val="none"/>
        </w:rPr>
      </w:pPr>
      <w:r>
        <w:rPr>
          <w:rFonts w:hint="eastAsia" w:ascii="宋体" w:hAnsi="宋体" w:cs="Arial"/>
          <w:color w:val="auto"/>
          <w:sz w:val="21"/>
          <w:szCs w:val="21"/>
          <w:highlight w:val="none"/>
        </w:rPr>
        <w:t xml:space="preserve">1</w:t>
      </w:r>
      <w:r>
        <w:rPr>
          <w:rFonts w:hint="eastAsia" w:ascii="宋体" w:hAnsi="宋体" w:eastAsia="宋体" w:cs="Arial"/>
          <w:color w:val="auto"/>
          <w:sz w:val="21"/>
          <w:szCs w:val="21"/>
          <w:highlight w:val="none"/>
          <w:lang w:val="en-US"/>
        </w:rPr>
        <w:t xml:space="preserve">5</w:t>
      </w:r>
      <w:r>
        <w:rPr>
          <w:rFonts w:hint="eastAsia" w:ascii="宋体" w:hAnsi="宋体" w:cs="Arial"/>
          <w:color w:val="auto"/>
          <w:sz w:val="21"/>
          <w:szCs w:val="21"/>
          <w:highlight w:val="none"/>
        </w:rPr>
        <w:t xml:space="preserve">.3 在投标截止时间至招标文件中规定的投标有效期满之间的这段时间内，投标人不得撤回其投标。</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五</w:t>
      </w:r>
      <w:r>
        <w:rPr>
          <w:rFonts w:hint="eastAsia" w:ascii="宋体" w:hAnsi="宋体" w:eastAsia="宋体"/>
          <w:b/>
          <w:bCs/>
          <w:color w:val="auto"/>
          <w:sz w:val="21"/>
          <w:szCs w:val="21"/>
          <w:highlight w:val="none"/>
        </w:rPr>
        <w:t xml:space="preserve">、开标、评标与确定中标供应商</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12</w:t>
      </w:r>
      <w:r>
        <w:rPr>
          <w:rFonts w:hint="eastAsia" w:ascii="宋体" w:hAnsi="宋体" w:eastAsia="宋体"/>
          <w:b/>
          <w:bCs/>
          <w:color w:val="auto"/>
          <w:sz w:val="21"/>
          <w:szCs w:val="21"/>
          <w:highlight w:val="none"/>
        </w:rPr>
        <w:t xml:space="preserve">、开标</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12.1开标时间及地点。开标应当在招标文件确定的提交投标文件截止时间的同一时间公开进行；开标地点应当为招标文件中预先确定的地点。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12.2由电子招标投标交易平台主持，邀请投标人参加。</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12.3所有投标单位使用 CA 证书在开标时间时，解密各自投标文件，由工作人员操作系统进行开标，投标人不足3家的，不得开标。</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12.4投标人原因造成投标文件未解密的，视为撤销其投标文件；因投标人之外的原因造成投标文件未解密的，视为撤回其投标文件。部分投标文件未解密的，其他投标文件的开标可以继续进行。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.5 投标文件报价出现前后不一致的，除招标文件另有规定外，按照下列规定修正：</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（1）投标文件中开标一览表（分项报价表）内容与投标文件中相应内容不一致的，以开标一览表（分项报价表）为准；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（2）大写金额和小写金额不一致的，以大写金额为准；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（3）单价金额小数点或者百分比有明显错位的，以开标一览表的总价为准，并修改单价；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（4）总价金额与按单价汇总金额不一致的，以单价金额计算结果为准。</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同时出现两种以上不一致的，按照前款规定的顺序修正。修正后的报价按照前款规定经供应商确认后产生约束力，如果投标人不接受修正后的价格，则其投标将被拒绝。</w:t>
      </w:r>
      <w:r/>
    </w:p>
    <w:p>
      <w:pPr>
        <w:ind w:firstLine="420"/>
        <w:spacing w:line="360" w:lineRule="auto"/>
        <w:rPr>
          <w:rFonts w:ascii="宋体" w:hAnsi="宋体" w:eastAsia="宋体"/>
          <w:b/>
          <w:bCs/>
          <w:color w:val="auto"/>
          <w:sz w:val="21"/>
          <w:szCs w:val="21"/>
          <w:highlight w:val="none"/>
          <w:lang w:val="en-US"/>
        </w:rPr>
      </w:pPr>
      <w:r/>
      <w:bookmarkStart w:id="14" w:name="_Toc15171"/>
      <w:r/>
      <w:bookmarkStart w:id="15" w:name="_Toc323"/>
      <w:r>
        <w:rPr>
          <w:rFonts w:hint="eastAsia" w:ascii="宋体" w:hAnsi="宋体" w:eastAsia="宋体"/>
          <w:b/>
          <w:bCs/>
          <w:color w:val="auto"/>
          <w:sz w:val="21"/>
          <w:szCs w:val="21"/>
          <w:highlight w:val="none"/>
          <w:lang w:val="en-US"/>
        </w:rPr>
        <w:t xml:space="preserve">12.6投标截止时间结束参加投标的供应商不足三家的处理</w:t>
      </w:r>
      <w:bookmarkEnd w:id="14"/>
      <w:r/>
      <w:bookmarkEnd w:id="15"/>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12.6.1</w:t>
      </w:r>
      <w:r>
        <w:rPr>
          <w:rFonts w:hint="eastAsia" w:ascii="宋体" w:hAnsi="宋体" w:eastAsia="宋体"/>
          <w:color w:val="auto"/>
          <w:sz w:val="21"/>
          <w:szCs w:val="21"/>
          <w:highlight w:val="none"/>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12.6.2</w:t>
      </w:r>
      <w:r>
        <w:rPr>
          <w:rFonts w:hint="eastAsia" w:ascii="宋体" w:hAnsi="宋体" w:eastAsia="宋体"/>
          <w:color w:val="auto"/>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12.7</w:t>
      </w:r>
      <w:r>
        <w:rPr>
          <w:rFonts w:hint="eastAsia" w:ascii="宋体" w:hAnsi="宋体" w:eastAsia="宋体"/>
          <w:color w:val="auto"/>
          <w:sz w:val="21"/>
          <w:szCs w:val="21"/>
          <w:highlight w:val="none"/>
        </w:rPr>
        <w:t xml:space="preserve">供应商若不接受采购方式的改变，应在规定的时间内书面向评标委员会说明，未在规定时间内提交书面说明的视为接受采购方式的改变。</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、评标</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.1 评标组织</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.1.1</w:t>
      </w:r>
      <w:r>
        <w:rPr>
          <w:rFonts w:hint="eastAsia" w:ascii="宋体" w:hAnsi="宋体" w:eastAsia="宋体"/>
          <w:color w:val="auto"/>
          <w:sz w:val="21"/>
          <w:szCs w:val="21"/>
          <w:highlight w:val="none"/>
        </w:rPr>
        <w:t xml:space="preserve">评标工作由代理机构负责组织，具体评标事务由依法组建的评标委员会负责，并独立履行下列职责：</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（1）审查投标文件是否符合招标文件要求，并作出评价；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（2）要求供应商对投标文件有关事项作出解释或者澄清；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（3）推荐中标候选供应商名单，或者按照招标文件规定直接确定供应商；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（4）向代理机构或者有关部门报告非法干预评标工作的行为。</w:t>
      </w:r>
      <w:r/>
    </w:p>
    <w:p>
      <w:pPr>
        <w:ind w:firstLine="420"/>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.1.2 </w:t>
      </w:r>
      <w:r>
        <w:rPr>
          <w:rFonts w:hint="eastAsia" w:ascii="宋体" w:hAnsi="宋体" w:eastAsia="宋体"/>
          <w:color w:val="auto"/>
          <w:sz w:val="21"/>
          <w:szCs w:val="21"/>
          <w:highlight w:val="none"/>
        </w:rPr>
        <w:t xml:space="preserve">评标委员会由采购人代表和有关技术等方面的专家组成，独立开展评审工作。</w:t>
      </w:r>
      <w:r/>
    </w:p>
    <w:p>
      <w:pPr>
        <w:ind w:firstLine="420"/>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.2 评标程序</w:t>
      </w:r>
      <w:r/>
    </w:p>
    <w:p>
      <w:pPr>
        <w:ind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13.2.1 异常低价投标审查</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评审过程中出现下列情形之一的，评标委员会应当启动异常低价投标审查程序：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（3）投标（响应）报价低于采购项目最高限价45%的，即投标（响应）报价&lt;采购项目最高限价×45%；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（4）评审委员会基于专业判断，认为供应商报价过低，有可能影响产品质量或者不能诚信履约的其他情形。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13</w:t>
      </w: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2</w:t>
      </w:r>
      <w:r>
        <w:rPr>
          <w:rFonts w:hint="eastAsia" w:ascii="宋体" w:hAnsi="宋体" w:eastAsia="宋体"/>
          <w:b/>
          <w:color w:val="auto"/>
          <w:sz w:val="21"/>
          <w:szCs w:val="21"/>
          <w:highlight w:val="none"/>
        </w:rPr>
        <w:t xml:space="preserve"> 投标文件的资格性检查。</w:t>
      </w:r>
      <w:r>
        <w:rPr>
          <w:rFonts w:hint="eastAsia" w:ascii="宋体" w:hAnsi="宋体" w:eastAsia="宋体"/>
          <w:color w:val="auto"/>
          <w:sz w:val="21"/>
          <w:szCs w:val="21"/>
          <w:highlight w:val="none"/>
        </w:rPr>
        <w:t xml:space="preserve">依据法律法规和招标文件的规定，对投标文件中资格证明、投标保证金等进行审查，以确定供应商是否具备投标资格。</w:t>
      </w:r>
      <w:r/>
    </w:p>
    <w:p>
      <w:pPr>
        <w:ind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13</w:t>
      </w: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3</w:t>
      </w:r>
      <w:r>
        <w:rPr>
          <w:rFonts w:hint="eastAsia" w:ascii="宋体" w:hAnsi="宋体" w:eastAsia="宋体"/>
          <w:b/>
          <w:color w:val="auto"/>
          <w:sz w:val="21"/>
          <w:szCs w:val="21"/>
          <w:highlight w:val="none"/>
        </w:rPr>
        <w:t xml:space="preserve">投标文件的符合性检查</w:t>
      </w:r>
      <w:r>
        <w:rPr>
          <w:rFonts w:hint="eastAsia" w:ascii="宋体" w:hAnsi="宋体" w:eastAsia="宋体"/>
          <w:color w:val="auto"/>
          <w:sz w:val="21"/>
          <w:szCs w:val="21"/>
          <w:highlight w:val="none"/>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投标文件有下列情况之一的，在符合性检查时按照无效投标处理：</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）未按照招标文件规定要求密封、签署、盖章的，</w:t>
      </w:r>
      <w:r>
        <w:rPr>
          <w:rFonts w:hint="eastAsia" w:ascii="宋体" w:hAnsi="宋体" w:eastAsia="宋体"/>
          <w:b/>
          <w:color w:val="auto"/>
          <w:sz w:val="21"/>
          <w:szCs w:val="21"/>
          <w:highlight w:val="none"/>
        </w:rPr>
        <w:t xml:space="preserve">没有《开标一览表》或《开标一览表》没有按照招标文件要求盖章的，以及投标文件无法定代表人签字，或签字人无法定代表人有效授权的；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）投标人在苏采云系统规定的时间内未成功解密电子投标文件的。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）投标人未按照招标文件要求上传电子投标文件的。</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）不同供应商的投标文件由同一单位或者个人编制；</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）不同供应商委托同一单位或者个人办理投标事宜；</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）不同供应商的投标文件载明的项目管理成员为同一人；</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）不同供应商的投标文件异常一致或者投标报价呈规律性差异；</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rPr>
        <w:t xml:space="preserve">8</w:t>
      </w:r>
      <w:r>
        <w:rPr>
          <w:rFonts w:hint="eastAsia" w:ascii="宋体" w:hAnsi="宋体" w:eastAsia="宋体"/>
          <w:b/>
          <w:color w:val="auto"/>
          <w:sz w:val="21"/>
          <w:szCs w:val="21"/>
          <w:highlight w:val="none"/>
        </w:rPr>
        <w:t xml:space="preserve">）不同供应商的负责人为同一人或者存在控股、管理关系的；</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rPr>
        <w:t xml:space="preserve">9</w:t>
      </w:r>
      <w:r>
        <w:rPr>
          <w:rFonts w:hint="eastAsia" w:ascii="宋体" w:hAnsi="宋体" w:eastAsia="宋体"/>
          <w:b/>
          <w:color w:val="auto"/>
          <w:sz w:val="21"/>
          <w:szCs w:val="21"/>
          <w:highlight w:val="none"/>
        </w:rPr>
        <w:t xml:space="preserve">）没有逐一说明投标</w:t>
      </w:r>
      <w:r>
        <w:rPr>
          <w:rFonts w:hint="eastAsia" w:ascii="宋体" w:hAnsi="宋体" w:eastAsia="宋体"/>
          <w:b/>
          <w:color w:val="auto"/>
          <w:sz w:val="21"/>
          <w:szCs w:val="21"/>
          <w:highlight w:val="none"/>
          <w:lang w:val="en-US"/>
        </w:rPr>
        <w:t xml:space="preserve">服务响应</w:t>
      </w:r>
      <w:r>
        <w:rPr>
          <w:rFonts w:hint="eastAsia" w:ascii="宋体" w:hAnsi="宋体" w:eastAsia="宋体"/>
          <w:b/>
          <w:color w:val="auto"/>
          <w:sz w:val="21"/>
          <w:szCs w:val="21"/>
          <w:highlight w:val="none"/>
        </w:rPr>
        <w:t xml:space="preserve">，而是直接拷贝招标文件</w:t>
      </w:r>
      <w:r>
        <w:rPr>
          <w:rFonts w:hint="eastAsia" w:ascii="宋体" w:hAnsi="宋体" w:eastAsia="宋体"/>
          <w:b/>
          <w:color w:val="auto"/>
          <w:sz w:val="21"/>
          <w:szCs w:val="21"/>
          <w:highlight w:val="none"/>
          <w:lang w:val="en-US"/>
        </w:rPr>
        <w:t xml:space="preserve">服务</w:t>
      </w:r>
      <w:r>
        <w:rPr>
          <w:rFonts w:hint="eastAsia" w:ascii="宋体" w:hAnsi="宋体" w:eastAsia="宋体"/>
          <w:b/>
          <w:color w:val="auto"/>
          <w:sz w:val="21"/>
          <w:szCs w:val="21"/>
          <w:highlight w:val="none"/>
        </w:rPr>
        <w:t xml:space="preserve">要求的；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）不同供应商的委托代理人(或法定代表人、项目经理、项目总监、项目负责人等)在采购文件发布日上月至投标截止日当月在同一单位缴纳社会保险的；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rPr>
        <w:t xml:space="preserve">服务承诺和付款条件未响应招标要求的</w:t>
      </w:r>
      <w:r>
        <w:rPr>
          <w:rFonts w:hint="eastAsia" w:ascii="宋体" w:hAnsi="宋体" w:eastAsia="宋体"/>
          <w:color w:val="auto"/>
          <w:sz w:val="21"/>
          <w:szCs w:val="21"/>
          <w:highlight w:val="none"/>
        </w:rPr>
        <w:t xml:space="preserve">；</w:t>
      </w:r>
      <w:r/>
    </w:p>
    <w:p>
      <w:pPr>
        <w:ind w:firstLine="420"/>
        <w:spacing w:line="360" w:lineRule="auto"/>
        <w:rPr>
          <w:color w:val="auto"/>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）不符合法律、法规和招标文件规定的其他实质性要求的；</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13</w:t>
      </w: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4</w:t>
      </w:r>
      <w:r>
        <w:rPr>
          <w:rFonts w:hint="eastAsia" w:ascii="宋体" w:hAnsi="宋体" w:eastAsia="宋体"/>
          <w:b/>
          <w:color w:val="auto"/>
          <w:sz w:val="21"/>
          <w:szCs w:val="21"/>
          <w:highlight w:val="none"/>
        </w:rPr>
        <w:t xml:space="preserve"> </w:t>
      </w:r>
      <w:r>
        <w:rPr>
          <w:rFonts w:hint="eastAsia" w:ascii="宋体" w:hAnsi="宋体" w:eastAsia="宋体"/>
          <w:b/>
          <w:color w:val="auto"/>
          <w:sz w:val="21"/>
          <w:szCs w:val="21"/>
          <w:highlight w:val="none"/>
          <w:lang w:val="en-US"/>
        </w:rPr>
        <w:t xml:space="preserve">实质性参数</w:t>
      </w:r>
      <w:r>
        <w:rPr>
          <w:rFonts w:hint="eastAsia" w:ascii="宋体" w:hAnsi="宋体" w:eastAsia="宋体"/>
          <w:b/>
          <w:color w:val="auto"/>
          <w:sz w:val="21"/>
          <w:szCs w:val="21"/>
          <w:highlight w:val="none"/>
        </w:rPr>
        <w:t xml:space="preserve">是指本招标文件中用带星号（“</w:t>
      </w:r>
      <w:r>
        <w:rPr>
          <w:rFonts w:hint="eastAsia" w:ascii="宋体" w:hAnsi="宋体" w:eastAsia="宋体"/>
          <w:bCs/>
          <w:color w:val="auto"/>
          <w:sz w:val="21"/>
          <w:szCs w:val="21"/>
          <w:highlight w:val="none"/>
        </w:rPr>
        <w:t xml:space="preserve">★</w:t>
      </w:r>
      <w:r>
        <w:rPr>
          <w:rFonts w:hint="eastAsia" w:ascii="宋体" w:hAnsi="宋体" w:eastAsia="宋体"/>
          <w:b/>
          <w:color w:val="auto"/>
          <w:sz w:val="21"/>
          <w:szCs w:val="21"/>
          <w:highlight w:val="none"/>
        </w:rPr>
        <w:t xml:space="preserve">”）的商务和技术要求。</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3.2.5</w:t>
      </w:r>
      <w:r>
        <w:rPr>
          <w:rFonts w:hint="eastAsia" w:ascii="宋体" w:hAnsi="宋体" w:eastAsia="宋体"/>
          <w:color w:val="auto"/>
          <w:sz w:val="21"/>
          <w:szCs w:val="21"/>
          <w:highlight w:val="none"/>
        </w:rPr>
        <w:t xml:space="preserve"> 未通过资格审查或符合性审查的供应商，评标委员会将通过苏采云系统告知具体原因，评审结束后将不再接受有关询问。</w:t>
      </w:r>
      <w:r/>
    </w:p>
    <w:p>
      <w:pPr>
        <w:ind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13</w:t>
      </w: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6 </w:t>
      </w:r>
      <w:r>
        <w:rPr>
          <w:rFonts w:hint="eastAsia" w:ascii="宋体" w:hAnsi="宋体" w:eastAsia="宋体"/>
          <w:color w:val="auto"/>
          <w:sz w:val="21"/>
          <w:szCs w:val="21"/>
          <w:highlight w:val="none"/>
        </w:rPr>
        <w:t xml:space="preserve">有下列情形之一的予以废标，同时将废标理由通知所有供应商：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（1）符合专业条件的供应商或者对招标文件作实质性响应的供应商不足三家的；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（3）供应商的报价均超过了采购预算，采购人不能支付的；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（4）因重大变故，采购任务取消的。</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 </w:t>
      </w:r>
      <w:r>
        <w:rPr>
          <w:rFonts w:hint="eastAsia" w:ascii="宋体" w:hAnsi="宋体" w:eastAsia="宋体"/>
          <w:b/>
          <w:color w:val="auto"/>
          <w:sz w:val="21"/>
          <w:szCs w:val="21"/>
          <w:highlight w:val="none"/>
        </w:rPr>
        <w:t xml:space="preserve">澄清有关问题</w:t>
      </w:r>
      <w:r>
        <w:rPr>
          <w:rFonts w:hint="eastAsia" w:ascii="宋体" w:hAnsi="宋体" w:eastAsia="宋体"/>
          <w:color w:val="auto"/>
          <w:sz w:val="21"/>
          <w:szCs w:val="21"/>
          <w:highlight w:val="none"/>
        </w:rPr>
        <w:t xml:space="preserve">。</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.3供应商澄清、说明或者补正不得超出投标文件的范围或者改变投标文件的实质性内容。供应商拒不按照要求对投标文件进行澄清、说明或者补正的，视其放弃该项权利。</w:t>
      </w:r>
      <w:r/>
    </w:p>
    <w:p>
      <w:pPr>
        <w:ind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.4 </w:t>
      </w:r>
      <w:r>
        <w:rPr>
          <w:rFonts w:hint="eastAsia" w:ascii="宋体" w:hAnsi="宋体" w:eastAsia="宋体"/>
          <w:b/>
          <w:color w:val="auto"/>
          <w:sz w:val="21"/>
          <w:szCs w:val="21"/>
          <w:highlight w:val="none"/>
        </w:rPr>
        <w:t xml:space="preserve">比较与评价。</w:t>
      </w:r>
      <w:r>
        <w:rPr>
          <w:rFonts w:hint="eastAsia" w:ascii="宋体" w:hAnsi="宋体" w:eastAsia="宋体"/>
          <w:color w:val="auto"/>
          <w:sz w:val="21"/>
          <w:szCs w:val="21"/>
          <w:highlight w:val="none"/>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.3 评标方法和标准</w:t>
      </w:r>
      <w:r/>
    </w:p>
    <w:p>
      <w:pPr>
        <w:ind w:firstLine="420"/>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13.3.1 采用综合评分法。即在满足招标文件全部实质性要求前提下，按照招标文件中规定的各项因素进行综合评审后，以评标总得分最高的供应商作为中标候选供应商或者中标供应商的评标方法。</w:t>
      </w:r>
      <w:r/>
    </w:p>
    <w:p>
      <w:pPr>
        <w:ind w:firstLine="420"/>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13.3.2 综合评分的主要因素是：价格、技术、服务、业绩等。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13.3.3 评分标准详见第三章。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13</w:t>
      </w:r>
      <w:r>
        <w:rPr>
          <w:rFonts w:hint="eastAsia" w:ascii="宋体" w:hAnsi="宋体" w:eastAsia="宋体"/>
          <w:b/>
          <w:bCs/>
          <w:color w:val="auto"/>
          <w:sz w:val="21"/>
          <w:szCs w:val="21"/>
          <w:highlight w:val="none"/>
        </w:rPr>
        <w:t xml:space="preserve">.3.</w:t>
      </w:r>
      <w:r>
        <w:rPr>
          <w:rFonts w:hint="eastAsia" w:ascii="宋体" w:hAnsi="宋体" w:eastAsia="宋体"/>
          <w:b/>
          <w:bCs/>
          <w:color w:val="auto"/>
          <w:sz w:val="21"/>
          <w:szCs w:val="21"/>
          <w:highlight w:val="none"/>
          <w:lang w:val="en-US"/>
        </w:rPr>
        <w:t xml:space="preserve">4</w:t>
      </w:r>
      <w:r>
        <w:rPr>
          <w:rFonts w:hint="eastAsia" w:ascii="宋体" w:hAnsi="宋体" w:eastAsia="宋体"/>
          <w:color w:val="auto"/>
          <w:sz w:val="21"/>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416" w:firstLine="18"/>
        <w:spacing w:line="360" w:lineRule="auto"/>
        <w:rPr>
          <w:rFonts w:ascii="宋体" w:hAnsi="宋体" w:eastAsia="宋体"/>
          <w:b/>
          <w:bCs/>
          <w:color w:val="auto"/>
          <w:sz w:val="21"/>
          <w:szCs w:val="21"/>
          <w:highlight w:val="none"/>
          <w:lang w:val="en-US"/>
        </w:rPr>
      </w:pPr>
      <w:r>
        <w:rPr>
          <w:rFonts w:hint="eastAsia" w:ascii="宋体" w:hAnsi="宋体" w:eastAsia="宋体"/>
          <w:color w:val="auto"/>
          <w:sz w:val="21"/>
          <w:szCs w:val="21"/>
          <w:highlight w:val="none"/>
        </w:rPr>
        <w:t xml:space="preserve">非单一产品采购项目，确定核心产品。多家投标人提供的核心产品品牌相同的，按前两款规定处理。</w:t>
      </w:r>
      <w:r>
        <w:rPr>
          <w:rFonts w:hint="eastAsia" w:ascii="宋体" w:hAnsi="宋体" w:eastAsia="宋体"/>
          <w:color w:val="auto"/>
          <w:sz w:val="21"/>
          <w:szCs w:val="21"/>
          <w:highlight w:val="none"/>
        </w:rPr>
        <w:br/>
      </w:r>
      <w:r>
        <w:rPr>
          <w:rFonts w:hint="eastAsia" w:ascii="宋体" w:hAnsi="宋体" w:eastAsia="宋体"/>
          <w:b/>
          <w:bCs/>
          <w:color w:val="auto"/>
          <w:sz w:val="21"/>
          <w:szCs w:val="21"/>
          <w:highlight w:val="none"/>
        </w:rPr>
        <w:t xml:space="preserve">（本项目为服务类项目，不适用以上13.3.4条）</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14</w:t>
      </w:r>
      <w:r>
        <w:rPr>
          <w:rFonts w:hint="eastAsia" w:ascii="宋体" w:hAnsi="宋体" w:eastAsia="宋体"/>
          <w:b/>
          <w:bCs/>
          <w:color w:val="auto"/>
          <w:sz w:val="21"/>
          <w:szCs w:val="21"/>
          <w:highlight w:val="none"/>
        </w:rPr>
        <w:t xml:space="preserve">、确定中标供应商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.1 在评标期间，出现符合专业条件的供应商或者对招标文件作出实质性响应的供应商不足三家情形的，比照</w:t>
      </w: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款执行。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采购人在收到评标报告5个工作日内未按评标报告推荐的中标候选人顺序确定中标人，又不能说明合法理由的，视同按评标报告推荐的顺序</w:t>
      </w:r>
      <w:r>
        <w:rPr>
          <w:rFonts w:hint="eastAsia" w:ascii="宋体" w:hAnsi="宋体" w:eastAsia="宋体"/>
          <w:b/>
          <w:color w:val="auto"/>
          <w:sz w:val="21"/>
          <w:szCs w:val="21"/>
          <w:highlight w:val="none"/>
        </w:rPr>
        <w:t xml:space="preserve">确定排名第一的中标候选人为中标人</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 中标供应商确定后，将中标结果在原招标公告发布媒体进行公示，公示期为1个工作日，同时向中标供应商发出中标通知书。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中标通知书对采购人和中标供应商具有同等法律效力。</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中标通知书发出后，采购人或中标供应商拒绝签订合同的，拒绝签订合同的一方应至少向另一方支付与</w:t>
      </w:r>
      <w:r>
        <w:rPr>
          <w:rFonts w:hint="eastAsia" w:ascii="宋体" w:hAnsi="宋体" w:eastAsia="宋体"/>
          <w:color w:val="auto"/>
          <w:sz w:val="21"/>
          <w:szCs w:val="21"/>
          <w:highlight w:val="none"/>
          <w:lang w:val="en-US"/>
        </w:rPr>
        <w:t xml:space="preserve">预算金额2%</w:t>
      </w:r>
      <w:r>
        <w:rPr>
          <w:rFonts w:hint="eastAsia" w:ascii="宋体" w:hAnsi="宋体" w:eastAsia="宋体"/>
          <w:color w:val="auto"/>
          <w:sz w:val="21"/>
          <w:szCs w:val="21"/>
          <w:highlight w:val="none"/>
        </w:rPr>
        <w:t xml:space="preserve">的补偿金，以及为招标、投标所发生的有关费用和双方商定的其他补偿。</w:t>
      </w:r>
      <w:r/>
    </w:p>
    <w:p>
      <w:pPr>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14</w:t>
      </w: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rPr>
        <w:t xml:space="preserve">5</w:t>
      </w:r>
      <w:r>
        <w:rPr>
          <w:rFonts w:hint="eastAsia" w:ascii="宋体" w:hAnsi="宋体" w:eastAsia="宋体"/>
          <w:b/>
          <w:color w:val="auto"/>
          <w:sz w:val="21"/>
          <w:szCs w:val="21"/>
          <w:highlight w:val="none"/>
        </w:rPr>
        <w:t xml:space="preserve"> 中标通知书发出后，中标供应商无正当理由不与采购人签订合同的，投标保证金不予退还</w:t>
      </w:r>
      <w:r>
        <w:rPr>
          <w:rFonts w:hint="eastAsia" w:ascii="宋体" w:hAnsi="宋体" w:eastAsia="宋体"/>
          <w:b/>
          <w:color w:val="auto"/>
          <w:sz w:val="21"/>
          <w:szCs w:val="21"/>
          <w:highlight w:val="none"/>
          <w:lang w:val="en-US"/>
        </w:rPr>
        <w:t xml:space="preserve">或者扣除相应信用分</w:t>
      </w:r>
      <w:r>
        <w:rPr>
          <w:rFonts w:hint="eastAsia" w:ascii="宋体" w:hAnsi="宋体" w:eastAsia="宋体"/>
          <w:b/>
          <w:color w:val="auto"/>
          <w:sz w:val="21"/>
          <w:szCs w:val="21"/>
          <w:highlight w:val="none"/>
        </w:rPr>
        <w:t xml:space="preserve">；情节严重的，由财政部门将其列入不良行为记录名单，在一至三年内禁止参加政府采购活动，并予以通报。</w:t>
      </w:r>
      <w:r/>
    </w:p>
    <w:p>
      <w:pPr>
        <w:ind w:firstLine="420"/>
        <w:spacing w:line="360" w:lineRule="auto"/>
        <w:tabs>
          <w:tab w:val="left" w:pos="1260"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 代理机构对未中标的供应商不作未中标原因的解释。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 所有投标文件都将作为档案保存，不论中标与否，代理机构均不退回。</w:t>
      </w:r>
      <w:r/>
    </w:p>
    <w:p>
      <w:pPr>
        <w:ind w:firstLine="413"/>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15</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编写评标报告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.1 评标委员会根据全体评标成员签字的原始评标记录和评标结果编写评标报告。</w:t>
      </w:r>
      <w:r/>
    </w:p>
    <w:p>
      <w:pPr>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15</w:t>
      </w:r>
      <w:r>
        <w:rPr>
          <w:rFonts w:hint="eastAsia" w:ascii="宋体" w:hAnsi="宋体" w:eastAsia="宋体"/>
          <w:b/>
          <w:color w:val="auto"/>
          <w:sz w:val="21"/>
          <w:szCs w:val="21"/>
          <w:highlight w:val="none"/>
        </w:rPr>
        <w:t xml:space="preserve">、评标过程的保密性</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.1 代理机构将采取必要措施，保证评标在严格保密的情况下进行。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.2 任何单位和个人不得非法干预、影响评标办法的确定，以及评标过程和结果。</w:t>
      </w:r>
      <w:r/>
    </w:p>
    <w:p>
      <w:pPr>
        <w:ind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.3 凡是与审查、澄清、评价和比较投标的有关资料等，均不向供应商及与评标无关的其他人员透露。</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六</w:t>
      </w:r>
      <w:r>
        <w:rPr>
          <w:rFonts w:hint="eastAsia" w:ascii="宋体" w:hAnsi="宋体" w:eastAsia="宋体"/>
          <w:b/>
          <w:bCs/>
          <w:color w:val="auto"/>
          <w:sz w:val="21"/>
          <w:szCs w:val="21"/>
          <w:highlight w:val="none"/>
        </w:rPr>
        <w:t xml:space="preserve">、签订合同</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、签订合同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16</w:t>
      </w:r>
      <w:r>
        <w:rPr>
          <w:rFonts w:hint="eastAsia" w:ascii="宋体" w:hAnsi="宋体" w:eastAsia="宋体"/>
          <w:color w:val="auto"/>
          <w:sz w:val="21"/>
          <w:szCs w:val="21"/>
          <w:highlight w:val="none"/>
        </w:rPr>
        <w:t xml:space="preserve">.1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16</w:t>
      </w:r>
      <w:r>
        <w:rPr>
          <w:rFonts w:hint="eastAsia" w:ascii="宋体" w:hAnsi="宋体" w:eastAsia="宋体"/>
          <w:color w:val="auto"/>
          <w:sz w:val="21"/>
          <w:szCs w:val="21"/>
          <w:highlight w:val="none"/>
        </w:rPr>
        <w:t xml:space="preserve">.2采购人不得向中标供应商提出任何不合理的要求作为签订合同的条件，不得与中标供应商私下订立背离合同实质性内容的协议。</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16</w:t>
      </w:r>
      <w:r>
        <w:rPr>
          <w:rFonts w:hint="eastAsia" w:ascii="宋体" w:hAnsi="宋体" w:eastAsia="宋体"/>
          <w:color w:val="auto"/>
          <w:sz w:val="21"/>
          <w:szCs w:val="21"/>
          <w:highlight w:val="none"/>
        </w:rPr>
        <w:t xml:space="preserve">.3 中标供应商因不可抗力或者自身原因不能履行政府采购合同的，采购人可以视情</w:t>
      </w:r>
      <w:r>
        <w:rPr>
          <w:rFonts w:hint="eastAsia" w:ascii="宋体" w:hAnsi="宋体" w:eastAsia="宋体"/>
          <w:color w:val="auto"/>
          <w:sz w:val="21"/>
          <w:szCs w:val="21"/>
          <w:highlight w:val="none"/>
          <w:lang w:val="en-US"/>
        </w:rPr>
        <w:t xml:space="preserve">况</w:t>
      </w:r>
      <w:r>
        <w:rPr>
          <w:rFonts w:hint="eastAsia" w:ascii="宋体" w:hAnsi="宋体" w:eastAsia="宋体"/>
          <w:color w:val="auto"/>
          <w:sz w:val="21"/>
          <w:szCs w:val="21"/>
          <w:highlight w:val="none"/>
        </w:rPr>
        <w:t xml:space="preserve">与排位在中标供应商之后第一位的中标候选供应商签订政府采购合同，以此类推，也可以重新开展采购活动。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16</w:t>
      </w:r>
      <w:r>
        <w:rPr>
          <w:rFonts w:hint="eastAsia" w:ascii="宋体" w:hAnsi="宋体" w:eastAsia="宋体"/>
          <w:color w:val="auto"/>
          <w:sz w:val="21"/>
          <w:szCs w:val="21"/>
          <w:highlight w:val="none"/>
        </w:rPr>
        <w:t xml:space="preserve">.4 政府采购合同履行中，采购人需追加与合同标的相同的</w:t>
      </w:r>
      <w:r>
        <w:rPr>
          <w:rFonts w:hint="eastAsia" w:ascii="宋体" w:hAnsi="宋体" w:eastAsia="宋体"/>
          <w:color w:val="auto"/>
          <w:sz w:val="21"/>
          <w:szCs w:val="21"/>
          <w:highlight w:val="none"/>
          <w:lang w:val="en-US"/>
        </w:rPr>
        <w:t xml:space="preserve">服务</w:t>
      </w:r>
      <w:r>
        <w:rPr>
          <w:rFonts w:hint="eastAsia" w:ascii="宋体" w:hAnsi="宋体" w:eastAsia="宋体"/>
          <w:color w:val="auto"/>
          <w:sz w:val="21"/>
          <w:szCs w:val="21"/>
          <w:highlight w:val="none"/>
        </w:rPr>
        <w:t xml:space="preserve">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七</w:t>
      </w:r>
      <w:r>
        <w:rPr>
          <w:rFonts w:hint="eastAsia" w:ascii="宋体" w:hAnsi="宋体" w:eastAsia="宋体"/>
          <w:b/>
          <w:bCs/>
          <w:color w:val="auto"/>
          <w:sz w:val="21"/>
          <w:szCs w:val="21"/>
          <w:highlight w:val="none"/>
        </w:rPr>
        <w:t xml:space="preserve">、质疑、投诉和诚实信用</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17</w:t>
      </w:r>
      <w:r>
        <w:rPr>
          <w:rFonts w:hint="eastAsia" w:ascii="宋体" w:hAnsi="宋体" w:eastAsia="宋体"/>
          <w:b/>
          <w:bCs/>
          <w:color w:val="auto"/>
          <w:sz w:val="21"/>
          <w:szCs w:val="21"/>
          <w:highlight w:val="none"/>
        </w:rPr>
        <w:t xml:space="preserve">、质疑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 供应商认为招标文件、采购过程和中标结果使自己的合法权益受到损害的，可以在知道或者应当知道其权益受到损害之日起七个工作日内，</w:t>
      </w:r>
      <w:r>
        <w:rPr>
          <w:rFonts w:hint="eastAsia" w:ascii="宋体" w:hAnsi="宋体" w:eastAsia="宋体"/>
          <w:b/>
          <w:bCs/>
          <w:color w:val="auto"/>
          <w:sz w:val="21"/>
          <w:szCs w:val="21"/>
          <w:highlight w:val="none"/>
        </w:rPr>
        <w:t xml:space="preserve">以书面的形式（原件）</w:t>
      </w:r>
      <w:r>
        <w:rPr>
          <w:rFonts w:hint="eastAsia" w:ascii="宋体" w:hAnsi="宋体" w:eastAsia="宋体"/>
          <w:color w:val="auto"/>
          <w:sz w:val="21"/>
          <w:szCs w:val="21"/>
          <w:highlight w:val="none"/>
        </w:rPr>
        <w:t xml:space="preserve">向采购人或采购代理机构提出质疑。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联系部门：苏美达国际技术贸易有限公司</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val="en-US"/>
        </w:rPr>
        <w:t xml:space="preserve">冯帆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联系电话：025-84531327</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通讯地址：南京市长江路198号苏美达大厦</w:t>
      </w:r>
      <w:r>
        <w:rPr>
          <w:rFonts w:hint="eastAsia" w:ascii="宋体" w:hAnsi="宋体" w:eastAsia="宋体"/>
          <w:color w:val="auto"/>
          <w:sz w:val="21"/>
          <w:szCs w:val="21"/>
          <w:highlight w:val="none"/>
          <w:lang w:val="en-US"/>
        </w:rPr>
        <w:t xml:space="preserve">9F</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.4 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.5 质疑函必须按照《质疑函范本》要求的格式和内容进行填写。供应商如组成联合体参加投标，则《质疑函范本》中要求签字、盖章、加盖公章之处，联合体各方均须按要求签字、盖章、加盖公章。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.6 质疑文件应包括以下主要内容，并按照“谁主张、谁举证”的原则，附上相关证明材料。否则，采购代理机构或采购人不予受理：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（1）供应商的姓名或者名称、地址、邮编、联系人及联系电话；</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（2）质疑项目的名称、编号；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（3）具体、明确的质疑事项和与质疑事项相关的请求（具体条款）；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（4）事实依据（具体条款）；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（5）必要的法律依据（具体条款）；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（6）提出质疑的日期。</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.8 质疑函应当使用中文。相关当事人提供外文书证或者外国语视听资料的，应当附有中文译本，由翻译机构盖章或者翻译人员签名。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.9 质疑函应当现场提交至采购代理机构或采购人联系人处，提交时应出示有效身份证明。未按上述要求提交质疑函的，质疑不予受理。</w:t>
      </w:r>
      <w:r/>
    </w:p>
    <w:p>
      <w:pPr>
        <w:ind w:firstLine="420"/>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.11 采购人或采购代理机构在收到供应商的书面质疑后在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作出答复，并以书面形式通知质疑供应商和其他有关供应商，答复的内容不涉及商业秘密。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 以下情形的质疑不予受理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.12.1 内容不符合《政府采购质疑和投诉办法》第十二条规定的质疑。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.12.2 超出政府采购法定期限的质疑。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.12.3 以传真、电子邮件等方式递交的非原件形式的质疑。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.12.4 未参加投标活动的供应商或在投标活动中自身权益未受到损害的供应商所提出的质疑。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.12.5供应商组成联合体参加投标，联合体中任何一方或多方未按要求签字、盖章、加盖公章的质疑。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b/>
          <w:bCs/>
          <w:color w:val="auto"/>
          <w:sz w:val="21"/>
          <w:szCs w:val="21"/>
          <w:highlight w:val="none"/>
        </w:rPr>
        <w:t xml:space="preserve">、投诉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18</w:t>
      </w:r>
      <w:r>
        <w:rPr>
          <w:rFonts w:hint="eastAsia" w:ascii="宋体" w:hAnsi="宋体" w:eastAsia="宋体"/>
          <w:color w:val="auto"/>
          <w:sz w:val="21"/>
          <w:szCs w:val="21"/>
          <w:highlight w:val="none"/>
        </w:rPr>
        <w:t xml:space="preserve">.1 质疑供应商对代理机构的答复不满意，或代理机构未在规定的时间内作出答复的，可以在答复期满后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向采购项目同级财政部门投诉。</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19</w:t>
      </w:r>
      <w:r>
        <w:rPr>
          <w:rFonts w:hint="eastAsia" w:ascii="宋体" w:hAnsi="宋体" w:eastAsia="宋体"/>
          <w:b/>
          <w:bCs/>
          <w:color w:val="auto"/>
          <w:sz w:val="21"/>
          <w:szCs w:val="21"/>
          <w:highlight w:val="none"/>
        </w:rPr>
        <w:t xml:space="preserve">、诚实信用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.1 供应商之间不得相互串通投标报价，不得妨碍其他供应商的公平竞争，不得损害采购人和其他供应商的合法权益。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.2 供应商不得以向代理机构工作人员、评标委员会成员行贿或者采取其他不正当手段谋取中标。经查实供应商有此行为的，将在</w:t>
      </w:r>
      <w:r>
        <w:rPr>
          <w:rFonts w:hint="eastAsia" w:ascii="宋体" w:hAnsi="宋体" w:eastAsia="宋体"/>
          <w:color w:val="auto"/>
          <w:sz w:val="21"/>
          <w:szCs w:val="21"/>
          <w:highlight w:val="none"/>
          <w:lang w:val="en-US"/>
        </w:rPr>
        <w:t xml:space="preserve">相关网站</w:t>
      </w:r>
      <w:r>
        <w:rPr>
          <w:rFonts w:hint="eastAsia" w:ascii="宋体" w:hAnsi="宋体" w:eastAsia="宋体"/>
          <w:color w:val="auto"/>
          <w:sz w:val="21"/>
          <w:szCs w:val="21"/>
          <w:highlight w:val="none"/>
        </w:rPr>
        <w:t xml:space="preserve">公告，政府采购管理部门将供应商列入不良行为记录名单，按照《政府采购法》有关规定处理。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.4 供应商不得虚假承诺，否则，按照提供虚假材料谋取中标成交处理。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.5 供应商应自觉遵守</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、评审纪律，扰乱</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现场秩序的，属于失信行为，根据《江苏省政府采购供应商监督管理暂行办法》，失信行为将被记入供应商诚信档案。</w:t>
      </w:r>
      <w:r/>
    </w:p>
    <w:p>
      <w:pPr>
        <w:ind w:firstLine="420"/>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lang w:val="en-US"/>
        </w:rPr>
        <w:t xml:space="preserve">20</w:t>
      </w:r>
      <w:r>
        <w:rPr>
          <w:rFonts w:hint="eastAsia" w:ascii="宋体" w:hAnsi="宋体" w:eastAsia="宋体"/>
          <w:b/>
          <w:color w:val="auto"/>
          <w:sz w:val="21"/>
          <w:szCs w:val="21"/>
          <w:highlight w:val="none"/>
        </w:rPr>
        <w:t xml:space="preserve">、</w:t>
      </w:r>
      <w:r>
        <w:rPr>
          <w:rFonts w:hint="eastAsia" w:ascii="宋体" w:hAnsi="宋体" w:eastAsia="宋体"/>
          <w:b/>
          <w:bCs/>
          <w:color w:val="auto"/>
          <w:sz w:val="21"/>
          <w:szCs w:val="21"/>
          <w:highlight w:val="none"/>
        </w:rPr>
        <w:t xml:space="preserve">投标费用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20</w:t>
      </w:r>
      <w:r>
        <w:rPr>
          <w:rFonts w:hint="eastAsia" w:ascii="宋体" w:hAnsi="宋体" w:eastAsia="宋体"/>
          <w:color w:val="auto"/>
          <w:sz w:val="21"/>
          <w:szCs w:val="21"/>
          <w:highlight w:val="none"/>
        </w:rPr>
        <w:t xml:space="preserve">.1 供应商应承担所有与准备和参加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有关的费用，无论采购结果如何，代理机构和采购人在任何情况下均无义务和责任承担这些费用。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20</w:t>
      </w:r>
      <w:r>
        <w:rPr>
          <w:rFonts w:hint="eastAsia" w:ascii="宋体" w:hAnsi="宋体" w:eastAsia="宋体"/>
          <w:color w:val="auto"/>
          <w:sz w:val="21"/>
          <w:szCs w:val="21"/>
          <w:highlight w:val="none"/>
        </w:rPr>
        <w:t xml:space="preserve">.2 中标服务费：招标代理服务费按“招标代理服务收费管理暂行办法”（计价格﹝2002﹞1980号）所列标准（上浮/下浮）</w:t>
      </w:r>
      <w:r>
        <w:rPr>
          <w:rFonts w:hint="eastAsia" w:ascii="宋体" w:hAnsi="宋体" w:eastAsia="宋体"/>
          <w:color w:val="auto"/>
          <w:sz w:val="21"/>
          <w:szCs w:val="21"/>
          <w:highlight w:val="none"/>
          <w:u w:val="single"/>
          <w:lang w:val="en-US"/>
        </w:rPr>
        <w:t xml:space="preserve">   0%  </w:t>
      </w:r>
      <w:r>
        <w:rPr>
          <w:rFonts w:hint="eastAsia" w:ascii="宋体" w:hAnsi="宋体" w:eastAsia="宋体"/>
          <w:color w:val="auto"/>
          <w:sz w:val="21"/>
          <w:szCs w:val="21"/>
          <w:highlight w:val="none"/>
        </w:rPr>
        <w:t xml:space="preserve">。该费用一次付清，本项费用无需在投标报价表中单列。</w:t>
      </w:r>
      <w:r/>
    </w:p>
    <w:p>
      <w:pPr>
        <w:ind w:firstLine="40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服务费</w:t>
      </w:r>
      <w:r>
        <w:rPr>
          <w:rFonts w:hint="eastAsia" w:ascii="宋体" w:hAnsi="宋体" w:eastAsia="宋体"/>
          <w:b/>
          <w:color w:val="auto"/>
          <w:sz w:val="21"/>
          <w:szCs w:val="21"/>
          <w:highlight w:val="none"/>
        </w:rPr>
        <w:t xml:space="preserve">受理单位：</w:t>
      </w:r>
      <w:r/>
    </w:p>
    <w:p>
      <w:pPr>
        <w:ind w:firstLine="40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单位名称：苏美达国际技术贸易有限公司</w:t>
      </w:r>
      <w:r/>
    </w:p>
    <w:p>
      <w:pPr>
        <w:ind w:firstLine="40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开户银行：中信南京分行营业部</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账号：7321010182300013675</w:t>
      </w:r>
      <w:r/>
    </w:p>
    <w:p>
      <w:pPr>
        <w:ind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行号：302301003210</w:t>
      </w:r>
      <w:r/>
    </w:p>
    <w:p>
      <w:pPr>
        <w:jc w:val="center"/>
        <w:spacing w:line="288"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r>
        <w:rPr>
          <w:rFonts w:hint="eastAsia" w:ascii="黑体" w:hAnsi="宋体" w:eastAsia="黑体"/>
          <w:color w:val="auto"/>
          <w:spacing w:val="-10"/>
          <w:sz w:val="36"/>
          <w:szCs w:val="36"/>
          <w:highlight w:val="none"/>
        </w:rPr>
        <w:t xml:space="preserve">第三章 评标标准</w:t>
      </w:r>
      <w:r/>
    </w:p>
    <w:p>
      <w:pPr>
        <w:pStyle w:val="885"/>
        <w:ind w:firstLine="210"/>
        <w:spacing w:line="360" w:lineRule="auto"/>
        <w:tabs>
          <w:tab w:val="left" w:pos="567" w:leader="none"/>
          <w:tab w:val="left" w:pos="965" w:leader="none"/>
        </w:tabs>
        <w:rPr>
          <w:rFonts w:hAnsi="宋体" w:cs="宋体"/>
          <w:color w:val="auto"/>
          <w:szCs w:val="21"/>
          <w:highlight w:val="none"/>
        </w:rPr>
      </w:pPr>
      <w:r>
        <w:rPr>
          <w:rFonts w:hint="eastAsia" w:hAnsi="宋体" w:cs="宋体"/>
          <w:color w:val="auto"/>
          <w:szCs w:val="21"/>
          <w:highlight w:val="none"/>
        </w:rPr>
        <w:t xml:space="preserve">本项目采用综合评分法。对投标报价、技术和商务等情况进行综合评审，满分100分，将全部评委评分直接进行算术平均，小数点后保留2位。</w:t>
      </w:r>
      <w:r/>
    </w:p>
    <w:p>
      <w:pPr>
        <w:pStyle w:val="885"/>
        <w:ind w:firstLine="211"/>
        <w:spacing w:line="360" w:lineRule="auto"/>
        <w:tabs>
          <w:tab w:val="left" w:pos="567" w:leader="none"/>
          <w:tab w:val="left" w:pos="965" w:leader="none"/>
        </w:tabs>
        <w:rPr>
          <w:rFonts w:hAnsi="宋体" w:cs="宋体"/>
          <w:color w:val="auto"/>
          <w:szCs w:val="21"/>
          <w:highlight w:val="none"/>
        </w:rPr>
      </w:pPr>
      <w:r>
        <w:rPr>
          <w:rFonts w:hint="eastAsia" w:hAnsi="宋体" w:cs="宋体"/>
          <w:b/>
          <w:bCs/>
          <w:color w:val="auto"/>
          <w:szCs w:val="21"/>
          <w:highlight w:val="none"/>
        </w:rPr>
        <w:t xml:space="preserve">本项目共计推荐3名中标候选人</w:t>
      </w:r>
      <w:r>
        <w:rPr>
          <w:rFonts w:hint="eastAsia" w:hAnsi="宋体" w:cs="宋体"/>
          <w:color w:val="auto"/>
          <w:szCs w:val="21"/>
          <w:highlight w:val="none"/>
        </w:rPr>
        <w:t xml:space="preserve">，按评审后得分由高到低顺序排列，投标文件满足招标文件全部实质性要求，且按照评审因素的量化指标评审得分最高的供应商为中标候选人。得分相同的，按投标报价由低到高顺序排列，得分且投标报价相同的，以实施方案得分高者优先，由评标委员会确定中标供应商。</w:t>
      </w:r>
      <w:r/>
    </w:p>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评分标准表</w:t>
      </w:r>
      <w:r/>
    </w:p>
    <w:tbl>
      <w:tblPr>
        <w:tblStyle w:val="867"/>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40"/>
        <w:gridCol w:w="1275"/>
        <w:gridCol w:w="743"/>
        <w:gridCol w:w="6012"/>
      </w:tblGrid>
      <w:tr>
        <w:trPr>
          <w:jc w:val="center"/>
          <w:trHeight w:val="425"/>
        </w:trPr>
        <w:tc>
          <w:tcPr>
            <w:tcW w:w="709"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序号</w:t>
            </w:r>
            <w:r/>
          </w:p>
        </w:tc>
        <w:tc>
          <w:tcPr>
            <w:tcW w:w="1240"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评标因素</w:t>
            </w:r>
            <w:r/>
          </w:p>
        </w:tc>
        <w:tc>
          <w:tcPr>
            <w:tcW w:w="1275"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分项</w:t>
            </w:r>
            <w:r/>
          </w:p>
        </w:tc>
        <w:tc>
          <w:tcPr>
            <w:tcW w:w="743"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分值</w:t>
            </w:r>
            <w:r/>
          </w:p>
        </w:tc>
        <w:tc>
          <w:tcPr>
            <w:tcW w:w="6012" w:type="dxa"/>
            <w:vAlign w:val="center"/>
            <w:textDirection w:val="lrTb"/>
            <w:noWrap w:val="false"/>
          </w:tcPr>
          <w:p>
            <w:pPr>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评分标准</w:t>
            </w:r>
            <w:r/>
          </w:p>
        </w:tc>
      </w:tr>
      <w:tr>
        <w:trPr>
          <w:jc w:val="center"/>
          <w:trHeight w:val="425"/>
        </w:trPr>
        <w:tc>
          <w:tcPr>
            <w:tcW w:w="709" w:type="dxa"/>
            <w:vAlign w:val="center"/>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w:t>
            </w:r>
            <w:r/>
          </w:p>
        </w:tc>
        <w:tc>
          <w:tcPr>
            <w:tcW w:w="1240"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投标价格</w:t>
            </w:r>
            <w:r/>
          </w:p>
          <w:p>
            <w:pPr>
              <w:ind w:left="-122" w:right="-250"/>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（10分）</w:t>
            </w:r>
            <w:r/>
          </w:p>
        </w:tc>
        <w:tc>
          <w:tcPr>
            <w:tcW w:w="1275" w:type="dxa"/>
            <w:vAlign w:val="center"/>
            <w:textDirection w:val="lrTb"/>
            <w:noWrap w:val="false"/>
          </w:tcPr>
          <w:p>
            <w:pPr>
              <w:ind w:left="-108" w:right="-92"/>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投标评审价格</w:t>
            </w:r>
            <w:r/>
          </w:p>
        </w:tc>
        <w:tc>
          <w:tcPr>
            <w:tcW w:w="743" w:type="dxa"/>
            <w:vAlign w:val="center"/>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10</w:t>
            </w:r>
            <w:r/>
          </w:p>
        </w:tc>
        <w:tc>
          <w:tcPr>
            <w:tcW w:w="6012" w:type="dxa"/>
            <w:vAlign w:val="center"/>
            <w:textDirection w:val="lrTb"/>
            <w:noWrap w:val="false"/>
          </w:tcPr>
          <w:p>
            <w:pPr>
              <w:widowControl/>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满足招标文件要求的有效的最低投标价格为评标基准价，其价格分为满分。其他投标人的价格分按照下列公式计算（小数点保留两位）：投标报价得分＝（评标基准价/投标报价）×10分</w:t>
            </w:r>
            <w:r/>
          </w:p>
        </w:tc>
      </w:tr>
      <w:tr>
        <w:trPr>
          <w:jc w:val="center"/>
          <w:trHeight w:val="90"/>
        </w:trPr>
        <w:tc>
          <w:tcPr>
            <w:tcW w:w="709" w:type="dxa"/>
            <w:vAlign w:val="center"/>
            <w:vMerge w:val="restart"/>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w:t>
            </w:r>
            <w:r/>
          </w:p>
        </w:tc>
        <w:tc>
          <w:tcPr>
            <w:tcW w:w="1240" w:type="dxa"/>
            <w:vAlign w:val="center"/>
            <w:vMerge w:val="restart"/>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商务部分</w:t>
            </w:r>
            <w:r/>
          </w:p>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22</w:t>
            </w:r>
            <w:r>
              <w:rPr>
                <w:rFonts w:hint="eastAsia" w:ascii="宋体" w:hAnsi="宋体" w:eastAsia="宋体"/>
                <w:bCs/>
                <w:color w:val="auto"/>
                <w:sz w:val="21"/>
                <w:szCs w:val="21"/>
                <w:highlight w:val="none"/>
              </w:rPr>
              <w:t xml:space="preserve">分)</w:t>
            </w:r>
            <w:r/>
          </w:p>
        </w:tc>
        <w:tc>
          <w:tcPr>
            <w:tcW w:w="1275"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单位业绩</w:t>
            </w:r>
            <w:r/>
          </w:p>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43" w:type="dxa"/>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5</w:t>
            </w:r>
            <w:r/>
          </w:p>
        </w:tc>
        <w:tc>
          <w:tcPr>
            <w:tcW w:w="6012"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有</w:t>
            </w:r>
            <w:r>
              <w:rPr>
                <w:rFonts w:hint="eastAsia" w:ascii="宋体" w:hAnsi="宋体" w:eastAsia="宋体"/>
                <w:color w:val="auto"/>
                <w:sz w:val="21"/>
                <w:szCs w:val="21"/>
                <w:highlight w:val="none"/>
              </w:rPr>
              <w:t xml:space="preserve">与本项目相同或类似</w:t>
            </w:r>
            <w:r>
              <w:rPr>
                <w:rFonts w:hint="eastAsia" w:ascii="宋体" w:hAnsi="宋体" w:eastAsia="宋体"/>
                <w:color w:val="auto"/>
                <w:sz w:val="21"/>
                <w:szCs w:val="21"/>
                <w:highlight w:val="none"/>
                <w:lang w:val="en-US"/>
              </w:rPr>
              <w:t xml:space="preserve">的</w:t>
            </w:r>
            <w:r>
              <w:rPr>
                <w:rFonts w:hint="eastAsia" w:ascii="宋体" w:hAnsi="宋体" w:eastAsia="宋体"/>
                <w:color w:val="auto"/>
                <w:sz w:val="21"/>
                <w:szCs w:val="21"/>
                <w:highlight w:val="none"/>
              </w:rPr>
              <w:t xml:space="preserve">工作</w:t>
            </w:r>
            <w:r>
              <w:rPr>
                <w:rFonts w:hint="eastAsia" w:ascii="宋体" w:hAnsi="宋体" w:eastAsia="宋体"/>
                <w:color w:val="auto"/>
                <w:sz w:val="21"/>
                <w:szCs w:val="21"/>
                <w:highlight w:val="none"/>
                <w:lang w:val="en-US"/>
              </w:rPr>
              <w:t xml:space="preserve">业绩，</w:t>
            </w:r>
            <w:r>
              <w:rPr>
                <w:rFonts w:hint="eastAsia" w:ascii="宋体" w:hAnsi="宋体" w:eastAsia="宋体"/>
                <w:color w:val="auto"/>
                <w:sz w:val="21"/>
                <w:szCs w:val="21"/>
                <w:highlight w:val="none"/>
              </w:rPr>
              <w:t xml:space="preserve">熟悉</w:t>
            </w:r>
            <w:r>
              <w:rPr>
                <w:rFonts w:hint="eastAsia" w:ascii="宋体" w:hAnsi="宋体" w:eastAsia="宋体"/>
                <w:color w:val="auto"/>
                <w:sz w:val="21"/>
                <w:szCs w:val="21"/>
                <w:highlight w:val="none"/>
                <w:lang w:val="en-US"/>
              </w:rPr>
              <w:t xml:space="preserve">取芯</w:t>
            </w:r>
            <w:r>
              <w:rPr>
                <w:rFonts w:hint="eastAsia" w:ascii="宋体" w:hAnsi="宋体" w:eastAsia="宋体"/>
                <w:color w:val="auto"/>
                <w:sz w:val="21"/>
                <w:szCs w:val="21"/>
                <w:highlight w:val="none"/>
              </w:rPr>
              <w:t xml:space="preserve">钻探，提供2021年1月1日（含）以来（以</w:t>
            </w:r>
            <w:r>
              <w:rPr>
                <w:rFonts w:hint="eastAsia" w:ascii="宋体" w:hAnsi="宋体" w:eastAsia="宋体"/>
                <w:color w:val="auto"/>
                <w:sz w:val="21"/>
                <w:szCs w:val="21"/>
                <w:highlight w:val="none"/>
                <w:lang w:val="en-US"/>
              </w:rPr>
              <w:t xml:space="preserve">质量验收意见等验收证明材料日期</w:t>
            </w:r>
            <w:r>
              <w:rPr>
                <w:rFonts w:hint="eastAsia" w:ascii="宋体" w:hAnsi="宋体" w:eastAsia="宋体"/>
                <w:color w:val="auto"/>
                <w:sz w:val="21"/>
                <w:szCs w:val="21"/>
                <w:highlight w:val="none"/>
              </w:rPr>
              <w:t xml:space="preserve">为准）施工</w:t>
            </w:r>
            <w:r>
              <w:rPr>
                <w:rFonts w:hint="eastAsia" w:ascii="宋体" w:hAnsi="宋体" w:eastAsia="宋体"/>
                <w:color w:val="auto"/>
                <w:sz w:val="21"/>
                <w:szCs w:val="21"/>
                <w:highlight w:val="none"/>
                <w:lang w:val="en-US"/>
              </w:rPr>
              <w:t xml:space="preserve">业绩</w:t>
            </w:r>
            <w:r>
              <w:rPr>
                <w:rFonts w:hint="eastAsia" w:ascii="宋体" w:hAnsi="宋体" w:eastAsia="宋体"/>
                <w:color w:val="auto"/>
                <w:sz w:val="21"/>
                <w:szCs w:val="21"/>
                <w:highlight w:val="none"/>
              </w:rPr>
              <w:t xml:space="preserve">的证明材料。证明材料：包括①合同或协议书或任务下达文件复印件；②委托方对施工质量的钻孔质量验收意见或钻孔终孔通知书复印件，缺一不可。</w:t>
            </w:r>
            <w:r/>
          </w:p>
          <w:p>
            <w:pPr>
              <w:numPr>
                <w:ilvl w:val="0"/>
                <w:numId w:val="6"/>
              </w:numPr>
              <w:jc w:val="lef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矿产类岩心钻探（斜孔：孔深≥300米，直孔：孔深≥500米）业绩，每提供一个，得1分；</w:t>
            </w:r>
            <w:r/>
          </w:p>
          <w:p>
            <w:pPr>
              <w:pStyle w:val="929"/>
              <w:numPr>
                <w:ilvl w:val="0"/>
                <w:numId w:val="6"/>
              </w:numP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矿产类岩心钻探（斜孔：200米≤孔深＜300米，直孔：300米≤孔深＜500米）业绩，每提供一个，得0.5分；</w:t>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分。</w:t>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（同一份业绩不可以重复计分）</w:t>
            </w:r>
            <w:r/>
          </w:p>
        </w:tc>
      </w:tr>
      <w:tr>
        <w:trPr>
          <w:jc w:val="center"/>
          <w:trHeight w:val="660"/>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单位认证</w:t>
            </w:r>
            <w:r/>
          </w:p>
        </w:tc>
        <w:tc>
          <w:tcPr>
            <w:tcW w:w="743"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6012" w:type="dxa"/>
            <w:vAlign w:val="center"/>
            <w:textDirection w:val="lrTb"/>
            <w:noWrap w:val="false"/>
          </w:tcPr>
          <w:p>
            <w:pPr>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投标人通过质量管理体系认证、环境管理体系认证、职业健康安全管理体系认证，每项得1分，本项最高得3分。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提供证书复印件。</w:t>
            </w:r>
            <w:r/>
          </w:p>
        </w:tc>
      </w:tr>
      <w:tr>
        <w:trPr>
          <w:jc w:val="center"/>
          <w:trHeight w:val="557"/>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设备配置</w:t>
            </w:r>
            <w:r/>
          </w:p>
        </w:tc>
        <w:tc>
          <w:tcPr>
            <w:tcW w:w="743"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工作所需探矿设备等各类仪器齐全，性能可靠，精度能满足工作要求，后勤保障装备齐全，提供购置发票或</w:t>
            </w:r>
            <w:r>
              <w:rPr>
                <w:rFonts w:hint="eastAsia" w:ascii="宋体" w:hAnsi="宋体" w:eastAsia="宋体"/>
                <w:color w:val="auto"/>
                <w:sz w:val="21"/>
                <w:szCs w:val="21"/>
                <w:highlight w:val="none"/>
                <w:lang w:val="en-US"/>
              </w:rPr>
              <w:t xml:space="preserve">设备购买</w:t>
            </w:r>
            <w:r>
              <w:rPr>
                <w:rFonts w:hint="eastAsia" w:ascii="宋体" w:hAnsi="宋体" w:eastAsia="宋体"/>
                <w:color w:val="auto"/>
                <w:sz w:val="21"/>
                <w:szCs w:val="21"/>
                <w:highlight w:val="none"/>
              </w:rPr>
              <w:t xml:space="preserve">合同等</w:t>
            </w:r>
            <w:r>
              <w:rPr>
                <w:rFonts w:hint="eastAsia" w:ascii="宋体" w:hAnsi="宋体" w:eastAsia="宋体"/>
                <w:color w:val="auto"/>
                <w:sz w:val="21"/>
                <w:szCs w:val="21"/>
                <w:highlight w:val="none"/>
                <w:lang w:val="en-US"/>
              </w:rPr>
              <w:t xml:space="preserve">证明材料</w:t>
            </w:r>
            <w:r>
              <w:rPr>
                <w:rFonts w:hint="eastAsia" w:ascii="宋体" w:hAnsi="宋体" w:eastAsia="宋体"/>
                <w:color w:val="auto"/>
                <w:sz w:val="21"/>
                <w:szCs w:val="21"/>
                <w:highlight w:val="none"/>
              </w:rPr>
              <w:t xml:space="preserve">复印件，（</w:t>
            </w:r>
            <w:r>
              <w:rPr>
                <w:rFonts w:hint="eastAsia" w:ascii="宋体" w:hAnsi="宋体" w:eastAsia="宋体"/>
                <w:color w:val="auto"/>
                <w:sz w:val="21"/>
                <w:szCs w:val="21"/>
                <w:highlight w:val="none"/>
                <w:lang w:val="en-US"/>
              </w:rPr>
              <w:t xml:space="preserve">如为租赁设备，需额外提供租赁合同</w:t>
            </w:r>
            <w:r>
              <w:rPr>
                <w:rFonts w:hint="eastAsia" w:ascii="宋体" w:hAnsi="宋体" w:eastAsia="宋体"/>
                <w:color w:val="auto"/>
                <w:sz w:val="21"/>
                <w:szCs w:val="21"/>
                <w:highlight w:val="none"/>
              </w:rPr>
              <w:t xml:space="preserve">）设备主要包括钻机（含钻塔）、钻具、测斜仪、动力等配套设备。</w:t>
            </w:r>
            <w:r/>
          </w:p>
          <w:p>
            <w:pPr>
              <w:pStyle w:val="929"/>
              <w:numPr>
                <w:ilvl w:val="0"/>
                <w:numId w:val="7"/>
              </w:numPr>
              <w:ind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钻机</w:t>
            </w:r>
            <w:r>
              <w:rPr>
                <w:rFonts w:hint="eastAsia" w:ascii="宋体" w:hAnsi="宋体" w:eastAsia="宋体"/>
                <w:color w:val="auto"/>
                <w:sz w:val="21"/>
                <w:szCs w:val="21"/>
                <w:highlight w:val="none"/>
                <w:lang w:val="en-US"/>
              </w:rPr>
              <w:t xml:space="preserve">系统</w:t>
            </w:r>
            <w:r>
              <w:rPr>
                <w:rFonts w:hint="eastAsia" w:ascii="宋体" w:hAnsi="宋体" w:eastAsia="宋体"/>
                <w:color w:val="auto"/>
                <w:sz w:val="21"/>
                <w:szCs w:val="21"/>
                <w:highlight w:val="none"/>
              </w:rPr>
              <w:t xml:space="preserve">（含钻塔）：</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应为千米及以上岩心钻机。满足要求得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分，不满足得0分。</w:t>
            </w:r>
            <w:r/>
          </w:p>
          <w:p>
            <w:pPr>
              <w:pStyle w:val="929"/>
              <w:numPr>
                <w:ilvl w:val="0"/>
                <w:numId w:val="7"/>
              </w:numPr>
              <w:ind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钻具：</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绳索取芯钻具</w:t>
            </w:r>
            <w:r>
              <w:rPr>
                <w:rFonts w:hint="eastAsia" w:ascii="宋体" w:hAnsi="宋体" w:eastAsia="宋体"/>
                <w:color w:val="auto"/>
                <w:sz w:val="21"/>
                <w:szCs w:val="21"/>
                <w:highlight w:val="none"/>
              </w:rPr>
              <w:t xml:space="preserve">。满足要求得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分，不满足得0分。</w:t>
            </w:r>
            <w:r/>
          </w:p>
          <w:p>
            <w:pPr>
              <w:pStyle w:val="929"/>
              <w:numPr>
                <w:ilvl w:val="0"/>
                <w:numId w:val="7"/>
              </w:numPr>
              <w:ind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测斜仪：</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钻孔测斜仪。满足要求得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分，不满足得0分。</w:t>
            </w:r>
            <w:r/>
          </w:p>
          <w:p>
            <w:pPr>
              <w:pStyle w:val="929"/>
              <w:numPr>
                <w:ilvl w:val="0"/>
                <w:numId w:val="7"/>
              </w:numPr>
              <w:ind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动力：</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柴油机、泥浆</w:t>
            </w:r>
            <w:r>
              <w:rPr>
                <w:rFonts w:hint="eastAsia" w:ascii="宋体" w:hAnsi="宋体" w:eastAsia="宋体"/>
                <w:color w:val="auto"/>
                <w:sz w:val="21"/>
                <w:szCs w:val="21"/>
                <w:highlight w:val="none"/>
              </w:rPr>
              <w:t xml:space="preserve">泵。满足要求得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分，不满足得0分。</w:t>
            </w:r>
            <w:r/>
          </w:p>
          <w:p>
            <w:pPr>
              <w:pStyle w:val="929"/>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每项</w:t>
            </w:r>
            <w:r>
              <w:rPr>
                <w:rFonts w:hint="eastAsia" w:ascii="宋体" w:hAnsi="宋体" w:eastAsia="宋体"/>
                <w:color w:val="auto"/>
                <w:sz w:val="21"/>
                <w:szCs w:val="21"/>
                <w:highlight w:val="none"/>
                <w:lang w:val="en-US"/>
              </w:rPr>
              <w:t xml:space="preserve">1分</w:t>
            </w: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分。</w:t>
            </w:r>
            <w:r/>
          </w:p>
        </w:tc>
      </w:tr>
      <w:tr>
        <w:trPr>
          <w:jc w:val="center"/>
          <w:trHeight w:val="660"/>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人员素质</w:t>
            </w:r>
            <w:r/>
          </w:p>
        </w:tc>
        <w:tc>
          <w:tcPr>
            <w:tcW w:w="743" w:type="dxa"/>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w:t>
            </w:r>
            <w:r/>
          </w:p>
        </w:tc>
        <w:tc>
          <w:tcPr>
            <w:tcW w:w="6012" w:type="dxa"/>
            <w:vAlign w:val="center"/>
            <w:textDirection w:val="lrTb"/>
            <w:noWrap w:val="false"/>
          </w:tcPr>
          <w:p>
            <w:pPr>
              <w:pStyle w:val="929"/>
              <w:numPr>
                <w:ilvl w:val="0"/>
                <w:numId w:val="8"/>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项目负责或技术负责1人，具</w:t>
            </w:r>
            <w:r>
              <w:rPr>
                <w:rFonts w:hint="eastAsia" w:ascii="宋体" w:hAnsi="宋体" w:eastAsia="宋体"/>
                <w:color w:val="auto"/>
                <w:sz w:val="21"/>
                <w:szCs w:val="21"/>
                <w:highlight w:val="none"/>
                <w:lang w:val="en-US"/>
              </w:rPr>
              <w:t xml:space="preserve">探矿</w:t>
            </w:r>
            <w:r>
              <w:rPr>
                <w:rFonts w:hint="eastAsia" w:ascii="宋体" w:hAnsi="宋体" w:eastAsia="宋体"/>
                <w:color w:val="auto"/>
                <w:sz w:val="21"/>
                <w:szCs w:val="21"/>
                <w:highlight w:val="none"/>
              </w:rPr>
              <w:t xml:space="preserve">工程类</w:t>
            </w:r>
            <w:r>
              <w:rPr>
                <w:rFonts w:hint="eastAsia" w:ascii="宋体" w:hAnsi="宋体" w:eastAsia="宋体"/>
                <w:color w:val="auto"/>
                <w:sz w:val="21"/>
                <w:szCs w:val="21"/>
                <w:highlight w:val="none"/>
                <w:lang w:val="en-US"/>
              </w:rPr>
              <w:t xml:space="preserve">或地质矿产工程类</w:t>
            </w:r>
            <w:r>
              <w:rPr>
                <w:rFonts w:hint="eastAsia" w:ascii="宋体" w:hAnsi="宋体" w:eastAsia="宋体"/>
                <w:color w:val="auto"/>
                <w:sz w:val="21"/>
                <w:szCs w:val="21"/>
                <w:highlight w:val="none"/>
              </w:rPr>
              <w:t xml:space="preserve">正高职称得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分，副高职称得</w:t>
            </w:r>
            <w:r>
              <w:rPr>
                <w:rFonts w:hint="eastAsia" w:ascii="宋体" w:hAnsi="宋体" w:eastAsia="宋体"/>
                <w:color w:val="auto"/>
                <w:sz w:val="21"/>
                <w:szCs w:val="21"/>
                <w:highlight w:val="none"/>
                <w:lang w:val="en-US"/>
              </w:rPr>
              <w:t xml:space="preserve">0.5</w:t>
            </w:r>
            <w:r>
              <w:rPr>
                <w:rFonts w:hint="eastAsia" w:ascii="宋体" w:hAnsi="宋体" w:eastAsia="宋体"/>
                <w:color w:val="auto"/>
                <w:sz w:val="21"/>
                <w:szCs w:val="21"/>
                <w:highlight w:val="none"/>
              </w:rPr>
              <w:t xml:space="preserve">分，其它得0分。本小项最高得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w:t>
            </w:r>
            <w:r/>
          </w:p>
          <w:p>
            <w:pPr>
              <w:pStyle w:val="929"/>
              <w:numPr>
                <w:ilvl w:val="0"/>
                <w:numId w:val="8"/>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机长2人，</w:t>
            </w:r>
            <w:bookmarkStart w:id="16" w:name="OLE_LINK4"/>
            <w:r>
              <w:rPr>
                <w:rFonts w:hint="eastAsia" w:ascii="宋体" w:hAnsi="宋体" w:eastAsia="宋体"/>
                <w:color w:val="auto"/>
                <w:sz w:val="21"/>
                <w:szCs w:val="21"/>
                <w:highlight w:val="none"/>
              </w:rPr>
              <w:t xml:space="preserve">具钻探技师（含）以上资格得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分/人，</w:t>
            </w:r>
            <w:bookmarkEnd w:id="16"/>
            <w:r>
              <w:rPr>
                <w:rFonts w:hint="eastAsia" w:ascii="宋体" w:hAnsi="宋体" w:eastAsia="宋体"/>
                <w:color w:val="auto"/>
                <w:sz w:val="21"/>
                <w:szCs w:val="21"/>
                <w:highlight w:val="none"/>
              </w:rPr>
              <w:t xml:space="preserve">高级工得</w:t>
            </w:r>
            <w:r>
              <w:rPr>
                <w:rFonts w:hint="eastAsia" w:ascii="宋体" w:hAnsi="宋体" w:eastAsia="宋体"/>
                <w:color w:val="auto"/>
                <w:sz w:val="21"/>
                <w:szCs w:val="21"/>
                <w:highlight w:val="none"/>
                <w:lang w:val="en-US"/>
              </w:rPr>
              <w:t xml:space="preserve">0.5</w:t>
            </w:r>
            <w:r>
              <w:rPr>
                <w:rFonts w:hint="eastAsia" w:ascii="宋体" w:hAnsi="宋体" w:eastAsia="宋体"/>
                <w:color w:val="auto"/>
                <w:sz w:val="21"/>
                <w:szCs w:val="21"/>
                <w:highlight w:val="none"/>
              </w:rPr>
              <w:t xml:space="preserve">分/人，其它得0分。本小项最高得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w:t>
            </w:r>
            <w:r/>
          </w:p>
          <w:p>
            <w:pPr>
              <w:pStyle w:val="929"/>
              <w:numPr>
                <w:ilvl w:val="0"/>
                <w:numId w:val="8"/>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班长4人，具钻探技师（含）以上资格得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分/人，</w:t>
            </w:r>
            <w:bookmarkStart w:id="17" w:name="OLE_LINK5"/>
            <w:r>
              <w:rPr>
                <w:rFonts w:hint="eastAsia" w:ascii="宋体" w:hAnsi="宋体" w:eastAsia="宋体"/>
                <w:color w:val="auto"/>
                <w:sz w:val="21"/>
                <w:szCs w:val="21"/>
                <w:highlight w:val="none"/>
              </w:rPr>
              <w:t xml:space="preserve">具高级工得</w:t>
            </w:r>
            <w:r>
              <w:rPr>
                <w:rFonts w:hint="eastAsia" w:ascii="宋体" w:hAnsi="宋体" w:eastAsia="宋体"/>
                <w:color w:val="auto"/>
                <w:sz w:val="21"/>
                <w:szCs w:val="21"/>
                <w:highlight w:val="none"/>
                <w:lang w:val="en-US"/>
              </w:rPr>
              <w:t xml:space="preserve">0.5</w:t>
            </w:r>
            <w:r>
              <w:rPr>
                <w:rFonts w:hint="eastAsia" w:ascii="宋体" w:hAnsi="宋体" w:eastAsia="宋体"/>
                <w:color w:val="auto"/>
                <w:sz w:val="21"/>
                <w:szCs w:val="21"/>
                <w:highlight w:val="none"/>
              </w:rPr>
              <w:t xml:space="preserve">分/人，</w:t>
            </w:r>
            <w:bookmarkEnd w:id="17"/>
            <w:r>
              <w:rPr>
                <w:rFonts w:hint="eastAsia" w:ascii="宋体" w:hAnsi="宋体" w:eastAsia="宋体"/>
                <w:color w:val="auto"/>
                <w:sz w:val="21"/>
                <w:szCs w:val="21"/>
                <w:highlight w:val="none"/>
              </w:rPr>
              <w:t xml:space="preserve">中级工得0.</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分/人，其它得0分。本小项最高得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w:t>
            </w:r>
            <w:r/>
          </w:p>
          <w:p>
            <w:pPr>
              <w:pStyle w:val="929"/>
              <w:numPr>
                <w:ilvl w:val="0"/>
                <w:numId w:val="8"/>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工人</w:t>
            </w: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人，具高级工得1分/人，具中级工得</w:t>
            </w:r>
            <w:r>
              <w:rPr>
                <w:rFonts w:hint="eastAsia" w:ascii="宋体" w:hAnsi="宋体" w:eastAsia="宋体"/>
                <w:color w:val="auto"/>
                <w:sz w:val="21"/>
                <w:szCs w:val="21"/>
                <w:highlight w:val="none"/>
                <w:lang w:val="en-US"/>
              </w:rPr>
              <w:t xml:space="preserve">0.5</w:t>
            </w:r>
            <w:r>
              <w:rPr>
                <w:rFonts w:hint="eastAsia" w:ascii="宋体" w:hAnsi="宋体" w:eastAsia="宋体"/>
                <w:color w:val="auto"/>
                <w:sz w:val="21"/>
                <w:szCs w:val="21"/>
                <w:highlight w:val="none"/>
              </w:rPr>
              <w:t xml:space="preserve">分/人，初级工得0.</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分/人，其它得0分。本小项最高得</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注：以上每小项提供人数多于要求的，以得分高优先为原则，从中选择符合要求人数计分。</w:t>
            </w:r>
            <w:r/>
          </w:p>
          <w:p>
            <w:pPr>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分。</w:t>
            </w:r>
            <w:r/>
          </w:p>
          <w:p>
            <w:pPr>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（需</w:t>
            </w:r>
            <w:r>
              <w:rPr>
                <w:rFonts w:hint="eastAsia" w:ascii="宋体" w:hAnsi="宋体" w:eastAsia="宋体"/>
                <w:color w:val="auto"/>
                <w:sz w:val="21"/>
                <w:szCs w:val="21"/>
                <w:highlight w:val="none"/>
                <w:lang w:val="en-US"/>
              </w:rPr>
              <w:t xml:space="preserve">提供</w:t>
            </w:r>
            <w:r>
              <w:rPr>
                <w:rFonts w:hint="eastAsia" w:ascii="宋体" w:hAnsi="宋体" w:eastAsia="宋体"/>
                <w:color w:val="auto"/>
                <w:sz w:val="21"/>
                <w:szCs w:val="21"/>
                <w:highlight w:val="none"/>
              </w:rPr>
              <w:t xml:space="preserve">职称或相关资格证书和202</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年1月以来任何1个月</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单位为其缴纳社保的证明文件复印件材料）</w:t>
            </w:r>
            <w:r/>
          </w:p>
        </w:tc>
      </w:tr>
      <w:tr>
        <w:trPr>
          <w:jc w:val="center"/>
          <w:trHeight w:val="823"/>
        </w:trPr>
        <w:tc>
          <w:tcPr>
            <w:tcW w:w="709" w:type="dxa"/>
            <w:vAlign w:val="center"/>
            <w:vMerge w:val="restart"/>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p>
        </w:tc>
        <w:tc>
          <w:tcPr>
            <w:tcW w:w="1240" w:type="dxa"/>
            <w:vAlign w:val="center"/>
            <w:vMerge w:val="restart"/>
            <w:textDirection w:val="lrTb"/>
            <w:noWrap w:val="false"/>
          </w:tcPr>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技术与服务部分</w:t>
            </w:r>
            <w:r/>
          </w:p>
          <w:p>
            <w:pPr>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68</w:t>
            </w:r>
            <w:r>
              <w:rPr>
                <w:rFonts w:hint="eastAsia" w:ascii="宋体" w:hAnsi="宋体" w:eastAsia="宋体"/>
                <w:bCs/>
                <w:color w:val="auto"/>
                <w:sz w:val="21"/>
                <w:szCs w:val="21"/>
                <w:highlight w:val="none"/>
              </w:rPr>
              <w:t xml:space="preserve">分)</w:t>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资料收集与分析利用</w:t>
            </w:r>
            <w:r/>
          </w:p>
        </w:tc>
        <w:tc>
          <w:tcPr>
            <w:tcW w:w="743" w:type="dxa"/>
            <w:vAlign w:val="center"/>
            <w:textDirection w:val="lrTb"/>
            <w:noWrap w:val="false"/>
          </w:tcPr>
          <w:p>
            <w:pPr>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对项目工作区地层岩性、岩石破碎等情况熟悉，提出可能遇到的问题及解决方法。</w:t>
            </w:r>
            <w:r/>
          </w:p>
          <w:p>
            <w:pPr>
              <w:pStyle w:val="929"/>
              <w:numPr>
                <w:ilvl w:val="0"/>
                <w:numId w:val="9"/>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现场情况表述</w:t>
            </w:r>
            <w:r>
              <w:rPr>
                <w:rFonts w:hint="eastAsia" w:ascii="宋体" w:hAnsi="宋体" w:eastAsia="宋体"/>
                <w:color w:val="auto"/>
                <w:sz w:val="21"/>
                <w:szCs w:val="21"/>
                <w:highlight w:val="none"/>
                <w:lang w:val="en-US"/>
              </w:rPr>
              <w:t xml:space="preserve">详细</w:t>
            </w:r>
            <w:r>
              <w:rPr>
                <w:rFonts w:hint="eastAsia" w:ascii="宋体" w:hAnsi="宋体" w:eastAsia="宋体"/>
                <w:color w:val="auto"/>
                <w:sz w:val="21"/>
                <w:szCs w:val="21"/>
                <w:highlight w:val="none"/>
              </w:rPr>
              <w:t xml:space="preserve">准确得</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分，基本准确略有欠缺得</w:t>
            </w: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分，其他得0分；</w:t>
            </w:r>
            <w:r/>
          </w:p>
          <w:p>
            <w:pPr>
              <w:pStyle w:val="929"/>
              <w:numPr>
                <w:ilvl w:val="0"/>
                <w:numId w:val="9"/>
              </w:numPr>
              <w:ind w:left="0" w:firstLine="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岩性特征叙述</w:t>
            </w:r>
            <w:r>
              <w:rPr>
                <w:rFonts w:hint="eastAsia" w:ascii="宋体" w:hAnsi="宋体" w:eastAsia="宋体"/>
                <w:color w:val="auto"/>
                <w:sz w:val="21"/>
                <w:szCs w:val="21"/>
                <w:highlight w:val="none"/>
                <w:lang w:val="en-US"/>
              </w:rPr>
              <w:t xml:space="preserve">详细</w:t>
            </w:r>
            <w:r>
              <w:rPr>
                <w:rFonts w:hint="eastAsia" w:ascii="宋体" w:hAnsi="宋体" w:eastAsia="宋体"/>
                <w:color w:val="auto"/>
                <w:sz w:val="21"/>
                <w:szCs w:val="21"/>
                <w:highlight w:val="none"/>
              </w:rPr>
              <w:t xml:space="preserve">准确得</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分，基本准确略有欠缺得</w:t>
            </w: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分，其他得0分；</w:t>
            </w:r>
            <w:r/>
          </w:p>
          <w:p>
            <w:pPr>
              <w:numPr>
                <w:ilvl w:val="0"/>
                <w:numId w:val="9"/>
              </w:numPr>
              <w:ind w:left="0"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构造</w:t>
            </w:r>
            <w:r>
              <w:rPr>
                <w:rFonts w:hint="eastAsia" w:ascii="宋体" w:hAnsi="宋体" w:eastAsia="宋体"/>
                <w:color w:val="auto"/>
                <w:sz w:val="21"/>
                <w:szCs w:val="21"/>
                <w:highlight w:val="none"/>
              </w:rPr>
              <w:t xml:space="preserve">特征叙述</w:t>
            </w:r>
            <w:r>
              <w:rPr>
                <w:rFonts w:hint="eastAsia" w:ascii="宋体" w:hAnsi="宋体" w:eastAsia="宋体"/>
                <w:color w:val="auto"/>
                <w:sz w:val="21"/>
                <w:szCs w:val="21"/>
                <w:highlight w:val="none"/>
                <w:lang w:val="en-US"/>
              </w:rPr>
              <w:t xml:space="preserve">详细</w:t>
            </w:r>
            <w:r>
              <w:rPr>
                <w:rFonts w:hint="eastAsia" w:ascii="宋体" w:hAnsi="宋体" w:eastAsia="宋体"/>
                <w:color w:val="auto"/>
                <w:sz w:val="21"/>
                <w:szCs w:val="21"/>
                <w:highlight w:val="none"/>
              </w:rPr>
              <w:t xml:space="preserve">准确得</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分，基本准确略有欠缺得</w:t>
            </w:r>
            <w:r>
              <w:rPr>
                <w:rFonts w:hint="eastAsia" w:ascii="宋体" w:hAnsi="宋体" w:eastAsia="宋体"/>
                <w:color w:val="auto"/>
                <w:sz w:val="21"/>
                <w:szCs w:val="21"/>
                <w:highlight w:val="none"/>
                <w:lang w:val="en-US"/>
              </w:rPr>
              <w:t xml:space="preserve">1.5</w:t>
            </w:r>
            <w:r>
              <w:rPr>
                <w:rFonts w:hint="eastAsia" w:ascii="宋体" w:hAnsi="宋体" w:eastAsia="宋体"/>
                <w:color w:val="auto"/>
                <w:sz w:val="21"/>
                <w:szCs w:val="21"/>
                <w:highlight w:val="none"/>
              </w:rPr>
              <w:t xml:space="preserve">分，其他得0分；</w:t>
            </w:r>
            <w:r/>
          </w:p>
          <w:p>
            <w:pPr>
              <w:numPr>
                <w:ilvl w:val="0"/>
                <w:numId w:val="9"/>
              </w:numPr>
              <w:ind w:left="0"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提出的可能遇到的问题及解决方法合理可行</w:t>
            </w:r>
            <w:r>
              <w:rPr>
                <w:rFonts w:hint="eastAsia" w:ascii="宋体" w:hAnsi="宋体" w:eastAsia="宋体"/>
                <w:color w:val="auto"/>
                <w:sz w:val="21"/>
                <w:szCs w:val="21"/>
                <w:highlight w:val="none"/>
              </w:rPr>
              <w:t xml:space="preserve">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w:t>
            </w:r>
            <w:r>
              <w:rPr>
                <w:rFonts w:hint="eastAsia" w:ascii="宋体" w:hAnsi="宋体" w:eastAsia="宋体"/>
                <w:color w:val="auto"/>
                <w:sz w:val="21"/>
                <w:szCs w:val="21"/>
                <w:highlight w:val="none"/>
                <w:lang w:val="en-US"/>
              </w:rPr>
              <w:t xml:space="preserve">合理可行</w:t>
            </w:r>
            <w:r>
              <w:rPr>
                <w:rFonts w:hint="eastAsia" w:ascii="宋体" w:hAnsi="宋体" w:eastAsia="宋体"/>
                <w:color w:val="auto"/>
                <w:sz w:val="21"/>
                <w:szCs w:val="21"/>
                <w:highlight w:val="none"/>
              </w:rPr>
              <w:t xml:space="preserve">略有欠缺得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11</w:t>
            </w:r>
            <w:r>
              <w:rPr>
                <w:rFonts w:hint="eastAsia" w:ascii="宋体" w:hAnsi="宋体" w:eastAsia="宋体"/>
                <w:color w:val="auto"/>
                <w:sz w:val="21"/>
                <w:szCs w:val="21"/>
                <w:highlight w:val="none"/>
              </w:rPr>
              <w:t xml:space="preserve">分。</w:t>
            </w:r>
            <w:r/>
          </w:p>
        </w:tc>
      </w:tr>
      <w:tr>
        <w:trPr>
          <w:jc w:val="center"/>
          <w:trHeight w:val="714"/>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目标任务与工作量</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6</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对招标文件提出的①目标、②工作周期、③任务响应程度。对于每小点，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分；基本满足项目需求、略有欠缺需要完善得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分，其他得0分。本项最高得</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分。</w:t>
            </w:r>
            <w:r/>
          </w:p>
        </w:tc>
      </w:tr>
      <w:tr>
        <w:trPr>
          <w:jc w:val="center"/>
          <w:trHeight w:val="1131"/>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施工方案</w:t>
            </w:r>
            <w:r/>
          </w:p>
        </w:tc>
        <w:tc>
          <w:tcPr>
            <w:tcW w:w="743" w:type="dxa"/>
            <w:vAlign w:val="center"/>
            <w:textDirection w:val="lrTb"/>
            <w:noWrap w:val="false"/>
          </w:tcPr>
          <w:p>
            <w:pPr>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24</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技术方案内容齐全（包括①钻孔结构②钻进方法③泥浆选用④钻具选择⑤测斜方法</w:t>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 6 \* GB3 </w:instrText>
            </w:r>
            <w:r>
              <w:rPr>
                <w:rFonts w:hint="eastAsia" w:ascii="宋体" w:hAnsi="宋体" w:eastAsia="宋体"/>
                <w:color w:val="auto"/>
                <w:sz w:val="21"/>
                <w:szCs w:val="21"/>
                <w:highlight w:val="none"/>
              </w:rPr>
              <w:fldChar w:fldCharType="separate"/>
            </w:r>
            <w:r>
              <w:rPr>
                <w:rFonts w:hint="eastAsia" w:ascii="宋体" w:hAnsi="宋体" w:eastAsia="宋体"/>
                <w:color w:val="auto"/>
                <w:sz w:val="21"/>
                <w:szCs w:val="21"/>
                <w:highlight w:val="none"/>
              </w:rPr>
              <w:t xml:space="preserve">⑥</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t xml:space="preserve">钻孔施工预防措施等），对于每小点，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完全满足项目需求得2分；基本满足项目需求、略有欠缺需要完善得1分，其他得0分。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钻探六大指标（①岩（矿）心采取率②钻孔弯曲度③孔深校正④简易水文观测⑤班报表记录⑥封孔）要求，对于每小点，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分；基本满足项目需求、略有欠缺需要完善得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本项最高得</w:t>
            </w:r>
            <w:r>
              <w:rPr>
                <w:rFonts w:hint="eastAsia" w:ascii="宋体" w:hAnsi="宋体" w:eastAsia="宋体"/>
                <w:color w:val="auto"/>
                <w:sz w:val="21"/>
                <w:szCs w:val="21"/>
                <w:highlight w:val="none"/>
                <w:lang w:val="en-US"/>
              </w:rPr>
              <w:t xml:space="preserve">24</w:t>
            </w:r>
            <w:r>
              <w:rPr>
                <w:rFonts w:hint="eastAsia" w:ascii="宋体" w:hAnsi="宋体" w:eastAsia="宋体"/>
                <w:color w:val="auto"/>
                <w:sz w:val="21"/>
                <w:szCs w:val="21"/>
                <w:highlight w:val="none"/>
              </w:rPr>
              <w:t xml:space="preserve">分。</w:t>
            </w:r>
            <w:r/>
          </w:p>
        </w:tc>
      </w:tr>
      <w:tr>
        <w:trPr>
          <w:jc w:val="center"/>
          <w:trHeight w:val="971"/>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安全生产保障措施</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1.落实安全生产体系（包括①安全生产责任制②安全生产制度③安全生产管理应急预案④标准化机台建设等内容及证明材料）。对于每小点，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分；基本满足项目需求、略有欠缺需要完善得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分，其他得0分。本项最高得</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分。</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2.安全资质</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提供有效期内的单位安全生产许可证得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分，不提供得0分。</w:t>
            </w:r>
            <w:r/>
          </w:p>
        </w:tc>
      </w:tr>
      <w:tr>
        <w:trPr>
          <w:jc w:val="center"/>
          <w:trHeight w:val="971"/>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水土保持和环境保护措施</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包括①施工场地②生活区③施工道路④“三废”处理等等。对于每小点，</w:t>
            </w:r>
            <w:r>
              <w:rPr>
                <w:rFonts w:hint="eastAsia" w:ascii="宋体" w:hAnsi="宋体" w:eastAsia="宋体"/>
                <w:color w:val="auto"/>
                <w:sz w:val="21"/>
                <w:szCs w:val="21"/>
                <w:highlight w:val="none"/>
                <w:lang w:val="en-US" w:eastAsia="zh-CN"/>
              </w:rPr>
              <w:t xml:space="preserve">分别打分，每项</w:t>
            </w:r>
            <w:r>
              <w:rPr>
                <w:rFonts w:hint="eastAsia" w:ascii="宋体" w:hAnsi="宋体" w:eastAsia="宋体"/>
                <w:color w:val="auto"/>
                <w:sz w:val="21"/>
                <w:szCs w:val="21"/>
                <w:highlight w:val="none"/>
              </w:rPr>
              <w:t xml:space="preserve">完全满足项目需求得</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分；基本满足项目需求、略有欠缺需要完善得</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分，其他得0分。本项最高得</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分</w:t>
            </w:r>
            <w:r/>
          </w:p>
        </w:tc>
      </w:tr>
      <w:tr>
        <w:trPr>
          <w:jc w:val="center"/>
          <w:trHeight w:val="886"/>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岩心临时保管</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6012" w:type="dxa"/>
            <w:vAlign w:val="center"/>
            <w:textDirection w:val="lrTb"/>
            <w:noWrap w:val="false"/>
          </w:tcPr>
          <w:p>
            <w:pPr>
              <w:widowControl/>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1．岩心箱：采用木质岩心箱得1分，采用其他方式不得分。</w:t>
            </w:r>
            <w:r>
              <w:rPr>
                <w:rFonts w:hint="eastAsia" w:ascii="宋体" w:hAnsi="宋体" w:eastAsia="宋体"/>
                <w:b/>
                <w:bCs/>
                <w:color w:val="auto"/>
                <w:sz w:val="21"/>
                <w:szCs w:val="21"/>
                <w:highlight w:val="none"/>
                <w:lang w:eastAsia="zh-CN"/>
              </w:rPr>
              <w:t xml:space="preserve">（</w:t>
            </w:r>
            <w:r>
              <w:rPr>
                <w:rFonts w:hint="eastAsia" w:ascii="宋体" w:hAnsi="宋体" w:eastAsia="宋体"/>
                <w:b/>
                <w:bCs/>
                <w:color w:val="auto"/>
                <w:sz w:val="21"/>
                <w:szCs w:val="21"/>
                <w:highlight w:val="none"/>
                <w:lang w:val="en-US" w:eastAsia="zh-CN"/>
              </w:rPr>
              <w:t xml:space="preserve">提供承诺书及木质岩心箱照片</w:t>
            </w:r>
            <w:r>
              <w:rPr>
                <w:rFonts w:hint="eastAsia" w:ascii="宋体" w:hAnsi="宋体" w:eastAsia="宋体"/>
                <w:b/>
                <w:bCs/>
                <w:color w:val="auto"/>
                <w:sz w:val="21"/>
                <w:szCs w:val="21"/>
                <w:highlight w:val="none"/>
                <w:lang w:eastAsia="zh-CN"/>
              </w:rPr>
              <w:t xml:space="preserve">）</w:t>
            </w:r>
            <w:r/>
          </w:p>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2．现场保管：临时保管方式方法合理可行得1分，其他得0分。</w:t>
            </w:r>
            <w:r/>
          </w:p>
        </w:tc>
      </w:tr>
      <w:tr>
        <w:trPr>
          <w:jc w:val="center"/>
          <w:trHeight w:val="709"/>
        </w:trPr>
        <w:tc>
          <w:tcPr>
            <w:tcW w:w="709"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40" w:type="dxa"/>
            <w:vAlign w:val="center"/>
            <w:vMerge w:val="continue"/>
            <w:textDirection w:val="lrTb"/>
            <w:noWrap w:val="false"/>
          </w:tcPr>
          <w:p>
            <w:pPr>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75" w:type="dxa"/>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绿色环保、文明施工</w:t>
            </w:r>
            <w:r/>
          </w:p>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保障措施</w:t>
            </w:r>
            <w:r/>
          </w:p>
        </w:tc>
        <w:tc>
          <w:tcPr>
            <w:tcW w:w="743"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W w:w="6012" w:type="dxa"/>
            <w:vAlign w:val="center"/>
            <w:textDirection w:val="lrTb"/>
            <w:noWrap w:val="false"/>
          </w:tcPr>
          <w:p>
            <w:pP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环保、文明施工措施齐全完善，针对性强、切实可行，完全满足项目需要，得7分；环保、文明施工措施较为齐全，方案合理可行，较好满足项目需求，仅需局部优化完善，得5分；环保、文明施工措施不够完善，存在薄弱环节，仅能基本满足项目基本需求，得3分；未提供的，得0分。本项最高得7分。</w:t>
            </w:r>
            <w:r/>
          </w:p>
        </w:tc>
      </w:tr>
    </w:tbl>
    <w:p>
      <w:pPr>
        <w:spacing w:line="400" w:lineRule="exact"/>
        <w:rPr>
          <w:rFonts w:ascii="Times New Roman"/>
          <w:color w:val="auto"/>
          <w:sz w:val="21"/>
          <w:szCs w:val="21"/>
          <w:highlight w:val="none"/>
        </w:rPr>
      </w:pPr>
      <w:r>
        <w:rPr>
          <w:rFonts w:ascii="Times New Roman"/>
          <w:color w:val="auto"/>
          <w:sz w:val="21"/>
          <w:szCs w:val="21"/>
          <w:highlight w:val="none"/>
        </w:rPr>
        <w:t xml:space="preserve">注意事项： </w:t>
      </w:r>
      <w:r/>
    </w:p>
    <w:p>
      <w:pPr>
        <w:ind w:firstLine="420"/>
        <w:spacing w:line="400" w:lineRule="exact"/>
        <w:rPr>
          <w:rFonts w:ascii="Times New Roman"/>
          <w:color w:val="auto"/>
          <w:sz w:val="21"/>
          <w:szCs w:val="21"/>
          <w:highlight w:val="none"/>
        </w:rPr>
      </w:pPr>
      <w:r>
        <w:rPr>
          <w:rFonts w:ascii="Times New Roman"/>
          <w:color w:val="auto"/>
          <w:sz w:val="21"/>
          <w:szCs w:val="21"/>
          <w:highlight w:val="none"/>
        </w:rPr>
        <w:t xml:space="preserve">1、评分办法中所涉及的相关各种资格、资质、证书、证明、业绩合同等材料在投标文件中提供复印件（加盖投标供应商公章），</w:t>
      </w:r>
      <w:r>
        <w:rPr>
          <w:rFonts w:hint="eastAsia" w:ascii="Times New Roman"/>
          <w:color w:val="auto"/>
          <w:sz w:val="21"/>
          <w:szCs w:val="21"/>
          <w:highlight w:val="none"/>
        </w:rPr>
        <w:t xml:space="preserve">复印件不清晰时提供原件备查</w:t>
      </w:r>
      <w:r>
        <w:rPr>
          <w:rFonts w:ascii="Times New Roman"/>
          <w:color w:val="auto"/>
          <w:sz w:val="21"/>
          <w:szCs w:val="21"/>
          <w:highlight w:val="none"/>
        </w:rPr>
        <w:t xml:space="preserve">，以供评标委员会评标核实。</w:t>
      </w:r>
      <w:r/>
    </w:p>
    <w:p>
      <w:pPr>
        <w:ind w:firstLine="420"/>
        <w:jc w:val="left"/>
        <w:spacing w:line="240" w:lineRule="auto"/>
        <w:rPr>
          <w:rFonts w:hint="eastAsia" w:ascii="黑体" w:hAnsi="宋体" w:eastAsia="黑体"/>
          <w:color w:val="auto"/>
          <w:spacing w:val="-10"/>
          <w:sz w:val="36"/>
          <w:szCs w:val="36"/>
          <w:highlight w:val="none"/>
        </w:rPr>
        <w:outlineLvl w:val="9"/>
      </w:pPr>
      <w:r>
        <w:rPr>
          <w:rFonts w:ascii="Times New Roman"/>
          <w:color w:val="auto"/>
          <w:sz w:val="21"/>
          <w:szCs w:val="21"/>
          <w:highlight w:val="none"/>
        </w:rPr>
        <w:t xml:space="preserve">2、为便于评分，请投标供应商按评分表样式，逐条列出证明材料所在页码，格式自定。</w:t>
      </w:r>
      <w:r/>
    </w:p>
    <w:p>
      <w:pPr>
        <w:jc w:val="left"/>
        <w:spacing w:line="240" w:lineRule="auto"/>
        <w:rPr>
          <w:rFonts w:hint="eastAsia" w:ascii="黑体" w:hAnsi="宋体" w:eastAsia="黑体"/>
          <w:color w:val="auto"/>
          <w:spacing w:val="-10"/>
          <w:sz w:val="36"/>
          <w:szCs w:val="36"/>
          <w:highlight w:val="none"/>
        </w:rPr>
        <w:outlineLvl w:val="9"/>
      </w:pPr>
      <w:r>
        <w:rPr>
          <w:rFonts w:hint="eastAsia" w:ascii="黑体" w:hAnsi="宋体" w:eastAsia="黑体"/>
          <w:color w:val="auto"/>
          <w:spacing w:val="-10"/>
          <w:sz w:val="36"/>
          <w:szCs w:val="36"/>
          <w:highlight w:val="none"/>
        </w:rPr>
        <w:br w:type="page" w:clear="all"/>
      </w:r>
      <w:r/>
    </w:p>
    <w:p>
      <w:pPr>
        <w:jc w:val="center"/>
        <w:spacing w:line="288" w:lineRule="auto"/>
        <w:rPr>
          <w:rFonts w:ascii="黑体" w:hAnsi="宋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第四章 </w:t>
      </w:r>
      <w:bookmarkStart w:id="18" w:name="_Toc150538845"/>
      <w:r>
        <w:rPr>
          <w:rFonts w:hint="eastAsia" w:ascii="黑体" w:hAnsi="宋体" w:eastAsia="黑体"/>
          <w:color w:val="auto"/>
          <w:spacing w:val="-10"/>
          <w:sz w:val="36"/>
          <w:szCs w:val="36"/>
          <w:highlight w:val="none"/>
        </w:rPr>
        <w:t xml:space="preserve">服务要求</w:t>
      </w:r>
      <w:bookmarkEnd w:id="18"/>
      <w:r/>
    </w:p>
    <w:p>
      <w:pPr>
        <w:keepLines/>
        <w:keepNext/>
        <w:spacing w:line="360" w:lineRule="auto"/>
        <w:rPr>
          <w:rFonts w:ascii="宋体" w:hAnsi="宋体" w:eastAsia="宋体"/>
          <w:b/>
          <w:bCs/>
          <w:color w:val="auto"/>
          <w:sz w:val="21"/>
          <w:szCs w:val="21"/>
          <w:highlight w:val="none"/>
        </w:rPr>
        <w:outlineLvl w:val="1"/>
      </w:pPr>
      <w:r/>
      <w:bookmarkStart w:id="19" w:name="_Toc171865152"/>
      <w:r/>
      <w:bookmarkStart w:id="20" w:name="_Toc16691756"/>
      <w:r/>
      <w:bookmarkStart w:id="21" w:name="_Toc496721271"/>
      <w:r/>
      <w:bookmarkStart w:id="22" w:name="_Toc5800208"/>
      <w:r/>
      <w:bookmarkStart w:id="23" w:name="_Hlk2257079"/>
      <w:r/>
      <w:bookmarkStart w:id="24" w:name="_Toc14150"/>
      <w:r/>
      <w:bookmarkStart w:id="25" w:name="_Toc16704"/>
      <w:r>
        <w:rPr>
          <w:rFonts w:hint="eastAsia" w:ascii="宋体" w:hAnsi="宋体" w:eastAsia="宋体"/>
          <w:b/>
          <w:bCs/>
          <w:color w:val="auto"/>
          <w:sz w:val="21"/>
          <w:szCs w:val="21"/>
          <w:highlight w:val="none"/>
        </w:rPr>
        <w:t xml:space="preserve">一、项目概况</w:t>
      </w:r>
      <w:r/>
    </w:p>
    <w:p>
      <w:pPr>
        <w:ind w:firstLine="422"/>
        <w:jc w:val="center"/>
        <w:spacing w:line="500" w:lineRule="exact"/>
        <w:rPr>
          <w:rFonts w:ascii="宋体" w:hAnsi="宋体" w:eastAsia="宋体"/>
          <w:b/>
          <w:color w:val="auto"/>
          <w:sz w:val="21"/>
          <w:szCs w:val="21"/>
          <w:highlight w:val="none"/>
        </w:rPr>
      </w:pPr>
      <w:r/>
      <w:bookmarkStart w:id="26" w:name="_Toc16691757"/>
      <w:r/>
      <w:bookmarkStart w:id="27" w:name="_Toc496721272"/>
      <w:r>
        <w:rPr>
          <w:rFonts w:hint="eastAsia" w:ascii="宋体" w:hAnsi="宋体" w:eastAsia="宋体"/>
          <w:b/>
          <w:color w:val="auto"/>
          <w:sz w:val="21"/>
          <w:szCs w:val="21"/>
          <w:highlight w:val="none"/>
        </w:rPr>
        <w:t xml:space="preserve">采购清单</w:t>
      </w:r>
      <w:r/>
    </w:p>
    <w:tbl>
      <w:tblPr>
        <w:tblStyle w:val="867"/>
        <w:tblpPr w:horzAnchor="page" w:tblpX="1443" w:vertAnchor="text" w:tblpY="35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3174"/>
        <w:gridCol w:w="2585"/>
        <w:gridCol w:w="2007"/>
      </w:tblGrid>
      <w:tr>
        <w:trPr>
          <w:trHeight w:val="358"/>
        </w:trPr>
        <w:tc>
          <w:tcPr>
            <w:tcW w:w="967"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1648"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标的名称</w:t>
            </w:r>
            <w:r/>
          </w:p>
        </w:tc>
        <w:tc>
          <w:tcPr>
            <w:tcW w:w="1342"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042"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358"/>
        </w:trPr>
        <w:tc>
          <w:tcPr>
            <w:tcW w:w="967"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1648"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江苏新沂—赣榆钛（金红石）、晶质石墨矿调查评价与区块优选岩心钻探（2026年度）</w:t>
            </w:r>
            <w:r/>
          </w:p>
        </w:tc>
        <w:tc>
          <w:tcPr>
            <w:tcW w:w="1342"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机械岩心钻探</w:t>
            </w:r>
            <w:r>
              <w:rPr>
                <w:rFonts w:ascii="宋体" w:hAnsi="宋体" w:eastAsia="宋体"/>
                <w:color w:val="auto"/>
                <w:sz w:val="21"/>
                <w:szCs w:val="21"/>
                <w:highlight w:val="none"/>
              </w:rPr>
              <w:t xml:space="preserve">120</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m</w:t>
            </w:r>
            <w:r/>
          </w:p>
        </w:tc>
        <w:tc>
          <w:tcPr>
            <w:tcW w:w="1042" w:type="pct"/>
            <w:vAlign w:val="center"/>
            <w:textDirection w:val="lrTb"/>
            <w:noWrap w:val="false"/>
          </w:tcPr>
          <w:p>
            <w:pPr>
              <w:jc w:val="center"/>
              <w:spacing w:line="400" w:lineRule="exact"/>
              <w:widowControl/>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firstLine="41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1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1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工作区位于江苏省东北部的苏北超高压变质带内，南西自徐州新沂市踢球山，北东至连云港赣榆区石桥镇，行政区划主要隶属于徐州市新沂市、连云港市赣榆区和东海县管辖，极少部分隶属宿迁市沭阳县管辖。</w:t>
      </w:r>
      <w:r>
        <w:rPr>
          <w:rFonts w:hint="eastAsia" w:ascii="宋体" w:hAnsi="宋体" w:eastAsia="宋体"/>
          <w:color w:val="auto"/>
          <w:sz w:val="21"/>
          <w:szCs w:val="21"/>
          <w:highlight w:val="none"/>
        </w:rPr>
        <w:t xml:space="preserve">项目重点工作区位于东海县</w:t>
      </w:r>
      <w:r>
        <w:rPr>
          <w:rFonts w:ascii="宋体" w:hAnsi="宋体" w:eastAsia="宋体"/>
          <w:color w:val="auto"/>
          <w:sz w:val="21"/>
          <w:szCs w:val="21"/>
          <w:highlight w:val="none"/>
        </w:rPr>
        <w:t xml:space="preserve">双店—石梁河</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双塘—洪庄</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时集—阿湖</w:t>
      </w:r>
      <w:r>
        <w:rPr>
          <w:rFonts w:hint="eastAsia" w:ascii="宋体" w:hAnsi="宋体" w:eastAsia="宋体"/>
          <w:color w:val="auto"/>
          <w:sz w:val="21"/>
          <w:szCs w:val="21"/>
          <w:highlight w:val="none"/>
        </w:rPr>
        <w:t xml:space="preserve">一带。区内交通便利，各级道路纵横交错，向外有沈海高速、连霍高速、</w:t>
      </w:r>
      <w:r>
        <w:rPr>
          <w:rFonts w:ascii="宋体" w:hAnsi="宋体" w:eastAsia="宋体"/>
          <w:color w:val="auto"/>
          <w:sz w:val="21"/>
          <w:szCs w:val="21"/>
          <w:highlight w:val="none"/>
        </w:rPr>
        <w:t xml:space="preserve">京沪高速、</w:t>
      </w:r>
      <w:r>
        <w:rPr>
          <w:rFonts w:hint="eastAsia" w:ascii="宋体" w:hAnsi="宋体" w:eastAsia="宋体"/>
          <w:color w:val="auto"/>
          <w:sz w:val="21"/>
          <w:szCs w:val="21"/>
          <w:highlight w:val="none"/>
        </w:rPr>
        <w:t xml:space="preserve">长深高速四条高速公路和陇海铁路、沿海铁路两条国家级铁路干线。</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工作区地处</w:t>
      </w:r>
      <w:r>
        <w:rPr>
          <w:rFonts w:ascii="宋体" w:hAnsi="宋体" w:eastAsia="宋体"/>
          <w:color w:val="auto"/>
          <w:sz w:val="21"/>
          <w:szCs w:val="21"/>
          <w:highlight w:val="none"/>
        </w:rPr>
        <w:t xml:space="preserve">鲁东南低山丘陵与苏北黄淮海平原交接地带</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地形地貌自北西向南东呈现梯次结构布局，依次为西北部山地丘陵、中南部平原、东部沿海</w:t>
      </w:r>
      <w:r>
        <w:rPr>
          <w:rFonts w:hint="eastAsia" w:ascii="宋体" w:hAnsi="宋体" w:eastAsia="宋体"/>
          <w:color w:val="auto"/>
          <w:sz w:val="21"/>
          <w:szCs w:val="21"/>
          <w:highlight w:val="none"/>
        </w:rPr>
        <w:t xml:space="preserve">，用地主要为林地、耕地，村道乡道互连，野外通行等工作条件良好。</w:t>
      </w:r>
      <w:r/>
    </w:p>
    <w:p>
      <w:pPr>
        <w:ind w:firstLine="420"/>
        <w:spacing w:after="16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区缺失了古生代全部地层，区域上主要有新太古代－古元古代东海岩群变质表壳岩，中元古代锦屏岩群和中新元古代云台岩群及震旦纪石桥岩组，中生代发育有白垩纪青山群和王氏群，新生代发育有古近系、新近系和第四系。</w:t>
      </w:r>
      <w:r/>
    </w:p>
    <w:p>
      <w:pPr>
        <w:pStyle w:val="1304"/>
        <w:ind w:firstLine="420"/>
        <w:jc w:val="both"/>
        <w:spacing w:line="360" w:lineRule="auto"/>
        <w:rPr>
          <w:b w:val="0"/>
          <w:color w:val="auto"/>
          <w:sz w:val="21"/>
          <w:szCs w:val="21"/>
          <w:highlight w:val="none"/>
        </w:rPr>
      </w:pPr>
      <w:r>
        <w:rPr>
          <w:rFonts w:hint="eastAsia"/>
          <w:b w:val="0"/>
          <w:color w:val="auto"/>
          <w:sz w:val="21"/>
          <w:szCs w:val="21"/>
          <w:highlight w:val="none"/>
        </w:rPr>
        <w:t xml:space="preserve">工作区内变质岩分布广泛，岩性主要为片麻岩类、变粒岩类、斜长角闪岩类、大理岩类、片岩类、蛇纹岩类、榴辉岩类等。其中，</w:t>
      </w:r>
      <w:r>
        <w:rPr>
          <w:b w:val="0"/>
          <w:color w:val="auto"/>
          <w:sz w:val="21"/>
          <w:szCs w:val="21"/>
          <w:highlight w:val="none"/>
        </w:rPr>
        <w:t xml:space="preserve">榴辉岩体是金红石矿的载体，</w:t>
      </w:r>
      <w:r>
        <w:rPr>
          <w:rFonts w:hint="eastAsia"/>
          <w:b w:val="0"/>
          <w:color w:val="auto"/>
          <w:sz w:val="21"/>
          <w:szCs w:val="21"/>
          <w:highlight w:val="none"/>
        </w:rPr>
        <w:t xml:space="preserve">是区内金红石、石榴子石、绿辉石矿共同成矿母岩，也是本次调查主要对象，</w:t>
      </w:r>
      <w:r>
        <w:rPr>
          <w:b w:val="0"/>
          <w:color w:val="auto"/>
          <w:sz w:val="21"/>
          <w:szCs w:val="21"/>
          <w:highlight w:val="none"/>
        </w:rPr>
        <w:t xml:space="preserve">矿体及含矿榴辉岩体</w:t>
      </w:r>
      <w:r>
        <w:rPr>
          <w:rFonts w:hint="eastAsia"/>
          <w:b w:val="0"/>
          <w:color w:val="auto"/>
          <w:sz w:val="21"/>
          <w:szCs w:val="21"/>
          <w:highlight w:val="none"/>
        </w:rPr>
        <w:t xml:space="preserve">由于经历了多次变形</w:t>
      </w:r>
      <w:r>
        <w:rPr>
          <w:b w:val="0"/>
          <w:color w:val="auto"/>
          <w:sz w:val="21"/>
          <w:szCs w:val="21"/>
          <w:highlight w:val="none"/>
        </w:rPr>
        <w:t xml:space="preserve">—</w:t>
      </w:r>
      <w:r>
        <w:rPr>
          <w:rFonts w:hint="eastAsia"/>
          <w:b w:val="0"/>
          <w:color w:val="auto"/>
          <w:sz w:val="21"/>
          <w:szCs w:val="21"/>
          <w:highlight w:val="none"/>
        </w:rPr>
        <w:t xml:space="preserve">变质作用的改造，常使榴辉岩体产生分带现象，矿体形态发生改变，矿石类型增多。</w:t>
      </w:r>
      <w:r/>
    </w:p>
    <w:p>
      <w:pPr>
        <w:ind w:firstLine="420"/>
        <w:spacing w:line="360" w:lineRule="auto"/>
        <w:rPr>
          <w:color w:val="auto"/>
          <w:sz w:val="24"/>
          <w:highlight w:val="none"/>
        </w:rPr>
      </w:pPr>
      <w:r>
        <w:rPr>
          <w:rFonts w:hint="eastAsia" w:ascii="宋体" w:hAnsi="宋体" w:eastAsia="宋体"/>
          <w:color w:val="auto"/>
          <w:sz w:val="21"/>
          <w:szCs w:val="21"/>
          <w:highlight w:val="none"/>
        </w:rPr>
        <w:t xml:space="preserve">晶质石墨矿</w:t>
      </w:r>
      <w:r>
        <w:rPr>
          <w:rFonts w:ascii="宋体" w:hAnsi="宋体" w:eastAsia="宋体"/>
          <w:color w:val="auto"/>
          <w:sz w:val="21"/>
          <w:szCs w:val="21"/>
          <w:highlight w:val="none"/>
        </w:rPr>
        <w:t xml:space="preserve">严格受变质地层与岩性组合控制，主要受控于</w:t>
      </w:r>
      <w:r>
        <w:rPr>
          <w:color w:val="auto"/>
          <w:sz w:val="21"/>
          <w:szCs w:val="21"/>
          <w:highlight w:val="none"/>
        </w:rPr>
        <w:t xml:space="preserve">新太古代</w:t>
      </w:r>
      <w:r>
        <w:rPr>
          <w:b/>
          <w:color w:val="auto"/>
          <w:sz w:val="21"/>
          <w:szCs w:val="21"/>
          <w:highlight w:val="none"/>
        </w:rPr>
        <w:t xml:space="preserve">—</w:t>
      </w:r>
      <w:r>
        <w:rPr>
          <w:color w:val="auto"/>
          <w:sz w:val="21"/>
          <w:szCs w:val="21"/>
          <w:highlight w:val="none"/>
        </w:rPr>
        <w:t xml:space="preserve">古元古代东海岩群</w:t>
      </w:r>
      <w:r>
        <w:rPr>
          <w:rFonts w:ascii="宋体" w:hAnsi="宋体" w:eastAsia="宋体"/>
          <w:color w:val="auto"/>
          <w:sz w:val="21"/>
          <w:szCs w:val="21"/>
          <w:highlight w:val="none"/>
        </w:rPr>
        <w:t xml:space="preserve">演马场组大理岩段，岩石组合为（含石墨）大理岩</w:t>
      </w:r>
      <w:r>
        <w:rPr>
          <w:color w:val="auto"/>
          <w:sz w:val="21"/>
          <w:szCs w:val="21"/>
          <w:highlight w:val="none"/>
        </w:rPr>
        <w:t xml:space="preserve">—</w:t>
      </w:r>
      <w:r>
        <w:rPr>
          <w:rFonts w:ascii="宋体" w:hAnsi="宋体" w:eastAsia="宋体"/>
          <w:color w:val="auto"/>
          <w:sz w:val="21"/>
          <w:szCs w:val="21"/>
          <w:highlight w:val="none"/>
        </w:rPr>
        <w:t xml:space="preserve">变粒岩</w:t>
      </w:r>
      <w:r>
        <w:rPr>
          <w:color w:val="auto"/>
          <w:sz w:val="21"/>
          <w:szCs w:val="21"/>
          <w:highlight w:val="none"/>
        </w:rPr>
        <w:t xml:space="preserve">—</w:t>
      </w:r>
      <w:r>
        <w:rPr>
          <w:rFonts w:ascii="宋体" w:hAnsi="宋体" w:eastAsia="宋体"/>
          <w:color w:val="auto"/>
          <w:sz w:val="21"/>
          <w:szCs w:val="21"/>
          <w:highlight w:val="none"/>
        </w:rPr>
        <w:t xml:space="preserve">（石墨）石英岩组合，空间上呈北东向透镜状断续分布于东海杂岩之中。</w:t>
      </w:r>
      <w:r/>
    </w:p>
    <w:p>
      <w:pPr>
        <w:ind w:firstLine="420"/>
        <w:spacing w:after="16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工作区普遍为第四系覆盖，厚度多为</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5m</w:t>
      </w:r>
      <w:r>
        <w:rPr>
          <w:rFonts w:hint="eastAsia" w:ascii="宋体" w:hAnsi="宋体" w:eastAsia="宋体"/>
          <w:color w:val="auto"/>
          <w:sz w:val="21"/>
          <w:szCs w:val="21"/>
          <w:highlight w:val="none"/>
        </w:rPr>
        <w:t xml:space="preserve">。项目主要勘查对象为榴辉岩体和大理岩。钻探施工中钻遇岩石硬度总体定为</w:t>
      </w:r>
      <w:r>
        <w:rPr>
          <w:rFonts w:ascii="宋体" w:hAnsi="宋体" w:eastAsia="宋体"/>
          <w:color w:val="auto"/>
          <w:sz w:val="21"/>
          <w:szCs w:val="21"/>
          <w:highlight w:val="none"/>
        </w:rPr>
        <w:t xml:space="preserve">Ⅵ</w:t>
      </w:r>
      <w:r>
        <w:rPr>
          <w:rFonts w:hint="eastAsia" w:ascii="宋体" w:hAnsi="宋体" w:eastAsia="宋体"/>
          <w:color w:val="auto"/>
          <w:sz w:val="21"/>
          <w:szCs w:val="21"/>
          <w:highlight w:val="none"/>
        </w:rPr>
        <w:t xml:space="preserve">级。</w:t>
      </w:r>
      <w:r/>
    </w:p>
    <w:p>
      <w:pPr>
        <w:keepLines/>
        <w:keepNext/>
        <w:spacing w:line="360" w:lineRule="auto"/>
        <w:rPr>
          <w:rFonts w:ascii="宋体" w:hAnsi="宋体" w:eastAsia="宋体"/>
          <w:b/>
          <w:bCs/>
          <w:color w:val="auto"/>
          <w:sz w:val="21"/>
          <w:szCs w:val="21"/>
          <w:highlight w:val="none"/>
        </w:rPr>
        <w:outlineLvl w:val="1"/>
      </w:pPr>
      <w:r/>
      <w:bookmarkStart w:id="28" w:name="_Toc21051"/>
      <w:r/>
      <w:bookmarkStart w:id="29" w:name="_Toc171865153"/>
      <w:r>
        <w:rPr>
          <w:rFonts w:hint="eastAsia" w:ascii="宋体" w:hAnsi="宋体" w:eastAsia="宋体"/>
          <w:b/>
          <w:bCs/>
          <w:color w:val="auto"/>
          <w:sz w:val="21"/>
          <w:szCs w:val="21"/>
          <w:highlight w:val="none"/>
        </w:rPr>
        <w:t xml:space="preserve">二、主要任务</w:t>
      </w:r>
      <w:bookmarkEnd w:id="26"/>
      <w:r/>
      <w:bookmarkEnd w:id="27"/>
      <w:r/>
      <w:bookmarkEnd w:id="28"/>
      <w:r/>
      <w:bookmarkEnd w:id="29"/>
      <w:r/>
      <w:r/>
    </w:p>
    <w:p>
      <w:pPr>
        <w:ind w:firstLine="420"/>
        <w:spacing w:line="360" w:lineRule="auto"/>
        <w:rPr>
          <w:rFonts w:ascii="宋体" w:hAnsi="宋体" w:eastAsia="宋体"/>
          <w:color w:val="auto"/>
          <w:sz w:val="21"/>
          <w:szCs w:val="21"/>
          <w:highlight w:val="none"/>
        </w:rPr>
      </w:pPr>
      <w:r/>
      <w:bookmarkStart w:id="30" w:name="_Toc496721273"/>
      <w:r/>
      <w:bookmarkStart w:id="31" w:name="_Toc16691758"/>
      <w:r>
        <w:rPr>
          <w:rFonts w:hint="eastAsia" w:ascii="宋体" w:hAnsi="宋体" w:eastAsia="宋体"/>
          <w:color w:val="auto"/>
          <w:sz w:val="21"/>
          <w:szCs w:val="21"/>
          <w:highlight w:val="none"/>
        </w:rPr>
        <w:t xml:space="preserve">1．目的任务</w:t>
      </w:r>
      <w:r/>
    </w:p>
    <w:p>
      <w:pPr>
        <w:contextualSpacing/>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在前期工作的基础上，选择有利成矿地区开展钻孔取样验证，初步查明主要金红石矿、晶质石墨矿数量、规模及分布特征，评价其含矿性，圈定找矿靶区；通过稀疏取样工程控制，初步查明金红石矿、晶质石墨矿矿体特征和矿石质量，有条件地段估算推断资源量。</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2．工作量</w:t>
      </w:r>
      <w:r/>
    </w:p>
    <w:p>
      <w:pPr>
        <w:contextualSpacing/>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本次采购的钻探工作为机械岩心钻探：机械岩心钻探初步设计钻孔为直孔，根据矿体实际产状有可能调整为斜孔（顶角5°～1</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°），设计单孔孔深</w:t>
      </w:r>
      <w:r>
        <w:rPr>
          <w:rFonts w:ascii="宋体" w:hAnsi="宋体" w:eastAsia="宋体"/>
          <w:color w:val="auto"/>
          <w:sz w:val="21"/>
          <w:szCs w:val="21"/>
          <w:highlight w:val="none"/>
        </w:rPr>
        <w:t xml:space="preserve">200～300m左右，2026</w:t>
      </w:r>
      <w:r>
        <w:rPr>
          <w:rFonts w:hint="eastAsia" w:ascii="宋体" w:hAnsi="宋体" w:eastAsia="宋体"/>
          <w:color w:val="auto"/>
          <w:sz w:val="21"/>
          <w:szCs w:val="21"/>
          <w:highlight w:val="none"/>
        </w:rPr>
        <w:t xml:space="preserve">年度总工作量</w:t>
      </w:r>
      <w:r>
        <w:rPr>
          <w:rFonts w:ascii="宋体" w:hAnsi="宋体" w:eastAsia="宋体"/>
          <w:color w:val="auto"/>
          <w:sz w:val="21"/>
          <w:szCs w:val="21"/>
          <w:highlight w:val="none"/>
          <w:lang w:val="en-US"/>
        </w:rPr>
        <w:t xml:space="preserve">1200</w:t>
      </w:r>
      <w:r>
        <w:rPr>
          <w:rFonts w:ascii="宋体" w:hAnsi="宋体" w:eastAsia="宋体"/>
          <w:color w:val="auto"/>
          <w:sz w:val="21"/>
          <w:szCs w:val="21"/>
          <w:highlight w:val="none"/>
        </w:rPr>
        <w:t xml:space="preserve">m</w:t>
      </w:r>
      <w:r>
        <w:rPr>
          <w:rFonts w:hint="eastAsia" w:ascii="宋体" w:hAnsi="宋体" w:eastAsia="宋体"/>
          <w:color w:val="auto"/>
          <w:sz w:val="21"/>
          <w:szCs w:val="21"/>
          <w:highlight w:val="none"/>
        </w:rPr>
        <w:t xml:space="preserve">。实际钻孔数目、各孔孔深与孔斜及施工顺序根据地质情况确定。</w:t>
      </w:r>
      <w:r/>
    </w:p>
    <w:p>
      <w:pPr>
        <w:keepLines/>
        <w:keepNext/>
        <w:spacing w:line="360" w:lineRule="auto"/>
        <w:rPr>
          <w:rFonts w:ascii="宋体" w:hAnsi="宋体" w:eastAsia="宋体"/>
          <w:b/>
          <w:bCs/>
          <w:color w:val="auto"/>
          <w:sz w:val="21"/>
          <w:szCs w:val="21"/>
          <w:highlight w:val="none"/>
        </w:rPr>
        <w:outlineLvl w:val="1"/>
      </w:pPr>
      <w:r/>
      <w:bookmarkStart w:id="32" w:name="_Toc171865154"/>
      <w:r/>
      <w:bookmarkStart w:id="33" w:name="_Toc30706"/>
      <w:r>
        <w:rPr>
          <w:rFonts w:hint="eastAsia" w:ascii="宋体" w:hAnsi="宋体" w:eastAsia="宋体"/>
          <w:b/>
          <w:bCs/>
          <w:color w:val="auto"/>
          <w:sz w:val="21"/>
          <w:szCs w:val="21"/>
          <w:highlight w:val="none"/>
        </w:rPr>
        <w:t xml:space="preserve">三、服务范围及内容</w:t>
      </w:r>
      <w:bookmarkEnd w:id="30"/>
      <w:r/>
      <w:bookmarkEnd w:id="31"/>
      <w:r/>
      <w:bookmarkEnd w:id="32"/>
      <w:r/>
      <w:bookmarkEnd w:id="33"/>
      <w:r/>
      <w:r/>
    </w:p>
    <w:p>
      <w:pPr>
        <w:keepLines/>
        <w:keepNext/>
        <w:spacing w:line="500" w:lineRule="exact"/>
        <w:rPr>
          <w:rFonts w:ascii="宋体" w:hAnsi="宋体" w:eastAsia="宋体"/>
          <w:b/>
          <w:bCs/>
          <w:color w:val="auto"/>
          <w:sz w:val="21"/>
          <w:szCs w:val="21"/>
          <w:highlight w:val="none"/>
        </w:rPr>
        <w:outlineLvl w:val="2"/>
      </w:pPr>
      <w:r/>
      <w:bookmarkStart w:id="34" w:name="_Toc496721274"/>
      <w:r/>
      <w:bookmarkStart w:id="35" w:name="_Toc171865155"/>
      <w:r/>
      <w:bookmarkStart w:id="36" w:name="_Toc16691759"/>
      <w:r/>
      <w:bookmarkStart w:id="37" w:name="_Toc24773"/>
      <w:r>
        <w:rPr>
          <w:rFonts w:hint="eastAsia" w:ascii="宋体" w:hAnsi="宋体" w:eastAsia="宋体"/>
          <w:b/>
          <w:bCs/>
          <w:color w:val="auto"/>
          <w:sz w:val="21"/>
          <w:szCs w:val="21"/>
          <w:highlight w:val="none"/>
        </w:rPr>
        <w:t xml:space="preserve">1．服务范围</w:t>
      </w:r>
      <w:bookmarkEnd w:id="34"/>
      <w:r/>
      <w:bookmarkEnd w:id="35"/>
      <w:r/>
      <w:bookmarkEnd w:id="36"/>
      <w:r/>
      <w:bookmarkEnd w:id="37"/>
      <w:r/>
      <w:r/>
    </w:p>
    <w:p>
      <w:pPr>
        <w:contextualSpacing/>
        <w:ind w:firstLine="420"/>
        <w:spacing w:line="360" w:lineRule="auto"/>
        <w:rPr>
          <w:rFonts w:ascii="宋体" w:hAnsi="宋体" w:eastAsia="宋体"/>
          <w:color w:val="auto"/>
          <w:sz w:val="21"/>
          <w:szCs w:val="21"/>
          <w:highlight w:val="none"/>
        </w:rPr>
      </w:pPr>
      <w:r/>
      <w:bookmarkStart w:id="38" w:name="_Toc496721275"/>
      <w:r/>
      <w:bookmarkStart w:id="39" w:name="_Toc16691760"/>
      <w:r>
        <w:rPr>
          <w:rFonts w:hint="eastAsia" w:ascii="宋体" w:hAnsi="宋体" w:eastAsia="宋体"/>
          <w:color w:val="auto"/>
          <w:sz w:val="21"/>
          <w:szCs w:val="21"/>
          <w:highlight w:val="none"/>
        </w:rPr>
        <w:t xml:space="preserve">标段位于江苏省</w:t>
      </w:r>
      <w:r>
        <w:rPr>
          <w:rFonts w:ascii="宋体" w:hAnsi="宋体" w:eastAsia="宋体"/>
          <w:color w:val="auto"/>
          <w:sz w:val="21"/>
          <w:szCs w:val="21"/>
          <w:highlight w:val="none"/>
        </w:rPr>
        <w:t xml:space="preserve">徐州市新沂市、连云港市赣榆区和东海县</w:t>
      </w:r>
      <w:r>
        <w:rPr>
          <w:rFonts w:hint="eastAsia" w:ascii="宋体" w:hAnsi="宋体" w:eastAsia="宋体"/>
          <w:color w:val="auto"/>
          <w:sz w:val="21"/>
          <w:szCs w:val="21"/>
          <w:highlight w:val="none"/>
        </w:rPr>
        <w:t xml:space="preserve">管辖，面积约</w:t>
      </w:r>
      <w:r>
        <w:rPr>
          <w:rFonts w:ascii="宋体" w:hAnsi="宋体" w:eastAsia="宋体"/>
          <w:color w:val="auto"/>
          <w:sz w:val="21"/>
          <w:szCs w:val="21"/>
          <w:highlight w:val="none"/>
        </w:rPr>
        <w:t xml:space="preserve">4242.89</w:t>
      </w:r>
      <w:r>
        <w:rPr>
          <w:rFonts w:hint="eastAsia" w:ascii="宋体" w:hAnsi="宋体" w:eastAsia="宋体"/>
          <w:color w:val="auto"/>
          <w:sz w:val="21"/>
          <w:szCs w:val="21"/>
          <w:highlight w:val="none"/>
        </w:rPr>
        <w:t xml:space="preserve">km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范围内。</w:t>
      </w:r>
      <w:r/>
    </w:p>
    <w:p>
      <w:pPr>
        <w:keepLines/>
        <w:keepNext/>
        <w:spacing w:line="500" w:lineRule="exact"/>
        <w:rPr>
          <w:rFonts w:ascii="宋体" w:hAnsi="宋体" w:eastAsia="宋体"/>
          <w:b/>
          <w:bCs/>
          <w:color w:val="auto"/>
          <w:sz w:val="21"/>
          <w:szCs w:val="21"/>
          <w:highlight w:val="none"/>
        </w:rPr>
        <w:outlineLvl w:val="2"/>
      </w:pPr>
      <w:r/>
      <w:bookmarkStart w:id="40" w:name="_Toc11413"/>
      <w:r/>
      <w:bookmarkStart w:id="41" w:name="_Toc171865156"/>
      <w:r>
        <w:rPr>
          <w:rFonts w:hint="eastAsia" w:ascii="宋体" w:hAnsi="宋体" w:eastAsia="宋体"/>
          <w:b/>
          <w:bCs/>
          <w:color w:val="auto"/>
          <w:sz w:val="21"/>
          <w:szCs w:val="21"/>
          <w:highlight w:val="none"/>
        </w:rPr>
        <w:t xml:space="preserve">2．服务内容</w:t>
      </w:r>
      <w:bookmarkEnd w:id="38"/>
      <w:r/>
      <w:bookmarkEnd w:id="39"/>
      <w:r/>
      <w:bookmarkEnd w:id="40"/>
      <w:r/>
      <w:bookmarkEnd w:id="41"/>
      <w:r/>
      <w:r/>
    </w:p>
    <w:p>
      <w:pPr>
        <w:ind w:firstLine="420"/>
        <w:spacing w:line="360" w:lineRule="auto"/>
        <w:rPr>
          <w:rFonts w:ascii="宋体" w:hAnsi="宋体" w:eastAsia="宋体"/>
          <w:bCs/>
          <w:color w:val="auto"/>
          <w:sz w:val="21"/>
          <w:szCs w:val="21"/>
          <w:highlight w:val="none"/>
        </w:rPr>
      </w:pPr>
      <w:r/>
      <w:bookmarkStart w:id="42" w:name="_Toc496721276"/>
      <w:r/>
      <w:bookmarkStart w:id="43" w:name="_Toc16691761"/>
      <w:r>
        <w:rPr>
          <w:rFonts w:hint="eastAsia" w:ascii="宋体" w:hAnsi="宋体" w:eastAsia="宋体"/>
          <w:bCs/>
          <w:color w:val="auto"/>
          <w:sz w:val="21"/>
          <w:szCs w:val="21"/>
          <w:highlight w:val="none"/>
        </w:rPr>
        <w:t xml:space="preserve">按要求开展岩（矿）心钻探，全孔取心。</w:t>
      </w:r>
      <w:r/>
    </w:p>
    <w:p>
      <w:pPr>
        <w:keepLines/>
        <w:keepNext/>
        <w:spacing w:line="500" w:lineRule="exact"/>
        <w:rPr>
          <w:rFonts w:ascii="宋体" w:hAnsi="宋体" w:eastAsia="宋体"/>
          <w:b/>
          <w:bCs/>
          <w:color w:val="auto"/>
          <w:sz w:val="21"/>
          <w:szCs w:val="21"/>
          <w:highlight w:val="none"/>
        </w:rPr>
        <w:outlineLvl w:val="2"/>
      </w:pPr>
      <w:r/>
      <w:bookmarkStart w:id="44" w:name="_Toc14776"/>
      <w:r/>
      <w:bookmarkStart w:id="45" w:name="_Toc171865157"/>
      <w:r>
        <w:rPr>
          <w:rFonts w:hint="eastAsia" w:ascii="宋体" w:hAnsi="宋体" w:eastAsia="宋体"/>
          <w:b/>
          <w:bCs/>
          <w:color w:val="auto"/>
          <w:sz w:val="21"/>
          <w:szCs w:val="21"/>
          <w:highlight w:val="none"/>
        </w:rPr>
        <w:t xml:space="preserve">3．技术和质量要求</w:t>
      </w:r>
      <w:bookmarkEnd w:id="42"/>
      <w:r/>
      <w:bookmarkEnd w:id="43"/>
      <w:r/>
      <w:bookmarkEnd w:id="44"/>
      <w:r/>
      <w:bookmarkEnd w:id="45"/>
      <w:r/>
      <w:r/>
    </w:p>
    <w:p>
      <w:pPr>
        <w:ind w:firstLine="420"/>
        <w:spacing w:line="360" w:lineRule="auto"/>
        <w:rPr>
          <w:rFonts w:ascii="宋体" w:hAnsi="宋体" w:eastAsia="宋体"/>
          <w:color w:val="auto"/>
          <w:sz w:val="21"/>
          <w:szCs w:val="21"/>
          <w:highlight w:val="none"/>
        </w:rPr>
      </w:pPr>
      <w:r/>
      <w:bookmarkStart w:id="46" w:name="_Toc496721277"/>
      <w:r/>
      <w:bookmarkStart w:id="47" w:name="_Toc16691762"/>
      <w:r>
        <w:rPr>
          <w:rFonts w:ascii="宋体" w:hAnsi="宋体" w:eastAsia="宋体"/>
          <w:color w:val="auto"/>
          <w:sz w:val="21"/>
          <w:szCs w:val="21"/>
          <w:highlight w:val="none"/>
        </w:rPr>
        <w:t xml:space="preserve">开孔穿过第四系后下套管，为保证采样质量，终孔口径不小于91mm。钻进方法用金刚石钻进，以提高钻进效率，提高岩矿心采取率。</w:t>
      </w:r>
      <w:r/>
    </w:p>
    <w:p>
      <w:pPr>
        <w:pStyle w:val="929"/>
        <w:numPr>
          <w:ilvl w:val="0"/>
          <w:numId w:val="10"/>
        </w:num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岩矿心采取率</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矿心采取率、矿体顶底板3～5 m内的围岩采取率以及标志层的岩(矿)心采取率应大于80%，厚大矿体内部矿心采取率连续5m低于80%时﹐应及时采取补救措施。一般岩石的岩心采取率不应低于80%，软岩和破碎岩石的岩心采取率不应低于65%。采取率低于要求时应查找原因并采取措施，必要时停钻研究解决，严禁弄虚作假、拉长岩矿心。</w:t>
      </w:r>
      <w:r/>
    </w:p>
    <w:p>
      <w:pPr>
        <w:pStyle w:val="929"/>
        <w:numPr>
          <w:ilvl w:val="0"/>
          <w:numId w:val="10"/>
        </w:num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钻孔弯曲度</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在钻进过程中应当系统测量顶角和方位角。实测钻孔顶角小于或等于3°时，每钻进100m测一次顶角，不需测方位角，顶角大于3°时，每钻进50m测量一次顶角和方位角。方位角允许误差，两个仪器之间之差为2°～4°，每100m顶角偏斜不得超过2°。若超差，应检查原因，校正仪器后重测。如出现歪斜，不能超过原设计要求线距的1/5。若超差严重，应采取措施进行纠正。</w:t>
      </w:r>
      <w:r/>
    </w:p>
    <w:p>
      <w:pPr>
        <w:pStyle w:val="929"/>
        <w:numPr>
          <w:ilvl w:val="0"/>
          <w:numId w:val="10"/>
        </w:num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孔深误差</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每钻进100m或见主矿层，重要标志层及终孔后均需用钢尺丈量钻具，验证孔深，孔深最大允许误差为1‰。如超差，需重新丈量钻具，找出误差原因，并对孔深进行修正，地质人员应及时修改井深或平差。</w:t>
      </w:r>
      <w:r/>
    </w:p>
    <w:p>
      <w:pPr>
        <w:pStyle w:val="929"/>
        <w:numPr>
          <w:ilvl w:val="0"/>
          <w:numId w:val="10"/>
        </w:num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简易水文观测</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钻孔施工中需进行简易水文观测，终孔后必须测稳定水位。每回次提钻后，下钻前测量孔内水位，每班最少观测冲洗液消耗量一次。当钻进过程中遇有溶洞、漏水、涌水应及时记录孔深，并记录漏失量、涌水量、水头高度等。</w:t>
      </w:r>
      <w:r/>
    </w:p>
    <w:p>
      <w:pPr>
        <w:pStyle w:val="929"/>
        <w:numPr>
          <w:ilvl w:val="0"/>
          <w:numId w:val="10"/>
        </w:num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封孔</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临近终孔及时编写封孔设计交机台实施。除特殊情况外均全孔水泥封闭。封孔时水泥不能一次性导入，应用水泵注入水泥浆，从下往上依次封孔。使用泥浆钻进的钻孔，应在洗刷封孔部位的泥皮后再进行封孔。封孔应严格按封孔设计书执行，并详细记录封孔过程及水泥用量。执行机长签名，孔口埋石标，用水泥固结，标石一般应高出地面10cm（农田除外）。</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⑥班报表</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钻探班报表应由专人负责，认真填写，必须及时、准确、详细、整洁，并如实反映情况。岩心回次牌同班报表中数据要一致，岩心箱要牢固，隔板齐全，岩心要清洗后按顺序放入岩心箱内，不得颠倒，凡块度大于4cm的岩心块都需用红漆编写，编写内容为回次号，岩心块序号／回次岩心块数。</w:t>
      </w:r>
      <w:r>
        <w:rPr>
          <w:rFonts w:hint="eastAsia" w:ascii="宋体" w:hAnsi="宋体" w:eastAsia="宋体"/>
          <w:color w:val="auto"/>
          <w:sz w:val="21"/>
          <w:szCs w:val="21"/>
          <w:highlight w:val="none"/>
        </w:rPr>
        <w:t xml:space="preserve">需提供符合规范要求的耐腐蚀的木质岩心箱。</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除特殊要求外，钻孔必须要穿过含矿地质体、矿（化）层5～10m后方可终孔。</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⑦生态环境保护</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应避免污染钻场周边的土壤、地表水和地下水。终孔后冲洗液应进行回收或固化处理。废弃油料、钻屑、垃圾等进行无害化处理。施工结束后恢复钻场地貌和植被。</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每个钻孔终孔后按要求进行钻孔质量验收，评定钻孔质量等级。</w:t>
      </w:r>
      <w:r/>
    </w:p>
    <w:p>
      <w:pPr>
        <w:keepLines/>
        <w:keepNext/>
        <w:spacing w:line="500" w:lineRule="exact"/>
        <w:rPr>
          <w:rFonts w:ascii="宋体" w:hAnsi="宋体" w:eastAsia="宋体"/>
          <w:b/>
          <w:bCs/>
          <w:color w:val="auto"/>
          <w:sz w:val="21"/>
          <w:szCs w:val="21"/>
          <w:highlight w:val="none"/>
        </w:rPr>
        <w:outlineLvl w:val="2"/>
      </w:pPr>
      <w:r/>
      <w:bookmarkStart w:id="48" w:name="_Toc171865158"/>
      <w:r/>
      <w:bookmarkStart w:id="49" w:name="_Toc30283"/>
      <w:r>
        <w:rPr>
          <w:rFonts w:hint="eastAsia" w:ascii="宋体" w:hAnsi="宋体" w:eastAsia="宋体"/>
          <w:b/>
          <w:bCs/>
          <w:color w:val="auto"/>
          <w:sz w:val="21"/>
          <w:szCs w:val="21"/>
          <w:highlight w:val="none"/>
        </w:rPr>
        <w:t xml:space="preserve">4．服务进度要求</w:t>
      </w:r>
      <w:bookmarkEnd w:id="46"/>
      <w:r/>
      <w:bookmarkEnd w:id="47"/>
      <w:r/>
      <w:bookmarkEnd w:id="48"/>
      <w:r/>
      <w:bookmarkEnd w:id="49"/>
      <w:r/>
      <w:r/>
    </w:p>
    <w:p>
      <w:pPr>
        <w:ind w:firstLine="420"/>
        <w:spacing w:line="360" w:lineRule="auto"/>
        <w:rPr>
          <w:rFonts w:ascii="宋体" w:hAnsi="宋体" w:eastAsia="宋体"/>
          <w:color w:val="auto"/>
          <w:sz w:val="21"/>
          <w:szCs w:val="21"/>
          <w:highlight w:val="none"/>
        </w:rPr>
      </w:pPr>
      <w:r/>
      <w:bookmarkStart w:id="50" w:name="_Toc496721278"/>
      <w:r/>
      <w:bookmarkStart w:id="51" w:name="_Toc16691763"/>
      <w:r>
        <w:rPr>
          <w:rFonts w:hint="eastAsia" w:ascii="宋体" w:hAnsi="宋体" w:eastAsia="宋体"/>
          <w:color w:val="auto"/>
          <w:sz w:val="21"/>
          <w:szCs w:val="21"/>
          <w:highlight w:val="none"/>
        </w:rPr>
        <w:t xml:space="preserve">收到中标通知后立即签订合同，</w:t>
      </w:r>
      <w:r>
        <w:rPr>
          <w:rFonts w:hint="eastAsia" w:ascii="宋体" w:hAnsi="宋体" w:eastAsia="宋体"/>
          <w:color w:val="auto"/>
          <w:sz w:val="21"/>
          <w:szCs w:val="21"/>
          <w:highlight w:val="none"/>
          <w:lang w:val="en-US" w:eastAsia="zh-CN"/>
        </w:rPr>
        <w:t xml:space="preserve">接到甲方</w:t>
      </w:r>
      <w:r>
        <w:rPr>
          <w:rFonts w:hint="eastAsia" w:ascii="宋体" w:hAnsi="宋体" w:eastAsia="宋体"/>
          <w:color w:val="auto"/>
          <w:sz w:val="21"/>
          <w:szCs w:val="21"/>
          <w:highlight w:val="none"/>
        </w:rPr>
        <w:t xml:space="preserve">到通知后5个工作日内须进场施工。</w:t>
      </w:r>
      <w:r>
        <w:rPr>
          <w:rFonts w:hint="eastAsia" w:ascii="宋体" w:hAnsi="宋体" w:eastAsia="宋体"/>
          <w:color w:val="auto"/>
          <w:sz w:val="21"/>
          <w:szCs w:val="21"/>
          <w:highlight w:val="none"/>
        </w:rPr>
        <w:t xml:space="preserve">进场后</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个月内完成年度工作量。</w:t>
      </w:r>
      <w:r>
        <w:rPr>
          <w:rFonts w:hint="eastAsia" w:ascii="宋体" w:hAnsi="宋体" w:eastAsia="宋体"/>
          <w:color w:val="auto"/>
          <w:sz w:val="21"/>
          <w:szCs w:val="21"/>
          <w:highlight w:val="none"/>
        </w:rPr>
        <w:t xml:space="preserve">每个钻孔终孔后立即进行验收。</w:t>
      </w:r>
      <w:r/>
    </w:p>
    <w:p>
      <w:pPr>
        <w:keepLines/>
        <w:keepNext/>
        <w:spacing w:line="500" w:lineRule="exact"/>
        <w:rPr>
          <w:rFonts w:ascii="宋体" w:hAnsi="宋体" w:eastAsia="宋体"/>
          <w:b/>
          <w:bCs/>
          <w:color w:val="auto"/>
          <w:sz w:val="21"/>
          <w:szCs w:val="21"/>
          <w:highlight w:val="none"/>
        </w:rPr>
        <w:outlineLvl w:val="2"/>
      </w:pPr>
      <w:r/>
      <w:bookmarkStart w:id="52" w:name="_Toc13199"/>
      <w:r/>
      <w:bookmarkStart w:id="53" w:name="_Toc171865159"/>
      <w:r>
        <w:rPr>
          <w:rFonts w:hint="eastAsia" w:ascii="宋体" w:hAnsi="宋体" w:eastAsia="宋体"/>
          <w:b/>
          <w:bCs/>
          <w:color w:val="auto"/>
          <w:sz w:val="21"/>
          <w:szCs w:val="21"/>
          <w:highlight w:val="none"/>
        </w:rPr>
        <w:t xml:space="preserve">5．服务人员及设备配置要求</w:t>
      </w:r>
      <w:bookmarkEnd w:id="50"/>
      <w:r/>
      <w:bookmarkEnd w:id="51"/>
      <w:r/>
      <w:bookmarkEnd w:id="52"/>
      <w:r/>
      <w:bookmarkEnd w:id="53"/>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项目时间紧、任务中，钻探施工需充分考虑分组作业。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人员数量充足、结构合理，技术骨干力量配备满足质量和进度要求。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设备数量、性能配置满足质量和进度要求。</w:t>
      </w:r>
      <w:r/>
    </w:p>
    <w:p>
      <w:pPr>
        <w:keepLines/>
        <w:keepNext/>
        <w:spacing w:line="500" w:lineRule="exact"/>
        <w:rPr>
          <w:rFonts w:ascii="宋体" w:hAnsi="宋体" w:eastAsia="宋体"/>
          <w:b/>
          <w:bCs/>
          <w:color w:val="auto"/>
          <w:sz w:val="21"/>
          <w:szCs w:val="21"/>
          <w:highlight w:val="none"/>
        </w:rPr>
        <w:outlineLvl w:val="2"/>
      </w:pPr>
      <w:r/>
      <w:bookmarkStart w:id="54" w:name="_Toc171865160"/>
      <w:r/>
      <w:bookmarkStart w:id="55" w:name="_Toc496721279"/>
      <w:r/>
      <w:bookmarkStart w:id="56" w:name="_Toc1526"/>
      <w:r/>
      <w:bookmarkStart w:id="57" w:name="_Toc16691764"/>
      <w:r>
        <w:rPr>
          <w:rFonts w:hint="eastAsia" w:ascii="宋体" w:hAnsi="宋体" w:eastAsia="宋体"/>
          <w:b/>
          <w:bCs/>
          <w:color w:val="auto"/>
          <w:sz w:val="21"/>
          <w:szCs w:val="21"/>
          <w:highlight w:val="none"/>
        </w:rPr>
        <w:t xml:space="preserve">6．提交成果要求</w:t>
      </w:r>
      <w:bookmarkEnd w:id="54"/>
      <w:r/>
      <w:bookmarkEnd w:id="55"/>
      <w:r/>
      <w:bookmarkEnd w:id="56"/>
      <w:r/>
      <w:bookmarkEnd w:id="57"/>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钻探班报表、原始编录表、岩心实物资料等。</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rPr>
        <w:t xml:space="preserve">供应商应根据本项目上述需求编制详细的服务响应方案。</w:t>
      </w:r>
      <w:bookmarkStart w:id="58" w:name="_Toc1688"/>
      <w:r/>
      <w:bookmarkStart w:id="59" w:name="_Toc496721280"/>
      <w:r/>
      <w:bookmarkStart w:id="60" w:name="_Toc171865161"/>
      <w:r/>
      <w:bookmarkStart w:id="61" w:name="_Toc16691765"/>
      <w:r/>
      <w:r/>
    </w:p>
    <w:p>
      <w:pPr>
        <w:numPr>
          <w:ilvl w:val="0"/>
          <w:numId w:val="11"/>
        </w:numPr>
        <w:keepLines/>
        <w:keepNext/>
        <w:spacing w:line="360" w:lineRule="auto"/>
        <w:rPr>
          <w:rFonts w:ascii="宋体" w:hAnsi="宋体" w:eastAsia="宋体"/>
          <w:b/>
          <w:bCs/>
          <w:color w:val="auto"/>
          <w:sz w:val="21"/>
          <w:szCs w:val="21"/>
          <w:highlight w:val="none"/>
          <w:lang w:val="en-US"/>
        </w:rPr>
        <w:outlineLvl w:val="1"/>
      </w:pPr>
      <w:r>
        <w:rPr>
          <w:rFonts w:hint="eastAsia" w:ascii="宋体" w:hAnsi="宋体" w:eastAsia="宋体"/>
          <w:b/>
          <w:bCs/>
          <w:color w:val="auto"/>
          <w:sz w:val="21"/>
          <w:szCs w:val="21"/>
          <w:highlight w:val="none"/>
          <w:lang w:val="en-US"/>
        </w:rPr>
        <w:t xml:space="preserve">付款方式</w:t>
      </w:r>
      <w:r/>
    </w:p>
    <w:p>
      <w:pPr>
        <w:numPr>
          <w:ilvl w:val="255"/>
          <w:numId w:val="0"/>
        </w:numPr>
        <w:ind w:firstLine="422"/>
        <w:keepLines/>
        <w:keepNext/>
        <w:spacing w:line="360" w:lineRule="auto"/>
        <w:rPr>
          <w:rFonts w:ascii="宋体" w:hAnsi="宋体" w:eastAsia="宋体"/>
          <w:b/>
          <w:bCs/>
          <w:color w:val="auto"/>
          <w:sz w:val="21"/>
          <w:szCs w:val="21"/>
          <w:highlight w:val="none"/>
          <w:lang w:val="en-US"/>
        </w:rPr>
        <w:outlineLvl w:val="1"/>
      </w:pPr>
      <w:r>
        <w:rPr>
          <w:rFonts w:hint="eastAsia" w:ascii="宋体" w:hAnsi="宋体" w:eastAsia="宋体"/>
          <w:b/>
          <w:bCs/>
          <w:color w:val="auto"/>
          <w:sz w:val="21"/>
          <w:szCs w:val="21"/>
          <w:highlight w:val="none"/>
          <w:lang w:val="en-US"/>
        </w:rPr>
        <w:t xml:space="preserve">详见合同条款</w:t>
      </w:r>
      <w:r/>
    </w:p>
    <w:p>
      <w:pPr>
        <w:keepLines/>
        <w:keepNext/>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lang w:val="en-US"/>
        </w:rPr>
        <w:t xml:space="preserve">五</w:t>
      </w:r>
      <w:r>
        <w:rPr>
          <w:rFonts w:hint="eastAsia" w:ascii="宋体" w:hAnsi="宋体" w:eastAsia="宋体"/>
          <w:b/>
          <w:bCs/>
          <w:color w:val="auto"/>
          <w:sz w:val="21"/>
          <w:szCs w:val="21"/>
          <w:highlight w:val="none"/>
        </w:rPr>
        <w:t xml:space="preserve">、其它</w:t>
      </w:r>
      <w:bookmarkEnd w:id="58"/>
      <w:r/>
      <w:bookmarkEnd w:id="59"/>
      <w:r/>
      <w:bookmarkEnd w:id="60"/>
      <w:r/>
      <w:bookmarkEnd w:id="61"/>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因涉及单孔孔深与初步设计可能存在一定误差，目标层位可能变化，原则上不改变合同单价。总工作量根据实际地质情况可能作调整，其总价按招标固定单价与变化工作量作相应计价</w:t>
      </w:r>
      <w:bookmarkEnd w:id="19"/>
      <w:r/>
      <w:bookmarkEnd w:id="20"/>
      <w:r/>
      <w:bookmarkEnd w:id="21"/>
      <w:r/>
      <w:bookmarkEnd w:id="22"/>
      <w:r/>
      <w:bookmarkEnd w:id="23"/>
      <w:r/>
      <w:bookmarkEnd w:id="24"/>
      <w:r/>
      <w:bookmarkEnd w:id="25"/>
      <w:r/>
      <w:r/>
    </w:p>
    <w:p>
      <w:pPr>
        <w:jc w:val="left"/>
        <w:rPr>
          <w:rFonts w:ascii="黑体" w:eastAsia="黑体"/>
          <w:color w:val="auto"/>
          <w:sz w:val="36"/>
          <w:szCs w:val="36"/>
          <w:highlight w:val="none"/>
        </w:rPr>
      </w:pPr>
      <w:r>
        <w:rPr>
          <w:rFonts w:hint="eastAsia" w:ascii="黑体" w:eastAsia="黑体"/>
          <w:color w:val="auto"/>
          <w:sz w:val="36"/>
          <w:szCs w:val="36"/>
          <w:highlight w:val="none"/>
        </w:rPr>
        <w:br w:type="page" w:clear="all"/>
      </w:r>
      <w:r/>
    </w:p>
    <w:p>
      <w:pPr>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第五章 合同草案条款</w:t>
      </w:r>
      <w:r/>
    </w:p>
    <w:p>
      <w:pPr>
        <w:jc w:val="center"/>
        <w:spacing w:line="360" w:lineRule="auto"/>
        <w:rPr>
          <w:rFonts w:ascii="仿宋" w:hAnsi="仿宋" w:eastAsia="仿宋"/>
          <w:b/>
          <w:color w:val="auto"/>
          <w:sz w:val="24"/>
          <w:szCs w:val="24"/>
          <w:highlight w:val="none"/>
        </w:rPr>
      </w:pPr>
      <w:r/>
      <w:bookmarkStart w:id="62" w:name="_Toc20823315"/>
      <w:r/>
      <w:bookmarkStart w:id="63" w:name="_Toc513029243"/>
      <w:r/>
      <w:bookmarkStart w:id="64" w:name="_Toc16938559"/>
      <w:r>
        <w:rPr>
          <w:rFonts w:hint="eastAsia" w:ascii="仿宋" w:hAnsi="仿宋" w:eastAsia="仿宋"/>
          <w:b/>
          <w:color w:val="auto"/>
          <w:sz w:val="24"/>
          <w:szCs w:val="24"/>
          <w:highlight w:val="none"/>
        </w:rPr>
        <w:t xml:space="preserve">（说明：本合同内容条款在正式签署前可具体补充细化，仅作参考）</w:t>
      </w:r>
      <w:r/>
    </w:p>
    <w:p>
      <w:pPr>
        <w:jc w:val="center"/>
        <w:rPr>
          <w:rFonts w:ascii="宋体" w:hAnsi="宋体" w:eastAsia="宋体"/>
          <w:b/>
          <w:bCs/>
          <w:color w:val="auto"/>
          <w:sz w:val="21"/>
          <w:szCs w:val="21"/>
          <w:highlight w:val="none"/>
        </w:rPr>
      </w:pPr>
      <w:r/>
      <w:bookmarkStart w:id="65" w:name="_Toc303675913"/>
      <w:r/>
      <w:bookmarkStart w:id="66" w:name="_Toc303672995"/>
      <w:r/>
      <w:bookmarkStart w:id="67" w:name="_Toc303675711"/>
      <w:r/>
      <w:bookmarkStart w:id="68" w:name="_Toc198105329"/>
      <w:r/>
      <w:bookmarkStart w:id="69" w:name="_Toc7584971"/>
      <w:r/>
      <w:bookmarkStart w:id="70" w:name="_Toc303794202"/>
      <w:r/>
      <w:bookmarkStart w:id="71" w:name="_Toc405373416"/>
      <w:r/>
      <w:bookmarkStart w:id="72" w:name="_Toc7492858"/>
      <w:r/>
      <w:bookmarkStart w:id="73" w:name="_Toc303669671"/>
      <w:r/>
      <w:bookmarkStart w:id="74" w:name="_Toc303674226"/>
      <w:r>
        <w:rPr>
          <w:rFonts w:ascii="宋体" w:hAnsi="宋体" w:eastAsia="宋体"/>
          <w:b/>
          <w:bCs/>
          <w:color w:val="auto"/>
          <w:sz w:val="21"/>
          <w:szCs w:val="21"/>
          <w:highlight w:val="none"/>
        </w:rPr>
        <w:t xml:space="preserve">江苏新沂—赣榆钛（金红石）、晶质石墨矿调查评价与区块优选岩心钻探（2026年度）</w:t>
      </w:r>
      <w:r>
        <w:rPr>
          <w:rFonts w:hint="eastAsia" w:ascii="宋体" w:hAnsi="宋体" w:eastAsia="宋体"/>
          <w:b/>
          <w:bCs/>
          <w:color w:val="auto"/>
          <w:sz w:val="21"/>
          <w:szCs w:val="21"/>
          <w:highlight w:val="none"/>
        </w:rPr>
        <w:t xml:space="preserve">施工合同</w:t>
      </w:r>
      <w:r/>
    </w:p>
    <w:p>
      <w:pPr>
        <w:jc w:val="center"/>
        <w:rPr>
          <w:rFonts w:ascii="宋体" w:hAnsi="宋体" w:eastAsia="宋体"/>
          <w:b/>
          <w:bCs/>
          <w:color w:val="auto"/>
          <w:sz w:val="21"/>
          <w:szCs w:val="21"/>
          <w:highlight w:val="none"/>
        </w:rPr>
      </w:pPr>
      <w:r>
        <w:rPr>
          <w:rFonts w:ascii="宋体" w:hAnsi="宋体" w:eastAsia="宋体"/>
          <w:b/>
          <w:bCs/>
          <w:color w:val="auto"/>
          <w:sz w:val="21"/>
          <w:szCs w:val="21"/>
          <w:highlight w:val="none"/>
        </w:rPr>
      </w:r>
      <w:r/>
    </w:p>
    <w:p>
      <w:pPr>
        <w:ind w:left="42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委托方（甲方）：江苏省地质调查研究院</w:t>
      </w:r>
      <w:r/>
    </w:p>
    <w:p>
      <w:pPr>
        <w:ind w:left="426"/>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受托方（乙方）：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委托方通过</w:t>
      </w:r>
      <w:r>
        <w:rPr>
          <w:rFonts w:hint="eastAsia" w:ascii="宋体" w:hAnsi="宋体" w:eastAsia="宋体"/>
          <w:color w:val="auto"/>
          <w:sz w:val="21"/>
          <w:szCs w:val="21"/>
          <w:highlight w:val="none"/>
          <w:u w:val="single"/>
        </w:rPr>
        <w:t xml:space="preserve">招标 </w:t>
      </w:r>
      <w:r>
        <w:rPr>
          <w:rFonts w:hint="eastAsia" w:ascii="宋体" w:hAnsi="宋体" w:eastAsia="宋体"/>
          <w:color w:val="auto"/>
          <w:sz w:val="21"/>
          <w:szCs w:val="21"/>
          <w:highlight w:val="none"/>
        </w:rPr>
        <w:t xml:space="preserve">方式，确定受托方承担</w:t>
      </w:r>
      <w:bookmarkStart w:id="75" w:name="OLE_LINK6"/>
      <w:r>
        <w:rPr>
          <w:rFonts w:hint="eastAsia" w:ascii="宋体" w:hAnsi="宋体" w:eastAsia="宋体"/>
          <w:color w:val="auto"/>
          <w:sz w:val="21"/>
          <w:szCs w:val="21"/>
          <w:highlight w:val="none"/>
          <w:u w:val="single"/>
        </w:rPr>
        <w:t xml:space="preserve">江苏新沂—赣榆钛（金红石）、晶质石墨矿调查评价与区块优选岩心钻探（2026年度）</w:t>
      </w:r>
      <w:bookmarkEnd w:id="75"/>
      <w:r>
        <w:rPr>
          <w:rFonts w:hint="eastAsia" w:ascii="宋体" w:hAnsi="宋体" w:eastAsia="宋体"/>
          <w:color w:val="auto"/>
          <w:sz w:val="21"/>
          <w:szCs w:val="21"/>
          <w:highlight w:val="none"/>
        </w:rPr>
        <w:t xml:space="preserve">项目并完成本合同约定的任务。双方遵循平等、自愿、公平和诚实信用的原则，就开展此项目工作及有关事项协商一致，共同达成如下协议：</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第一条岩心钻探工作量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本次采购的钻探工作为机械岩心钻探，初步设计钻孔为直孔，根据矿体实际产状有可能调整为斜孔（顶角5°～1</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°，不改变中标单价），设计单孔孔深200～300m左右，202</w:t>
      </w: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年度总工作量</w:t>
      </w:r>
      <w:r>
        <w:rPr>
          <w:rFonts w:ascii="宋体" w:hAnsi="宋体" w:eastAsia="宋体"/>
          <w:color w:val="auto"/>
          <w:sz w:val="21"/>
          <w:szCs w:val="21"/>
          <w:highlight w:val="none"/>
          <w:lang w:val="en-US"/>
        </w:rPr>
        <w:t xml:space="preserve">120</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m。实际钻孔数目、各孔孔深与孔斜及施工顺序根据地质情况确定。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第二条技术要求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详见第四章  招标技术规格及要求。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第三条 施工费用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本年度总工作量为**m，合同总金额**万元，折算钻孔中标单价为**元/m。若总工作量调整，则根据实际进尺按中标折算钻孔单价结算钻探实际施工费用（总费用不超过中标价）。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第四条费用支付</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1．甲乙双方签订合同后，乙方按照钻探施工合同总金额的10%作为履约保证金支付给甲方；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2．乙方进场一周内，甲方支付合同总金额的40%</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作为</w:t>
      </w:r>
      <w:r>
        <w:rPr>
          <w:rFonts w:ascii="宋体" w:hAnsi="宋体" w:eastAsia="宋体"/>
          <w:color w:val="auto"/>
          <w:sz w:val="21"/>
          <w:szCs w:val="21"/>
          <w:highlight w:val="none"/>
        </w:rPr>
        <w:t xml:space="preserve">首付款</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3．钻探总工作量完成70%后，</w:t>
      </w:r>
      <w:bookmarkStart w:id="76" w:name="OLE_LINK7"/>
      <w:r>
        <w:rPr>
          <w:rFonts w:hint="eastAsia" w:ascii="宋体" w:hAnsi="宋体" w:eastAsia="宋体"/>
          <w:color w:val="auto"/>
          <w:sz w:val="21"/>
          <w:szCs w:val="21"/>
          <w:highlight w:val="none"/>
        </w:rPr>
        <w:t xml:space="preserve">并经甲方验收确认后，</w:t>
      </w:r>
      <w:bookmarkEnd w:id="76"/>
      <w:r>
        <w:rPr>
          <w:rFonts w:hint="eastAsia" w:ascii="宋体" w:hAnsi="宋体" w:eastAsia="宋体"/>
          <w:color w:val="auto"/>
          <w:sz w:val="21"/>
          <w:szCs w:val="21"/>
          <w:highlight w:val="none"/>
        </w:rPr>
        <w:t xml:space="preserve">进行甲方支付合同总金额的30%；</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4．钻探总工作量完成100%后，并经甲方验收确认后，甲方支付合同总金额的</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0%，</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通过甲方质量验收后，甲乙双方核算实际钻探总经费</w:t>
      </w:r>
      <w:r>
        <w:rPr>
          <w:rFonts w:hint="eastAsia" w:ascii="宋体" w:hAnsi="宋体" w:eastAsia="宋体"/>
          <w:b/>
          <w:bCs/>
          <w:color w:val="auto"/>
          <w:sz w:val="21"/>
          <w:szCs w:val="21"/>
          <w:highlight w:val="none"/>
          <w:lang w:val="en-US" w:eastAsia="zh-CN"/>
        </w:rPr>
        <w:t xml:space="preserve">(增加的费用不得超中标价的10%)</w:t>
      </w:r>
      <w:r>
        <w:rPr>
          <w:rFonts w:hint="eastAsia" w:ascii="宋体" w:hAnsi="宋体" w:eastAsia="宋体"/>
          <w:color w:val="auto"/>
          <w:sz w:val="21"/>
          <w:szCs w:val="21"/>
          <w:highlight w:val="none"/>
        </w:rPr>
        <w:t xml:space="preserve">，根据中标折算单价，甲方按多退少补的原则一月内结清总工程的余款及履约保证金。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以上费用需要乙方出具增值税普通发票给甲方后执行。</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第五条施工期限</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合同签订后，</w:t>
      </w:r>
      <w:r>
        <w:rPr>
          <w:rFonts w:hint="eastAsia" w:ascii="宋体" w:hAnsi="宋体" w:eastAsia="宋体"/>
          <w:color w:val="auto"/>
          <w:sz w:val="21"/>
          <w:szCs w:val="21"/>
          <w:highlight w:val="none"/>
        </w:rPr>
        <w:t xml:space="preserve">接到甲方到通知5个工作日内须进场施工。进场后4个月内完成年度工作量。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第六条甲方责任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1．接到乙方编制的施工方案后3天内完成审定工作；</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2．配合乙方做好与地方的协调工作；</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3．负责孔位测放；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4．负责钻孔地质编录；</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5．按合同规定支付工程费用。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第七条乙方责任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1．合同签订后，3日内编写提交根据甲方资料编制的施工方案，交甲方项目组审定；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2．乙方应按时间要求做好开钻准备工作，经甲方验收合格后方可开钻，并要严格按照甲方审定的施工方案施工；</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3．施工期间人员、设备、安全保卫工作由乙方负责；</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4．负责青苗等赔偿，负责与地方联系协调，由此发生的费用由乙方自理；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5．协助承担甲方完成主管单位检查、验收等工作；</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6．因施工技术因素造成的孔深、矿心及顶底板采取率达不到要求，乙方必须采取补救措施，发生的费用由乙方自理；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7．钻进中要有专人负责记录班报表，并负责保管好，终孔后岩心运至指定的地点；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8.乙方接到开孔通知书后，必须做好准备工作，确保矿心及顶底板的采取率达到要求；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现场施工主要技术力量必须与投标书人员一致（为乙方在职正式职工，并随时提供证明材料供甲方检查），若主要技术力量与投标书人员不一致或不能及时提供证明材料供甲方随机检查，则视为分包、转包，个别人员确需调整，需书面报甲方同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10．乙方须配备1名地质矿产专业技术人员，协助甲方开展钻孔原始地质编录。</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第八条违约责任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1．甲方违约责任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（1）合同签订后，乙方人员及钻机设备已进入施工现场，如由于甲方原因工程停工而中止合同，甲方退还乙方履约保证金并支付总工程预算费10%的违约金；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（2）甲方未按第四条支付乙方工程款，应按延误天数和当时银行利息向乙方支付违约金。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2．乙方违约责任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（1）合同签订后，如乙方擅自中止或解除合同，乙方应全额返回甲方预付的工程款，甲方扣除乙方履约保证金作为违约金；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（2）乙方未按合同规定的期限完成钻探施工任务，应向甲方支付延期损失费，每天的延期损失费按总工程款的0.5%计算；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（3）乙方施工的钻孔质量不符合合同要求，采取补救措施后仍达不到合同要求，验收不能通过，乙方应负责重新施工，费用自理；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（4）如乙方实际承担施工任务的队伍为分包、转包方，甲方有权解除合同，乙方应全额返回已付的工程款，并向甲方支付总工程款10%的违约金；</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（5）对于钻探成果，乙方有义务保密，否则甲方有权对因此造成的损失追究乙方的责任。</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第九条争议的解决</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本合同执行过程中发生的任何争议，如双方不能协商解决，由合同签订地法院诉讼处理。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第十条由于不可抗拒的因素，致使本合同无法履行时，双方应按有关法律、法规及时协商处理。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第十一条本合同未尽事宜，双方应本着实事求是、友好协商的态度加以解决，双方签订的补充协议或纪要视为本合同的组成部分，亦具有法律效力。</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第十二条附则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1．本合同经双方法人代表签字，加盖双方单位公章或合同专用章后生效。</w:t>
      </w:r>
      <w:r/>
    </w:p>
    <w:p>
      <w:pPr>
        <w:ind w:firstLine="420"/>
        <w:spacing w:line="360" w:lineRule="auto"/>
        <w:tabs>
          <w:tab w:val="left" w:pos="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2．本合同壹式陆份，甲、乙双方各执叁份。</w:t>
      </w:r>
      <w:r/>
    </w:p>
    <w:p>
      <w:pPr>
        <w:ind w:firstLine="420"/>
        <w:tabs>
          <w:tab w:val="left" w:pos="0" w:leader="none"/>
        </w:tabs>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67"/>
        <w:tblW w:w="4125" w:type="pct"/>
        <w:jc w:val="center"/>
        <w:tblLayout w:type="autofit"/>
        <w:tblCellMar>
          <w:left w:w="108" w:type="dxa"/>
          <w:top w:w="0" w:type="dxa"/>
          <w:right w:w="108" w:type="dxa"/>
          <w:bottom w:w="0" w:type="dxa"/>
        </w:tblCellMar>
        <w:tblLook w:val="04A0" w:firstRow="1" w:lastRow="0" w:firstColumn="1" w:lastColumn="0" w:noHBand="0" w:noVBand="1"/>
      </w:tblPr>
      <w:tblGrid>
        <w:gridCol w:w="4375"/>
        <w:gridCol w:w="3577"/>
      </w:tblGrid>
      <w:tr>
        <w:trPr>
          <w:jc w:val="center"/>
          <w:trHeight w:val="737"/>
        </w:trPr>
        <w:tc>
          <w:tcPr>
            <w:shd w:val="clear" w:color="auto" w:fill="auto"/>
            <w:tcW w:w="2751" w:type="pct"/>
            <w:textDirection w:val="lrTb"/>
            <w:noWrap w:val="false"/>
          </w:tcPr>
          <w:p>
            <w:pPr>
              <w:spacing w:line="30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甲方：江苏省地质调查研究院</w:t>
            </w:r>
            <w:r/>
          </w:p>
        </w:tc>
        <w:tc>
          <w:tcPr>
            <w:shd w:val="clear" w:color="auto" w:fill="auto"/>
            <w:tcW w:w="2249" w:type="pct"/>
            <w:textDirection w:val="lrTb"/>
            <w:noWrap w:val="false"/>
          </w:tcPr>
          <w:p>
            <w:pPr>
              <w:ind w:left="738" w:hanging="738"/>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乙方：</w:t>
            </w:r>
            <w:r/>
          </w:p>
        </w:tc>
      </w:tr>
      <w:tr>
        <w:trPr>
          <w:jc w:val="center"/>
          <w:trHeight w:val="422"/>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法人代表(委托人)：</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法人代表(委托人)：</w:t>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联 系 人：</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联 系 人：</w:t>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联系电话：</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联系电话：</w:t>
            </w:r>
            <w:r/>
          </w:p>
        </w:tc>
      </w:tr>
      <w:tr>
        <w:trPr>
          <w:jc w:val="center"/>
          <w:trHeight w:val="524"/>
        </w:trPr>
        <w:tc>
          <w:tcPr>
            <w:shd w:val="clear" w:color="auto" w:fill="auto"/>
            <w:tcW w:w="2751" w:type="pct"/>
            <w:textDirection w:val="lrTb"/>
            <w:noWrap w:val="false"/>
          </w:tcPr>
          <w:p>
            <w:pP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 户 行： </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 户 行：</w:t>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帐  号：</w:t>
            </w:r>
            <w:r/>
          </w:p>
        </w:tc>
        <w:tc>
          <w:tcPr>
            <w:shd w:val="clear" w:color="auto" w:fill="auto"/>
            <w:tcW w:w="2249" w:type="pct"/>
            <w:textDirection w:val="lrTb"/>
            <w:noWrap w:val="false"/>
          </w:tcPr>
          <w:p>
            <w:pPr>
              <w:spacing w:line="300" w:lineRule="auto"/>
              <w:tabs>
                <w:tab w:val="center" w:pos="2024"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帐  号：</w:t>
            </w:r>
            <w:r>
              <w:rPr>
                <w:rFonts w:hint="eastAsia" w:ascii="宋体" w:hAnsi="宋体" w:eastAsia="宋体"/>
                <w:b/>
                <w:color w:val="auto"/>
                <w:sz w:val="21"/>
                <w:szCs w:val="21"/>
                <w:highlight w:val="none"/>
              </w:rPr>
              <w:tab/>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税务登记证号：</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行    号：</w:t>
            </w:r>
            <w:r/>
          </w:p>
        </w:tc>
      </w:tr>
      <w:tr>
        <w:trPr>
          <w:jc w:val="center"/>
          <w:trHeight w:val="524"/>
        </w:trPr>
        <w:tc>
          <w:tcPr>
            <w:shd w:val="clear" w:color="auto" w:fill="auto"/>
            <w:tcW w:w="2751"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地    址： </w:t>
            </w:r>
            <w:r/>
          </w:p>
        </w:tc>
        <w:tc>
          <w:tcPr>
            <w:shd w:val="clear" w:color="auto" w:fill="auto"/>
            <w:tcW w:w="2249" w:type="pct"/>
            <w:textDirection w:val="lrTb"/>
            <w:noWrap w:val="false"/>
          </w:tcPr>
          <w:p>
            <w:pPr>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签订日期：年月日</w:t>
            </w:r>
            <w:bookmarkEnd w:id="62"/>
            <w:bookmarkEnd w:id="63"/>
            <w:bookmarkEnd w:id="64"/>
            <w:bookmarkEnd w:id="65"/>
            <w:bookmarkEnd w:id="66"/>
            <w:bookmarkEnd w:id="67"/>
            <w:bookmarkEnd w:id="68"/>
            <w:bookmarkEnd w:id="69"/>
            <w:bookmarkEnd w:id="70"/>
            <w:bookmarkEnd w:id="71"/>
            <w:bookmarkEnd w:id="72"/>
            <w:bookmarkEnd w:id="73"/>
            <w:bookmarkEnd w:id="74"/>
            <w:r/>
          </w:p>
        </w:tc>
      </w:tr>
    </w:tbl>
    <w:p>
      <w:pPr>
        <w:rPr>
          <w:rFonts w:ascii="Times New Roman"/>
          <w:color w:val="auto"/>
          <w:sz w:val="44"/>
          <w:szCs w:val="44"/>
          <w:highlight w:val="none"/>
        </w:rPr>
      </w:pPr>
      <w:r/>
      <w:bookmarkStart w:id="77" w:name="_Toc479684885"/>
      <w:r/>
      <w:bookmarkStart w:id="78" w:name="_Toc476063953"/>
      <w:r/>
      <w:bookmarkStart w:id="79" w:name="_Toc476063952"/>
      <w:r/>
      <w:bookmarkStart w:id="80" w:name="_Toc479684884"/>
      <w:r/>
      <w:bookmarkStart w:id="81" w:name="_Toc489275682"/>
      <w:r/>
      <w:bookmarkStart w:id="82" w:name="_Toc489275683"/>
      <w:r/>
      <w:bookmarkStart w:id="83" w:name="_Toc489655320"/>
      <w:r>
        <w:rPr>
          <w:rFonts w:ascii="Times New Roman"/>
          <w:color w:val="auto"/>
          <w:sz w:val="44"/>
          <w:szCs w:val="44"/>
          <w:highlight w:val="none"/>
        </w:rPr>
        <w:br w:type="page" w:clear="all"/>
      </w:r>
      <w:r/>
    </w:p>
    <w:p>
      <w:pPr>
        <w:pStyle w:val="857"/>
        <w:ind w:firstLine="0"/>
        <w:jc w:val="center"/>
        <w:spacing w:before="240" w:after="240"/>
        <w:rPr>
          <w:color w:val="auto"/>
          <w:sz w:val="44"/>
          <w:szCs w:val="44"/>
          <w:highlight w:val="none"/>
        </w:rPr>
      </w:pPr>
      <w:r>
        <w:rPr>
          <w:rFonts w:ascii="Times New Roman"/>
          <w:color w:val="auto"/>
          <w:sz w:val="44"/>
          <w:szCs w:val="44"/>
          <w:highlight w:val="none"/>
          <w:lang w:val="zh-CN"/>
        </w:rPr>
        <w:t xml:space="preserve">第六章</w:t>
      </w:r>
      <w:r>
        <w:rPr>
          <w:rFonts w:hint="eastAsia" w:ascii="Times New Roman"/>
          <w:color w:val="auto"/>
          <w:sz w:val="44"/>
          <w:szCs w:val="44"/>
          <w:highlight w:val="none"/>
        </w:rPr>
        <w:t xml:space="preserve"> </w:t>
      </w:r>
      <w:r>
        <w:rPr>
          <w:rFonts w:hint="eastAsia"/>
          <w:color w:val="auto"/>
          <w:sz w:val="44"/>
          <w:szCs w:val="44"/>
          <w:highlight w:val="none"/>
        </w:rPr>
        <w:t xml:space="preserve">投标文件格式</w:t>
      </w:r>
      <w:r/>
    </w:p>
    <w:p>
      <w:pPr>
        <w:jc w:val="left"/>
        <w:spacing w:line="240" w:lineRule="atLeast"/>
        <w:widowControl/>
        <w:rPr>
          <w:rFonts w:ascii="宋体" w:hAnsi="宋体"/>
          <w:color w:val="auto"/>
          <w:szCs w:val="21"/>
          <w:highlight w:val="none"/>
        </w:rPr>
      </w:pPr>
      <w:r>
        <w:rPr>
          <w:rFonts w:hint="eastAsia" w:ascii="宋体" w:hAnsi="宋体"/>
          <w:color w:val="auto"/>
          <w:szCs w:val="21"/>
          <w:highlight w:val="none"/>
        </w:rPr>
        <w:t xml:space="preserve">注：请供应商按照以下文件的要求格式、内容，顺序制作投标文件，并请编制目录及页码，否则可能将影响对投标文件的评价。</w:t>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jc w:val="center"/>
        <w:spacing w:line="360" w:lineRule="auto"/>
        <w:rPr>
          <w:rFonts w:eastAsia="黑体"/>
          <w:color w:val="auto"/>
          <w:highlight w:val="none"/>
        </w:rPr>
      </w:pPr>
      <w:r>
        <w:rPr>
          <w:rFonts w:ascii="宋体" w:hAnsi="宋体"/>
          <w:b/>
          <w:bCs/>
          <w:color w:val="auto"/>
          <w:sz w:val="72"/>
          <w:szCs w:val="72"/>
          <w:highlight w:val="none"/>
        </w:rPr>
        <w:t xml:space="preserve">投标文件</w:t>
      </w:r>
      <w:r/>
    </w:p>
    <w:p>
      <w:pPr>
        <w:pStyle w:val="928"/>
        <w:ind w:firstLine="400"/>
        <w:rPr>
          <w:rFonts w:eastAsia="黑体"/>
          <w:color w:val="auto"/>
          <w:highlight w:val="none"/>
        </w:rPr>
      </w:pPr>
      <w:r>
        <w:rPr>
          <w:rFonts w:eastAsia="黑体"/>
          <w:color w:val="auto"/>
          <w:highlight w:val="none"/>
        </w:rPr>
      </w:r>
      <w:r/>
    </w:p>
    <w:p>
      <w:pPr>
        <w:pStyle w:val="928"/>
        <w:ind w:firstLine="400"/>
        <w:rPr>
          <w:rFonts w:eastAsia="黑体"/>
          <w:color w:val="auto"/>
          <w:highlight w:val="none"/>
        </w:rPr>
      </w:pPr>
      <w:r>
        <w:rPr>
          <w:rFonts w:eastAsia="黑体"/>
          <w:color w:val="auto"/>
          <w:highlight w:val="none"/>
        </w:rPr>
      </w:r>
      <w:r/>
    </w:p>
    <w:p>
      <w:pPr>
        <w:pStyle w:val="928"/>
        <w:ind w:firstLine="400"/>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pStyle w:val="1302"/>
        <w:ind w:firstLine="1081"/>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auto"/>
          <w:sz w:val="36"/>
          <w:szCs w:val="36"/>
          <w:highlight w:val="none"/>
        </w:rPr>
        <w:t xml:space="preserve">项 目 名 称：</w:t>
      </w:r>
      <w:r>
        <w:rPr>
          <w:rFonts w:ascii="宋体" w:hAnsi="宋体"/>
          <w:b/>
          <w:bCs/>
          <w:color w:val="auto"/>
          <w:sz w:val="36"/>
          <w:szCs w:val="36"/>
          <w:highlight w:val="none"/>
          <w:u w:val="single"/>
        </w:rPr>
        <w:t xml:space="preserve">          </w:t>
      </w:r>
      <w:r/>
    </w:p>
    <w:p>
      <w:pPr>
        <w:pStyle w:val="1302"/>
        <w:ind w:firstLine="1081"/>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auto"/>
          <w:sz w:val="36"/>
          <w:szCs w:val="36"/>
          <w:highlight w:val="none"/>
        </w:rPr>
        <w:t xml:space="preserve">招 标 编 号：</w:t>
      </w:r>
      <w:r>
        <w:rPr>
          <w:rFonts w:ascii="宋体" w:hAnsi="宋体"/>
          <w:b/>
          <w:bCs/>
          <w:color w:val="auto"/>
          <w:sz w:val="36"/>
          <w:szCs w:val="36"/>
          <w:highlight w:val="none"/>
          <w:u w:val="single"/>
        </w:rPr>
        <w:t xml:space="preserve">          </w:t>
      </w:r>
      <w:r/>
    </w:p>
    <w:p>
      <w:pPr>
        <w:pStyle w:val="1302"/>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auto"/>
          <w:sz w:val="36"/>
          <w:szCs w:val="36"/>
          <w:highlight w:val="none"/>
        </w:rPr>
        <w:t xml:space="preserve">   投标人名称 ：</w:t>
      </w:r>
      <w:r>
        <w:rPr>
          <w:rFonts w:ascii="宋体" w:hAnsi="宋体"/>
          <w:b/>
          <w:bCs/>
          <w:color w:val="auto"/>
          <w:sz w:val="36"/>
          <w:szCs w:val="36"/>
          <w:highlight w:val="none"/>
          <w:u w:val="single"/>
        </w:rPr>
        <w:t xml:space="preserve">（加盖CA电子公章）</w:t>
      </w:r>
      <w:r/>
    </w:p>
    <w:p>
      <w:pPr>
        <w:pStyle w:val="1302"/>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b/>
          <w:bCs/>
          <w:color w:val="auto"/>
          <w:sz w:val="36"/>
          <w:szCs w:val="36"/>
          <w:highlight w:val="none"/>
        </w:rPr>
        <w:t xml:space="preserve">   日 期 ：</w:t>
      </w:r>
      <w:r>
        <w:rPr>
          <w:rFonts w:ascii="宋体" w:hAnsi="宋体"/>
          <w:b/>
          <w:bCs/>
          <w:color w:val="auto"/>
          <w:sz w:val="36"/>
          <w:szCs w:val="36"/>
          <w:highlight w:val="none"/>
          <w:u w:val="single"/>
        </w:rPr>
        <w:t xml:space="preserve">          </w:t>
      </w:r>
      <w:r/>
    </w:p>
    <w:p>
      <w:pPr>
        <w:spacing w:line="440" w:lineRule="exact"/>
        <w:rPr>
          <w:rFonts w:eastAsia="黑体"/>
          <w:color w:val="auto"/>
          <w:highlight w:val="none"/>
        </w:rPr>
      </w:pPr>
      <w:r>
        <w:rPr>
          <w:rFonts w:eastAsia="黑体"/>
          <w:color w:val="auto"/>
          <w:highlight w:val="none"/>
        </w:rPr>
      </w:r>
      <w:r/>
    </w:p>
    <w:p>
      <w:pPr>
        <w:jc w:val="left"/>
        <w:rPr>
          <w:rFonts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86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07"/>
        <w:gridCol w:w="3720"/>
      </w:tblGrid>
      <w:tr>
        <w:trPr>
          <w:trHeight w:val="460"/>
        </w:trPr>
        <w:tc>
          <w:tcPr>
            <w:tcW w:w="3068"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1931"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51"/>
        </w:trPr>
        <w:tc>
          <w:tcPr>
            <w:gridSpan w:val="2"/>
            <w:tcW w:w="5000"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8"/>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0"/>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99"/>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9"/>
        </w:trPr>
        <w:tc>
          <w:tcPr>
            <w:gridSpan w:val="2"/>
            <w:tcW w:w="5000"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8"/>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3"/>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7"/>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4"/>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7"/>
        </w:trPr>
        <w:tc>
          <w:tcPr>
            <w:gridSpan w:val="2"/>
            <w:tcW w:w="5000"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5"/>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2"/>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9"/>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55"/>
        </w:trPr>
        <w:tc>
          <w:tcPr>
            <w:gridSpan w:val="2"/>
            <w:tcW w:w="5000"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7"/>
        </w:trPr>
        <w:tc>
          <w:tcPr>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3068"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1931"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bl>
    <w:p>
      <w:pPr>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915"/>
        <w:rPr>
          <w:rFonts w:ascii="黑体" w:eastAsia="黑体"/>
          <w:b/>
          <w:bCs/>
          <w:color w:val="auto"/>
          <w:sz w:val="32"/>
          <w:szCs w:val="32"/>
          <w:highlight w:val="none"/>
        </w:rPr>
      </w:pPr>
      <w:r>
        <w:rPr>
          <w:rFonts w:ascii="黑体" w:eastAsia="黑体"/>
          <w:b/>
          <w:bCs/>
          <w:color w:val="auto"/>
          <w:sz w:val="32"/>
          <w:szCs w:val="32"/>
          <w:highlight w:val="none"/>
        </w:rPr>
      </w:r>
      <w:r/>
    </w:p>
    <w:p>
      <w:pPr>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r/>
    </w:p>
    <w:p>
      <w:pPr>
        <w:spacing w:line="360" w:lineRule="auto"/>
        <w:rPr>
          <w:rFonts w:ascii="宋体" w:hAnsi="宋体"/>
          <w:b/>
          <w:color w:val="auto"/>
          <w:sz w:val="24"/>
          <w:szCs w:val="24"/>
          <w:highlight w:val="none"/>
        </w:rPr>
      </w:pPr>
      <w:r/>
      <w:bookmarkStart w:id="84" w:name="_Toc289873233"/>
      <w:r/>
      <w:bookmarkStart w:id="85" w:name="_Toc450570279"/>
      <w:r/>
      <w:bookmarkStart w:id="86" w:name="_Toc401840461"/>
      <w:r>
        <w:rPr>
          <w:rFonts w:hint="eastAsia" w:ascii="宋体" w:hAnsi="宋体"/>
          <w:b/>
          <w:color w:val="auto"/>
          <w:sz w:val="24"/>
          <w:szCs w:val="24"/>
          <w:highlight w:val="none"/>
        </w:rPr>
        <w:t xml:space="preserve">（一）投标函(格式)：</w:t>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投  标  函</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致苏美达国际技术贸易有限公司：</w:t>
      </w:r>
      <w:r/>
    </w:p>
    <w:p>
      <w:pPr>
        <w:ind w:firstLine="420"/>
        <w:jc w:val="left"/>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我方收到贵方编号招标文件，经仔细阅读和研究，我们决定参加此次项目的投标。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投标人(盖章)：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电话：                              传真：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通讯地址：                          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color w:val="auto"/>
          <w:sz w:val="24"/>
          <w:szCs w:val="24"/>
          <w:highlight w:val="none"/>
        </w:rPr>
      </w:r>
      <w:r/>
    </w:p>
    <w:p>
      <w:pPr>
        <w:pStyle w:val="859"/>
        <w:jc w:val="center"/>
        <w:keepLines w:val="0"/>
        <w:keepNext w:val="0"/>
        <w:spacing w:line="400" w:lineRule="exact"/>
        <w:rPr>
          <w:rStyle w:val="1291"/>
          <w:rFonts w:ascii="宋体" w:hAnsi="宋体" w:eastAsia="宋体" w:cs="宋体"/>
          <w:b/>
          <w:color w:val="auto"/>
          <w:sz w:val="21"/>
          <w:szCs w:val="21"/>
          <w:highlight w:val="none"/>
        </w:rPr>
      </w:pPr>
      <w:r>
        <w:rPr>
          <w:rFonts w:hint="eastAsia" w:cs="宋体"/>
          <w:color w:val="auto"/>
          <w:highlight w:val="none"/>
        </w:rPr>
        <w:t xml:space="preserve">2.开标一览表</w:t>
      </w:r>
      <w:r/>
    </w:p>
    <w:p>
      <w:pPr>
        <w:spacing w:line="400" w:lineRule="exact"/>
        <w:rPr>
          <w:rFonts w:hAnsi="宋体"/>
          <w:color w:val="auto"/>
          <w:sz w:val="21"/>
          <w:szCs w:val="21"/>
          <w:highlight w:val="none"/>
        </w:rPr>
      </w:pPr>
      <w:r>
        <w:rPr>
          <w:rFonts w:hint="eastAsia" w:hAnsi="宋体"/>
          <w:color w:val="auto"/>
          <w:sz w:val="21"/>
          <w:szCs w:val="21"/>
          <w:highlight w:val="none"/>
        </w:rPr>
        <w:t xml:space="preserve">采购编号:</w:t>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p>
    <w:tbl>
      <w:tblPr>
        <w:tblStyle w:val="86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9"/>
        <w:gridCol w:w="6985"/>
      </w:tblGrid>
      <w:tr>
        <w:trPr/>
        <w:tc>
          <w:tcPr>
            <w:tcBorders>
              <w:top w:val="single" w:color="auto" w:sz="12" w:space="0"/>
              <w:left w:val="single" w:color="auto" w:sz="12" w:space="0"/>
            </w:tcBorders>
            <w:tcW w:w="1371" w:type="pct"/>
            <w:vAlign w:val="center"/>
            <w:textDirection w:val="lrTb"/>
            <w:noWrap w:val="false"/>
          </w:tcPr>
          <w:p>
            <w:pPr>
              <w:spacing w:line="400" w:lineRule="exact"/>
              <w:rPr>
                <w:rFonts w:hAnsi="宋体"/>
                <w:color w:val="auto"/>
                <w:sz w:val="21"/>
                <w:szCs w:val="21"/>
                <w:highlight w:val="none"/>
              </w:rPr>
            </w:pPr>
            <w:r>
              <w:rPr>
                <w:rFonts w:hint="eastAsia" w:hAnsi="宋体"/>
                <w:color w:val="auto"/>
                <w:sz w:val="21"/>
                <w:szCs w:val="21"/>
                <w:highlight w:val="none"/>
              </w:rPr>
              <w:t xml:space="preserve">项目名称</w:t>
            </w:r>
            <w:r/>
          </w:p>
        </w:tc>
        <w:tc>
          <w:tcPr>
            <w:tcBorders>
              <w:top w:val="single" w:color="auto" w:sz="12" w:space="0"/>
              <w:right w:val="single" w:color="auto" w:sz="12" w:space="0"/>
            </w:tcBorders>
            <w:tcW w:w="3628" w:type="pct"/>
            <w:vAlign w:val="center"/>
            <w:textDirection w:val="lrTb"/>
            <w:noWrap w:val="false"/>
          </w:tcPr>
          <w:p>
            <w:pPr>
              <w:jc w:val="center"/>
              <w:spacing w:line="400" w:lineRule="exact"/>
              <w:rPr>
                <w:rFonts w:hAnsi="宋体"/>
                <w:color w:val="auto"/>
                <w:sz w:val="21"/>
                <w:szCs w:val="21"/>
                <w:highlight w:val="none"/>
              </w:rPr>
            </w:pPr>
            <w:r>
              <w:rPr>
                <w:rFonts w:hAnsi="宋体"/>
                <w:color w:val="auto"/>
                <w:sz w:val="21"/>
                <w:szCs w:val="21"/>
                <w:highlight w:val="none"/>
              </w:rPr>
            </w:r>
            <w:r/>
          </w:p>
        </w:tc>
      </w:tr>
      <w:tr>
        <w:trPr/>
        <w:tc>
          <w:tcPr>
            <w:tcBorders>
              <w:left w:val="single" w:color="auto" w:sz="12" w:space="0"/>
            </w:tcBorders>
            <w:tcW w:w="1371" w:type="pct"/>
            <w:textDirection w:val="lrTb"/>
            <w:noWrap w:val="false"/>
          </w:tcPr>
          <w:p>
            <w:pPr>
              <w:spacing w:line="400" w:lineRule="exact"/>
              <w:rPr>
                <w:rFonts w:hAnsi="宋体"/>
                <w:color w:val="auto"/>
                <w:sz w:val="21"/>
                <w:szCs w:val="21"/>
                <w:highlight w:val="none"/>
              </w:rPr>
            </w:pPr>
            <w:r>
              <w:rPr>
                <w:rFonts w:hint="eastAsia" w:hAnsi="宋体"/>
                <w:color w:val="auto"/>
                <w:sz w:val="21"/>
                <w:szCs w:val="21"/>
                <w:highlight w:val="none"/>
              </w:rPr>
              <w:t xml:space="preserve">投标总价</w:t>
            </w:r>
            <w:r/>
          </w:p>
        </w:tc>
        <w:tc>
          <w:tcPr>
            <w:tcBorders>
              <w:right w:val="single" w:color="auto" w:sz="12" w:space="0"/>
            </w:tcBorders>
            <w:tcW w:w="3628" w:type="pct"/>
            <w:textDirection w:val="lrTb"/>
            <w:noWrap w:val="false"/>
          </w:tcPr>
          <w:p>
            <w:pPr>
              <w:spacing w:line="400" w:lineRule="exact"/>
              <w:rPr>
                <w:rFonts w:hAnsi="宋体" w:eastAsia="宋体"/>
                <w:color w:val="auto"/>
                <w:sz w:val="21"/>
                <w:szCs w:val="21"/>
                <w:highlight w:val="none"/>
                <w:u w:val="single"/>
                <w:lang w:val="en-US"/>
              </w:rPr>
            </w:pPr>
            <w:r>
              <w:rPr>
                <w:rFonts w:hint="eastAsia" w:hAnsi="宋体"/>
                <w:color w:val="auto"/>
                <w:sz w:val="21"/>
                <w:szCs w:val="21"/>
                <w:highlight w:val="none"/>
              </w:rPr>
              <w:t xml:space="preserve">投标总价人民币大写</w:t>
            </w:r>
            <w:r/>
          </w:p>
          <w:p>
            <w:pPr>
              <w:spacing w:line="400" w:lineRule="exact"/>
              <w:rPr>
                <w:rFonts w:hAnsi="宋体"/>
                <w:color w:val="auto"/>
                <w:sz w:val="21"/>
                <w:szCs w:val="21"/>
                <w:highlight w:val="none"/>
                <w:u w:val="single"/>
              </w:rPr>
            </w:pPr>
            <w:r>
              <w:rPr>
                <w:rFonts w:hAnsi="宋体"/>
                <w:color w:val="auto"/>
                <w:sz w:val="21"/>
                <w:szCs w:val="21"/>
                <w:highlight w:val="none"/>
                <w:u w:val="single"/>
              </w:rPr>
            </w:r>
            <w:r/>
          </w:p>
        </w:tc>
      </w:tr>
      <w:tr>
        <w:trPr/>
        <w:tc>
          <w:tcPr>
            <w:tcBorders>
              <w:left w:val="single" w:color="auto" w:sz="12" w:space="0"/>
              <w:bottom w:val="single" w:color="auto" w:sz="12" w:space="0"/>
            </w:tcBorders>
            <w:tcW w:w="1371" w:type="pct"/>
            <w:textDirection w:val="lrTb"/>
            <w:noWrap w:val="false"/>
          </w:tcPr>
          <w:p>
            <w:pPr>
              <w:spacing w:line="400" w:lineRule="exact"/>
              <w:rPr>
                <w:rFonts w:hAnsi="宋体" w:eastAsia="宋体"/>
                <w:color w:val="auto"/>
                <w:sz w:val="21"/>
                <w:szCs w:val="21"/>
                <w:highlight w:val="none"/>
                <w:lang w:val="en-US"/>
              </w:rPr>
            </w:pPr>
            <w:r>
              <w:rPr>
                <w:rFonts w:hint="eastAsia" w:hAnsi="宋体" w:eastAsia="宋体"/>
                <w:color w:val="auto"/>
                <w:sz w:val="21"/>
                <w:szCs w:val="21"/>
                <w:highlight w:val="none"/>
                <w:lang w:val="en-US"/>
              </w:rPr>
              <w:t xml:space="preserve">合同履行期限</w:t>
            </w:r>
            <w:r/>
          </w:p>
        </w:tc>
        <w:tc>
          <w:tcPr>
            <w:tcBorders>
              <w:bottom w:val="single" w:color="auto" w:sz="12" w:space="0"/>
              <w:right w:val="single" w:color="auto" w:sz="12" w:space="0"/>
            </w:tcBorders>
            <w:tcW w:w="3628" w:type="pct"/>
            <w:textDirection w:val="lrTb"/>
            <w:noWrap w:val="false"/>
          </w:tcPr>
          <w:p>
            <w:pPr>
              <w:spacing w:line="400" w:lineRule="exact"/>
              <w:rPr>
                <w:rFonts w:hAnsi="宋体"/>
                <w:color w:val="auto"/>
                <w:sz w:val="21"/>
                <w:szCs w:val="21"/>
                <w:highlight w:val="none"/>
              </w:rPr>
            </w:pPr>
            <w:r>
              <w:rPr>
                <w:rFonts w:hAnsi="宋体"/>
                <w:color w:val="auto"/>
                <w:sz w:val="21"/>
                <w:szCs w:val="21"/>
                <w:highlight w:val="none"/>
              </w:rPr>
            </w:r>
            <w:r/>
          </w:p>
        </w:tc>
      </w:tr>
    </w:tbl>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int="eastAsia" w:hAnsi="宋体"/>
          <w:color w:val="auto"/>
          <w:sz w:val="21"/>
          <w:szCs w:val="21"/>
          <w:highlight w:val="none"/>
        </w:rPr>
        <w:t xml:space="preserve">供应商名称：</w:t>
      </w:r>
      <w:r/>
    </w:p>
    <w:p>
      <w:pPr>
        <w:spacing w:line="400" w:lineRule="exact"/>
        <w:rPr>
          <w:rFonts w:hAnsi="宋体"/>
          <w:color w:val="auto"/>
          <w:sz w:val="21"/>
          <w:szCs w:val="21"/>
          <w:highlight w:val="none"/>
        </w:rPr>
      </w:pPr>
      <w:r>
        <w:rPr>
          <w:rFonts w:hint="eastAsia" w:hAnsi="宋体"/>
          <w:color w:val="auto"/>
          <w:sz w:val="21"/>
          <w:szCs w:val="21"/>
          <w:highlight w:val="none"/>
        </w:rPr>
        <w:t xml:space="preserve">供应商公章:</w:t>
      </w:r>
      <w:r/>
    </w:p>
    <w:p>
      <w:pPr>
        <w:spacing w:line="400" w:lineRule="exact"/>
        <w:rPr>
          <w:rFonts w:hAnsi="宋体"/>
          <w:color w:val="auto"/>
          <w:sz w:val="21"/>
          <w:szCs w:val="21"/>
          <w:highlight w:val="none"/>
        </w:rPr>
      </w:pPr>
      <w:r>
        <w:rPr>
          <w:rFonts w:hint="eastAsia" w:hAnsi="宋体"/>
          <w:color w:val="auto"/>
          <w:sz w:val="21"/>
          <w:szCs w:val="21"/>
          <w:highlight w:val="none"/>
        </w:rPr>
        <w:t xml:space="preserve">日期：:</w:t>
      </w:r>
      <w:r/>
    </w:p>
    <w:p>
      <w:pPr>
        <w:spacing w:line="400" w:lineRule="exact"/>
        <w:rPr>
          <w:rFonts w:hAnsi="宋体"/>
          <w:color w:val="auto"/>
          <w:sz w:val="21"/>
          <w:szCs w:val="21"/>
          <w:highlight w:val="none"/>
        </w:rPr>
      </w:pPr>
      <w:r>
        <w:rPr>
          <w:rFonts w:hAnsi="宋体"/>
          <w:color w:val="auto"/>
          <w:sz w:val="21"/>
          <w:szCs w:val="21"/>
          <w:highlight w:val="none"/>
        </w:rPr>
      </w:r>
      <w:r/>
    </w:p>
    <w:p>
      <w:pPr>
        <w:rPr>
          <w:rFonts w:eastAsia="宋体"/>
          <w:color w:val="auto"/>
          <w:highlight w:val="none"/>
        </w:rPr>
      </w:pPr>
      <w:r>
        <w:rPr>
          <w:rFonts w:hint="eastAsia"/>
          <w:color w:val="auto"/>
          <w:highlight w:val="none"/>
        </w:rPr>
        <w:br w:type="page" w:clear="all"/>
      </w:r>
      <w:bookmarkStart w:id="87" w:name="_Toc450570282"/>
      <w:r>
        <w:rPr>
          <w:rFonts w:hint="eastAsia"/>
          <w:color w:val="auto"/>
          <w:highlight w:val="none"/>
        </w:rPr>
        <w:t xml:space="preserve">3.分项报价表</w:t>
      </w:r>
      <w:r/>
    </w:p>
    <w:p>
      <w:pPr>
        <w:jc w:val="center"/>
        <w:rPr>
          <w:rFonts w:ascii="宋体" w:hAnsi="宋体" w:eastAsia="宋体"/>
          <w:b/>
          <w:bCs/>
          <w:color w:val="auto"/>
          <w:sz w:val="24"/>
          <w:szCs w:val="24"/>
          <w:highlight w:val="none"/>
        </w:rPr>
        <w:outlineLvl w:val="2"/>
      </w:pPr>
      <w:r>
        <w:rPr>
          <w:rFonts w:hint="eastAsia" w:ascii="宋体" w:hAnsi="宋体" w:eastAsia="宋体"/>
          <w:b/>
          <w:bCs/>
          <w:color w:val="auto"/>
          <w:sz w:val="24"/>
          <w:szCs w:val="24"/>
          <w:highlight w:val="none"/>
          <w:lang w:val="en-US"/>
        </w:rPr>
        <w:t xml:space="preserve">3.</w:t>
      </w:r>
      <w:r>
        <w:rPr>
          <w:rFonts w:hint="eastAsia" w:ascii="宋体" w:hAnsi="宋体" w:eastAsia="宋体"/>
          <w:b/>
          <w:bCs/>
          <w:color w:val="auto"/>
          <w:sz w:val="24"/>
          <w:szCs w:val="24"/>
          <w:highlight w:val="none"/>
        </w:rPr>
        <w:t xml:space="preserve">分项报价表</w:t>
      </w:r>
      <w:bookmarkEnd w:id="87"/>
      <w:r/>
    </w:p>
    <w:p>
      <w:pPr>
        <w:rPr>
          <w:rFonts w:hAnsi="宋体"/>
          <w:color w:val="auto"/>
          <w:spacing w:val="20"/>
          <w:sz w:val="21"/>
          <w:szCs w:val="21"/>
          <w:highlight w:val="none"/>
        </w:rPr>
      </w:pPr>
      <w:r>
        <w:rPr>
          <w:rFonts w:hAnsi="宋体"/>
          <w:color w:val="auto"/>
          <w:spacing w:val="20"/>
          <w:sz w:val="21"/>
          <w:szCs w:val="21"/>
          <w:highlight w:val="none"/>
        </w:rPr>
      </w:r>
      <w:r/>
    </w:p>
    <w:p>
      <w:pPr>
        <w:rPr>
          <w:rFonts w:hAnsi="宋体"/>
          <w:color w:val="auto"/>
          <w:sz w:val="21"/>
          <w:szCs w:val="21"/>
          <w:highlight w:val="none"/>
        </w:rPr>
      </w:pPr>
      <w:r>
        <w:rPr>
          <w:rFonts w:hint="eastAsia" w:hAnsi="宋体"/>
          <w:color w:val="auto"/>
          <w:spacing w:val="20"/>
          <w:sz w:val="21"/>
          <w:szCs w:val="21"/>
          <w:highlight w:val="none"/>
        </w:rPr>
        <w:t xml:space="preserve">采购编号：</w:t>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pacing w:val="20"/>
          <w:sz w:val="21"/>
          <w:szCs w:val="21"/>
          <w:highlight w:val="none"/>
        </w:rPr>
        <w:tab/>
      </w:r>
      <w:r>
        <w:rPr>
          <w:rFonts w:hint="eastAsia" w:hAnsi="宋体"/>
          <w:color w:val="auto"/>
          <w:sz w:val="21"/>
          <w:szCs w:val="21"/>
          <w:highlight w:val="none"/>
        </w:rPr>
        <w:t xml:space="preserve">货币单位：人民币元</w:t>
      </w:r>
      <w:r/>
    </w:p>
    <w:tbl>
      <w:tblPr>
        <w:tblStyle w:val="86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1121"/>
        <w:gridCol w:w="4150"/>
        <w:gridCol w:w="711"/>
        <w:gridCol w:w="774"/>
        <w:gridCol w:w="1182"/>
        <w:gridCol w:w="1165"/>
      </w:tblGrid>
      <w:tr>
        <w:trPr>
          <w:trHeight w:val="540"/>
          <w:tblHeader/>
        </w:trPr>
        <w:tc>
          <w:tcPr>
            <w:tcBorders>
              <w:top w:val="single" w:color="auto" w:sz="4" w:space="0"/>
              <w:left w:val="single" w:color="auto" w:sz="4" w:space="0"/>
              <w:bottom w:val="single" w:color="auto" w:sz="4" w:space="0"/>
              <w:right w:val="single" w:color="auto" w:sz="4" w:space="0"/>
            </w:tcBorders>
            <w:tcW w:w="271"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序号</w:t>
            </w:r>
            <w:r/>
          </w:p>
        </w:tc>
        <w:tc>
          <w:tcPr>
            <w:tcBorders>
              <w:top w:val="single" w:color="auto" w:sz="4" w:space="0"/>
              <w:left w:val="single" w:color="auto" w:sz="4" w:space="0"/>
              <w:right w:val="single" w:color="auto" w:sz="4" w:space="0"/>
            </w:tcBorders>
            <w:tcW w:w="582"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服务名称</w:t>
            </w:r>
            <w:r/>
          </w:p>
        </w:tc>
        <w:tc>
          <w:tcPr>
            <w:tcBorders>
              <w:top w:val="single" w:color="auto" w:sz="4" w:space="0"/>
              <w:left w:val="single" w:color="auto" w:sz="4" w:space="0"/>
              <w:right w:val="single" w:color="auto" w:sz="4" w:space="0"/>
            </w:tcBorders>
            <w:tcW w:w="2155"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内容描述</w:t>
            </w:r>
            <w:r/>
          </w:p>
        </w:tc>
        <w:tc>
          <w:tcPr>
            <w:tcBorders>
              <w:top w:val="single" w:color="auto" w:sz="4" w:space="0"/>
              <w:left w:val="single" w:color="auto" w:sz="4" w:space="0"/>
              <w:bottom w:val="single" w:color="auto" w:sz="4" w:space="0"/>
              <w:right w:val="single" w:color="auto" w:sz="4" w:space="0"/>
            </w:tcBorders>
            <w:tcW w:w="369"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计量单位</w:t>
            </w:r>
            <w:r/>
          </w:p>
        </w:tc>
        <w:tc>
          <w:tcPr>
            <w:tcBorders>
              <w:top w:val="single" w:color="auto" w:sz="4" w:space="0"/>
              <w:left w:val="single" w:color="auto" w:sz="4" w:space="0"/>
              <w:bottom w:val="single" w:color="auto" w:sz="4" w:space="0"/>
              <w:right w:val="single" w:color="auto" w:sz="4" w:space="0"/>
            </w:tcBorders>
            <w:tcW w:w="402" w:type="pct"/>
            <w:vAlign w:val="center"/>
            <w:vMerge w:val="restart"/>
            <w:textDirection w:val="lrTb"/>
            <w:noWrap w:val="false"/>
          </w:tcPr>
          <w:p>
            <w:pPr>
              <w:jc w:val="center"/>
              <w:widowControl/>
              <w:rPr>
                <w:rFonts w:hAnsi="宋体"/>
                <w:b/>
                <w:bCs/>
                <w:color w:val="auto"/>
                <w:szCs w:val="21"/>
                <w:highlight w:val="none"/>
              </w:rPr>
            </w:pPr>
            <w:r>
              <w:rPr>
                <w:rFonts w:hint="eastAsia" w:hAnsi="宋体"/>
                <w:b/>
                <w:bCs/>
                <w:color w:val="auto"/>
                <w:szCs w:val="21"/>
                <w:highlight w:val="none"/>
              </w:rPr>
              <w:t xml:space="preserve">数量</w:t>
            </w:r>
            <w:r/>
          </w:p>
        </w:tc>
        <w:tc>
          <w:tcPr>
            <w:gridSpan w:val="2"/>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center"/>
              <w:widowControl/>
              <w:rPr>
                <w:rFonts w:hAnsi="宋体"/>
                <w:b/>
                <w:bCs/>
                <w:color w:val="auto"/>
                <w:szCs w:val="21"/>
                <w:highlight w:val="none"/>
              </w:rPr>
            </w:pPr>
            <w:r>
              <w:rPr>
                <w:rFonts w:hint="eastAsia" w:hAnsi="宋体"/>
                <w:b/>
                <w:bCs/>
                <w:color w:val="auto"/>
                <w:highlight w:val="none"/>
              </w:rPr>
              <w:t xml:space="preserve">金 额</w:t>
            </w:r>
            <w:r/>
          </w:p>
        </w:tc>
      </w:tr>
      <w:tr>
        <w:trPr>
          <w:trHeight w:val="540"/>
          <w:tblHeader/>
        </w:trPr>
        <w:tc>
          <w:tcPr>
            <w:tcBorders>
              <w:top w:val="single" w:color="auto" w:sz="4" w:space="0"/>
              <w:left w:val="single" w:color="auto" w:sz="4" w:space="0"/>
              <w:bottom w:val="single" w:color="auto" w:sz="4" w:space="0"/>
              <w:right w:val="single" w:color="auto" w:sz="4" w:space="0"/>
            </w:tcBorders>
            <w:tcW w:w="271"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left w:val="single" w:color="auto" w:sz="4" w:space="0"/>
              <w:bottom w:val="single" w:color="auto" w:sz="4" w:space="0"/>
              <w:right w:val="single" w:color="auto" w:sz="4" w:space="0"/>
            </w:tcBorders>
            <w:tcW w:w="582"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left w:val="single" w:color="auto" w:sz="4" w:space="0"/>
              <w:bottom w:val="single" w:color="auto" w:sz="4" w:space="0"/>
              <w:right w:val="single" w:color="auto" w:sz="4" w:space="0"/>
            </w:tcBorders>
            <w:tcW w:w="2155"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vMerge w:val="continue"/>
            <w:textDirection w:val="lrTb"/>
            <w:noWrap w:val="false"/>
          </w:tcPr>
          <w:p>
            <w:pPr>
              <w:widowControl/>
              <w:rPr>
                <w:rFonts w:hAnsi="宋体"/>
                <w:b/>
                <w:bCs/>
                <w:color w:val="auto"/>
                <w:szCs w:val="21"/>
                <w:highlight w:val="none"/>
              </w:rPr>
            </w:pPr>
            <w:r>
              <w:rPr>
                <w:rFonts w:hAnsi="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b/>
                <w:bCs/>
                <w:color w:val="auto"/>
                <w:highlight w:val="none"/>
              </w:rPr>
            </w:pPr>
            <w:r>
              <w:rPr>
                <w:rFonts w:hint="eastAsia" w:hAnsi="宋体"/>
                <w:b/>
                <w:bCs/>
                <w:color w:val="auto"/>
                <w:highlight w:val="none"/>
              </w:rPr>
              <w:t xml:space="preserve">单价</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b/>
                <w:bCs/>
                <w:color w:val="auto"/>
                <w:highlight w:val="none"/>
              </w:rPr>
            </w:pPr>
            <w:r>
              <w:rPr>
                <w:rFonts w:hint="eastAsia" w:hAnsi="宋体"/>
                <w:b/>
                <w:bCs/>
                <w:color w:val="auto"/>
                <w:highlight w:val="none"/>
              </w:rPr>
              <w:t xml:space="preserve">合价</w:t>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right w:val="single" w:color="auto" w:sz="4" w:space="0"/>
            </w:tcBorders>
            <w:tcW w:w="2155"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c>
          <w:tcPr>
            <w:gridSpan w:val="5"/>
            <w:tcBorders>
              <w:top w:val="single" w:color="auto" w:sz="4" w:space="0"/>
              <w:left w:val="single" w:color="auto" w:sz="4" w:space="0"/>
              <w:bottom w:val="single" w:color="auto" w:sz="4" w:space="0"/>
              <w:right w:val="single" w:color="auto" w:sz="4" w:space="0"/>
            </w:tcBorders>
            <w:tcW w:w="4122" w:type="pct"/>
            <w:vAlign w:val="center"/>
            <w:textDirection w:val="lrTb"/>
            <w:noWrap w:val="false"/>
          </w:tcPr>
          <w:p>
            <w:pPr>
              <w:jc w:val="center"/>
              <w:widowControl/>
              <w:rPr>
                <w:rFonts w:hAnsi="宋体"/>
                <w:color w:val="auto"/>
                <w:szCs w:val="21"/>
                <w:highlight w:val="none"/>
              </w:rPr>
            </w:pPr>
            <w:r>
              <w:rPr>
                <w:rFonts w:hint="eastAsia" w:hAnsi="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color w:val="auto"/>
                <w:szCs w:val="21"/>
                <w:highlight w:val="none"/>
              </w:rPr>
            </w:pPr>
            <w:r>
              <w:rPr>
                <w:rFonts w:hAnsi="宋体"/>
                <w:color w:val="auto"/>
                <w:szCs w:val="21"/>
                <w:highlight w:val="none"/>
              </w:rPr>
            </w:r>
            <w:r/>
          </w:p>
        </w:tc>
      </w:tr>
    </w:tbl>
    <w:p>
      <w:pPr>
        <w:rPr>
          <w:rFonts w:hAnsi="宋体"/>
          <w:color w:val="auto"/>
          <w:sz w:val="21"/>
          <w:szCs w:val="21"/>
          <w:highlight w:val="none"/>
        </w:rPr>
      </w:pPr>
      <w:r>
        <w:rPr>
          <w:rFonts w:hint="eastAsia" w:hAnsi="宋体"/>
          <w:color w:val="auto"/>
          <w:sz w:val="21"/>
          <w:szCs w:val="21"/>
          <w:highlight w:val="none"/>
        </w:rPr>
        <w:t xml:space="preserve">注：1、单价包括但不限于完成采购内容所需的直接费、间接费、利润、税金、政策性文件规定及合同包含的所有风险、责任等各项应有费用，单价不得调整，合价＝单位×数量。</w:t>
      </w:r>
      <w:r/>
    </w:p>
    <w:p>
      <w:pPr>
        <w:ind w:firstLine="420"/>
        <w:rPr>
          <w:rFonts w:hAnsi="宋体"/>
          <w:color w:val="auto"/>
          <w:sz w:val="21"/>
          <w:szCs w:val="21"/>
          <w:highlight w:val="none"/>
        </w:rPr>
      </w:pPr>
      <w:r>
        <w:rPr>
          <w:rFonts w:hint="eastAsia" w:hAnsi="宋体"/>
          <w:color w:val="auto"/>
          <w:sz w:val="21"/>
          <w:szCs w:val="21"/>
          <w:highlight w:val="none"/>
        </w:rPr>
        <w:t xml:space="preserve">2、须按采购清单顺序填写</w:t>
      </w:r>
      <w:r>
        <w:rPr>
          <w:rFonts w:hint="eastAsia" w:hAnsi="宋体" w:eastAsia="宋体"/>
          <w:color w:val="auto"/>
          <w:sz w:val="21"/>
          <w:szCs w:val="21"/>
          <w:highlight w:val="none"/>
        </w:rPr>
        <w:t xml:space="preserve">（</w:t>
      </w:r>
      <w:r>
        <w:rPr>
          <w:rFonts w:hint="eastAsia" w:hAnsi="宋体" w:eastAsia="宋体"/>
          <w:color w:val="auto"/>
          <w:sz w:val="21"/>
          <w:szCs w:val="21"/>
          <w:highlight w:val="none"/>
          <w:lang w:val="en-US"/>
        </w:rPr>
        <w:t xml:space="preserve">如有</w:t>
      </w:r>
      <w:r>
        <w:rPr>
          <w:rFonts w:hint="eastAsia" w:hAnsi="宋体" w:eastAsia="宋体"/>
          <w:color w:val="auto"/>
          <w:sz w:val="21"/>
          <w:szCs w:val="21"/>
          <w:highlight w:val="none"/>
        </w:rPr>
        <w:t xml:space="preserve">）</w:t>
      </w:r>
      <w:r>
        <w:rPr>
          <w:rFonts w:hint="eastAsia" w:hAnsi="宋体"/>
          <w:color w:val="auto"/>
          <w:sz w:val="21"/>
          <w:szCs w:val="21"/>
          <w:highlight w:val="none"/>
        </w:rPr>
        <w:t xml:space="preserve">。</w:t>
      </w:r>
      <w:r/>
    </w:p>
    <w:p>
      <w:pPr>
        <w:rPr>
          <w:rFonts w:hAnsi="宋体"/>
          <w:color w:val="auto"/>
          <w:highlight w:val="none"/>
        </w:rPr>
      </w:pPr>
      <w:r>
        <w:rPr>
          <w:rFonts w:hAnsi="宋体"/>
          <w:color w:val="auto"/>
          <w:highlight w:val="none"/>
        </w:rPr>
      </w:r>
      <w:r/>
    </w:p>
    <w:p>
      <w:pPr>
        <w:spacing w:line="400" w:lineRule="exact"/>
        <w:rPr>
          <w:rFonts w:hAnsi="宋体"/>
          <w:b/>
          <w:color w:val="auto"/>
          <w:sz w:val="21"/>
          <w:szCs w:val="21"/>
          <w:highlight w:val="none"/>
        </w:rPr>
      </w:pPr>
      <w:r>
        <w:rPr>
          <w:rFonts w:hAnsi="宋体"/>
          <w:b/>
          <w:color w:val="auto"/>
          <w:sz w:val="21"/>
          <w:szCs w:val="21"/>
          <w:highlight w:val="none"/>
        </w:rPr>
      </w:r>
      <w:r/>
    </w:p>
    <w:p>
      <w:pPr>
        <w:spacing w:line="400" w:lineRule="exact"/>
        <w:rPr>
          <w:rFonts w:hAnsi="宋体"/>
          <w:b/>
          <w:color w:val="auto"/>
          <w:sz w:val="21"/>
          <w:szCs w:val="21"/>
          <w:highlight w:val="none"/>
          <w:u w:val="single"/>
        </w:rPr>
      </w:pPr>
      <w:r>
        <w:rPr>
          <w:rFonts w:hint="eastAsia" w:hAnsi="宋体"/>
          <w:b/>
          <w:color w:val="auto"/>
          <w:sz w:val="21"/>
          <w:szCs w:val="21"/>
          <w:highlight w:val="none"/>
        </w:rPr>
        <w:t xml:space="preserve">供应商名称（公章）：</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pStyle w:val="859"/>
        <w:jc w:val="center"/>
        <w:keepLines w:val="0"/>
        <w:keepNext w:val="0"/>
        <w:spacing w:line="400" w:lineRule="exact"/>
        <w:rPr>
          <w:rFonts w:cs="宋体"/>
          <w:color w:val="auto"/>
          <w:highlight w:val="none"/>
        </w:rPr>
      </w:pPr>
      <w:r>
        <w:rPr>
          <w:rFonts w:hint="eastAsia" w:cs="宋体"/>
          <w:color w:val="auto"/>
          <w:highlight w:val="none"/>
        </w:rPr>
        <w:br w:type="page" w:clear="all"/>
      </w:r>
      <w:bookmarkStart w:id="88" w:name="_Toc168282804"/>
      <w:r/>
      <w:bookmarkStart w:id="89" w:name="_Toc450570284"/>
      <w:r/>
      <w:bookmarkStart w:id="90" w:name="_Toc289873237"/>
      <w:r/>
      <w:bookmarkStart w:id="91" w:name="_Toc401840465"/>
      <w:r>
        <w:rPr>
          <w:rFonts w:hint="eastAsia" w:cs="宋体"/>
          <w:color w:val="auto"/>
          <w:highlight w:val="none"/>
        </w:rPr>
        <w:t xml:space="preserve">4.</w:t>
      </w:r>
      <w:bookmarkEnd w:id="88"/>
      <w:r>
        <w:rPr>
          <w:rFonts w:hint="eastAsia" w:cs="宋体"/>
          <w:color w:val="auto"/>
          <w:highlight w:val="none"/>
        </w:rPr>
        <w:t xml:space="preserve">商务条款偏离表</w:t>
      </w:r>
      <w:bookmarkEnd w:id="89"/>
      <w:r/>
      <w:bookmarkEnd w:id="90"/>
      <w:r/>
      <w:bookmarkEnd w:id="91"/>
      <w:r/>
      <w:r/>
    </w:p>
    <w:p>
      <w:pPr>
        <w:ind w:hanging="119"/>
        <w:spacing w:after="240" w:line="400" w:lineRule="exact"/>
        <w:rPr>
          <w:rFonts w:hAnsi="宋体"/>
          <w:color w:val="auto"/>
          <w:sz w:val="21"/>
          <w:szCs w:val="21"/>
          <w:highlight w:val="none"/>
          <w:u w:val="single"/>
        </w:rPr>
      </w:pPr>
      <w:r>
        <w:rPr>
          <w:rFonts w:hint="eastAsia" w:hAnsi="宋体"/>
          <w:color w:val="auto"/>
          <w:sz w:val="21"/>
          <w:szCs w:val="21"/>
          <w:highlight w:val="none"/>
        </w:rPr>
        <w:t xml:space="preserve">供应商名称：采购编号：第包：</w:t>
      </w:r>
      <w:r/>
    </w:p>
    <w:tbl>
      <w:tblPr>
        <w:tblStyle w:val="86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164"/>
        <w:gridCol w:w="2704"/>
        <w:gridCol w:w="2704"/>
        <w:gridCol w:w="1236"/>
      </w:tblGrid>
      <w:tr>
        <w:trPr/>
        <w:tc>
          <w:tcPr>
            <w:tcW w:w="415"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序号</w:t>
            </w:r>
            <w:r/>
          </w:p>
        </w:tc>
        <w:tc>
          <w:tcPr>
            <w:tcW w:w="1126"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招标文件条目号</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招标文件的商务条款</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投标文件的商务条款</w:t>
            </w:r>
            <w:r/>
          </w:p>
        </w:tc>
        <w:tc>
          <w:tcPr>
            <w:tcW w:w="643"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说明</w:t>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完成期限</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付款方式</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Borders>
              <w:bottom w:val="single" w:color="auto" w:sz="4" w:space="0"/>
            </w:tcBorders>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bl>
    <w:p>
      <w:pPr>
        <w:jc w:val="center"/>
        <w:spacing w:line="400" w:lineRule="exact"/>
        <w:rPr>
          <w:rFonts w:hAnsi="宋体"/>
          <w:b/>
          <w:color w:val="auto"/>
          <w:sz w:val="21"/>
          <w:szCs w:val="21"/>
          <w:highlight w:val="none"/>
          <w:u w:val="single"/>
        </w:rPr>
      </w:pPr>
      <w:r>
        <w:rPr>
          <w:rFonts w:hint="eastAsia" w:hAnsi="宋体"/>
          <w:b/>
          <w:color w:val="auto"/>
          <w:sz w:val="21"/>
          <w:szCs w:val="21"/>
          <w:highlight w:val="none"/>
        </w:rPr>
        <w:t xml:space="preserve">               供应商名称（公章）：</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int="eastAsia" w:hAnsi="宋体"/>
          <w:color w:val="auto"/>
          <w:sz w:val="21"/>
          <w:szCs w:val="21"/>
          <w:highlight w:val="none"/>
        </w:rPr>
        <w:t xml:space="preserve">注：1. 如供应商无任何偏离，也需在响应表中注明并在投标文件中递交此表。</w:t>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 偏离包括正、负偏离，正偏离指供应商的响应高于招标文件要求，负偏离指供应商的响应低于招标文件要求。</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bookmarkStart w:id="92" w:name="_Toc135999011"/>
      <w:r/>
      <w:bookmarkStart w:id="93" w:name="_Toc450570285"/>
      <w:r/>
      <w:bookmarkStart w:id="94" w:name="_Toc401840466"/>
      <w:r/>
      <w:bookmarkStart w:id="95" w:name="_Toc161767432"/>
      <w:r/>
      <w:bookmarkStart w:id="96" w:name="_Toc289873238"/>
      <w:r/>
      <w:bookmarkEnd w:id="92"/>
      <w:bookmarkEnd w:id="93"/>
      <w:bookmarkEnd w:id="94"/>
      <w:bookmarkEnd w:id="95"/>
      <w:bookmarkEnd w:id="96"/>
      <w:r/>
    </w:p>
    <w:p>
      <w:pPr>
        <w:rPr>
          <w:color w:val="auto"/>
          <w:sz w:val="24"/>
          <w:szCs w:val="24"/>
          <w:highlight w:val="none"/>
        </w:rPr>
      </w:pPr>
      <w:r/>
      <w:bookmarkStart w:id="97" w:name="_Toc285637908"/>
      <w:r/>
      <w:bookmarkStart w:id="98" w:name="_Toc298404172"/>
      <w:r/>
      <w:bookmarkStart w:id="99" w:name="_Toc372563823"/>
      <w:r/>
      <w:bookmarkStart w:id="100" w:name="_Toc389553595"/>
      <w:r/>
      <w:bookmarkStart w:id="101" w:name="_Toc416784903"/>
      <w:r/>
      <w:bookmarkStart w:id="102" w:name="_Toc401840467"/>
      <w:r/>
      <w:bookmarkStart w:id="103" w:name="_Toc289873239"/>
      <w:r>
        <w:rPr>
          <w:rFonts w:hint="eastAsia"/>
          <w:color w:val="auto"/>
          <w:sz w:val="24"/>
          <w:szCs w:val="24"/>
          <w:highlight w:val="none"/>
        </w:rPr>
        <w:br w:type="page" w:clear="all"/>
      </w:r>
      <w:r/>
    </w:p>
    <w:p>
      <w:pPr>
        <w:pStyle w:val="859"/>
        <w:jc w:val="center"/>
        <w:keepLines w:val="0"/>
        <w:keepNext w:val="0"/>
        <w:spacing w:line="400" w:lineRule="exact"/>
        <w:rPr>
          <w:rFonts w:cs="宋体"/>
          <w:color w:val="auto"/>
          <w:sz w:val="24"/>
          <w:szCs w:val="24"/>
          <w:highlight w:val="none"/>
        </w:rPr>
      </w:pPr>
      <w:r>
        <w:rPr>
          <w:rFonts w:hint="eastAsia" w:cs="宋体"/>
          <w:color w:val="auto"/>
          <w:sz w:val="24"/>
          <w:szCs w:val="24"/>
          <w:highlight w:val="none"/>
        </w:rPr>
        <w:t xml:space="preserve">5</w:t>
      </w:r>
      <w:r>
        <w:rPr>
          <w:rFonts w:hint="eastAsia" w:cs="宋体"/>
          <w:color w:val="auto"/>
          <w:sz w:val="24"/>
          <w:szCs w:val="24"/>
          <w:highlight w:val="none"/>
          <w:lang w:val="en-US"/>
        </w:rPr>
        <w:t xml:space="preserve">.</w:t>
      </w:r>
      <w:r>
        <w:rPr>
          <w:rFonts w:hint="eastAsia" w:cs="宋体"/>
          <w:color w:val="auto"/>
          <w:sz w:val="24"/>
          <w:szCs w:val="24"/>
          <w:highlight w:val="none"/>
        </w:rPr>
        <w:t xml:space="preserve">技术偏离表</w:t>
      </w:r>
      <w:bookmarkEnd w:id="97"/>
      <w:r/>
      <w:bookmarkEnd w:id="98"/>
      <w:r/>
      <w:bookmarkEnd w:id="99"/>
      <w:r/>
      <w:bookmarkEnd w:id="100"/>
      <w:r/>
      <w:bookmarkEnd w:id="101"/>
      <w:r/>
      <w:r/>
    </w:p>
    <w:p>
      <w:pPr>
        <w:pStyle w:val="1292"/>
        <w:jc w:val="cente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tbl>
      <w:tblPr>
        <w:tblStyle w:val="86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84"/>
        <w:gridCol w:w="2153"/>
        <w:gridCol w:w="2742"/>
        <w:gridCol w:w="1566"/>
        <w:gridCol w:w="975"/>
      </w:tblGrid>
      <w:tr>
        <w:trPr>
          <w:trHeight w:val="567"/>
        </w:trPr>
        <w:tc>
          <w:tcPr>
            <w:tcBorders>
              <w:top w:val="single" w:color="000000" w:sz="6" w:space="0"/>
              <w:left w:val="single" w:color="000000" w:sz="6" w:space="0"/>
              <w:bottom w:val="single" w:color="000000" w:sz="6" w:space="0"/>
              <w:right w:val="single" w:color="000000" w:sz="6" w:space="0"/>
            </w:tcBorders>
            <w:tcW w:w="1135" w:type="pct"/>
            <w:vAlign w:val="center"/>
            <w:textDirection w:val="lrTb"/>
            <w:noWrap w:val="false"/>
          </w:tcPr>
          <w:p>
            <w:pPr>
              <w:pStyle w:val="1292"/>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119" w:type="pct"/>
            <w:vAlign w:val="center"/>
            <w:textDirection w:val="lrTb"/>
            <w:noWrap w:val="false"/>
          </w:tcPr>
          <w:p>
            <w:pPr>
              <w:pStyle w:val="1292"/>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w:t>
            </w:r>
            <w:r/>
          </w:p>
          <w:p>
            <w:pPr>
              <w:pStyle w:val="1292"/>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技术规范要求</w:t>
            </w:r>
            <w:r/>
          </w:p>
        </w:tc>
        <w:tc>
          <w:tcPr>
            <w:tcBorders>
              <w:top w:val="single" w:color="000000" w:sz="6" w:space="0"/>
              <w:left w:val="single" w:color="000000" w:sz="6" w:space="0"/>
              <w:bottom w:val="single" w:color="000000" w:sz="6" w:space="0"/>
              <w:right w:val="single" w:color="000000" w:sz="6" w:space="0"/>
            </w:tcBorders>
            <w:tcW w:w="1425" w:type="pct"/>
            <w:vAlign w:val="center"/>
            <w:textDirection w:val="lrTb"/>
            <w:noWrap w:val="false"/>
          </w:tcPr>
          <w:p>
            <w:pPr>
              <w:pStyle w:val="1292"/>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投标文件</w:t>
            </w:r>
            <w:r/>
          </w:p>
          <w:p>
            <w:pPr>
              <w:pStyle w:val="1292"/>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对应技术应答</w:t>
            </w:r>
            <w:r/>
          </w:p>
        </w:tc>
        <w:tc>
          <w:tcPr>
            <w:tcBorders>
              <w:top w:val="single" w:color="000000" w:sz="6" w:space="0"/>
              <w:left w:val="single" w:color="000000" w:sz="6" w:space="0"/>
              <w:bottom w:val="single" w:color="000000" w:sz="6" w:space="0"/>
              <w:right w:val="single" w:color="000000" w:sz="6" w:space="0"/>
            </w:tcBorders>
            <w:tcW w:w="814" w:type="pct"/>
            <w:vAlign w:val="center"/>
            <w:textDirection w:val="lrTb"/>
            <w:noWrap w:val="false"/>
          </w:tcPr>
          <w:p>
            <w:pPr>
              <w:pStyle w:val="1292"/>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偏差</w:t>
            </w:r>
            <w:r/>
          </w:p>
        </w:tc>
        <w:tc>
          <w:tcPr>
            <w:tcBorders>
              <w:top w:val="single" w:color="000000" w:sz="6" w:space="0"/>
              <w:left w:val="single" w:color="000000" w:sz="6" w:space="0"/>
              <w:bottom w:val="single" w:color="000000" w:sz="6" w:space="0"/>
              <w:right w:val="single" w:color="000000" w:sz="6" w:space="0"/>
            </w:tcBorders>
            <w:tcW w:w="506" w:type="pct"/>
            <w:vAlign w:val="center"/>
            <w:textDirection w:val="lrTb"/>
            <w:noWrap w:val="false"/>
          </w:tcPr>
          <w:p>
            <w:pPr>
              <w:pStyle w:val="1292"/>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92"/>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92"/>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92"/>
              <w:spacing w:line="560" w:lineRule="exact"/>
              <w:rPr>
                <w:rFonts w:ascii="宋体" w:hAnsi="宋体" w:cs="宋体"/>
                <w:color w:val="auto"/>
                <w:szCs w:val="21"/>
                <w:highlight w:val="none"/>
              </w:rPr>
            </w:pPr>
            <w:r>
              <w:rPr>
                <w:rFonts w:ascii="宋体" w:hAnsi="宋体" w:cs="宋体"/>
                <w:color w:val="auto"/>
                <w:szCs w:val="21"/>
                <w:highlight w:val="none"/>
              </w:rPr>
            </w:r>
            <w:r/>
          </w:p>
        </w:tc>
      </w:tr>
    </w:tbl>
    <w:p>
      <w:pPr>
        <w:jc w:val="right"/>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供应商名称（公章）：</w:t>
      </w:r>
      <w:r/>
    </w:p>
    <w:p>
      <w:pPr>
        <w:jc w:val="right"/>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          </w:t>
      </w:r>
      <w:r/>
    </w:p>
    <w:p>
      <w:pPr>
        <w:pStyle w:val="1292"/>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29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pStyle w:val="1292"/>
        <w:ind w:firstLine="420"/>
        <w:spacing w:line="560" w:lineRule="exact"/>
        <w:rPr>
          <w:rFonts w:ascii="宋体" w:hAnsi="宋体" w:cs="宋体"/>
          <w:b/>
          <w:color w:val="auto"/>
          <w:szCs w:val="21"/>
          <w:highlight w:val="none"/>
        </w:rPr>
      </w:pPr>
      <w:r>
        <w:rPr>
          <w:rFonts w:hint="eastAsia" w:ascii="宋体" w:hAnsi="宋体" w:cs="宋体"/>
          <w:color w:val="auto"/>
          <w:szCs w:val="21"/>
          <w:highlight w:val="none"/>
        </w:rPr>
        <w:t xml:space="preserve">1、按照招标文件中列明的技术性能、功能及配置或服务要求进行如实逐条应答。</w:t>
      </w:r>
      <w:r/>
    </w:p>
    <w:p>
      <w:pPr>
        <w:ind w:firstLine="435"/>
        <w:spacing w:line="400" w:lineRule="exact"/>
        <w:rPr>
          <w:rFonts w:hAnsi="宋体"/>
          <w:color w:val="auto"/>
          <w:sz w:val="21"/>
          <w:szCs w:val="21"/>
          <w:highlight w:val="none"/>
        </w:rPr>
      </w:pPr>
      <w:r>
        <w:rPr>
          <w:rFonts w:hint="eastAsia" w:hAnsi="宋体"/>
          <w:color w:val="auto"/>
          <w:sz w:val="21"/>
          <w:szCs w:val="21"/>
          <w:highlight w:val="none"/>
        </w:rPr>
        <w:t xml:space="preserve">2、对于那些可以用量化形式表示的条款，供应商必须明确回答，对于那些非量化的条款供应商应以功能描述回答，指出所报提供的货物和服务是否做出实质性响应</w:t>
      </w:r>
      <w:r>
        <w:rPr>
          <w:rFonts w:hint="eastAsia" w:hAnsi="宋体"/>
          <w:b/>
          <w:color w:val="auto"/>
          <w:sz w:val="21"/>
          <w:szCs w:val="21"/>
          <w:highlight w:val="none"/>
        </w:rPr>
        <w:t xml:space="preserve">。</w:t>
      </w:r>
      <w:r/>
    </w:p>
    <w:p>
      <w:pPr>
        <w:spacing w:line="400" w:lineRule="exact"/>
        <w:rPr>
          <w:rFonts w:hAnsi="宋体"/>
          <w:color w:val="auto"/>
          <w:sz w:val="21"/>
          <w:szCs w:val="21"/>
          <w:highlight w:val="none"/>
        </w:rPr>
        <w:outlineLvl w:val="1"/>
      </w:pPr>
      <w:r>
        <w:rPr>
          <w:rFonts w:hint="eastAsia" w:hAnsi="宋体"/>
          <w:b/>
          <w:color w:val="auto"/>
          <w:sz w:val="21"/>
          <w:szCs w:val="21"/>
          <w:highlight w:val="none"/>
        </w:rPr>
        <w:br w:type="page" w:clear="all"/>
      </w:r>
      <w:bookmarkStart w:id="104" w:name="_Toc450570287"/>
      <w:r>
        <w:rPr>
          <w:rFonts w:hint="eastAsia" w:hAnsi="宋体"/>
          <w:color w:val="auto"/>
          <w:sz w:val="21"/>
          <w:szCs w:val="21"/>
          <w:highlight w:val="none"/>
        </w:rPr>
        <w:t xml:space="preserve">二、资格证明文件</w:t>
      </w:r>
      <w:bookmarkEnd w:id="102"/>
      <w:r/>
      <w:bookmarkEnd w:id="103"/>
      <w:r/>
      <w:bookmarkEnd w:id="104"/>
      <w:r/>
      <w:r/>
    </w:p>
    <w:p>
      <w:pPr>
        <w:pStyle w:val="880"/>
        <w:jc w:val="left"/>
        <w:spacing w:line="400" w:lineRule="exact"/>
        <w:rPr>
          <w:rFonts w:ascii="宋体" w:hAnsi="宋体" w:eastAsia="宋体"/>
          <w:color w:val="auto"/>
          <w:sz w:val="21"/>
          <w:szCs w:val="21"/>
          <w:highlight w:val="none"/>
        </w:rPr>
      </w:pPr>
      <w:r/>
      <w:bookmarkStart w:id="105" w:name="_Toc445897737"/>
      <w:r/>
      <w:bookmarkStart w:id="106" w:name="_Toc401840469"/>
      <w:r/>
      <w:bookmarkStart w:id="107" w:name="_Toc289873241"/>
      <w:r>
        <w:rPr>
          <w:rFonts w:hint="eastAsia" w:ascii="宋体" w:hAnsi="宋体" w:eastAsia="宋体"/>
          <w:color w:val="auto"/>
          <w:sz w:val="21"/>
          <w:szCs w:val="21"/>
          <w:highlight w:val="none"/>
        </w:rPr>
        <w:t xml:space="preserve">1、《中华人民共和国政府采购法》规定的条件:</w:t>
      </w:r>
      <w:r/>
    </w:p>
    <w:p>
      <w:pPr>
        <w:spacing w:line="400" w:lineRule="exact"/>
        <w:rPr>
          <w:rFonts w:hAnsi="宋体"/>
          <w:color w:val="auto"/>
          <w:sz w:val="21"/>
          <w:szCs w:val="21"/>
          <w:highlight w:val="none"/>
        </w:rPr>
      </w:pPr>
      <w:r>
        <w:rPr>
          <w:rFonts w:hint="eastAsia" w:hAnsi="宋体"/>
          <w:color w:val="auto"/>
          <w:sz w:val="21"/>
          <w:szCs w:val="21"/>
          <w:highlight w:val="none"/>
        </w:rPr>
        <w:t xml:space="preserve">（1）具有独立承担民事责任的能力（提供法人或者其他组织的营业执照，自然人的身份证明）；</w:t>
      </w:r>
      <w:r/>
    </w:p>
    <w:p>
      <w:pPr>
        <w:spacing w:line="400" w:lineRule="exact"/>
        <w:rPr>
          <w:rFonts w:hAnsi="宋体"/>
          <w:color w:val="auto"/>
          <w:sz w:val="21"/>
          <w:szCs w:val="21"/>
          <w:highlight w:val="none"/>
        </w:rPr>
      </w:pPr>
      <w:r>
        <w:rPr>
          <w:rFonts w:hint="eastAsia" w:hAnsi="宋体"/>
          <w:color w:val="auto"/>
          <w:sz w:val="21"/>
          <w:szCs w:val="21"/>
          <w:highlight w:val="none"/>
        </w:rPr>
        <w:t xml:space="preserve">（2）</w:t>
      </w:r>
      <w:r>
        <w:rPr>
          <w:rFonts w:hint="eastAsia" w:hAnsi="宋体" w:eastAsia="宋体"/>
          <w:color w:val="auto"/>
          <w:sz w:val="21"/>
          <w:szCs w:val="21"/>
          <w:highlight w:val="none"/>
        </w:rPr>
        <w:t xml:space="preserve">具有良好的商业信誉和健全的财务会计制度（提供参加本次政府采购活动前一年内（任意一个月）企业编制的会计报表（至少包含资产负债表和利润表）或者2024年度或2025年度的审计报告，成立不足一年的提供银行资信证明复印件。）</w:t>
      </w:r>
      <w:r>
        <w:rPr>
          <w:rFonts w:hint="eastAsia" w:hAnsi="宋体"/>
          <w:color w:val="auto"/>
          <w:sz w:val="21"/>
          <w:szCs w:val="21"/>
          <w:highlight w:val="none"/>
        </w:rPr>
        <w:t xml:space="preserve">；</w:t>
      </w:r>
      <w:r/>
    </w:p>
    <w:p>
      <w:pPr>
        <w:spacing w:line="400" w:lineRule="exact"/>
        <w:rPr>
          <w:rFonts w:hAnsi="宋体"/>
          <w:color w:val="auto"/>
          <w:sz w:val="21"/>
          <w:szCs w:val="21"/>
          <w:highlight w:val="none"/>
        </w:rPr>
      </w:pPr>
      <w:r>
        <w:rPr>
          <w:rFonts w:hint="eastAsia" w:hAnsi="宋体"/>
          <w:color w:val="auto"/>
          <w:sz w:val="21"/>
          <w:szCs w:val="21"/>
          <w:highlight w:val="none"/>
        </w:rPr>
        <w:t xml:space="preserve">（3）具有履行合同所必需的设备和专业技术能力（根据项目需求提供履行合同所必需的设备和专业技术能力的证明材料）；</w:t>
      </w:r>
      <w:r/>
    </w:p>
    <w:p>
      <w:pPr>
        <w:spacing w:line="400" w:lineRule="exact"/>
        <w:rPr>
          <w:rFonts w:hAnsi="宋体"/>
          <w:color w:val="auto"/>
          <w:sz w:val="21"/>
          <w:szCs w:val="21"/>
          <w:highlight w:val="none"/>
        </w:rPr>
      </w:pPr>
      <w:r>
        <w:rPr>
          <w:rFonts w:hint="eastAsia" w:hAnsi="宋体"/>
          <w:color w:val="auto"/>
          <w:sz w:val="21"/>
          <w:szCs w:val="21"/>
          <w:highlight w:val="none"/>
        </w:rPr>
        <w:t xml:space="preserve">（4）</w:t>
      </w:r>
      <w:r>
        <w:rPr>
          <w:rFonts w:hint="eastAsia" w:hAnsi="宋体" w:eastAsia="宋体"/>
          <w:color w:val="auto"/>
          <w:sz w:val="21"/>
          <w:szCs w:val="21"/>
          <w:highlight w:val="none"/>
        </w:rPr>
        <w:t xml:space="preserve">有依法缴纳税收和社会保障资金的良好记录（提供参加本次政府采购活动前一年内（至少一个月）依法缴纳税收和社会保障资金的相关材料）</w:t>
      </w:r>
      <w:r>
        <w:rPr>
          <w:rFonts w:hint="eastAsia" w:hAnsi="宋体"/>
          <w:color w:val="auto"/>
          <w:sz w:val="21"/>
          <w:szCs w:val="21"/>
          <w:highlight w:val="none"/>
        </w:rPr>
        <w:t xml:space="preserve">；</w:t>
      </w:r>
      <w:r/>
    </w:p>
    <w:p>
      <w:pPr>
        <w:spacing w:line="400" w:lineRule="exact"/>
        <w:rPr>
          <w:rFonts w:hAnsi="宋体"/>
          <w:color w:val="auto"/>
          <w:sz w:val="21"/>
          <w:szCs w:val="21"/>
          <w:highlight w:val="none"/>
        </w:rPr>
      </w:pPr>
      <w:r>
        <w:rPr>
          <w:rFonts w:hint="eastAsia" w:hAnsi="宋体"/>
          <w:color w:val="auto"/>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spacing w:line="400" w:lineRule="exact"/>
        <w:rPr>
          <w:rFonts w:hAnsi="宋体"/>
          <w:color w:val="auto"/>
          <w:sz w:val="21"/>
          <w:szCs w:val="21"/>
          <w:highlight w:val="none"/>
        </w:rPr>
      </w:pPr>
      <w:r>
        <w:rPr>
          <w:rFonts w:hint="eastAsia" w:hAnsi="宋体"/>
          <w:color w:val="auto"/>
          <w:sz w:val="21"/>
          <w:szCs w:val="21"/>
          <w:highlight w:val="none"/>
        </w:rPr>
        <w:t xml:space="preserve">（6）法律、行政法规规定的其他条件（提供项目实施所必须的许可资质证明材料）；</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（7）本次项目不接受联合体投标；</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2.落实政府采购政策需满足的资格要求：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3.本项目的特定资格要求：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拒绝下述供应商参加本次采购活动：</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（1）供应商单位负责人为同一人或者存在直接控股、管理关系的不同供应商，不得参加同一合同项下的政府采购活动。</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被“信用中国”（www.creditchina.gov.cn）、“中国政府采购网”、(www.ccgp.gov.cn)列入失信被执行人、重大税收违法案件当事人名单、政府采购严重违法失信行为记录名单的，不得参加本次采购活动。（查询截止时间为投标截止时间）。</w:t>
      </w:r>
      <w:bookmarkEnd w:id="105"/>
      <w:r/>
    </w:p>
    <w:tbl>
      <w:tblPr>
        <w:tblStyle w:val="867"/>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hAnsi="宋体"/>
                <w:b/>
                <w:color w:val="auto"/>
                <w:sz w:val="21"/>
                <w:szCs w:val="21"/>
                <w:highlight w:val="none"/>
                <w:lang w:bidi="en-US"/>
              </w:rPr>
            </w:pPr>
            <w:r>
              <w:rPr>
                <w:rFonts w:hint="eastAsia" w:hAnsi="宋体"/>
                <w:b/>
                <w:color w:val="auto"/>
                <w:sz w:val="21"/>
                <w:szCs w:val="21"/>
                <w:highlight w:val="none"/>
                <w:lang w:bidi="en-US"/>
              </w:rPr>
              <w:t xml:space="preserve">参加政府采购活动前 3 年内在经营活动中</w:t>
            </w:r>
            <w:r/>
          </w:p>
          <w:p>
            <w:pPr>
              <w:jc w:val="center"/>
              <w:spacing w:line="400" w:lineRule="exact"/>
              <w:rPr>
                <w:rFonts w:hAnsi="宋体"/>
                <w:b/>
                <w:color w:val="auto"/>
                <w:sz w:val="21"/>
                <w:szCs w:val="21"/>
                <w:highlight w:val="none"/>
                <w:lang w:bidi="en-US"/>
              </w:rPr>
            </w:pPr>
            <w:r>
              <w:rPr>
                <w:rFonts w:hint="eastAsia" w:hAnsi="宋体"/>
                <w:b/>
                <w:color w:val="auto"/>
                <w:sz w:val="21"/>
                <w:szCs w:val="21"/>
                <w:highlight w:val="none"/>
                <w:lang w:bidi="en-US"/>
              </w:rPr>
              <w:t xml:space="preserve">没有重大违法记录的书面声明(参考格式)</w:t>
            </w:r>
            <w:r/>
          </w:p>
          <w:p>
            <w:pPr>
              <w:ind w:firstLine="420"/>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hAnsi="宋体"/>
                <w:color w:val="auto"/>
                <w:sz w:val="21"/>
                <w:szCs w:val="21"/>
                <w:highlight w:val="none"/>
                <w:lang w:bidi="en-US"/>
              </w:rPr>
            </w:pPr>
            <w:r>
              <w:rPr>
                <w:rFonts w:hAnsi="宋体"/>
                <w:color w:val="auto"/>
                <w:sz w:val="21"/>
                <w:szCs w:val="21"/>
                <w:highlight w:val="none"/>
                <w:lang w:bidi="en-US"/>
              </w:rPr>
            </w:r>
            <w:r/>
          </w:p>
          <w:p>
            <w:pPr>
              <w:ind w:firstLine="3570"/>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供应商名称（公章）：</w:t>
            </w:r>
            <w:r/>
          </w:p>
          <w:p>
            <w:pP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w:t>
            </w:r>
            <w:r/>
          </w:p>
          <w:p>
            <w:pPr>
              <w:jc w:val="cente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日期：     年    月    日</w:t>
            </w:r>
            <w:r/>
          </w:p>
        </w:tc>
      </w:tr>
    </w:tbl>
    <w:p>
      <w:pPr>
        <w:spacing w:line="400" w:lineRule="exact"/>
        <w:rPr>
          <w:rFonts w:hAnsi="宋体"/>
          <w:color w:val="auto"/>
          <w:sz w:val="21"/>
          <w:szCs w:val="21"/>
          <w:highlight w:val="none"/>
          <w:lang w:bidi="en-US"/>
        </w:rPr>
      </w:pPr>
      <w:r>
        <w:rPr>
          <w:rFonts w:hAnsi="宋体"/>
          <w:color w:val="auto"/>
          <w:sz w:val="21"/>
          <w:szCs w:val="21"/>
          <w:highlight w:val="none"/>
          <w:lang w:bidi="en-US"/>
        </w:rPr>
      </w:r>
      <w:r/>
    </w:p>
    <w:p>
      <w:pPr>
        <w:spacing w:line="400" w:lineRule="exact"/>
        <w:rPr>
          <w:rFonts w:hAnsi="宋体"/>
          <w:color w:val="auto"/>
          <w:sz w:val="21"/>
          <w:szCs w:val="21"/>
          <w:highlight w:val="none"/>
          <w:lang w:bidi="en-US"/>
        </w:rPr>
      </w:pPr>
      <w:r/>
      <w:bookmarkStart w:id="108" w:name="_Toc450570288"/>
      <w:r/>
      <w:r/>
    </w:p>
    <w:p>
      <w:pPr>
        <w:rPr>
          <w:color w:val="auto"/>
          <w:highlight w:val="none"/>
        </w:rPr>
      </w:pPr>
      <w:r>
        <w:rPr>
          <w:color w:val="auto"/>
          <w:highlight w:val="none"/>
        </w:rPr>
      </w:r>
      <w:r/>
    </w:p>
    <w:tbl>
      <w:tblPr>
        <w:tblStyle w:val="867"/>
        <w:tblpPr w:horzAnchor="page" w:tblpX="978" w:vertAnchor="text" w:tblpY="35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hAnsi="宋体"/>
                <w:b/>
                <w:color w:val="auto"/>
                <w:sz w:val="21"/>
                <w:szCs w:val="21"/>
                <w:highlight w:val="none"/>
                <w:lang w:bidi="en-US"/>
              </w:rPr>
            </w:pPr>
            <w:r>
              <w:rPr>
                <w:rFonts w:hint="eastAsia" w:hAnsi="宋体"/>
                <w:b/>
                <w:color w:val="auto"/>
                <w:sz w:val="21"/>
                <w:szCs w:val="21"/>
                <w:highlight w:val="none"/>
                <w:lang w:bidi="en-US"/>
              </w:rPr>
              <w:t xml:space="preserve">具备履行合同所必需的设备和专业技术能力的声明格式</w:t>
            </w:r>
            <w:r/>
          </w:p>
          <w:p>
            <w:pPr>
              <w:rPr>
                <w:rFonts w:ascii="宋体" w:hAnsi="宋体" w:eastAsia="宋体"/>
                <w:color w:val="auto"/>
                <w:highlight w:val="none"/>
              </w:rPr>
            </w:pPr>
            <w:r>
              <w:rPr>
                <w:rFonts w:hint="eastAsia" w:ascii="宋体" w:hAnsi="宋体" w:eastAsia="宋体"/>
                <w:color w:val="auto"/>
                <w:highlight w:val="none"/>
              </w:rPr>
              <w:t xml:space="preserve">苏美达国际技术贸易有限公司：</w:t>
            </w:r>
            <w:r/>
          </w:p>
          <w:p>
            <w:pPr>
              <w:ind w:firstLine="492"/>
              <w:rPr>
                <w:rFonts w:ascii="宋体" w:hAnsi="宋体" w:eastAsia="宋体"/>
                <w:color w:val="auto"/>
                <w:highlight w:val="none"/>
              </w:rPr>
            </w:pPr>
            <w:r>
              <w:rPr>
                <w:rFonts w:hint="eastAsia" w:ascii="宋体" w:hAnsi="宋体" w:eastAsia="宋体"/>
                <w:color w:val="auto"/>
                <w:highlight w:val="none"/>
              </w:rPr>
              <w:t xml:space="preserve">我单位</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rPr>
                <w:rFonts w:ascii="宋体" w:hAnsi="宋体" w:eastAsia="宋体"/>
                <w:color w:val="auto"/>
                <w:highlight w:val="none"/>
              </w:rPr>
            </w:pPr>
            <w:r>
              <w:rPr>
                <w:rFonts w:hint="eastAsia" w:ascii="宋体" w:hAnsi="宋体" w:eastAsia="宋体"/>
                <w:color w:val="auto"/>
                <w:highlight w:val="none"/>
              </w:rPr>
              <w:t xml:space="preserve">主要设备有：</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。(若有)</w:t>
            </w:r>
            <w:r/>
          </w:p>
          <w:p>
            <w:pPr>
              <w:ind w:firstLine="492"/>
              <w:rPr>
                <w:rFonts w:ascii="宋体" w:hAnsi="宋体" w:eastAsia="宋体"/>
                <w:color w:val="auto"/>
                <w:highlight w:val="none"/>
              </w:rPr>
            </w:pPr>
            <w:r>
              <w:rPr>
                <w:rFonts w:hint="eastAsia" w:ascii="宋体" w:hAnsi="宋体" w:eastAsia="宋体"/>
                <w:color w:val="auto"/>
                <w:highlight w:val="none"/>
              </w:rPr>
              <w:t xml:space="preserve">主要专业技术能力有：</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。(若有)</w:t>
            </w:r>
            <w:r/>
          </w:p>
          <w:p>
            <w:pPr>
              <w:spacing w:line="400" w:lineRule="exact"/>
              <w:rPr>
                <w:rFonts w:hAnsi="宋体"/>
                <w:color w:val="auto"/>
                <w:sz w:val="21"/>
                <w:szCs w:val="21"/>
                <w:highlight w:val="none"/>
                <w:lang w:bidi="en-US"/>
              </w:rPr>
            </w:pPr>
            <w:r>
              <w:rPr>
                <w:rFonts w:hAnsi="宋体"/>
                <w:color w:val="auto"/>
                <w:sz w:val="21"/>
                <w:szCs w:val="21"/>
                <w:highlight w:val="none"/>
                <w:lang w:bidi="en-US"/>
              </w:rPr>
            </w:r>
            <w:r/>
          </w:p>
          <w:p>
            <w:pPr>
              <w:ind w:firstLine="3570"/>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供应商名称（公章）：</w:t>
            </w:r>
            <w:r/>
          </w:p>
          <w:p>
            <w:pP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w:t>
            </w:r>
            <w:r/>
          </w:p>
          <w:p>
            <w:pPr>
              <w:jc w:val="center"/>
              <w:spacing w:line="400" w:lineRule="exact"/>
              <w:rPr>
                <w:rFonts w:hAnsi="宋体"/>
                <w:color w:val="auto"/>
                <w:sz w:val="21"/>
                <w:szCs w:val="21"/>
                <w:highlight w:val="none"/>
                <w:lang w:bidi="en-US"/>
              </w:rPr>
            </w:pPr>
            <w:r>
              <w:rPr>
                <w:rFonts w:hint="eastAsia" w:hAnsi="宋体"/>
                <w:color w:val="auto"/>
                <w:sz w:val="21"/>
                <w:szCs w:val="21"/>
                <w:highlight w:val="none"/>
                <w:lang w:bidi="en-US"/>
              </w:rPr>
              <w:t xml:space="preserve">                                   日期：     年    月    日</w:t>
            </w:r>
            <w:r/>
          </w:p>
        </w:tc>
      </w:tr>
    </w:tbl>
    <w:p>
      <w:pPr>
        <w:rPr>
          <w:color w:val="auto"/>
          <w:szCs w:val="21"/>
          <w:highlight w:val="none"/>
        </w:rPr>
      </w:pPr>
      <w:r>
        <w:rPr>
          <w:rFonts w:hint="eastAsia"/>
          <w:color w:val="auto"/>
          <w:szCs w:val="21"/>
          <w:highlight w:val="none"/>
        </w:rPr>
        <w:br w:type="page" w:clear="all"/>
      </w:r>
      <w:r/>
    </w:p>
    <w:p>
      <w:pPr>
        <w:pStyle w:val="858"/>
        <w:keepLines w:val="0"/>
        <w:keepNext w:val="0"/>
        <w:spacing w:line="400" w:lineRule="exact"/>
        <w:rPr>
          <w:rFonts w:cs="宋体"/>
          <w:color w:val="auto"/>
          <w:szCs w:val="21"/>
          <w:highlight w:val="none"/>
        </w:rPr>
      </w:pPr>
      <w:r>
        <w:rPr>
          <w:rFonts w:hint="eastAsia" w:cs="宋体"/>
          <w:color w:val="auto"/>
          <w:szCs w:val="21"/>
          <w:highlight w:val="none"/>
        </w:rPr>
        <w:t xml:space="preserve">三、其它相关文件</w:t>
      </w:r>
      <w:bookmarkEnd w:id="108"/>
      <w:r/>
      <w:r/>
    </w:p>
    <w:p>
      <w:pPr>
        <w:pStyle w:val="859"/>
        <w:keepLines w:val="0"/>
        <w:keepNext w:val="0"/>
        <w:spacing w:line="400" w:lineRule="exact"/>
        <w:rPr>
          <w:rFonts w:cs="宋体"/>
          <w:color w:val="auto"/>
          <w:highlight w:val="none"/>
        </w:rPr>
      </w:pPr>
      <w:r/>
      <w:bookmarkStart w:id="109" w:name="_Toc450570289"/>
      <w:r>
        <w:rPr>
          <w:rFonts w:hint="eastAsia" w:cs="宋体"/>
          <w:color w:val="auto"/>
          <w:highlight w:val="none"/>
        </w:rPr>
        <w:t xml:space="preserve">1.授权委托书</w:t>
      </w:r>
      <w:bookmarkEnd w:id="106"/>
      <w:r/>
      <w:bookmarkEnd w:id="107"/>
      <w:r/>
      <w:bookmarkEnd w:id="109"/>
      <w:r/>
      <w:r/>
    </w:p>
    <w:p>
      <w:pPr>
        <w:jc w:val="center"/>
        <w:spacing w:line="360" w:lineRule="auto"/>
        <w:rPr>
          <w:rFonts w:ascii="宋体" w:hAnsi="宋体"/>
          <w:b/>
          <w:color w:val="auto"/>
          <w:sz w:val="36"/>
          <w:szCs w:val="28"/>
          <w:highlight w:val="none"/>
        </w:rPr>
      </w:pPr>
      <w:r/>
      <w:bookmarkStart w:id="110" w:name="_Toc401840472"/>
      <w:r/>
      <w:bookmarkStart w:id="111" w:name="_Toc450570290"/>
      <w:r/>
      <w:bookmarkStart w:id="112" w:name="_Toc75518605"/>
      <w:r/>
      <w:bookmarkStart w:id="113" w:name="_Toc118780793"/>
      <w:r/>
      <w:bookmarkStart w:id="114" w:name="_Toc130781431"/>
      <w:r/>
      <w:bookmarkStart w:id="115" w:name="_Toc82330517"/>
      <w:r/>
      <w:bookmarkStart w:id="116" w:name="_Toc194725191"/>
      <w:r/>
      <w:bookmarkStart w:id="117" w:name="_Toc194220875"/>
      <w:r/>
      <w:bookmarkStart w:id="118" w:name="_Toc194205453"/>
      <w:r/>
      <w:bookmarkStart w:id="119" w:name="_Toc194284653"/>
      <w:r/>
      <w:bookmarkStart w:id="120" w:name="_Toc289873244"/>
      <w:r>
        <w:rPr>
          <w:rFonts w:hint="eastAsia" w:ascii="宋体" w:hAnsi="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pPr>
      <w:r>
        <w:rPr>
          <w:rFonts w:eastAsia="黑体"/>
          <w:bCs/>
          <w:color w:val="auto"/>
          <w:sz w:val="28"/>
          <w:szCs w:val="28"/>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招标编号：</w:t>
      </w:r>
      <w:r/>
    </w:p>
    <w:p>
      <w:pPr>
        <w:ind w:firstLine="462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苏美达国际技术贸易有限公司：</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我公司(单位)对被授权人的签名负全部责任。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被授权人情况：</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姓名：         性别：             电话：</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                              投标人(盖章)：</w:t>
      </w:r>
      <w:r/>
    </w:p>
    <w:p>
      <w:pPr>
        <w:ind w:firstLine="3570"/>
        <w:spacing w:line="360" w:lineRule="auto"/>
        <w:rPr>
          <w:rFonts w:ascii="宋体" w:hAnsi="宋体"/>
          <w:bCs/>
          <w:color w:val="auto"/>
          <w:szCs w:val="21"/>
          <w:highlight w:val="none"/>
        </w:rPr>
      </w:pPr>
      <w:r>
        <w:rPr>
          <w:rFonts w:ascii="宋体" w:hAnsi="宋体"/>
          <w:bCs/>
          <w:color w:val="auto"/>
          <w:szCs w:val="21"/>
          <w:highlight w:val="none"/>
        </w:rPr>
      </w:r>
      <w:r/>
    </w:p>
    <w:p>
      <w:pPr>
        <w:ind w:firstLine="357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pStyle w:val="1303"/>
        <w:rPr>
          <w:rFonts w:eastAsia="黑体"/>
          <w:color w:val="auto"/>
          <w:sz w:val="24"/>
          <w:szCs w:val="24"/>
          <w:highlight w:val="none"/>
        </w:rPr>
      </w:pPr>
      <w:r>
        <w:rPr>
          <w:rFonts w:eastAsia="黑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eastAsia="黑体"/>
          <w:bCs/>
          <w:color w:val="auto"/>
          <w:sz w:val="24"/>
          <w:szCs w:val="24"/>
          <w:highlight w:val="none"/>
        </w:rPr>
      </w:pPr>
      <w:r>
        <w:rPr>
          <w:rFonts w:eastAsia="黑体"/>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7" name="文本框 7"/>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12700" b="10795"/>
                <wp:docPr id="8" name="文本框 8"/>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1303"/>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6985" b="10795"/>
                <wp:docPr id="9" name="文本框 9"/>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color w:val="auto"/>
          <w:sz w:val="24"/>
          <w:szCs w:val="24"/>
          <w:highlight w:val="none"/>
        </w:rPr>
        <mc:AlternateContent>
          <mc:Choice Requires="wpg">
            <w:drawing>
              <wp:inline xmlns:wp="http://schemas.openxmlformats.org/drawingml/2006/wordprocessingDrawing" distT="0" distB="0" distL="0" distR="0">
                <wp:extent cx="2397125" cy="1584960"/>
                <wp:effectExtent l="4445" t="4445" r="11430" b="10795"/>
                <wp:docPr id="10" name="文本框 10"/>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jc w:val="left"/>
        <w:widowControl/>
        <w:rPr>
          <w:rFonts w:ascii="宋体" w:hAnsi="宋体" w:eastAsia="宋体"/>
          <w:b/>
          <w:color w:val="auto"/>
          <w:szCs w:val="21"/>
          <w:highlight w:val="none"/>
        </w:rPr>
      </w:pPr>
      <w:r>
        <w:rPr>
          <w:rFonts w:hint="eastAsia" w:ascii="宋体" w:hAnsi="宋体"/>
          <w:b/>
          <w:color w:val="auto"/>
          <w:sz w:val="24"/>
          <w:szCs w:val="24"/>
          <w:highlight w:val="none"/>
        </w:rPr>
        <w:br w:type="page" w:clear="all"/>
      </w:r>
      <w:r/>
    </w:p>
    <w:p>
      <w:pPr>
        <w:pStyle w:val="859"/>
        <w:keepLines w:val="0"/>
        <w:keepNext w:val="0"/>
        <w:spacing w:line="400" w:lineRule="exact"/>
        <w:rPr>
          <w:rFonts w:cs="宋体"/>
          <w:color w:val="auto"/>
          <w:highlight w:val="none"/>
        </w:rPr>
      </w:pPr>
      <w:r>
        <w:rPr>
          <w:rFonts w:hint="eastAsia" w:cs="宋体"/>
          <w:color w:val="auto"/>
          <w:highlight w:val="none"/>
        </w:rPr>
        <w:t xml:space="preserve">2.相关资质、业绩证明文件</w:t>
      </w:r>
      <w:bookmarkEnd w:id="110"/>
      <w:r/>
      <w:bookmarkEnd w:id="111"/>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2.1 </w:t>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2.2</w:t>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2.3 </w:t>
      </w:r>
      <w:r/>
    </w:p>
    <w:p>
      <w:pPr>
        <w:ind w:firstLine="420"/>
        <w:spacing w:line="400" w:lineRule="exact"/>
        <w:rPr>
          <w:rFonts w:hAnsi="宋体"/>
          <w:color w:val="auto"/>
          <w:sz w:val="21"/>
          <w:szCs w:val="21"/>
          <w:highlight w:val="none"/>
        </w:rPr>
      </w:pPr>
      <w:r>
        <w:rPr>
          <w:rFonts w:hint="eastAsia" w:hAnsi="宋体"/>
          <w:color w:val="auto"/>
          <w:sz w:val="21"/>
          <w:szCs w:val="21"/>
          <w:highlight w:val="none"/>
        </w:rPr>
        <w:t xml:space="preserve">2.4 </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b/>
          <w:bCs/>
          <w:color w:val="auto"/>
          <w:sz w:val="21"/>
          <w:szCs w:val="21"/>
          <w:highlight w:val="none"/>
        </w:rPr>
        <w:outlineLvl w:val="2"/>
      </w:pPr>
      <w:r/>
      <w:bookmarkStart w:id="121" w:name="_Toc450570291"/>
      <w:r/>
      <w:bookmarkStart w:id="122" w:name="_Toc401840473"/>
      <w:r>
        <w:rPr>
          <w:rFonts w:hint="eastAsia" w:hAnsi="宋体"/>
          <w:b/>
          <w:bCs/>
          <w:color w:val="auto"/>
          <w:sz w:val="21"/>
          <w:szCs w:val="21"/>
          <w:highlight w:val="none"/>
        </w:rPr>
        <w:t xml:space="preserve">3.供应商拟承担本项目主要专业技术人员一览表</w:t>
      </w:r>
      <w:bookmarkEnd w:id="112"/>
      <w:r/>
      <w:bookmarkEnd w:id="113"/>
      <w:r/>
      <w:bookmarkEnd w:id="114"/>
      <w:r/>
      <w:bookmarkEnd w:id="115"/>
      <w:r>
        <w:rPr>
          <w:rFonts w:hint="eastAsia" w:hAnsi="宋体"/>
          <w:b/>
          <w:bCs/>
          <w:color w:val="auto"/>
          <w:sz w:val="21"/>
          <w:szCs w:val="21"/>
          <w:highlight w:val="none"/>
        </w:rPr>
        <w:t xml:space="preserve">格式</w:t>
      </w:r>
      <w:bookmarkEnd w:id="116"/>
      <w:r/>
      <w:bookmarkEnd w:id="117"/>
      <w:r/>
      <w:bookmarkEnd w:id="118"/>
      <w:r/>
      <w:bookmarkEnd w:id="119"/>
      <w:r/>
      <w:bookmarkEnd w:id="121"/>
      <w:r/>
      <w:bookmarkEnd w:id="122"/>
      <w:r/>
      <w:r/>
    </w:p>
    <w:p>
      <w:pPr>
        <w:jc w:val="center"/>
        <w:spacing w:line="400" w:lineRule="exact"/>
        <w:rPr>
          <w:rStyle w:val="934"/>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hAnsi="宋体"/>
          <w:color w:val="auto"/>
          <w:sz w:val="21"/>
          <w:szCs w:val="21"/>
          <w:highlight w:val="none"/>
        </w:rPr>
      </w:pPr>
      <w:r>
        <w:rPr>
          <w:rStyle w:val="934"/>
          <w:rFonts w:hint="eastAsia" w:ascii="宋体" w:hAnsi="宋体"/>
          <w:color w:val="auto"/>
          <w:sz w:val="21"/>
          <w:szCs w:val="21"/>
          <w:highlight w:val="none"/>
        </w:rPr>
        <w:t xml:space="preserve">供应商拟承担本项目主要专业技术人员一览表</w:t>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5"/>
        <w:gridCol w:w="1933"/>
        <w:gridCol w:w="1933"/>
        <w:gridCol w:w="2091"/>
        <w:gridCol w:w="1772"/>
      </w:tblGrid>
      <w:tr>
        <w:trPr>
          <w:jc w:val="center"/>
          <w:trHeight w:val="399"/>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人员姓名</w:t>
            </w:r>
            <w:r/>
          </w:p>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联系电话</w:t>
            </w:r>
            <w:r/>
          </w:p>
        </w:tc>
        <w:tc>
          <w:tcPr>
            <w:tcW w:w="1004"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专业/类别</w:t>
            </w:r>
            <w:r/>
          </w:p>
        </w:tc>
        <w:tc>
          <w:tcPr>
            <w:tcW w:w="1004"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工作时间</w:t>
            </w:r>
            <w:r/>
          </w:p>
        </w:tc>
        <w:tc>
          <w:tcPr>
            <w:tcW w:w="1086"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工作业绩</w:t>
            </w:r>
            <w:r/>
          </w:p>
        </w:tc>
        <w:tc>
          <w:tcPr>
            <w:tcW w:w="920" w:type="pct"/>
            <w:vAlign w:val="center"/>
            <w:textDirection w:val="lrTb"/>
            <w:noWrap w:val="false"/>
          </w:tcPr>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在本项目中</w:t>
            </w:r>
            <w:r/>
          </w:p>
          <w:p>
            <w:pPr>
              <w:jc w:val="center"/>
              <w:spacing w:after="156" w:line="400" w:lineRule="exact"/>
              <w:rPr>
                <w:rFonts w:hAnsi="宋体"/>
                <w:color w:val="auto"/>
                <w:sz w:val="21"/>
                <w:szCs w:val="21"/>
                <w:highlight w:val="none"/>
              </w:rPr>
            </w:pPr>
            <w:r>
              <w:rPr>
                <w:rFonts w:hint="eastAsia" w:hAnsi="宋体"/>
                <w:color w:val="auto"/>
                <w:sz w:val="21"/>
                <w:szCs w:val="21"/>
                <w:highlight w:val="none"/>
              </w:rPr>
              <w:t xml:space="preserve">职责分工</w:t>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color w:val="auto"/>
                <w:sz w:val="21"/>
                <w:szCs w:val="21"/>
                <w:highlight w:val="none"/>
              </w:rPr>
            </w:pPr>
            <w:r>
              <w:rPr>
                <w:rFonts w:hAnsi="宋体"/>
                <w:b/>
                <w:color w:val="auto"/>
                <w:sz w:val="21"/>
                <w:szCs w:val="21"/>
                <w:highlight w:val="none"/>
              </w:rPr>
            </w:r>
            <w:r/>
          </w:p>
        </w:tc>
      </w:tr>
    </w:tbl>
    <w:p>
      <w:pPr>
        <w:ind w:left="420" w:hanging="420"/>
        <w:spacing w:after="156" w:line="400" w:lineRule="exact"/>
        <w:rPr>
          <w:rFonts w:hAnsi="宋体"/>
          <w:color w:val="auto"/>
          <w:sz w:val="21"/>
          <w:szCs w:val="21"/>
          <w:highlight w:val="none"/>
        </w:rPr>
      </w:pPr>
      <w:r>
        <w:rPr>
          <w:rFonts w:hint="eastAsia" w:hAnsi="宋体"/>
          <w:color w:val="auto"/>
          <w:sz w:val="21"/>
          <w:szCs w:val="21"/>
          <w:highlight w:val="none"/>
        </w:rPr>
        <w:t xml:space="preserve">注：附技术人员相关资格证书</w:t>
      </w:r>
      <w:r>
        <w:rPr>
          <w:rFonts w:hint="eastAsia" w:hAnsi="宋体"/>
          <w:color w:val="auto"/>
          <w:sz w:val="21"/>
          <w:szCs w:val="21"/>
          <w:highlight w:val="none"/>
          <w:lang w:val="en-US"/>
        </w:rPr>
        <w:t xml:space="preserve">复印件</w:t>
      </w:r>
      <w:r>
        <w:rPr>
          <w:rFonts w:hint="eastAsia" w:hAnsi="宋体"/>
          <w:color w:val="auto"/>
          <w:sz w:val="21"/>
          <w:szCs w:val="21"/>
          <w:highlight w:val="none"/>
        </w:rPr>
        <w:t xml:space="preserve">。</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供应商单位公章：</w:t>
      </w:r>
      <w:r/>
    </w:p>
    <w:p>
      <w:pPr>
        <w:jc w:val="center"/>
        <w:spacing w:line="400" w:lineRule="exact"/>
        <w:rPr>
          <w:rFonts w:hAnsi="宋体"/>
          <w:color w:val="auto"/>
          <w:sz w:val="21"/>
          <w:szCs w:val="21"/>
          <w:highlight w:val="none"/>
        </w:rPr>
      </w:pPr>
      <w:r>
        <w:rPr>
          <w:rFonts w:hint="eastAsia" w:hAnsi="宋体"/>
          <w:color w:val="auto"/>
          <w:sz w:val="21"/>
          <w:szCs w:val="21"/>
          <w:highlight w:val="none"/>
        </w:rPr>
        <w:t xml:space="preserve">                           供应商代表签字:  </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年   月    日</w:t>
      </w:r>
      <w:r/>
    </w:p>
    <w:p>
      <w:pPr>
        <w:spacing w:before="120" w:line="400" w:lineRule="exact"/>
        <w:tabs>
          <w:tab w:val="left" w:pos="5580" w:leader="none"/>
        </w:tabs>
        <w:rPr>
          <w:rFonts w:hAnsi="宋体"/>
          <w:color w:val="auto"/>
          <w:sz w:val="21"/>
          <w:szCs w:val="21"/>
          <w:highlight w:val="none"/>
          <w:u w:val="single"/>
        </w:rPr>
      </w:pPr>
      <w:r>
        <w:rPr>
          <w:rFonts w:hAnsi="宋体"/>
          <w:color w:val="auto"/>
          <w:sz w:val="21"/>
          <w:szCs w:val="21"/>
          <w:highlight w:val="none"/>
          <w:u w:val="single"/>
        </w:rPr>
      </w:r>
      <w:r/>
    </w:p>
    <w:p>
      <w:pPr>
        <w:pStyle w:val="859"/>
        <w:keepLines w:val="0"/>
        <w:keepNext w:val="0"/>
        <w:spacing w:line="400" w:lineRule="exact"/>
        <w:rPr>
          <w:rFonts w:cs="宋体"/>
          <w:color w:val="auto"/>
          <w:highlight w:val="none"/>
        </w:rPr>
      </w:pPr>
      <w:r/>
      <w:bookmarkStart w:id="123" w:name="_Toc401840475"/>
      <w:r/>
      <w:bookmarkStart w:id="124" w:name="_Toc450570292"/>
      <w:r>
        <w:rPr>
          <w:rFonts w:hint="eastAsia" w:cs="宋体"/>
          <w:color w:val="auto"/>
          <w:highlight w:val="none"/>
        </w:rPr>
        <w:t xml:space="preserve">4</w:t>
      </w:r>
      <w:bookmarkEnd w:id="123"/>
      <w:r>
        <w:rPr>
          <w:rFonts w:hint="eastAsia" w:cs="宋体"/>
          <w:color w:val="auto"/>
          <w:highlight w:val="none"/>
        </w:rPr>
        <w:t xml:space="preserve">.服务承诺</w:t>
      </w:r>
      <w:bookmarkEnd w:id="124"/>
      <w:r/>
      <w:r/>
    </w:p>
    <w:p>
      <w:pPr>
        <w:spacing w:line="400" w:lineRule="exact"/>
        <w:rPr>
          <w:rFonts w:hAnsi="宋体"/>
          <w:color w:val="auto"/>
          <w:sz w:val="21"/>
          <w:szCs w:val="21"/>
          <w:highlight w:val="none"/>
        </w:rPr>
      </w:pPr>
      <w:r>
        <w:rPr>
          <w:rFonts w:hint="eastAsia" w:hAnsi="宋体"/>
          <w:color w:val="auto"/>
          <w:sz w:val="21"/>
          <w:szCs w:val="21"/>
          <w:highlight w:val="none"/>
        </w:rPr>
        <w:t xml:space="preserve">（结合评标办法）</w:t>
      </w:r>
      <w:r/>
    </w:p>
    <w:p>
      <w:pPr>
        <w:pStyle w:val="859"/>
        <w:keepLines w:val="0"/>
        <w:keepNext w:val="0"/>
        <w:spacing w:line="400" w:lineRule="exact"/>
        <w:rPr>
          <w:rFonts w:cs="宋体"/>
          <w:color w:val="auto"/>
          <w:highlight w:val="none"/>
        </w:rPr>
      </w:pPr>
      <w:r/>
      <w:bookmarkStart w:id="125" w:name="_Toc401840476"/>
      <w:r/>
      <w:bookmarkStart w:id="126" w:name="_Toc450570293"/>
      <w:r>
        <w:rPr>
          <w:rFonts w:hint="eastAsia" w:cs="宋体"/>
          <w:color w:val="auto"/>
          <w:highlight w:val="none"/>
        </w:rPr>
        <w:t xml:space="preserve">5.其它可以提供的关于投标的证明材料</w:t>
      </w:r>
      <w:bookmarkEnd w:id="125"/>
      <w:r/>
      <w:bookmarkEnd w:id="126"/>
      <w:r>
        <w:rPr>
          <w:rFonts w:hint="eastAsia" w:cs="宋体"/>
          <w:color w:val="auto"/>
          <w:highlight w:val="none"/>
        </w:rPr>
        <w:t xml:space="preserve">（样本、说明书或者检测报告等）</w:t>
      </w:r>
      <w:bookmarkEnd w:id="120"/>
      <w:r/>
      <w:bookmarkEnd w:id="84"/>
      <w:bookmarkEnd w:id="85"/>
      <w:bookmarkEnd w:id="86"/>
      <w:r/>
    </w:p>
    <w:p>
      <w:pPr>
        <w:spacing w:line="360" w:lineRule="auto"/>
        <w:rPr>
          <w:rFonts w:hAnsi="宋体"/>
          <w:color w:val="auto"/>
          <w:sz w:val="21"/>
          <w:szCs w:val="21"/>
          <w:highlight w:val="none"/>
        </w:rPr>
      </w:pPr>
      <w:r>
        <w:rPr>
          <w:rFonts w:hAnsi="宋体"/>
          <w:color w:val="auto"/>
          <w:sz w:val="21"/>
          <w:szCs w:val="21"/>
          <w:highlight w:val="none"/>
        </w:rPr>
      </w:r>
      <w:r/>
    </w:p>
    <w:p>
      <w:pPr>
        <w:pStyle w:val="858"/>
        <w:keepLines w:val="0"/>
        <w:keepNext w:val="0"/>
        <w:spacing w:line="400" w:lineRule="exact"/>
        <w:rPr>
          <w:rFonts w:cs="宋体"/>
          <w:color w:val="auto"/>
          <w:szCs w:val="21"/>
          <w:highlight w:val="none"/>
        </w:rPr>
      </w:pPr>
      <w:r>
        <w:rPr>
          <w:rFonts w:hint="eastAsia" w:cs="宋体"/>
          <w:color w:val="auto"/>
          <w:szCs w:val="21"/>
          <w:highlight w:val="none"/>
        </w:rPr>
        <w:t xml:space="preserve">四、服务方案及建议书</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供应商应根据招标文件中《</w:t>
      </w:r>
      <w:r>
        <w:rPr>
          <w:rFonts w:hint="eastAsia" w:hAnsi="宋体" w:eastAsia="宋体"/>
          <w:color w:val="auto"/>
          <w:sz w:val="21"/>
          <w:szCs w:val="21"/>
          <w:highlight w:val="none"/>
          <w:lang w:val="en-US"/>
        </w:rPr>
        <w:t xml:space="preserve">服务</w:t>
      </w:r>
      <w:r>
        <w:rPr>
          <w:rFonts w:hint="eastAsia" w:hAnsi="宋体"/>
          <w:color w:val="auto"/>
          <w:sz w:val="21"/>
          <w:szCs w:val="21"/>
          <w:highlight w:val="none"/>
        </w:rPr>
        <w:t xml:space="preserve">要求》，详细叙述拟提供技术及服务方案/服务情况。供应商提出的本项目技术及服务方案应包括：</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（结合评标办法）</w:t>
      </w:r>
      <w:r/>
    </w:p>
    <w:p>
      <w:pPr>
        <w:pStyle w:val="858"/>
        <w:keepLines w:val="0"/>
        <w:keepNext w:val="0"/>
        <w:spacing w:line="400" w:lineRule="exact"/>
        <w:rPr>
          <w:rFonts w:cs="宋体"/>
          <w:color w:val="auto"/>
          <w:szCs w:val="21"/>
          <w:highlight w:val="none"/>
        </w:rPr>
      </w:pPr>
      <w:r/>
      <w:bookmarkStart w:id="127" w:name="_Toc450220983"/>
      <w:r/>
      <w:bookmarkStart w:id="128" w:name="_Toc401840478"/>
      <w:r/>
      <w:bookmarkStart w:id="129" w:name="_Toc450570295"/>
      <w:r>
        <w:rPr>
          <w:rFonts w:hint="eastAsia" w:cs="宋体"/>
          <w:color w:val="auto"/>
          <w:szCs w:val="21"/>
          <w:highlight w:val="none"/>
        </w:rPr>
        <w:t xml:space="preserve">五、政府采购政策</w:t>
      </w:r>
      <w:bookmarkEnd w:id="127"/>
      <w:r/>
      <w:r/>
    </w:p>
    <w:p>
      <w:pPr>
        <w:spacing w:line="400" w:lineRule="exact"/>
        <w:rPr>
          <w:rFonts w:hAnsi="宋体"/>
          <w:bCs/>
          <w:color w:val="auto"/>
          <w:sz w:val="21"/>
          <w:szCs w:val="21"/>
          <w:highlight w:val="none"/>
        </w:rPr>
        <w:outlineLvl w:val="2"/>
      </w:pPr>
      <w:r/>
      <w:bookmarkStart w:id="130" w:name="_Toc450220984"/>
      <w:r/>
      <w:bookmarkStart w:id="131" w:name="_Toc447021131"/>
      <w:r>
        <w:rPr>
          <w:rFonts w:hint="eastAsia" w:hAnsi="宋体"/>
          <w:bCs/>
          <w:color w:val="auto"/>
          <w:sz w:val="21"/>
          <w:szCs w:val="21"/>
          <w:highlight w:val="none"/>
        </w:rPr>
        <w:t xml:space="preserve">（一）政府采购促进中小企业发展政策</w:t>
      </w:r>
      <w:bookmarkEnd w:id="130"/>
      <w:r/>
      <w:bookmarkEnd w:id="131"/>
      <w:r/>
      <w:r/>
    </w:p>
    <w:p>
      <w:pPr>
        <w:ind w:firstLine="420"/>
        <w:spacing w:line="400" w:lineRule="exact"/>
        <w:rPr>
          <w:rFonts w:hAnsi="宋体"/>
          <w:b/>
          <w:color w:val="auto"/>
          <w:sz w:val="21"/>
          <w:szCs w:val="21"/>
          <w:highlight w:val="none"/>
        </w:rPr>
      </w:pPr>
      <w:r>
        <w:rPr>
          <w:rFonts w:hAnsi="宋体"/>
          <w:b/>
          <w:color w:val="auto"/>
          <w:sz w:val="21"/>
          <w:szCs w:val="21"/>
          <w:highlight w:val="none"/>
        </w:rPr>
      </w:r>
      <w:r/>
    </w:p>
    <w:p>
      <w:pPr>
        <w:ind w:firstLine="420"/>
        <w:spacing w:line="400" w:lineRule="exact"/>
        <w:rPr>
          <w:rFonts w:hAnsi="宋体"/>
          <w:b/>
          <w:color w:val="auto"/>
          <w:sz w:val="21"/>
          <w:szCs w:val="21"/>
          <w:highlight w:val="none"/>
        </w:rPr>
      </w:pPr>
      <w:r>
        <w:rPr>
          <w:rFonts w:hint="eastAsia" w:hAnsi="宋体"/>
          <w:b/>
          <w:color w:val="auto"/>
          <w:sz w:val="21"/>
          <w:szCs w:val="21"/>
          <w:highlight w:val="none"/>
        </w:rPr>
        <w:t xml:space="preserve">1、</w:t>
      </w:r>
      <w:r>
        <w:rPr>
          <w:rFonts w:hint="eastAsia" w:hAnsi="宋体" w:eastAsia="宋体"/>
          <w:b/>
          <w:color w:val="auto"/>
          <w:sz w:val="21"/>
          <w:szCs w:val="21"/>
          <w:highlight w:val="none"/>
          <w:lang w:val="en-US"/>
        </w:rPr>
        <w:t xml:space="preserve">中小</w:t>
      </w:r>
      <w:r>
        <w:rPr>
          <w:rFonts w:hint="eastAsia" w:hAnsi="宋体"/>
          <w:b/>
          <w:color w:val="auto"/>
          <w:sz w:val="21"/>
          <w:szCs w:val="21"/>
          <w:highlight w:val="none"/>
        </w:rPr>
        <w:t xml:space="preserve">企业声明函 </w:t>
      </w:r>
      <w:r/>
    </w:p>
    <w:p>
      <w:pPr>
        <w:ind w:firstLine="560"/>
        <w:jc w:val="center"/>
        <w:rPr>
          <w:color w:val="auto"/>
          <w:sz w:val="24"/>
          <w:highlight w:val="none"/>
        </w:rPr>
      </w:pPr>
      <w:r>
        <w:rPr>
          <w:rFonts w:ascii="黑体" w:hAnsi="宋体" w:eastAsia="黑体" w:cs="黑体"/>
          <w:color w:val="auto"/>
          <w:sz w:val="28"/>
          <w:szCs w:val="28"/>
          <w:highlight w:val="none"/>
        </w:rPr>
        <w:t xml:space="preserve">中小企业声明函（工程、服务）</w:t>
      </w:r>
      <w:r/>
    </w:p>
    <w:p>
      <w:pPr>
        <w:ind w:firstLine="480"/>
        <w:jc w:val="left"/>
        <w:spacing w:line="360" w:lineRule="auto"/>
        <w:widowControl/>
        <w:rPr>
          <w:color w:val="auto"/>
          <w:sz w:val="24"/>
          <w:highlight w:val="none"/>
        </w:rPr>
      </w:pPr>
      <w:r>
        <w:rPr>
          <w:color w:val="auto"/>
          <w:sz w:val="24"/>
          <w:highlight w:val="none"/>
        </w:rPr>
        <w:t xml:space="preserve"> </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1.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rPr>
          <w:rFonts w:hint="eastAsia" w:ascii="宋体" w:hAnsi="宋体"/>
          <w:color w:val="auto"/>
          <w:szCs w:val="21"/>
          <w:highlight w:val="none"/>
          <w:vertAlign w:val="superscript"/>
        </w:rPr>
        <w:t xml:space="preserve">1</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2.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80"/>
        <w:jc w:val="left"/>
        <w:spacing w:line="360" w:lineRule="auto"/>
        <w:widowControl/>
        <w:rPr>
          <w:color w:val="auto"/>
          <w:szCs w:val="21"/>
          <w:highlight w:val="none"/>
        </w:rPr>
      </w:pPr>
      <w:r>
        <w:rPr>
          <w:color w:val="auto"/>
          <w:szCs w:val="21"/>
          <w:highlight w:val="none"/>
        </w:rPr>
        <w:t xml:space="preserve"> </w:t>
      </w:r>
      <w:r/>
    </w:p>
    <w:p>
      <w:pPr>
        <w:ind w:firstLine="480"/>
        <w:jc w:val="right"/>
        <w:spacing w:line="360" w:lineRule="auto"/>
        <w:widowControl/>
        <w:rPr>
          <w:color w:val="auto"/>
          <w:szCs w:val="21"/>
          <w:highlight w:val="none"/>
        </w:rPr>
      </w:pPr>
      <w:r>
        <w:rPr>
          <w:rFonts w:hint="eastAsia" w:ascii="宋体" w:hAnsi="宋体"/>
          <w:color w:val="auto"/>
          <w:szCs w:val="21"/>
          <w:highlight w:val="none"/>
        </w:rPr>
        <w:t xml:space="preserve">企业名称（盖章）：    </w:t>
      </w:r>
      <w:r/>
    </w:p>
    <w:p>
      <w:pPr>
        <w:ind w:firstLine="480"/>
        <w:jc w:val="center"/>
        <w:spacing w:line="360" w:lineRule="auto"/>
        <w:widowControl/>
        <w:rPr>
          <w:color w:val="auto"/>
          <w:sz w:val="24"/>
          <w:highlight w:val="none"/>
        </w:rPr>
      </w:pPr>
      <w:r>
        <w:rPr>
          <w:rFonts w:hint="eastAsia" w:ascii="宋体" w:hAnsi="宋体"/>
          <w:color w:val="auto"/>
          <w:szCs w:val="21"/>
          <w:highlight w:val="none"/>
        </w:rPr>
        <w:t xml:space="preserve">                                                日期：</w:t>
      </w:r>
      <w:r>
        <w:rPr>
          <w:rFonts w:hint="eastAsia" w:ascii="宋体" w:hAnsi="宋体"/>
          <w:color w:val="auto"/>
          <w:sz w:val="24"/>
          <w:szCs w:val="24"/>
          <w:highlight w:val="none"/>
        </w:rPr>
        <w:t xml:space="preserve">          </w:t>
      </w:r>
      <w:r>
        <w:rPr>
          <w:rFonts w:hint="eastAsia" w:ascii="宋体" w:hAnsi="宋体"/>
          <w:color w:val="auto"/>
          <w:szCs w:val="21"/>
          <w:highlight w:val="none"/>
        </w:rPr>
        <w:t xml:space="preserve">     </w:t>
      </w:r>
      <w:r/>
    </w:p>
    <w:p>
      <w:pPr>
        <w:ind w:firstLine="480"/>
        <w:rPr>
          <w:color w:val="auto"/>
          <w:sz w:val="24"/>
          <w:highlight w:val="none"/>
        </w:rPr>
      </w:pPr>
      <w:r>
        <w:rPr>
          <w:color w:val="auto"/>
          <w:sz w:val="24"/>
          <w:highlight w:val="none"/>
        </w:rPr>
        <w:t xml:space="preserve"> </w:t>
      </w:r>
      <w:r/>
    </w:p>
    <w:p>
      <w:pPr>
        <w:ind w:firstLine="480"/>
        <w:spacing w:line="300" w:lineRule="auto"/>
        <w:rPr>
          <w:color w:val="auto"/>
          <w:sz w:val="24"/>
          <w:highlight w:val="none"/>
        </w:rPr>
      </w:pPr>
      <w:r>
        <w:rPr>
          <w:color w:val="auto"/>
          <w:sz w:val="24"/>
          <w:highlight w:val="none"/>
        </w:rPr>
      </w:r>
      <w:r/>
    </w:p>
    <w:p>
      <w:pPr>
        <w:ind w:firstLine="480"/>
        <w:spacing w:line="300" w:lineRule="auto"/>
        <w:rPr>
          <w:color w:val="auto"/>
          <w:sz w:val="24"/>
          <w:highlight w:val="none"/>
        </w:rPr>
      </w:pPr>
      <w:r>
        <w:rPr>
          <w:rFonts w:hint="eastAsia" w:ascii="宋体" w:hAnsi="宋体"/>
          <w:color w:val="auto"/>
          <w:szCs w:val="21"/>
          <w:highlight w:val="none"/>
        </w:rPr>
        <w:t xml:space="preserve">注：1.从业人员、营业收入、资产总额填报上一年度数据，无上一年度数据的新成立企业可不填报。</w:t>
      </w:r>
      <w:r/>
    </w:p>
    <w:p>
      <w:pPr>
        <w:numPr>
          <w:ilvl w:val="0"/>
          <w:numId w:val="12"/>
        </w:numPr>
        <w:ind w:firstLine="420"/>
        <w:spacing w:line="300" w:lineRule="auto"/>
        <w:rPr>
          <w:rFonts w:ascii="宋体" w:hAnsi="宋体"/>
          <w:color w:val="auto"/>
          <w:szCs w:val="21"/>
          <w:highlight w:val="none"/>
        </w:rPr>
      </w:pPr>
      <w:r>
        <w:rPr>
          <w:rFonts w:hint="eastAsia" w:ascii="宋体" w:hAnsi="宋体"/>
          <w:color w:val="auto"/>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olor w:val="auto"/>
          <w:szCs w:val="21"/>
          <w:highlight w:val="none"/>
        </w:rPr>
      </w:pPr>
      <w:r>
        <w:rPr>
          <w:rFonts w:ascii="宋体" w:hAnsi="宋体"/>
          <w:color w:val="auto"/>
          <w:szCs w:val="21"/>
          <w:highlight w:val="none"/>
        </w:rPr>
      </w:r>
      <w:r/>
    </w:p>
    <w:p>
      <w:pPr>
        <w:pStyle w:val="858"/>
        <w:spacing w:line="400" w:lineRule="exact"/>
        <w:rPr>
          <w:rFonts w:cs="宋体"/>
          <w:color w:val="auto"/>
          <w:szCs w:val="21"/>
          <w:highlight w:val="none"/>
          <w:lang w:val="zh-CN"/>
        </w:rPr>
      </w:pPr>
      <w:r>
        <w:rPr>
          <w:rFonts w:hint="eastAsia" w:cs="宋体"/>
          <w:color w:val="auto"/>
          <w:szCs w:val="21"/>
          <w:highlight w:val="none"/>
        </w:rPr>
        <w:t xml:space="preserve">六</w:t>
      </w:r>
      <w:r>
        <w:rPr>
          <w:rFonts w:hint="eastAsia" w:cs="宋体"/>
          <w:color w:val="auto"/>
          <w:szCs w:val="21"/>
          <w:highlight w:val="none"/>
          <w:lang w:val="zh-CN"/>
        </w:rPr>
        <w:t xml:space="preserve">、 供应商基本情况表</w:t>
      </w:r>
      <w:r/>
    </w:p>
    <w:tbl>
      <w:tblPr>
        <w:tblStyle w:val="86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ind w:firstLine="422"/>
              <w:jc w:val="center"/>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供应商名称</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ascii="宋体" w:hAnsi="宋体" w:eastAsia="宋体"/>
                <w:b/>
                <w:bCs/>
                <w:color w:val="auto"/>
                <w:szCs w:val="21"/>
                <w:highlight w:val="none"/>
              </w:rPr>
            </w:r>
            <w:r/>
          </w:p>
        </w:tc>
      </w:tr>
      <w:tr>
        <w:trPr>
          <w:trHeight w:val="986"/>
        </w:trPr>
        <w:tc>
          <w:tcPr>
            <w:tcW w:w="1809" w:type="dxa"/>
            <w:vAlign w:val="center"/>
            <w:textDirection w:val="lrTb"/>
            <w:noWrap w:val="false"/>
          </w:tcPr>
          <w:p>
            <w:pPr>
              <w:ind w:firstLine="422"/>
              <w:jc w:val="center"/>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社会机构统一信用代码</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ascii="宋体" w:hAnsi="宋体" w:eastAsia="宋体"/>
                <w:b/>
                <w:bCs/>
                <w:color w:val="auto"/>
                <w:szCs w:val="21"/>
                <w:highlight w:val="none"/>
              </w:rPr>
            </w:r>
            <w:r/>
          </w:p>
        </w:tc>
      </w:tr>
      <w:tr>
        <w:trPr>
          <w:trHeight w:val="1114"/>
        </w:trPr>
        <w:tc>
          <w:tcPr>
            <w:tcW w:w="1809" w:type="dxa"/>
            <w:vAlign w:val="center"/>
            <w:textDirection w:val="lrTb"/>
            <w:noWrap w:val="false"/>
          </w:tcPr>
          <w:p>
            <w:pPr>
              <w:ind w:firstLine="422"/>
              <w:jc w:val="center"/>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供应商规模</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大型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中型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小微型      </w:t>
            </w:r>
            <w:r/>
          </w:p>
        </w:tc>
      </w:tr>
      <w:tr>
        <w:trPr>
          <w:trHeight w:val="1130"/>
        </w:trPr>
        <w:tc>
          <w:tcPr>
            <w:tcW w:w="1809" w:type="dxa"/>
            <w:vAlign w:val="center"/>
            <w:textDirection w:val="lrTb"/>
            <w:noWrap w:val="false"/>
          </w:tcPr>
          <w:p>
            <w:pPr>
              <w:ind w:firstLine="422"/>
              <w:jc w:val="center"/>
              <w:rPr>
                <w:rFonts w:ascii="宋体" w:hAnsi="宋体" w:eastAsia="宋体"/>
                <w:b/>
                <w:bCs/>
                <w:color w:val="auto"/>
                <w:szCs w:val="21"/>
                <w:highlight w:val="none"/>
              </w:rPr>
            </w:pPr>
            <w:r>
              <w:rPr>
                <w:rFonts w:hint="eastAsia" w:ascii="宋体" w:hAnsi="宋体" w:eastAsia="宋体"/>
                <w:b/>
                <w:bCs/>
                <w:color w:val="auto"/>
                <w:szCs w:val="21"/>
                <w:highlight w:val="none"/>
              </w:rPr>
              <w:t xml:space="preserve">供应商所在区域</w:t>
            </w:r>
            <w:r/>
          </w:p>
          <w:p>
            <w:pPr>
              <w:ind w:firstLine="422"/>
              <w:jc w:val="center"/>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（细化到省份）</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ascii="宋体" w:hAnsi="宋体" w:eastAsia="宋体"/>
                <w:b/>
                <w:bCs/>
                <w:color w:val="auto"/>
                <w:szCs w:val="21"/>
                <w:highlight w:val="none"/>
              </w:rPr>
            </w:r>
            <w:r/>
          </w:p>
        </w:tc>
      </w:tr>
      <w:tr>
        <w:trPr>
          <w:trHeight w:val="835"/>
        </w:trPr>
        <w:tc>
          <w:tcPr>
            <w:tcW w:w="1809" w:type="dxa"/>
            <w:vAlign w:val="center"/>
            <w:textDirection w:val="lrTb"/>
            <w:noWrap w:val="false"/>
          </w:tcPr>
          <w:p>
            <w:pPr>
              <w:ind w:firstLine="422"/>
              <w:jc w:val="center"/>
              <w:rPr>
                <w:rFonts w:ascii="宋体" w:hAnsi="宋体" w:eastAsia="宋体"/>
                <w:b/>
                <w:bCs/>
                <w:color w:val="auto"/>
                <w:szCs w:val="21"/>
                <w:highlight w:val="none"/>
              </w:rPr>
            </w:pPr>
            <w:r>
              <w:rPr>
                <w:rFonts w:hint="eastAsia" w:ascii="宋体" w:hAnsi="宋体" w:eastAsia="宋体"/>
                <w:b/>
                <w:bCs/>
                <w:color w:val="auto"/>
                <w:szCs w:val="21"/>
                <w:highlight w:val="none"/>
              </w:rPr>
              <w:t xml:space="preserve">是否特殊性质</w:t>
            </w:r>
            <w:r/>
          </w:p>
        </w:tc>
        <w:tc>
          <w:tcPr>
            <w:tcW w:w="7513" w:type="dxa"/>
            <w:vAlign w:val="center"/>
            <w:textDirection w:val="lrTb"/>
            <w:noWrap w:val="false"/>
          </w:tcPr>
          <w:p>
            <w:pPr>
              <w:ind w:firstLine="422"/>
              <w:spacing w:line="312" w:lineRule="atLeast"/>
              <w:rPr>
                <w:rFonts w:ascii="宋体" w:hAnsi="宋体" w:eastAsia="宋体"/>
                <w:b/>
                <w:bCs/>
                <w:color w:val="auto"/>
                <w:szCs w:val="21"/>
                <w:highlight w:val="none"/>
              </w:rPr>
            </w:pPr>
            <w:r>
              <w:rPr>
                <w:rFonts w:hint="eastAsia" w:ascii="宋体" w:hAnsi="宋体" w:eastAsia="宋体"/>
                <w:b/>
                <w:bCs/>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监狱企业残疾人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福利性单位     </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其他</w:t>
            </w:r>
            <w:r/>
          </w:p>
        </w:tc>
      </w:tr>
    </w:tbl>
    <w:p>
      <w:pPr>
        <w:rPr>
          <w:rFonts w:ascii="宋体" w:hAnsi="宋体" w:eastAsia="宋体"/>
          <w:color w:val="auto"/>
          <w:szCs w:val="21"/>
          <w:highlight w:val="none"/>
        </w:rPr>
      </w:pPr>
      <w:r>
        <w:rPr>
          <w:rFonts w:hint="eastAsia" w:ascii="宋体" w:hAnsi="宋体" w:eastAsia="宋体"/>
          <w:color w:val="auto"/>
          <w:szCs w:val="21"/>
          <w:highlight w:val="none"/>
        </w:rPr>
        <w:t xml:space="preserve">注：</w:t>
      </w:r>
      <w:r/>
    </w:p>
    <w:p>
      <w:pPr>
        <w:ind w:firstLine="208"/>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1、供应商规模：供应商应对照工业和信息化部、国家统计局、国家发展改革委、财政部《关于印发中小企业划型标准规定的通知》（工信部联企业〔2011〕300 号）中的规模划分勾选自身规模；</w:t>
      </w:r>
      <w:r/>
    </w:p>
    <w:p>
      <w:pPr>
        <w:ind w:firstLine="208"/>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2、供应商所在区域：指供应商注册地所在地区，具体细化到省份；</w:t>
      </w:r>
      <w:r/>
    </w:p>
    <w:p>
      <w:pPr>
        <w:ind w:firstLine="208"/>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p>
    <w:p>
      <w:pPr>
        <w:ind w:firstLine="482"/>
        <w:spacing w:after="156" w:line="440" w:lineRule="exact"/>
        <w:rPr>
          <w:rFonts w:ascii="宋体" w:hAnsi="宋体" w:eastAsia="宋体"/>
          <w:b/>
          <w:bCs/>
          <w:color w:val="auto"/>
          <w:szCs w:val="21"/>
          <w:highlight w:val="none"/>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bookmarkStart w:id="132" w:name="_Toc22359"/>
      <w:r/>
      <w:bookmarkStart w:id="133" w:name="_Toc15999"/>
      <w:r/>
      <w:r/>
    </w:p>
    <w:p>
      <w:pPr>
        <w:pStyle w:val="858"/>
        <w:spacing w:line="400" w:lineRule="exact"/>
        <w:rPr>
          <w:rFonts w:cs="宋体"/>
          <w:color w:val="auto"/>
          <w:szCs w:val="21"/>
          <w:highlight w:val="none"/>
        </w:rPr>
      </w:pPr>
      <w:r/>
      <w:bookmarkStart w:id="134" w:name="_Toc5959"/>
      <w:r/>
      <w:bookmarkStart w:id="135" w:name="_Toc3150"/>
      <w:r/>
      <w:bookmarkStart w:id="136" w:name="_Toc11161"/>
      <w:r/>
      <w:bookmarkStart w:id="137" w:name="_Toc13628"/>
      <w:r/>
      <w:bookmarkStart w:id="138" w:name="_Toc2574"/>
      <w:r>
        <w:rPr>
          <w:rFonts w:hint="eastAsia" w:cs="宋体"/>
          <w:color w:val="auto"/>
          <w:szCs w:val="21"/>
          <w:highlight w:val="none"/>
        </w:rPr>
        <w:t xml:space="preserve">七、</w:t>
      </w:r>
      <w:r>
        <w:rPr>
          <w:rFonts w:hint="eastAsia" w:cs="宋体"/>
          <w:color w:val="auto"/>
          <w:szCs w:val="21"/>
          <w:highlight w:val="none"/>
          <w:lang w:val="zh-CN"/>
        </w:rPr>
        <w:t xml:space="preserve">供应商情况告知表</w:t>
      </w:r>
      <w:r>
        <w:rPr>
          <w:rFonts w:hint="eastAsia" w:cs="宋体"/>
          <w:color w:val="auto"/>
          <w:szCs w:val="21"/>
          <w:highlight w:val="none"/>
        </w:rPr>
        <w:t xml:space="preserve">—附表</w:t>
      </w:r>
      <w:bookmarkEnd w:id="132"/>
      <w:r/>
      <w:bookmarkEnd w:id="133"/>
      <w:r/>
      <w:bookmarkEnd w:id="134"/>
      <w:r/>
      <w:bookmarkEnd w:id="135"/>
      <w:r/>
      <w:bookmarkEnd w:id="136"/>
      <w:r/>
      <w:bookmarkEnd w:id="137"/>
      <w:r/>
      <w:bookmarkEnd w:id="138"/>
      <w:r/>
      <w:r/>
    </w:p>
    <w:p>
      <w:pPr>
        <w:ind w:firstLine="402"/>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中小企业划型标准规定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一、根据《中华人民共和国中小企业促进法》和《国务院关于进一步促进中小企业发展的若干意见》(国发〔2009〕36号)，制定本规定。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二、中小企业划分为中型、小型、微型三种类型，具体标准根据企业从业人员、营业收入、资产总额等指标，结合行业特点制定。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四、各行业划型标准为：</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五、企业类型的划分以统计部门的统计数据为依据。</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六、本规定适用于在中华人民共和国境内依法设立的各类所有制和各种组织形式的企业。个体工商户和本规定以外的行业，参照本规定进行划型。</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八、本规定由工业和信息化部、国家统计局会同有关部门根据《国民经济行业分类》修订情况和企业发展变化情况适时修订。</w:t>
      </w:r>
      <w:r/>
    </w:p>
    <w:p>
      <w:pPr>
        <w:ind w:firstLine="400"/>
        <w:jc w:val="left"/>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九、本规定由工业和信息化部、国家统计局会同有关部门负责解释。</w:t>
      </w:r>
      <w:r/>
    </w:p>
    <w:p>
      <w:pPr>
        <w:pStyle w:val="914"/>
        <w:rPr>
          <w:rFonts w:ascii="宋体" w:hAnsi="宋体"/>
          <w:color w:val="auto"/>
          <w:szCs w:val="21"/>
          <w:highlight w:val="none"/>
        </w:rPr>
        <w:sectPr>
          <w:headerReference w:type="default" r:id="rId9"/>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olor w:val="auto"/>
          <w:szCs w:val="21"/>
          <w:highlight w:val="none"/>
        </w:rPr>
        <w:t xml:space="preserve">十、本规定自发布之日起执行，原国家经贸委、原国家计委、财政部和国家统计局2003年颁布的《中小企业标准暂行规定》同时废止。</w:t>
      </w:r>
      <w:r/>
    </w:p>
    <w:p>
      <w:pPr>
        <w:pStyle w:val="858"/>
        <w:spacing w:line="400" w:lineRule="exact"/>
        <w:rPr>
          <w:rFonts w:cs="宋体"/>
          <w:color w:val="auto"/>
          <w:szCs w:val="21"/>
          <w:highlight w:val="none"/>
        </w:rPr>
      </w:pPr>
      <w:r>
        <w:rPr>
          <w:rFonts w:hint="eastAsia" w:cs="宋体"/>
          <w:color w:val="auto"/>
          <w:szCs w:val="21"/>
          <w:highlight w:val="none"/>
        </w:rPr>
        <w:t xml:space="preserve">八、其他针对评标办法的其他相关文件</w:t>
      </w:r>
      <w:bookmarkEnd w:id="128"/>
      <w:r/>
      <w:bookmarkEnd w:id="129"/>
      <w:r/>
      <w:bookmarkEnd w:id="77"/>
      <w:bookmarkEnd w:id="78"/>
      <w:bookmarkEnd w:id="79"/>
      <w:bookmarkEnd w:id="80"/>
      <w:bookmarkEnd w:id="81"/>
      <w:bookmarkEnd w:id="82"/>
      <w:bookmarkEnd w:id="83"/>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sectPr>
      <w:footerReference w:type="default" r:id="rId15"/>
      <w:footerReference w:type="first" r:id="rId16"/>
      <w:footnotePr/>
      <w:endnotePr/>
      <w:type w:val="nextPage"/>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2"/>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8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28</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28</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40</w:t>
                          </w:r>
                          <w:r>
                            <w:rPr>
                              <w:rFonts w:eastAsia="宋体"/>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40</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rPr>
        <w:u w:val="single"/>
      </w:rPr>
      <w:pBdr>
        <w:bottom w:val="single" w:color="auto" w:sz="4"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3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6">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pStyle w:val="107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bullet"/>
      <w:pStyle w:val="126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94"/>
      <w:isLgl w:val="false"/>
      <w:suff w:val="tab"/>
      <w:lvlText w:val="%1"/>
      <w:lvlJc w:val="left"/>
      <w:pPr>
        <w:ind w:left="567" w:hanging="567"/>
        <w:tabs>
          <w:tab w:val="left" w:pos="567" w:leader="none"/>
        </w:tabs>
      </w:pPr>
      <w:rPr>
        <w:rFonts w:hint="eastAsia"/>
      </w:rPr>
    </w:lvl>
    <w:lvl w:ilvl="1">
      <w:start w:val="1"/>
      <w:numFmt w:val="decimal"/>
      <w:pStyle w:val="1137"/>
      <w:isLgl w:val="false"/>
      <w:suff w:val="tab"/>
      <w:lvlText w:val="%1.%2"/>
      <w:lvlJc w:val="left"/>
      <w:pPr>
        <w:ind w:left="567" w:hanging="283"/>
        <w:tabs>
          <w:tab w:val="left" w:pos="1004" w:leader="none"/>
        </w:tabs>
      </w:pPr>
      <w:rPr>
        <w:rFonts w:hint="eastAsia"/>
      </w:rPr>
    </w:lvl>
    <w:lvl w:ilvl="2">
      <w:start w:val="1"/>
      <w:numFmt w:val="decimal"/>
      <w:pStyle w:val="113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
  </w:num>
  <w:num w:numId="3">
    <w:abstractNumId w:val="7"/>
  </w:num>
  <w:num w:numId="4">
    <w:abstractNumId w:val="10"/>
  </w:num>
  <w:num w:numId="5">
    <w:abstractNumId w:val="9"/>
  </w:num>
  <w:num w:numId="6">
    <w:abstractNumId w:val="4"/>
  </w:num>
  <w:num w:numId="7">
    <w:abstractNumId w:val="8"/>
  </w:num>
  <w:num w:numId="8">
    <w:abstractNumId w:val="11"/>
  </w:num>
  <w:num w:numId="9">
    <w:abstractNumId w:val="3"/>
  </w:num>
  <w:num w:numId="10">
    <w:abstractNumId w:val="6"/>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character" w:styleId="34">
    <w:name w:val="Title Char"/>
    <w:basedOn w:val="866"/>
    <w:link w:val="912"/>
    <w:uiPriority w:val="10"/>
    <w:rPr>
      <w:sz w:val="48"/>
      <w:szCs w:val="48"/>
    </w:rPr>
  </w:style>
  <w:style w:type="character" w:styleId="36">
    <w:name w:val="Subtitle Char"/>
    <w:basedOn w:val="866"/>
    <w:link w:val="899"/>
    <w:uiPriority w:val="11"/>
    <w:rPr>
      <w:sz w:val="24"/>
      <w:szCs w:val="24"/>
    </w:rPr>
  </w:style>
  <w:style w:type="character" w:styleId="38">
    <w:name w:val="Quote Char"/>
    <w:link w:val="989"/>
    <w:uiPriority w:val="29"/>
    <w:rPr>
      <w:i/>
    </w:rPr>
  </w:style>
  <w:style w:type="character" w:styleId="40">
    <w:name w:val="Intense Quote Char"/>
    <w:link w:val="973"/>
    <w:uiPriority w:val="30"/>
    <w:rPr>
      <w:i/>
    </w:rPr>
  </w:style>
  <w:style w:type="character" w:styleId="42">
    <w:name w:val="Header Char"/>
    <w:basedOn w:val="866"/>
    <w:link w:val="893"/>
    <w:uiPriority w:val="99"/>
  </w:style>
  <w:style w:type="character" w:styleId="44">
    <w:name w:val="Footer Char"/>
    <w:basedOn w:val="866"/>
    <w:link w:val="892"/>
    <w:uiPriority w:val="99"/>
  </w:style>
  <w:style w:type="paragraph" w:styleId="45">
    <w:name w:val="Caption"/>
    <w:basedOn w:val="856"/>
    <w:next w:val="856"/>
    <w:uiPriority w:val="35"/>
    <w:semiHidden/>
    <w:unhideWhenUsed/>
    <w:qFormat/>
    <w:pPr>
      <w:spacing w:line="276" w:lineRule="auto"/>
    </w:pPr>
    <w:rPr>
      <w:b/>
      <w:bCs/>
      <w:color w:val="4f81bd" w:themeColor="accent1"/>
      <w:sz w:val="18"/>
      <w:szCs w:val="18"/>
    </w:rPr>
  </w:style>
  <w:style w:type="character" w:styleId="46">
    <w:name w:val="Caption Char"/>
    <w:basedOn w:val="45"/>
    <w:link w:val="892"/>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paragraph" w:styleId="189">
    <w:name w:val="TOC Heading"/>
    <w:uiPriority w:val="39"/>
    <w:unhideWhenUsed/>
  </w:style>
  <w:style w:type="paragraph" w:styleId="856" w:default="1">
    <w:name w:val="Normal"/>
    <w:uiPriority w:val="0"/>
    <w:qFormat/>
    <w:pPr>
      <w:jc w:val="both"/>
      <w:widowControl w:val="off"/>
    </w:pPr>
    <w:rPr>
      <w:rFonts w:ascii="Calibri" w:hAnsi="Calibri" w:eastAsia="Calibri" w:cs="宋体"/>
      <w:lang w:val="zh-CN" w:eastAsia="zh-CN" w:bidi="ar-SA"/>
    </w:rPr>
  </w:style>
  <w:style w:type="paragraph" w:styleId="857">
    <w:name w:val="Heading 1"/>
    <w:basedOn w:val="856"/>
    <w:next w:val="856"/>
    <w:link w:val="93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58">
    <w:name w:val="Heading 2"/>
    <w:basedOn w:val="856"/>
    <w:next w:val="856"/>
    <w:link w:val="933"/>
    <w:uiPriority w:val="0"/>
    <w:qFormat/>
    <w:pPr>
      <w:jc w:val="left"/>
      <w:keepLines/>
      <w:keepNext/>
      <w:spacing w:before="120" w:after="120"/>
      <w:outlineLvl w:val="1"/>
    </w:pPr>
    <w:rPr>
      <w:rFonts w:ascii="宋体" w:hAnsi="宋体" w:eastAsia="宋体" w:cs="Times New Roman"/>
      <w:b/>
      <w:sz w:val="21"/>
      <w:szCs w:val="24"/>
      <w:lang w:val="en-US"/>
    </w:rPr>
  </w:style>
  <w:style w:type="paragraph" w:styleId="859">
    <w:name w:val="Heading 3"/>
    <w:basedOn w:val="856"/>
    <w:next w:val="856"/>
    <w:link w:val="103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60">
    <w:name w:val="Heading 4"/>
    <w:basedOn w:val="856"/>
    <w:next w:val="856"/>
    <w:link w:val="935"/>
    <w:uiPriority w:val="0"/>
    <w:qFormat/>
    <w:pPr>
      <w:keepLines/>
      <w:keepNext/>
      <w:spacing w:before="120" w:after="120"/>
      <w:outlineLvl w:val="3"/>
    </w:pPr>
    <w:rPr>
      <w:rFonts w:ascii="Arial" w:hAnsi="Arial" w:eastAsia="黑体" w:cs="Times New Roman"/>
      <w:b/>
      <w:sz w:val="28"/>
      <w:lang w:val="en-US"/>
    </w:rPr>
  </w:style>
  <w:style w:type="paragraph" w:styleId="861">
    <w:name w:val="Heading 5"/>
    <w:basedOn w:val="856"/>
    <w:next w:val="868"/>
    <w:link w:val="936"/>
    <w:uiPriority w:val="0"/>
    <w:qFormat/>
    <w:pPr>
      <w:keepNext/>
      <w:outlineLvl w:val="4"/>
    </w:pPr>
    <w:rPr>
      <w:rFonts w:ascii="黑体" w:eastAsia="黑体" w:cs="Times New Roman"/>
      <w:b/>
      <w:color w:val="000000"/>
      <w:sz w:val="28"/>
      <w:lang w:val="en-US"/>
    </w:rPr>
  </w:style>
  <w:style w:type="paragraph" w:styleId="862">
    <w:name w:val="Heading 6"/>
    <w:basedOn w:val="856"/>
    <w:next w:val="856"/>
    <w:link w:val="93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63">
    <w:name w:val="Heading 7"/>
    <w:basedOn w:val="856"/>
    <w:next w:val="856"/>
    <w:link w:val="938"/>
    <w:uiPriority w:val="0"/>
    <w:qFormat/>
    <w:pPr>
      <w:keepLines/>
      <w:keepNext/>
      <w:spacing w:before="240" w:after="64" w:line="320" w:lineRule="auto"/>
      <w:outlineLvl w:val="6"/>
    </w:pPr>
    <w:rPr>
      <w:rFonts w:eastAsia="宋体" w:cs="Times New Roman"/>
      <w:b/>
      <w:bCs/>
      <w:sz w:val="24"/>
      <w:szCs w:val="24"/>
      <w:lang w:val="en-US"/>
    </w:rPr>
  </w:style>
  <w:style w:type="paragraph" w:styleId="864">
    <w:name w:val="Heading 8"/>
    <w:basedOn w:val="856"/>
    <w:next w:val="856"/>
    <w:link w:val="93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65">
    <w:name w:val="Heading 9"/>
    <w:basedOn w:val="856"/>
    <w:next w:val="856"/>
    <w:link w:val="94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next w:val="856"/>
    <w:uiPriority w:val="0"/>
    <w:qFormat/>
    <w:pPr>
      <w:ind w:firstLine="420"/>
    </w:pPr>
  </w:style>
  <w:style w:type="paragraph" w:styleId="869">
    <w:name w:val="List 3"/>
    <w:basedOn w:val="856"/>
    <w:uiPriority w:val="0"/>
    <w:qFormat/>
    <w:pPr>
      <w:ind w:left="1260" w:hanging="420"/>
    </w:pPr>
  </w:style>
  <w:style w:type="paragraph" w:styleId="870">
    <w:name w:val="toc 7"/>
    <w:basedOn w:val="856"/>
    <w:next w:val="856"/>
    <w:uiPriority w:val="0"/>
    <w:semiHidden/>
    <w:qFormat/>
    <w:pPr>
      <w:ind w:left="1260"/>
      <w:jc w:val="left"/>
    </w:pPr>
    <w:rPr>
      <w:sz w:val="18"/>
    </w:rPr>
  </w:style>
  <w:style w:type="paragraph" w:styleId="871">
    <w:name w:val="List Number 2"/>
    <w:basedOn w:val="856"/>
    <w:uiPriority w:val="0"/>
    <w:qFormat/>
    <w:pPr>
      <w:ind w:left="1440" w:hanging="1440"/>
      <w:spacing w:line="360" w:lineRule="auto"/>
      <w:tabs>
        <w:tab w:val="left" w:pos="1440" w:leader="none"/>
      </w:tabs>
    </w:pPr>
    <w:rPr>
      <w:sz w:val="24"/>
      <w:szCs w:val="24"/>
    </w:rPr>
  </w:style>
  <w:style w:type="paragraph" w:styleId="872">
    <w:name w:val="index 8"/>
    <w:basedOn w:val="856"/>
    <w:next w:val="856"/>
    <w:uiPriority w:val="0"/>
    <w:semiHidden/>
    <w:qFormat/>
    <w:pPr>
      <w:ind w:left="2940"/>
    </w:pPr>
  </w:style>
  <w:style w:type="paragraph" w:styleId="873">
    <w:name w:val="List Number"/>
    <w:basedOn w:val="856"/>
    <w:uiPriority w:val="0"/>
    <w:qFormat/>
    <w:pPr>
      <w:ind w:left="2952" w:hanging="432"/>
      <w:tabs>
        <w:tab w:val="left" w:pos="2952" w:leader="none"/>
      </w:tabs>
    </w:pPr>
    <w:rPr>
      <w:szCs w:val="24"/>
    </w:rPr>
  </w:style>
  <w:style w:type="paragraph" w:styleId="874">
    <w:name w:val="index 5"/>
    <w:basedOn w:val="856"/>
    <w:next w:val="856"/>
    <w:uiPriority w:val="0"/>
    <w:semiHidden/>
    <w:qFormat/>
    <w:pPr>
      <w:ind w:left="1680"/>
    </w:pPr>
  </w:style>
  <w:style w:type="paragraph" w:styleId="875">
    <w:name w:val="Document Map"/>
    <w:basedOn w:val="856"/>
    <w:link w:val="979"/>
    <w:uiPriority w:val="0"/>
    <w:semiHidden/>
    <w:qFormat/>
    <w:pPr>
      <w:shd w:val="clear" w:color="auto" w:fill="000080"/>
    </w:pPr>
    <w:rPr>
      <w:rFonts w:eastAsia="宋体" w:asciiTheme="minorHAnsi" w:hAnsiTheme="minorHAnsi" w:cstheme="minorBidi"/>
      <w:sz w:val="21"/>
      <w:szCs w:val="22"/>
      <w:lang w:val="en-US"/>
    </w:rPr>
  </w:style>
  <w:style w:type="paragraph" w:styleId="876">
    <w:name w:val="annotation text"/>
    <w:basedOn w:val="856"/>
    <w:link w:val="1097"/>
    <w:uiPriority w:val="99"/>
    <w:unhideWhenUsed/>
    <w:qFormat/>
    <w:pPr>
      <w:jc w:val="left"/>
    </w:pPr>
  </w:style>
  <w:style w:type="paragraph" w:styleId="877">
    <w:name w:val="index 6"/>
    <w:basedOn w:val="856"/>
    <w:next w:val="856"/>
    <w:uiPriority w:val="0"/>
    <w:semiHidden/>
    <w:qFormat/>
    <w:pPr>
      <w:ind w:left="2100"/>
    </w:pPr>
  </w:style>
  <w:style w:type="paragraph" w:styleId="878">
    <w:name w:val="Salutation"/>
    <w:basedOn w:val="856"/>
    <w:next w:val="856"/>
    <w:link w:val="1139"/>
    <w:uiPriority w:val="0"/>
    <w:qFormat/>
    <w:rPr>
      <w:rFonts w:ascii="仿宋_GB2312" w:eastAsia="仿宋_GB2312"/>
      <w:sz w:val="28"/>
    </w:rPr>
  </w:style>
  <w:style w:type="paragraph" w:styleId="879">
    <w:name w:val="Body Text 3"/>
    <w:basedOn w:val="856"/>
    <w:link w:val="1129"/>
    <w:uiPriority w:val="0"/>
    <w:qFormat/>
    <w:rPr>
      <w:rFonts w:ascii="仿宋_GB2312" w:hAnsi="Arial" w:eastAsia="仿宋_GB2312"/>
      <w:sz w:val="32"/>
    </w:rPr>
  </w:style>
  <w:style w:type="paragraph" w:styleId="880">
    <w:name w:val="Body Text"/>
    <w:basedOn w:val="856"/>
    <w:next w:val="856"/>
    <w:link w:val="1081"/>
    <w:uiPriority w:val="0"/>
    <w:unhideWhenUsed/>
    <w:qFormat/>
    <w:pPr>
      <w:spacing w:after="120"/>
    </w:pPr>
  </w:style>
  <w:style w:type="paragraph" w:styleId="881">
    <w:name w:val="Body Text Indent"/>
    <w:basedOn w:val="856"/>
    <w:link w:val="1020"/>
    <w:uiPriority w:val="0"/>
    <w:qFormat/>
    <w:pPr>
      <w:ind w:firstLine="645"/>
    </w:pPr>
    <w:rPr>
      <w:rFonts w:ascii="楷体_GB2312" w:eastAsia="楷体_GB2312" w:hAnsiTheme="minorHAnsi" w:cstheme="minorBidi"/>
      <w:sz w:val="32"/>
      <w:szCs w:val="22"/>
      <w:lang w:val="en-US"/>
    </w:rPr>
  </w:style>
  <w:style w:type="paragraph" w:styleId="882">
    <w:name w:val="index 4"/>
    <w:basedOn w:val="856"/>
    <w:next w:val="856"/>
    <w:uiPriority w:val="0"/>
    <w:semiHidden/>
    <w:qFormat/>
    <w:pPr>
      <w:ind w:left="1260"/>
    </w:pPr>
  </w:style>
  <w:style w:type="paragraph" w:styleId="883">
    <w:name w:val="toc 5"/>
    <w:basedOn w:val="856"/>
    <w:next w:val="856"/>
    <w:uiPriority w:val="0"/>
    <w:semiHidden/>
    <w:qFormat/>
    <w:pPr>
      <w:ind w:left="840"/>
      <w:jc w:val="left"/>
    </w:pPr>
    <w:rPr>
      <w:sz w:val="18"/>
    </w:rPr>
  </w:style>
  <w:style w:type="paragraph" w:styleId="884">
    <w:name w:val="toc 3"/>
    <w:basedOn w:val="856"/>
    <w:next w:val="856"/>
    <w:uiPriority w:val="0"/>
    <w:semiHidden/>
    <w:qFormat/>
    <w:pPr>
      <w:ind w:left="420"/>
      <w:jc w:val="left"/>
    </w:pPr>
    <w:rPr>
      <w:i/>
    </w:rPr>
  </w:style>
  <w:style w:type="paragraph" w:styleId="885">
    <w:name w:val="Plain Text"/>
    <w:basedOn w:val="856"/>
    <w:link w:val="1007"/>
    <w:uiPriority w:val="0"/>
    <w:qFormat/>
    <w:rPr>
      <w:rFonts w:ascii="宋体" w:hAnsi="Courier New" w:eastAsia="宋体" w:cstheme="minorBidi"/>
      <w:sz w:val="21"/>
      <w:szCs w:val="22"/>
      <w:lang w:val="en-US"/>
    </w:rPr>
  </w:style>
  <w:style w:type="paragraph" w:styleId="886">
    <w:name w:val="toc 8"/>
    <w:basedOn w:val="856"/>
    <w:next w:val="856"/>
    <w:uiPriority w:val="0"/>
    <w:semiHidden/>
    <w:qFormat/>
    <w:pPr>
      <w:ind w:left="1470"/>
      <w:jc w:val="left"/>
    </w:pPr>
    <w:rPr>
      <w:sz w:val="18"/>
    </w:rPr>
  </w:style>
  <w:style w:type="paragraph" w:styleId="887">
    <w:name w:val="index 3"/>
    <w:basedOn w:val="856"/>
    <w:next w:val="856"/>
    <w:uiPriority w:val="0"/>
    <w:semiHidden/>
    <w:qFormat/>
    <w:pPr>
      <w:ind w:left="840"/>
    </w:pPr>
  </w:style>
  <w:style w:type="paragraph" w:styleId="888">
    <w:name w:val="Date"/>
    <w:basedOn w:val="856"/>
    <w:next w:val="856"/>
    <w:link w:val="1111"/>
    <w:uiPriority w:val="0"/>
    <w:qFormat/>
    <w:pPr>
      <w:ind w:left="100"/>
    </w:pPr>
    <w:rPr>
      <w:sz w:val="28"/>
    </w:rPr>
  </w:style>
  <w:style w:type="paragraph" w:styleId="889">
    <w:name w:val="Body Text Indent 2"/>
    <w:basedOn w:val="856"/>
    <w:link w:val="976"/>
    <w:uiPriority w:val="0"/>
    <w:qFormat/>
    <w:pPr>
      <w:ind w:left="630" w:firstLine="645"/>
    </w:pPr>
    <w:rPr>
      <w:rFonts w:ascii="Arial" w:hAnsi="Arial" w:eastAsia="仿宋_GB2312" w:cstheme="minorBidi"/>
      <w:sz w:val="32"/>
      <w:szCs w:val="22"/>
      <w:lang w:val="en-US"/>
    </w:rPr>
  </w:style>
  <w:style w:type="paragraph" w:styleId="890">
    <w:name w:val="endnote text"/>
    <w:basedOn w:val="856"/>
    <w:link w:val="1134"/>
    <w:uiPriority w:val="0"/>
    <w:qFormat/>
    <w:pPr>
      <w:jc w:val="left"/>
    </w:pPr>
    <w:rPr>
      <w:szCs w:val="24"/>
    </w:rPr>
  </w:style>
  <w:style w:type="paragraph" w:styleId="891">
    <w:name w:val="Balloon Text"/>
    <w:basedOn w:val="856"/>
    <w:link w:val="1049"/>
    <w:uiPriority w:val="0"/>
    <w:semiHidden/>
    <w:qFormat/>
    <w:rPr>
      <w:sz w:val="18"/>
      <w:szCs w:val="18"/>
    </w:rPr>
  </w:style>
  <w:style w:type="paragraph" w:styleId="892">
    <w:name w:val="Footer"/>
    <w:basedOn w:val="856"/>
    <w:link w:val="104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93">
    <w:name w:val="Header"/>
    <w:basedOn w:val="856"/>
    <w:link w:val="1131"/>
    <w:uiPriority w:val="0"/>
    <w:qFormat/>
    <w:pPr>
      <w:jc w:val="center"/>
      <w:tabs>
        <w:tab w:val="center" w:pos="4153" w:leader="none"/>
        <w:tab w:val="right" w:pos="8306" w:leader="none"/>
      </w:tabs>
      <w:pBdr>
        <w:bottom w:val="single" w:color="auto" w:sz="6" w:space="1"/>
      </w:pBdr>
    </w:pPr>
    <w:rPr>
      <w:sz w:val="18"/>
    </w:rPr>
  </w:style>
  <w:style w:type="paragraph" w:styleId="894">
    <w:name w:val="Signature"/>
    <w:basedOn w:val="856"/>
    <w:link w:val="1115"/>
    <w:uiPriority w:val="0"/>
    <w:qFormat/>
    <w:pPr>
      <w:jc w:val="center"/>
      <w:spacing w:after="600" w:line="312" w:lineRule="atLeast"/>
    </w:pPr>
    <w:rPr>
      <w:rFonts w:eastAsia="仿宋_GB2312"/>
      <w:sz w:val="24"/>
    </w:rPr>
  </w:style>
  <w:style w:type="paragraph" w:styleId="895">
    <w:name w:val="toc 1"/>
    <w:basedOn w:val="856"/>
    <w:next w:val="856"/>
    <w:uiPriority w:val="0"/>
    <w:semiHidden/>
    <w:qFormat/>
    <w:pPr>
      <w:jc w:val="left"/>
      <w:spacing w:before="120" w:after="120"/>
    </w:pPr>
    <w:rPr>
      <w:b/>
      <w:caps/>
    </w:rPr>
  </w:style>
  <w:style w:type="paragraph" w:styleId="896">
    <w:name w:val="toc 4"/>
    <w:basedOn w:val="856"/>
    <w:next w:val="856"/>
    <w:uiPriority w:val="0"/>
    <w:semiHidden/>
    <w:qFormat/>
    <w:pPr>
      <w:ind w:left="630"/>
      <w:jc w:val="left"/>
    </w:pPr>
    <w:rPr>
      <w:sz w:val="18"/>
    </w:rPr>
  </w:style>
  <w:style w:type="paragraph" w:styleId="897">
    <w:name w:val="index heading"/>
    <w:basedOn w:val="856"/>
    <w:next w:val="898"/>
    <w:uiPriority w:val="0"/>
    <w:semiHidden/>
    <w:qFormat/>
  </w:style>
  <w:style w:type="paragraph" w:styleId="898">
    <w:name w:val="index 1"/>
    <w:basedOn w:val="856"/>
    <w:next w:val="856"/>
    <w:uiPriority w:val="0"/>
    <w:semiHidden/>
    <w:qFormat/>
    <w:rPr>
      <w:rFonts w:ascii="仿宋_GB2312" w:hAnsi="宋体" w:eastAsia="仿宋_GB2312"/>
      <w:sz w:val="30"/>
      <w:szCs w:val="24"/>
    </w:rPr>
  </w:style>
  <w:style w:type="paragraph" w:styleId="899">
    <w:name w:val="Subtitle"/>
    <w:basedOn w:val="856"/>
    <w:next w:val="856"/>
    <w:link w:val="1108"/>
    <w:uiPriority w:val="0"/>
    <w:qFormat/>
    <w:pPr>
      <w:jc w:val="left"/>
      <w:spacing w:after="600" w:line="276" w:lineRule="auto"/>
      <w:widowControl/>
    </w:pPr>
    <w:rPr>
      <w:rFonts w:ascii="Cambria" w:hAnsi="Cambria"/>
      <w:i/>
      <w:iCs/>
      <w:spacing w:val="13"/>
      <w:sz w:val="24"/>
      <w:szCs w:val="24"/>
      <w:lang w:eastAsia="en-US" w:bidi="en-US"/>
    </w:rPr>
  </w:style>
  <w:style w:type="paragraph" w:styleId="900">
    <w:name w:val="footnote text"/>
    <w:basedOn w:val="856"/>
    <w:link w:val="1066"/>
    <w:uiPriority w:val="0"/>
    <w:qFormat/>
    <w:pPr>
      <w:jc w:val="left"/>
    </w:pPr>
    <w:rPr>
      <w:sz w:val="18"/>
      <w:szCs w:val="18"/>
    </w:rPr>
  </w:style>
  <w:style w:type="paragraph" w:styleId="901">
    <w:name w:val="toc 6"/>
    <w:basedOn w:val="856"/>
    <w:next w:val="856"/>
    <w:uiPriority w:val="0"/>
    <w:semiHidden/>
    <w:qFormat/>
    <w:pPr>
      <w:ind w:left="1050"/>
      <w:jc w:val="left"/>
    </w:pPr>
    <w:rPr>
      <w:sz w:val="18"/>
    </w:rPr>
  </w:style>
  <w:style w:type="paragraph" w:styleId="902">
    <w:name w:val="Body Text Indent 3"/>
    <w:basedOn w:val="856"/>
    <w:link w:val="1018"/>
    <w:uiPriority w:val="0"/>
    <w:qFormat/>
    <w:pPr>
      <w:ind w:left="645" w:firstLine="645"/>
    </w:pPr>
    <w:rPr>
      <w:rFonts w:ascii="Arial" w:hAnsi="Arial" w:eastAsia="仿宋_GB2312" w:cstheme="minorBidi"/>
      <w:color w:val="ffff00"/>
      <w:sz w:val="32"/>
      <w:szCs w:val="22"/>
      <w:lang w:val="en-US"/>
    </w:rPr>
  </w:style>
  <w:style w:type="paragraph" w:styleId="903">
    <w:name w:val="index 7"/>
    <w:basedOn w:val="856"/>
    <w:next w:val="856"/>
    <w:uiPriority w:val="0"/>
    <w:semiHidden/>
    <w:qFormat/>
    <w:pPr>
      <w:ind w:left="2520"/>
    </w:pPr>
  </w:style>
  <w:style w:type="paragraph" w:styleId="904">
    <w:name w:val="index 9"/>
    <w:basedOn w:val="856"/>
    <w:next w:val="856"/>
    <w:uiPriority w:val="0"/>
    <w:semiHidden/>
    <w:qFormat/>
    <w:pPr>
      <w:ind w:left="3360"/>
    </w:pPr>
  </w:style>
  <w:style w:type="paragraph" w:styleId="905">
    <w:name w:val="table of figures"/>
    <w:basedOn w:val="856"/>
    <w:next w:val="856"/>
    <w:uiPriority w:val="0"/>
    <w:semiHidden/>
    <w:qFormat/>
    <w:pPr>
      <w:ind w:left="840" w:hanging="420"/>
    </w:pPr>
  </w:style>
  <w:style w:type="paragraph" w:styleId="906">
    <w:name w:val="toc 2"/>
    <w:basedOn w:val="856"/>
    <w:next w:val="856"/>
    <w:uiPriority w:val="0"/>
    <w:semiHidden/>
    <w:qFormat/>
    <w:pPr>
      <w:ind w:left="210"/>
      <w:jc w:val="left"/>
    </w:pPr>
    <w:rPr>
      <w:smallCaps/>
    </w:rPr>
  </w:style>
  <w:style w:type="paragraph" w:styleId="907">
    <w:name w:val="toc 9"/>
    <w:basedOn w:val="856"/>
    <w:next w:val="856"/>
    <w:uiPriority w:val="0"/>
    <w:semiHidden/>
    <w:qFormat/>
    <w:pPr>
      <w:ind w:left="1680"/>
      <w:jc w:val="left"/>
    </w:pPr>
    <w:rPr>
      <w:sz w:val="18"/>
    </w:rPr>
  </w:style>
  <w:style w:type="paragraph" w:styleId="908">
    <w:name w:val="Body Text 2"/>
    <w:basedOn w:val="856"/>
    <w:link w:val="1053"/>
    <w:uiPriority w:val="0"/>
    <w:qFormat/>
    <w:pPr>
      <w:jc w:val="center"/>
      <w:widowControl/>
    </w:pPr>
    <w:rPr>
      <w:rFonts w:ascii="楷体_GB2312" w:eastAsia="楷体_GB2312"/>
      <w:sz w:val="28"/>
    </w:rPr>
  </w:style>
  <w:style w:type="paragraph" w:styleId="909">
    <w:name w:val="HTML Preformatted"/>
    <w:basedOn w:val="856"/>
    <w:link w:val="9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10">
    <w:name w:val="Normal (Web)"/>
    <w:basedOn w:val="856"/>
    <w:uiPriority w:val="0"/>
    <w:qFormat/>
    <w:pPr>
      <w:jc w:val="left"/>
      <w:spacing w:before="100" w:beforeAutospacing="1" w:after="100" w:afterAutospacing="1"/>
      <w:widowControl/>
    </w:pPr>
    <w:rPr>
      <w:rFonts w:ascii="Arial" w:hAnsi="Arial" w:eastAsia="Arial Unicode MS" w:cs="Arial"/>
      <w:sz w:val="24"/>
      <w:szCs w:val="24"/>
    </w:rPr>
  </w:style>
  <w:style w:type="paragraph" w:styleId="911">
    <w:name w:val="index 2"/>
    <w:basedOn w:val="856"/>
    <w:next w:val="856"/>
    <w:uiPriority w:val="0"/>
    <w:semiHidden/>
    <w:qFormat/>
    <w:pPr>
      <w:ind w:left="420"/>
    </w:pPr>
  </w:style>
  <w:style w:type="paragraph" w:styleId="912">
    <w:name w:val="Title"/>
    <w:basedOn w:val="856"/>
    <w:link w:val="955"/>
    <w:uiPriority w:val="0"/>
    <w:qFormat/>
    <w:pPr>
      <w:jc w:val="center"/>
      <w:spacing w:line="420" w:lineRule="exact"/>
      <w:widowControl/>
    </w:pPr>
    <w:rPr>
      <w:rFonts w:eastAsia="黑体" w:asciiTheme="minorHAnsi" w:hAnsiTheme="minorHAnsi" w:cstheme="minorBidi"/>
      <w:b/>
      <w:sz w:val="28"/>
      <w:szCs w:val="22"/>
      <w:lang w:val="en-GB"/>
    </w:rPr>
  </w:style>
  <w:style w:type="paragraph" w:styleId="913">
    <w:name w:val="annotation subject"/>
    <w:basedOn w:val="876"/>
    <w:next w:val="876"/>
    <w:link w:val="1011"/>
    <w:uiPriority w:val="0"/>
    <w:semiHidden/>
    <w:qFormat/>
    <w:rPr>
      <w:rFonts w:eastAsia="宋体" w:asciiTheme="minorHAnsi" w:hAnsiTheme="minorHAnsi" w:cstheme="minorBidi"/>
      <w:b/>
      <w:bCs/>
      <w:sz w:val="21"/>
      <w:szCs w:val="22"/>
      <w:lang w:val="en-US"/>
    </w:rPr>
  </w:style>
  <w:style w:type="paragraph" w:styleId="914">
    <w:name w:val="Body Text First Indent"/>
    <w:basedOn w:val="880"/>
    <w:link w:val="1082"/>
    <w:uiPriority w:val="0"/>
    <w:qFormat/>
    <w:pPr>
      <w:ind w:firstLine="420"/>
    </w:pPr>
    <w:rPr>
      <w:rFonts w:ascii="Times New Roman" w:hAnsi="Times New Roman" w:eastAsia="宋体"/>
      <w:sz w:val="21"/>
      <w:szCs w:val="24"/>
    </w:rPr>
  </w:style>
  <w:style w:type="paragraph" w:styleId="915">
    <w:name w:val="Body Text First Indent 2"/>
    <w:basedOn w:val="856"/>
    <w:next w:val="856"/>
    <w:uiPriority w:val="0"/>
    <w:qFormat/>
    <w:pPr>
      <w:ind w:firstLine="420"/>
    </w:pPr>
  </w:style>
  <w:style w:type="table" w:styleId="916">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uiPriority w:val="0"/>
    <w:qFormat/>
    <w:rPr>
      <w:b/>
      <w:bCs/>
    </w:rPr>
  </w:style>
  <w:style w:type="character" w:styleId="918">
    <w:name w:val="endnote reference"/>
    <w:uiPriority w:val="0"/>
    <w:qFormat/>
    <w:rPr>
      <w:vertAlign w:val="superscript"/>
    </w:rPr>
  </w:style>
  <w:style w:type="character" w:styleId="919">
    <w:name w:val="page number"/>
    <w:basedOn w:val="866"/>
    <w:uiPriority w:val="0"/>
    <w:qFormat/>
  </w:style>
  <w:style w:type="character" w:styleId="920">
    <w:name w:val="FollowedHyperlink"/>
    <w:uiPriority w:val="0"/>
    <w:qFormat/>
    <w:rPr>
      <w:color w:val="800080"/>
      <w:u w:val="single"/>
    </w:rPr>
  </w:style>
  <w:style w:type="character" w:styleId="921">
    <w:name w:val="Emphasis"/>
    <w:uiPriority w:val="0"/>
    <w:qFormat/>
    <w:rPr>
      <w:b/>
      <w:bCs/>
      <w:i/>
      <w:iCs/>
      <w:spacing w:val="10"/>
      <w:shd w:val="clear" w:color="auto" w:fill="auto"/>
    </w:rPr>
  </w:style>
  <w:style w:type="character" w:styleId="922">
    <w:name w:val="line number"/>
    <w:basedOn w:val="866"/>
    <w:uiPriority w:val="0"/>
    <w:qFormat/>
  </w:style>
  <w:style w:type="character" w:styleId="923">
    <w:name w:val="HTML Typewriter"/>
    <w:uiPriority w:val="0"/>
    <w:qFormat/>
    <w:rPr>
      <w:rFonts w:ascii="宋体" w:hAnsi="宋体" w:eastAsia="宋体" w:cs="宋体"/>
      <w:sz w:val="24"/>
      <w:szCs w:val="24"/>
    </w:rPr>
  </w:style>
  <w:style w:type="character" w:styleId="924">
    <w:name w:val="Hyperlink"/>
    <w:uiPriority w:val="0"/>
    <w:qFormat/>
    <w:rPr>
      <w:color w:val="0000ff"/>
      <w:u w:val="single"/>
    </w:rPr>
  </w:style>
  <w:style w:type="character" w:styleId="925">
    <w:name w:val="annotation reference"/>
    <w:uiPriority w:val="0"/>
    <w:qFormat/>
    <w:rPr>
      <w:sz w:val="21"/>
    </w:rPr>
  </w:style>
  <w:style w:type="character" w:styleId="926">
    <w:name w:val="footnote reference"/>
    <w:uiPriority w:val="0"/>
    <w:qFormat/>
    <w:rPr>
      <w:vertAlign w:val="superscript"/>
    </w:rPr>
  </w:style>
  <w:style w:type="character" w:styleId="927">
    <w:name w:val="HTML Sample"/>
    <w:uiPriority w:val="0"/>
    <w:qFormat/>
    <w:rPr>
      <w:rFonts w:ascii="Courier New" w:hAnsi="宋体" w:eastAsia="宋体" w:cs="Courier New"/>
    </w:rPr>
  </w:style>
  <w:style w:type="paragraph" w:styleId="928" w:customStyle="1">
    <w:name w:val="首行缩进"/>
    <w:basedOn w:val="856"/>
    <w:uiPriority w:val="0"/>
    <w:qFormat/>
    <w:pPr>
      <w:ind w:firstLine="480"/>
    </w:pPr>
  </w:style>
  <w:style w:type="paragraph" w:styleId="929">
    <w:name w:val="List Paragraph"/>
    <w:basedOn w:val="856"/>
    <w:uiPriority w:val="0"/>
    <w:qFormat/>
    <w:pPr>
      <w:ind w:firstLine="420"/>
    </w:pPr>
    <w:rPr>
      <w:szCs w:val="24"/>
    </w:rPr>
  </w:style>
  <w:style w:type="paragraph" w:styleId="930" w:customStyle="1">
    <w:name w:val="标题 5（有编号）（绿盟科技）"/>
    <w:basedOn w:val="856"/>
    <w:next w:val="93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3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32" w:customStyle="1">
    <w:name w:val="标题 1 字符"/>
    <w:basedOn w:val="866"/>
    <w:link w:val="857"/>
    <w:uiPriority w:val="0"/>
    <w:qFormat/>
    <w:rPr>
      <w:rFonts w:ascii="黑体" w:hAnsi="Calibri" w:eastAsia="黑体" w:cs="Times New Roman"/>
      <w:b/>
      <w:sz w:val="24"/>
      <w:szCs w:val="28"/>
    </w:rPr>
  </w:style>
  <w:style w:type="character" w:styleId="933" w:customStyle="1">
    <w:name w:val="标题 2 字符"/>
    <w:basedOn w:val="866"/>
    <w:link w:val="858"/>
    <w:uiPriority w:val="0"/>
    <w:qFormat/>
    <w:rPr>
      <w:rFonts w:ascii="宋体" w:hAnsi="宋体" w:eastAsia="宋体" w:cs="Times New Roman"/>
      <w:b/>
      <w:szCs w:val="24"/>
    </w:rPr>
  </w:style>
  <w:style w:type="character" w:styleId="934" w:customStyle="1">
    <w:name w:val="标题 3 Char"/>
    <w:basedOn w:val="866"/>
    <w:uiPriority w:val="0"/>
    <w:qFormat/>
    <w:rPr>
      <w:rFonts w:ascii="Calibri" w:hAnsi="Calibri" w:eastAsia="Calibri" w:cs="宋体"/>
      <w:b/>
      <w:bCs/>
      <w:sz w:val="32"/>
      <w:szCs w:val="32"/>
      <w:lang w:val="zh-CN"/>
    </w:rPr>
  </w:style>
  <w:style w:type="character" w:styleId="935" w:customStyle="1">
    <w:name w:val="标题 4 字符"/>
    <w:basedOn w:val="866"/>
    <w:link w:val="860"/>
    <w:uiPriority w:val="0"/>
    <w:qFormat/>
    <w:rPr>
      <w:rFonts w:ascii="Arial" w:hAnsi="Arial" w:eastAsia="黑体" w:cs="Times New Roman"/>
      <w:b/>
      <w:sz w:val="28"/>
      <w:szCs w:val="20"/>
    </w:rPr>
  </w:style>
  <w:style w:type="character" w:styleId="936" w:customStyle="1">
    <w:name w:val="标题 5 字符"/>
    <w:basedOn w:val="866"/>
    <w:link w:val="861"/>
    <w:uiPriority w:val="0"/>
    <w:qFormat/>
    <w:rPr>
      <w:rFonts w:ascii="黑体" w:hAnsi="Calibri" w:eastAsia="黑体" w:cs="Times New Roman"/>
      <w:b/>
      <w:color w:val="000000"/>
      <w:sz w:val="28"/>
      <w:szCs w:val="20"/>
    </w:rPr>
  </w:style>
  <w:style w:type="character" w:styleId="937" w:customStyle="1">
    <w:name w:val="标题 6 字符"/>
    <w:basedOn w:val="866"/>
    <w:link w:val="862"/>
    <w:uiPriority w:val="0"/>
    <w:qFormat/>
    <w:rPr>
      <w:rFonts w:ascii="Arial" w:hAnsi="Arial" w:eastAsia="黑体" w:cs="Times New Roman"/>
      <w:b/>
      <w:bCs/>
      <w:sz w:val="24"/>
      <w:szCs w:val="24"/>
    </w:rPr>
  </w:style>
  <w:style w:type="character" w:styleId="938" w:customStyle="1">
    <w:name w:val="标题 7 字符"/>
    <w:basedOn w:val="866"/>
    <w:link w:val="863"/>
    <w:uiPriority w:val="0"/>
    <w:qFormat/>
    <w:rPr>
      <w:rFonts w:ascii="Calibri" w:hAnsi="Calibri" w:eastAsia="宋体" w:cs="Times New Roman"/>
      <w:b/>
      <w:bCs/>
      <w:sz w:val="24"/>
      <w:szCs w:val="24"/>
    </w:rPr>
  </w:style>
  <w:style w:type="character" w:styleId="939" w:customStyle="1">
    <w:name w:val="标题 8 字符"/>
    <w:basedOn w:val="866"/>
    <w:link w:val="864"/>
    <w:uiPriority w:val="0"/>
    <w:qFormat/>
    <w:rPr>
      <w:rFonts w:ascii="Arial" w:hAnsi="Arial" w:eastAsia="黑体" w:cs="Times New Roman"/>
      <w:sz w:val="24"/>
      <w:szCs w:val="24"/>
    </w:rPr>
  </w:style>
  <w:style w:type="character" w:styleId="940" w:customStyle="1">
    <w:name w:val="标题 9 字符"/>
    <w:basedOn w:val="866"/>
    <w:link w:val="865"/>
    <w:uiPriority w:val="0"/>
    <w:qFormat/>
    <w:rPr>
      <w:rFonts w:ascii="Arial" w:hAnsi="Arial" w:eastAsia="黑体" w:cs="Times New Roman"/>
      <w:szCs w:val="21"/>
    </w:rPr>
  </w:style>
  <w:style w:type="character" w:styleId="941" w:customStyle="1">
    <w:name w:val="Char Char17"/>
    <w:uiPriority w:val="0"/>
    <w:qFormat/>
    <w:rPr>
      <w:rFonts w:ascii="宋体" w:hAnsi="Courier New"/>
      <w:sz w:val="21"/>
      <w:szCs w:val="21"/>
    </w:rPr>
  </w:style>
  <w:style w:type="character" w:styleId="942" w:customStyle="1">
    <w:name w:val="18"/>
    <w:uiPriority w:val="0"/>
    <w:qFormat/>
    <w:rPr>
      <w:rFonts w:hint="eastAsia" w:ascii="宋体" w:hAnsi="宋体" w:eastAsia="宋体" w:cs="宋体"/>
      <w:color w:val="000000"/>
      <w:sz w:val="20"/>
      <w:szCs w:val="20"/>
    </w:rPr>
  </w:style>
  <w:style w:type="character" w:styleId="943" w:customStyle="1">
    <w:name w:val="小四 段落 宋体 Char Char Char1"/>
    <w:uiPriority w:val="0"/>
    <w:qFormat/>
    <w:rPr>
      <w:rFonts w:ascii="宋体" w:hAnsi="宋体" w:eastAsia="宋体"/>
      <w:sz w:val="24"/>
      <w:szCs w:val="24"/>
      <w:lang w:val="en-US" w:eastAsia="zh-CN" w:bidi="ar-SA"/>
    </w:rPr>
  </w:style>
  <w:style w:type="character" w:styleId="944" w:customStyle="1">
    <w:name w:val="param-value"/>
    <w:basedOn w:val="866"/>
    <w:uiPriority w:val="0"/>
    <w:qFormat/>
  </w:style>
  <w:style w:type="character" w:styleId="945" w:customStyle="1">
    <w:name w:val="3zw"/>
    <w:basedOn w:val="866"/>
    <w:uiPriority w:val="0"/>
    <w:qFormat/>
  </w:style>
  <w:style w:type="character" w:styleId="946" w:customStyle="1">
    <w:name w:val="15"/>
    <w:uiPriority w:val="0"/>
    <w:qFormat/>
    <w:rPr>
      <w:rFonts w:hint="eastAsia" w:ascii="宋体" w:hAnsi="宋体" w:eastAsia="宋体" w:cs="宋体"/>
      <w:b/>
      <w:color w:val="000000"/>
      <w:sz w:val="20"/>
      <w:szCs w:val="20"/>
    </w:rPr>
  </w:style>
  <w:style w:type="character" w:styleId="947" w:customStyle="1">
    <w:name w:val="16"/>
    <w:uiPriority w:val="0"/>
    <w:qFormat/>
    <w:rPr>
      <w:rFonts w:hint="eastAsia" w:ascii="宋体" w:hAnsi="宋体" w:eastAsia="宋体" w:cs="宋体"/>
      <w:b/>
      <w:color w:val="000000"/>
      <w:sz w:val="20"/>
      <w:szCs w:val="20"/>
    </w:rPr>
  </w:style>
  <w:style w:type="character" w:styleId="948" w:customStyle="1">
    <w:name w:val="style13"/>
    <w:uiPriority w:val="0"/>
    <w:qFormat/>
    <w:rPr>
      <w:sz w:val="18"/>
      <w:szCs w:val="18"/>
    </w:rPr>
  </w:style>
  <w:style w:type="character" w:styleId="949" w:customStyle="1">
    <w:name w:val="Char Char21"/>
    <w:uiPriority w:val="0"/>
    <w:qFormat/>
    <w:rPr>
      <w:rFonts w:ascii="Arial" w:hAnsi="Arial" w:eastAsia="黑体"/>
      <w:sz w:val="24"/>
      <w:szCs w:val="24"/>
    </w:rPr>
  </w:style>
  <w:style w:type="character" w:styleId="950" w:customStyle="1">
    <w:name w:val="新图表正文 Char Char"/>
    <w:link w:val="951"/>
    <w:uiPriority w:val="0"/>
    <w:qFormat/>
    <w:rPr>
      <w:rFonts w:ascii="宋体" w:hAnsi="宋体"/>
      <w:sz w:val="18"/>
      <w:szCs w:val="21"/>
    </w:rPr>
  </w:style>
  <w:style w:type="paragraph" w:styleId="951" w:customStyle="1">
    <w:name w:val="新图表正文"/>
    <w:link w:val="950"/>
    <w:uiPriority w:val="0"/>
    <w:qFormat/>
    <w:pPr>
      <w:jc w:val="both"/>
    </w:pPr>
    <w:rPr>
      <w:rFonts w:ascii="宋体" w:hAnsi="宋体" w:eastAsiaTheme="minorEastAsia" w:cstheme="minorBidi"/>
      <w:sz w:val="18"/>
      <w:szCs w:val="21"/>
      <w:lang w:val="en-US" w:eastAsia="zh-CN" w:bidi="ar-SA"/>
    </w:rPr>
  </w:style>
  <w:style w:type="character" w:styleId="952" w:customStyle="1">
    <w:name w:val="Char Char25"/>
    <w:uiPriority w:val="0"/>
    <w:qFormat/>
    <w:rPr>
      <w:rFonts w:ascii="Arial" w:hAnsi="Arial" w:eastAsia="黑体"/>
      <w:b/>
      <w:sz w:val="28"/>
    </w:rPr>
  </w:style>
  <w:style w:type="character" w:styleId="953" w:customStyle="1">
    <w:name w:val="不明显参考1"/>
    <w:uiPriority w:val="0"/>
    <w:qFormat/>
    <w:rPr>
      <w:smallCaps/>
    </w:rPr>
  </w:style>
  <w:style w:type="character" w:styleId="954" w:customStyle="1">
    <w:name w:val="小四 段落 宋体 Char Char Char Char Char Char"/>
    <w:uiPriority w:val="0"/>
    <w:qFormat/>
    <w:rPr>
      <w:rFonts w:eastAsia="宋体"/>
      <w:sz w:val="24"/>
      <w:szCs w:val="24"/>
      <w:lang w:val="en-US" w:eastAsia="zh-CN" w:bidi="ar-SA"/>
    </w:rPr>
  </w:style>
  <w:style w:type="character" w:styleId="955" w:customStyle="1">
    <w:name w:val="标题 字符"/>
    <w:link w:val="912"/>
    <w:uiPriority w:val="0"/>
    <w:qFormat/>
    <w:rPr>
      <w:rFonts w:eastAsia="黑体"/>
      <w:b/>
      <w:sz w:val="28"/>
      <w:lang w:val="en-GB"/>
    </w:rPr>
  </w:style>
  <w:style w:type="character" w:styleId="956" w:customStyle="1">
    <w:name w:val="2nd level Char"/>
    <w:uiPriority w:val="0"/>
    <w:qFormat/>
    <w:rPr>
      <w:rFonts w:ascii="Arial" w:hAnsi="Arial" w:eastAsia="黑体"/>
      <w:b/>
      <w:bCs/>
      <w:sz w:val="32"/>
      <w:szCs w:val="32"/>
      <w:lang w:val="en-US" w:eastAsia="zh-CN" w:bidi="ar-SA"/>
    </w:rPr>
  </w:style>
  <w:style w:type="character" w:styleId="957" w:customStyle="1">
    <w:name w:val="Char Char22"/>
    <w:uiPriority w:val="0"/>
    <w:qFormat/>
    <w:rPr>
      <w:b/>
      <w:bCs/>
      <w:sz w:val="24"/>
      <w:szCs w:val="24"/>
    </w:rPr>
  </w:style>
  <w:style w:type="character" w:styleId="958" w:customStyle="1">
    <w:name w:val="样式 宋体 小四"/>
    <w:uiPriority w:val="0"/>
    <w:qFormat/>
    <w:rPr>
      <w:rFonts w:ascii="宋体" w:hAnsi="宋体"/>
      <w:sz w:val="24"/>
    </w:rPr>
  </w:style>
  <w:style w:type="character" w:styleId="959" w:customStyle="1">
    <w:name w:val="t1"/>
    <w:uiPriority w:val="0"/>
    <w:qFormat/>
  </w:style>
  <w:style w:type="character" w:styleId="960" w:customStyle="1">
    <w:name w:val="Char Char28"/>
    <w:uiPriority w:val="0"/>
    <w:qFormat/>
    <w:rPr>
      <w:rFonts w:ascii="Arial" w:hAnsi="Arial" w:eastAsia="黑体" w:cs="Arial"/>
      <w:b/>
      <w:bCs/>
      <w:sz w:val="32"/>
      <w:szCs w:val="32"/>
    </w:rPr>
  </w:style>
  <w:style w:type="character" w:styleId="961" w:customStyle="1">
    <w:name w:val="标准文本 Char Char"/>
    <w:uiPriority w:val="0"/>
    <w:qFormat/>
    <w:rPr>
      <w:rFonts w:eastAsia="宋体" w:cs="宋体"/>
      <w:sz w:val="24"/>
      <w:szCs w:val="24"/>
      <w:lang w:val="en-US" w:eastAsia="zh-CN" w:bidi="ar-SA"/>
    </w:rPr>
  </w:style>
  <w:style w:type="character" w:styleId="962" w:customStyle="1">
    <w:name w:val="表格抬头 Char"/>
    <w:link w:val="963"/>
    <w:uiPriority w:val="0"/>
    <w:qFormat/>
    <w:rPr>
      <w:rFonts w:ascii="黑体" w:eastAsia="黑体"/>
      <w:b/>
    </w:rPr>
  </w:style>
  <w:style w:type="paragraph" w:styleId="963" w:customStyle="1">
    <w:name w:val="表格抬头"/>
    <w:basedOn w:val="856"/>
    <w:link w:val="962"/>
    <w:uiPriority w:val="0"/>
    <w:qFormat/>
    <w:pPr>
      <w:jc w:val="center"/>
    </w:pPr>
    <w:rPr>
      <w:rFonts w:ascii="黑体" w:eastAsia="黑体" w:hAnsiTheme="minorHAnsi" w:cstheme="minorBidi"/>
      <w:b/>
      <w:sz w:val="21"/>
      <w:szCs w:val="22"/>
      <w:lang w:val="en-US"/>
    </w:rPr>
  </w:style>
  <w:style w:type="character" w:styleId="964" w:customStyle="1">
    <w:name w:val="para_small"/>
    <w:basedOn w:val="866"/>
    <w:uiPriority w:val="0"/>
    <w:qFormat/>
  </w:style>
  <w:style w:type="character" w:styleId="965" w:customStyle="1">
    <w:name w:val="Title1 Char"/>
    <w:uiPriority w:val="0"/>
    <w:qFormat/>
    <w:rPr>
      <w:rFonts w:eastAsia="宋体"/>
      <w:b/>
      <w:bCs/>
      <w:sz w:val="44"/>
      <w:szCs w:val="44"/>
      <w:lang w:val="en-US" w:eastAsia="zh-CN" w:bidi="ar-SA"/>
    </w:rPr>
  </w:style>
  <w:style w:type="character" w:styleId="966" w:customStyle="1">
    <w:name w:val="h Char Char"/>
    <w:uiPriority w:val="0"/>
    <w:qFormat/>
    <w:rPr>
      <w:rFonts w:eastAsia="宋体"/>
      <w:sz w:val="18"/>
      <w:szCs w:val="18"/>
      <w:lang w:val="en-US" w:eastAsia="zh-CN" w:bidi="ar-SA"/>
    </w:rPr>
  </w:style>
  <w:style w:type="character" w:styleId="967" w:customStyle="1">
    <w:name w:val="Char Char23"/>
    <w:uiPriority w:val="0"/>
    <w:qFormat/>
    <w:rPr>
      <w:rFonts w:ascii="Arial" w:hAnsi="Arial" w:eastAsia="黑体"/>
      <w:b/>
      <w:bCs/>
      <w:sz w:val="24"/>
      <w:szCs w:val="24"/>
    </w:rPr>
  </w:style>
  <w:style w:type="character" w:styleId="968" w:customStyle="1">
    <w:name w:val="Char Char20"/>
    <w:uiPriority w:val="0"/>
    <w:qFormat/>
    <w:rPr>
      <w:rFonts w:ascii="Arial" w:hAnsi="Arial" w:eastAsia="黑体"/>
      <w:sz w:val="21"/>
      <w:szCs w:val="21"/>
    </w:rPr>
  </w:style>
  <w:style w:type="character" w:styleId="969" w:customStyle="1">
    <w:name w:val="A2"/>
    <w:uiPriority w:val="0"/>
    <w:qFormat/>
    <w:rPr>
      <w:rFonts w:cs="Helvetica"/>
      <w:color w:val="000000"/>
      <w:sz w:val="18"/>
      <w:szCs w:val="18"/>
    </w:rPr>
  </w:style>
  <w:style w:type="character" w:styleId="970" w:customStyle="1">
    <w:name w:val="编号，小四 Char"/>
    <w:link w:val="971"/>
    <w:uiPriority w:val="0"/>
    <w:qFormat/>
    <w:rPr>
      <w:rFonts w:ascii="Arial" w:hAnsi="Arial" w:cs="宋体"/>
      <w:sz w:val="24"/>
    </w:rPr>
  </w:style>
  <w:style w:type="paragraph" w:styleId="971" w:customStyle="1">
    <w:name w:val="编号，小四"/>
    <w:basedOn w:val="856"/>
    <w:link w:val="970"/>
    <w:uiPriority w:val="0"/>
    <w:qFormat/>
    <w:pPr>
      <w:numPr>
        <w:ilvl w:val="0"/>
        <w:numId w:val="2"/>
      </w:numPr>
      <w:spacing w:line="360" w:lineRule="auto"/>
    </w:pPr>
    <w:rPr>
      <w:rFonts w:ascii="Arial" w:hAnsi="Arial" w:eastAsiaTheme="minorEastAsia"/>
      <w:sz w:val="24"/>
      <w:szCs w:val="22"/>
      <w:lang w:val="en-US"/>
    </w:rPr>
  </w:style>
  <w:style w:type="character" w:styleId="972" w:customStyle="1">
    <w:name w:val="明显引用 字符"/>
    <w:link w:val="973"/>
    <w:uiPriority w:val="0"/>
    <w:qFormat/>
    <w:rPr>
      <w:rFonts w:ascii="Calibri" w:hAnsi="Calibri" w:eastAsia="宋体"/>
      <w:b/>
      <w:bCs/>
      <w:i/>
      <w:iCs/>
      <w:sz w:val="22"/>
      <w:lang w:eastAsia="en-US" w:bidi="en-US"/>
    </w:rPr>
  </w:style>
  <w:style w:type="paragraph" w:styleId="973">
    <w:name w:val="Intense Quote"/>
    <w:basedOn w:val="856"/>
    <w:next w:val="856"/>
    <w:link w:val="97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74" w:customStyle="1">
    <w:name w:val="font01"/>
    <w:uiPriority w:val="0"/>
    <w:qFormat/>
    <w:rPr>
      <w:rFonts w:hint="eastAsia" w:ascii="宋体" w:hAnsi="宋体" w:eastAsia="宋体" w:cs="宋体"/>
      <w:b/>
      <w:color w:val="000000"/>
      <w:sz w:val="20"/>
      <w:szCs w:val="20"/>
      <w:u w:val="none"/>
    </w:rPr>
  </w:style>
  <w:style w:type="character" w:styleId="975" w:customStyle="1">
    <w:name w:val="不明显强调1"/>
    <w:uiPriority w:val="0"/>
    <w:qFormat/>
    <w:rPr>
      <w:i/>
      <w:iCs/>
    </w:rPr>
  </w:style>
  <w:style w:type="character" w:styleId="976" w:customStyle="1">
    <w:name w:val="正文文本缩进 2 字符"/>
    <w:link w:val="889"/>
    <w:uiPriority w:val="0"/>
    <w:qFormat/>
    <w:rPr>
      <w:rFonts w:ascii="Arial" w:hAnsi="Arial" w:eastAsia="仿宋_GB2312"/>
      <w:sz w:val="32"/>
    </w:rPr>
  </w:style>
  <w:style w:type="character" w:styleId="977" w:customStyle="1">
    <w:name w:val="明显参考1"/>
    <w:uiPriority w:val="0"/>
    <w:qFormat/>
    <w:rPr>
      <w:smallCaps/>
      <w:spacing w:val="5"/>
      <w:u w:val="single"/>
    </w:rPr>
  </w:style>
  <w:style w:type="character" w:styleId="978" w:customStyle="1">
    <w:name w:val="书籍标题1"/>
    <w:uiPriority w:val="0"/>
    <w:qFormat/>
    <w:rPr>
      <w:i/>
      <w:iCs/>
      <w:smallCaps/>
      <w:spacing w:val="5"/>
    </w:rPr>
  </w:style>
  <w:style w:type="character" w:styleId="979" w:customStyle="1">
    <w:name w:val="文档结构图 字符"/>
    <w:link w:val="875"/>
    <w:uiPriority w:val="0"/>
    <w:semiHidden/>
    <w:qFormat/>
    <w:rPr>
      <w:rFonts w:eastAsia="宋体"/>
      <w:shd w:val="clear" w:color="auto" w:fill="000080"/>
    </w:rPr>
  </w:style>
  <w:style w:type="character" w:styleId="980" w:customStyle="1">
    <w:name w:val="textcontents"/>
    <w:basedOn w:val="866"/>
    <w:uiPriority w:val="0"/>
    <w:qFormat/>
  </w:style>
  <w:style w:type="character" w:styleId="981" w:customStyle="1">
    <w:name w:val="标准文本 Char"/>
    <w:uiPriority w:val="0"/>
    <w:qFormat/>
    <w:rPr>
      <w:rFonts w:eastAsia="宋体" w:cs="宋体"/>
      <w:sz w:val="24"/>
      <w:szCs w:val="24"/>
      <w:lang w:val="en-US" w:eastAsia="zh-CN" w:bidi="ar-SA"/>
    </w:rPr>
  </w:style>
  <w:style w:type="character" w:styleId="982" w:customStyle="1">
    <w:name w:val="10"/>
    <w:uiPriority w:val="0"/>
    <w:qFormat/>
    <w:rPr>
      <w:rFonts w:hint="default" w:ascii="Times New Roman" w:hAnsi="Times New Roman" w:cs="Times New Roman"/>
    </w:rPr>
  </w:style>
  <w:style w:type="character" w:styleId="983" w:customStyle="1">
    <w:name w:val="批注文字 Char"/>
    <w:uiPriority w:val="99"/>
    <w:qFormat/>
    <w:rPr>
      <w:rFonts w:eastAsia="宋体"/>
      <w:sz w:val="21"/>
      <w:lang w:val="en-US" w:eastAsia="zh-CN" w:bidi="ar-SA"/>
    </w:rPr>
  </w:style>
  <w:style w:type="character" w:styleId="984" w:customStyle="1">
    <w:name w:val="纯文本 Char Char Char1"/>
    <w:uiPriority w:val="0"/>
    <w:qFormat/>
    <w:rPr>
      <w:rFonts w:ascii="宋体" w:hAnsi="Courier New" w:eastAsia="宋体"/>
      <w:sz w:val="21"/>
      <w:szCs w:val="21"/>
      <w:lang w:val="en-US" w:eastAsia="zh-CN" w:bidi="ar-SA"/>
    </w:rPr>
  </w:style>
  <w:style w:type="character" w:styleId="985" w:customStyle="1">
    <w:name w:val="subtitle1"/>
    <w:uiPriority w:val="0"/>
    <w:qFormat/>
    <w:rPr>
      <w:rFonts w:hint="default" w:ascii="Georgia" w:hAnsi="Georgia"/>
      <w:b/>
      <w:bCs/>
      <w:color w:val="666666"/>
      <w:sz w:val="18"/>
      <w:szCs w:val="18"/>
    </w:rPr>
  </w:style>
  <w:style w:type="character" w:styleId="986" w:customStyle="1">
    <w:name w:val="明显强调1"/>
    <w:uiPriority w:val="0"/>
    <w:qFormat/>
    <w:rPr>
      <w:b/>
      <w:bCs/>
    </w:rPr>
  </w:style>
  <w:style w:type="character" w:styleId="987" w:customStyle="1">
    <w:name w:val="Char Char29"/>
    <w:uiPriority w:val="0"/>
    <w:qFormat/>
    <w:rPr>
      <w:rFonts w:ascii="Times New Roman" w:hAnsi="Times New Roman" w:eastAsia="宋体" w:cs="Times New Roman"/>
      <w:b/>
      <w:bCs/>
      <w:sz w:val="44"/>
      <w:szCs w:val="44"/>
    </w:rPr>
  </w:style>
  <w:style w:type="character" w:styleId="988" w:customStyle="1">
    <w:name w:val="引用 字符"/>
    <w:link w:val="989"/>
    <w:uiPriority w:val="0"/>
    <w:qFormat/>
    <w:rPr>
      <w:rFonts w:ascii="Calibri" w:hAnsi="Calibri" w:eastAsia="宋体"/>
      <w:i/>
      <w:iCs/>
      <w:sz w:val="22"/>
      <w:lang w:eastAsia="en-US" w:bidi="en-US"/>
    </w:rPr>
  </w:style>
  <w:style w:type="paragraph" w:styleId="989">
    <w:name w:val="Quote"/>
    <w:basedOn w:val="856"/>
    <w:next w:val="856"/>
    <w:link w:val="98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90" w:customStyle="1">
    <w:name w:val="Char Char26"/>
    <w:uiPriority w:val="0"/>
    <w:qFormat/>
    <w:rPr>
      <w:b/>
      <w:bCs/>
      <w:sz w:val="32"/>
      <w:szCs w:val="32"/>
    </w:rPr>
  </w:style>
  <w:style w:type="character" w:styleId="991" w:customStyle="1">
    <w:name w:val="apple-converted-space"/>
    <w:basedOn w:val="866"/>
    <w:uiPriority w:val="0"/>
    <w:qFormat/>
  </w:style>
  <w:style w:type="character" w:styleId="992" w:customStyle="1">
    <w:name w:val="普通文字1 Char"/>
    <w:uiPriority w:val="0"/>
    <w:qFormat/>
    <w:rPr>
      <w:rFonts w:ascii="宋体" w:eastAsia="宋体"/>
      <w:sz w:val="21"/>
      <w:szCs w:val="21"/>
      <w:lang w:val="en-US" w:eastAsia="zh-CN" w:bidi="ar-SA"/>
    </w:rPr>
  </w:style>
  <w:style w:type="character" w:styleId="993" w:customStyle="1">
    <w:name w:val="ih151"/>
    <w:uiPriority w:val="0"/>
    <w:qFormat/>
    <w:rPr>
      <w:color w:val="666666"/>
      <w:sz w:val="18"/>
      <w:szCs w:val="18"/>
      <w:u w:val="none"/>
    </w:rPr>
  </w:style>
  <w:style w:type="character" w:styleId="994" w:customStyle="1">
    <w:name w:val="小四 段落 宋体 Char Char Char Char1"/>
    <w:uiPriority w:val="0"/>
    <w:qFormat/>
    <w:rPr>
      <w:rFonts w:eastAsia="宋体"/>
      <w:sz w:val="24"/>
      <w:szCs w:val="24"/>
      <w:lang w:val="en-US" w:eastAsia="zh-CN" w:bidi="ar-SA"/>
    </w:rPr>
  </w:style>
  <w:style w:type="character" w:styleId="995" w:customStyle="1">
    <w:name w:val="纯文本 Char Char"/>
    <w:uiPriority w:val="0"/>
    <w:qFormat/>
    <w:rPr>
      <w:rFonts w:ascii="宋体" w:hAnsi="Courier New" w:eastAsia="宋体"/>
      <w:sz w:val="21"/>
      <w:szCs w:val="21"/>
      <w:lang w:val="en-US" w:eastAsia="zh-CN" w:bidi="ar-SA"/>
    </w:rPr>
  </w:style>
  <w:style w:type="character" w:styleId="996" w:customStyle="1">
    <w:name w:val="正文 + 宋体 Char"/>
    <w:uiPriority w:val="0"/>
    <w:qFormat/>
    <w:rPr>
      <w:rFonts w:eastAsia="宋体"/>
      <w:sz w:val="21"/>
      <w:szCs w:val="24"/>
      <w:lang w:val="en-US" w:eastAsia="zh-CN" w:bidi="ar-SA"/>
    </w:rPr>
  </w:style>
  <w:style w:type="character" w:styleId="997" w:customStyle="1">
    <w:name w:val="标题 Char1"/>
    <w:uiPriority w:val="0"/>
    <w:qFormat/>
    <w:rPr>
      <w:rFonts w:ascii="Cambria" w:eastAsia="宋体" w:cs="Times New Roman"/>
      <w:b/>
      <w:bCs/>
      <w:sz w:val="32"/>
      <w:szCs w:val="32"/>
    </w:rPr>
  </w:style>
  <w:style w:type="character" w:styleId="998" w:customStyle="1">
    <w:name w:val="特点 Char1"/>
    <w:uiPriority w:val="0"/>
    <w:qFormat/>
    <w:rPr>
      <w:rFonts w:eastAsia="宋体"/>
      <w:sz w:val="21"/>
      <w:lang w:val="en-US" w:eastAsia="zh-CN" w:bidi="ar-SA"/>
    </w:rPr>
  </w:style>
  <w:style w:type="character" w:styleId="999" w:customStyle="1">
    <w:name w:val="HTML 预设格式 字符"/>
    <w:link w:val="909"/>
    <w:uiPriority w:val="0"/>
    <w:qFormat/>
    <w:rPr>
      <w:rFonts w:ascii="黑体" w:hAnsi="Courier New" w:eastAsia="黑体" w:cs="Courier New"/>
    </w:rPr>
  </w:style>
  <w:style w:type="character" w:styleId="1000" w:customStyle="1">
    <w:name w:val="样式 非加粗"/>
    <w:uiPriority w:val="0"/>
    <w:qFormat/>
    <w:rPr>
      <w:rFonts w:eastAsia="宋体"/>
      <w:sz w:val="28"/>
    </w:rPr>
  </w:style>
  <w:style w:type="character" w:styleId="1001" w:customStyle="1">
    <w:name w:val="小四 段落 宋体 Char Char Char Char Char"/>
    <w:uiPriority w:val="0"/>
    <w:qFormat/>
    <w:rPr>
      <w:rFonts w:eastAsia="宋体"/>
      <w:sz w:val="24"/>
      <w:szCs w:val="24"/>
      <w:lang w:val="en-US" w:eastAsia="zh-CN" w:bidi="ar-SA"/>
    </w:rPr>
  </w:style>
  <w:style w:type="character" w:styleId="1002" w:customStyle="1">
    <w:name w:val="小四 段落 宋体 Char Char Char Char Char Char Char Char"/>
    <w:uiPriority w:val="0"/>
    <w:qFormat/>
    <w:rPr>
      <w:rFonts w:eastAsia="宋体"/>
      <w:sz w:val="24"/>
      <w:szCs w:val="24"/>
      <w:lang w:val="en-US" w:eastAsia="zh-CN" w:bidi="ar-SA"/>
    </w:rPr>
  </w:style>
  <w:style w:type="character" w:styleId="1003" w:customStyle="1">
    <w:name w:val="19"/>
    <w:uiPriority w:val="0"/>
    <w:qFormat/>
    <w:rPr>
      <w:rFonts w:hint="eastAsia" w:ascii="宋体" w:hAnsi="宋体" w:eastAsia="宋体" w:cs="宋体"/>
      <w:color w:val="000000"/>
      <w:sz w:val="20"/>
      <w:szCs w:val="20"/>
    </w:rPr>
  </w:style>
  <w:style w:type="character" w:styleId="1004" w:customStyle="1">
    <w:name w:val="无间隔 字符"/>
    <w:link w:val="1005"/>
    <w:uiPriority w:val="0"/>
    <w:qFormat/>
    <w:rPr>
      <w:rFonts w:eastAsia="微软雅黑"/>
      <w:sz w:val="24"/>
    </w:rPr>
  </w:style>
  <w:style w:type="paragraph" w:styleId="1005">
    <w:name w:val="No Spacing"/>
    <w:link w:val="1004"/>
    <w:uiPriority w:val="0"/>
    <w:qFormat/>
    <w:pPr>
      <w:jc w:val="both"/>
      <w:widowControl w:val="off"/>
    </w:pPr>
    <w:rPr>
      <w:rFonts w:eastAsia="微软雅黑" w:asciiTheme="minorHAnsi" w:hAnsiTheme="minorHAnsi" w:cstheme="minorBidi"/>
      <w:sz w:val="24"/>
      <w:szCs w:val="22"/>
      <w:lang w:val="en-US" w:eastAsia="zh-CN" w:bidi="ar-SA"/>
    </w:rPr>
  </w:style>
  <w:style w:type="character" w:styleId="1006" w:customStyle="1">
    <w:name w:val="title_emph1"/>
    <w:uiPriority w:val="0"/>
    <w:qFormat/>
    <w:rPr>
      <w:rFonts w:ascii="Arial" w:cs="Arial"/>
      <w:b/>
      <w:bCs/>
      <w:sz w:val="18"/>
      <w:szCs w:val="18"/>
    </w:rPr>
  </w:style>
  <w:style w:type="character" w:styleId="1007" w:customStyle="1">
    <w:name w:val="纯文本 字符"/>
    <w:link w:val="885"/>
    <w:uiPriority w:val="0"/>
    <w:qFormat/>
    <w:rPr>
      <w:rFonts w:ascii="宋体" w:hAnsi="Courier New" w:eastAsia="宋体"/>
    </w:rPr>
  </w:style>
  <w:style w:type="character" w:styleId="1008" w:customStyle="1">
    <w:name w:val="111111 Char"/>
    <w:link w:val="1009"/>
    <w:uiPriority w:val="0"/>
    <w:qFormat/>
    <w:rPr>
      <w:rFonts w:ascii="宋体" w:hAnsi="宋体" w:eastAsia="黑体" w:cs="宋体"/>
      <w:b/>
      <w:bCs/>
      <w:szCs w:val="21"/>
    </w:rPr>
  </w:style>
  <w:style w:type="paragraph" w:styleId="1009" w:customStyle="1">
    <w:name w:val="111111"/>
    <w:basedOn w:val="856"/>
    <w:link w:val="1008"/>
    <w:uiPriority w:val="0"/>
    <w:qFormat/>
    <w:pPr>
      <w:jc w:val="center"/>
      <w:spacing w:before="120" w:after="120"/>
    </w:pPr>
    <w:rPr>
      <w:rFonts w:ascii="宋体" w:hAnsi="宋体" w:eastAsia="黑体"/>
      <w:b/>
      <w:bCs/>
      <w:sz w:val="21"/>
      <w:szCs w:val="21"/>
      <w:lang w:val="en-US"/>
    </w:rPr>
  </w:style>
  <w:style w:type="character" w:styleId="1010" w:customStyle="1">
    <w:name w:val="font51"/>
    <w:uiPriority w:val="0"/>
    <w:qFormat/>
    <w:rPr>
      <w:rFonts w:hint="eastAsia" w:ascii="宋体" w:hAnsi="宋体" w:eastAsia="宋体" w:cs="宋体"/>
      <w:color w:val="000000"/>
      <w:sz w:val="20"/>
      <w:szCs w:val="20"/>
      <w:u w:val="none"/>
    </w:rPr>
  </w:style>
  <w:style w:type="character" w:styleId="1011" w:customStyle="1">
    <w:name w:val="批注主题 字符"/>
    <w:link w:val="913"/>
    <w:uiPriority w:val="0"/>
    <w:semiHidden/>
    <w:qFormat/>
    <w:rPr>
      <w:rFonts w:eastAsia="宋体"/>
      <w:b/>
      <w:bCs/>
    </w:rPr>
  </w:style>
  <w:style w:type="character" w:styleId="1012" w:customStyle="1">
    <w:name w:val="Char Char27"/>
    <w:uiPriority w:val="0"/>
    <w:qFormat/>
    <w:rPr>
      <w:b/>
      <w:bCs/>
      <w:sz w:val="44"/>
      <w:szCs w:val="44"/>
    </w:rPr>
  </w:style>
  <w:style w:type="character" w:styleId="1013" w:customStyle="1">
    <w:name w:val="case31"/>
    <w:uiPriority w:val="0"/>
    <w:qFormat/>
    <w:rPr>
      <w:sz w:val="21"/>
      <w:szCs w:val="21"/>
    </w:rPr>
  </w:style>
  <w:style w:type="character" w:styleId="1014" w:customStyle="1">
    <w:name w:val="concon"/>
    <w:uiPriority w:val="0"/>
    <w:qFormat/>
  </w:style>
  <w:style w:type="character" w:styleId="1015" w:customStyle="1">
    <w:name w:val="20"/>
    <w:uiPriority w:val="0"/>
    <w:qFormat/>
    <w:rPr>
      <w:rFonts w:hint="default" w:ascii="Times New Roman" w:hAnsi="Times New Roman" w:cs="Times New Roman"/>
    </w:rPr>
  </w:style>
  <w:style w:type="character" w:styleId="1016" w:customStyle="1">
    <w:name w:val="纯文本 Char1"/>
    <w:uiPriority w:val="0"/>
    <w:qFormat/>
    <w:rPr>
      <w:rFonts w:ascii="宋体" w:hAnsi="Courier New" w:cs="Courier New"/>
      <w:sz w:val="21"/>
      <w:szCs w:val="21"/>
    </w:rPr>
  </w:style>
  <w:style w:type="character" w:styleId="1017" w:customStyle="1">
    <w:name w:val="华宇段落1 Char Char Char"/>
    <w:uiPriority w:val="0"/>
    <w:qFormat/>
    <w:rPr>
      <w:rFonts w:eastAsia="宋体"/>
      <w:bCs/>
      <w:sz w:val="24"/>
      <w:szCs w:val="24"/>
      <w:lang w:val="en-US" w:eastAsia="zh-CN" w:bidi="ar-SA"/>
    </w:rPr>
  </w:style>
  <w:style w:type="character" w:styleId="1018" w:customStyle="1">
    <w:name w:val="正文文本缩进 3 字符"/>
    <w:link w:val="902"/>
    <w:uiPriority w:val="0"/>
    <w:qFormat/>
    <w:rPr>
      <w:rFonts w:ascii="Arial" w:hAnsi="Arial" w:eastAsia="仿宋_GB2312"/>
      <w:color w:val="ffff00"/>
      <w:sz w:val="32"/>
    </w:rPr>
  </w:style>
  <w:style w:type="character" w:styleId="1019" w:customStyle="1">
    <w:name w:val="style131"/>
    <w:uiPriority w:val="0"/>
    <w:qFormat/>
    <w:rPr>
      <w:rFonts w:cs="Times New Roman"/>
      <w:sz w:val="18"/>
      <w:szCs w:val="18"/>
    </w:rPr>
  </w:style>
  <w:style w:type="character" w:styleId="1020" w:customStyle="1">
    <w:name w:val="正文文本缩进 字符"/>
    <w:link w:val="881"/>
    <w:uiPriority w:val="0"/>
    <w:qFormat/>
    <w:rPr>
      <w:rFonts w:ascii="楷体_GB2312" w:eastAsia="楷体_GB2312"/>
      <w:sz w:val="32"/>
    </w:rPr>
  </w:style>
  <w:style w:type="character" w:styleId="1021" w:customStyle="1">
    <w:name w:val="纯文本 Char Char Char"/>
    <w:uiPriority w:val="0"/>
    <w:qFormat/>
    <w:rPr>
      <w:rFonts w:ascii="宋体" w:hAnsi="Courier New" w:eastAsia="宋体"/>
      <w:sz w:val="21"/>
      <w:szCs w:val="21"/>
      <w:lang w:val="en-US" w:eastAsia="zh-CN" w:bidi="ar-SA"/>
    </w:rPr>
  </w:style>
  <w:style w:type="character" w:styleId="1022" w:customStyle="1">
    <w:name w:val="font21"/>
    <w:uiPriority w:val="0"/>
    <w:qFormat/>
    <w:rPr>
      <w:rFonts w:hint="eastAsia" w:ascii="宋体" w:hAnsi="宋体" w:eastAsia="宋体" w:cs="宋体"/>
      <w:color w:val="ff0000"/>
      <w:sz w:val="20"/>
      <w:szCs w:val="20"/>
      <w:u w:val="none"/>
    </w:rPr>
  </w:style>
  <w:style w:type="character" w:styleId="1023" w:customStyle="1">
    <w:name w:val="content"/>
    <w:basedOn w:val="866"/>
    <w:uiPriority w:val="0"/>
    <w:qFormat/>
  </w:style>
  <w:style w:type="character" w:styleId="1024" w:customStyle="1">
    <w:name w:val="font41"/>
    <w:uiPriority w:val="0"/>
    <w:qFormat/>
    <w:rPr>
      <w:rFonts w:hint="eastAsia" w:ascii="宋体" w:hAnsi="宋体" w:eastAsia="宋体" w:cs="宋体"/>
      <w:b/>
      <w:color w:val="000000"/>
      <w:sz w:val="20"/>
      <w:szCs w:val="20"/>
      <w:u w:val="none"/>
    </w:rPr>
  </w:style>
  <w:style w:type="character" w:styleId="1025" w:customStyle="1">
    <w:name w:val="listbenefit"/>
    <w:uiPriority w:val="0"/>
    <w:qFormat/>
  </w:style>
  <w:style w:type="character" w:styleId="1026" w:customStyle="1">
    <w:name w:val="Char Char2"/>
    <w:uiPriority w:val="0"/>
    <w:qFormat/>
    <w:rPr>
      <w:rFonts w:ascii="宋体" w:hAnsi="Courier New" w:eastAsia="宋体"/>
      <w:sz w:val="21"/>
      <w:szCs w:val="21"/>
      <w:lang w:val="en-US" w:eastAsia="zh-CN" w:bidi="ar-SA"/>
    </w:rPr>
  </w:style>
  <w:style w:type="character" w:styleId="1027" w:customStyle="1">
    <w:name w:val="已访问的超链接1"/>
    <w:uiPriority w:val="0"/>
    <w:qFormat/>
    <w:rPr>
      <w:color w:val="auto"/>
      <w:u w:val="none"/>
    </w:rPr>
  </w:style>
  <w:style w:type="character" w:styleId="1028" w:customStyle="1">
    <w:name w:val="标准小四 Char Char"/>
    <w:uiPriority w:val="0"/>
    <w:qFormat/>
    <w:rPr>
      <w:rFonts w:ascii="Arial" w:hAnsi="Arial" w:eastAsia="宋体"/>
      <w:sz w:val="24"/>
      <w:szCs w:val="21"/>
      <w:lang w:val="en-US" w:eastAsia="zh-CN" w:bidi="ar-SA"/>
    </w:rPr>
  </w:style>
  <w:style w:type="character" w:styleId="1029" w:customStyle="1">
    <w:name w:val="样式 首行缩进:  2 字符 Char"/>
    <w:uiPriority w:val="0"/>
    <w:qFormat/>
    <w:rPr>
      <w:rFonts w:eastAsia="宋体" w:cs="宋体"/>
      <w:sz w:val="24"/>
      <w:lang w:val="en-US" w:eastAsia="zh-CN" w:bidi="ar-SA"/>
    </w:rPr>
  </w:style>
  <w:style w:type="character" w:styleId="1030" w:customStyle="1">
    <w:name w:val="华宇段落1 Char Char"/>
    <w:uiPriority w:val="0"/>
    <w:qFormat/>
    <w:rPr>
      <w:rFonts w:eastAsia="宋体"/>
      <w:bCs/>
      <w:sz w:val="24"/>
      <w:szCs w:val="24"/>
      <w:lang w:val="en-US" w:eastAsia="zh-CN" w:bidi="ar-SA"/>
    </w:rPr>
  </w:style>
  <w:style w:type="character" w:styleId="1031" w:customStyle="1">
    <w:name w:val="正文缩进 Char1"/>
    <w:link w:val="1032"/>
    <w:uiPriority w:val="0"/>
    <w:qFormat/>
    <w:rPr>
      <w:rFonts w:eastAsia="宋体"/>
    </w:rPr>
  </w:style>
  <w:style w:type="paragraph" w:styleId="1032" w:customStyle="1">
    <w:name w:val="正文缩进1"/>
    <w:basedOn w:val="856"/>
    <w:link w:val="1031"/>
    <w:uiPriority w:val="0"/>
    <w:qFormat/>
    <w:pPr>
      <w:ind w:firstLine="420"/>
    </w:pPr>
    <w:rPr>
      <w:rFonts w:eastAsia="宋体" w:asciiTheme="minorHAnsi" w:hAnsiTheme="minorHAnsi" w:cstheme="minorBidi"/>
      <w:sz w:val="21"/>
      <w:szCs w:val="22"/>
      <w:lang w:val="en-US"/>
    </w:rPr>
  </w:style>
  <w:style w:type="character" w:styleId="1033" w:customStyle="1">
    <w:name w:val="小四 段落 宋体 Char1"/>
    <w:uiPriority w:val="0"/>
    <w:qFormat/>
    <w:rPr>
      <w:rFonts w:eastAsia="宋体"/>
      <w:sz w:val="24"/>
      <w:szCs w:val="24"/>
      <w:lang w:val="en-US" w:eastAsia="zh-CN" w:bidi="ar-SA"/>
    </w:rPr>
  </w:style>
  <w:style w:type="character" w:styleId="1034" w:customStyle="1">
    <w:name w:val="标题 3 字符"/>
    <w:link w:val="859"/>
    <w:uiPriority w:val="0"/>
    <w:qFormat/>
    <w:rPr>
      <w:rFonts w:ascii="宋体" w:hAnsi="宋体" w:eastAsia="宋体" w:cs="Times New Roman"/>
      <w:b/>
      <w:szCs w:val="21"/>
      <w:shd w:val="clear" w:color="auto" w:fill="ffffff"/>
      <w:lang w:val="zh-CN"/>
    </w:rPr>
  </w:style>
  <w:style w:type="character" w:styleId="1035" w:customStyle="1">
    <w:name w:val="Char Char24"/>
    <w:uiPriority w:val="0"/>
    <w:qFormat/>
    <w:rPr>
      <w:b/>
      <w:bCs/>
      <w:sz w:val="28"/>
      <w:szCs w:val="28"/>
    </w:rPr>
  </w:style>
  <w:style w:type="character" w:styleId="1036" w:customStyle="1">
    <w:name w:val="样式 首行缩进:  2 字符 Char Char"/>
    <w:link w:val="1037"/>
    <w:uiPriority w:val="0"/>
    <w:qFormat/>
    <w:rPr>
      <w:rFonts w:eastAsia="宋体" w:cs="宋体"/>
      <w:sz w:val="24"/>
    </w:rPr>
  </w:style>
  <w:style w:type="paragraph" w:styleId="1037" w:customStyle="1">
    <w:name w:val="样式 首行缩进:  2 字符"/>
    <w:basedOn w:val="856"/>
    <w:link w:val="1036"/>
    <w:uiPriority w:val="0"/>
    <w:qFormat/>
    <w:pPr>
      <w:ind w:firstLine="480"/>
      <w:spacing w:line="360" w:lineRule="auto"/>
    </w:pPr>
    <w:rPr>
      <w:rFonts w:eastAsia="宋体" w:asciiTheme="minorHAnsi" w:hAnsiTheme="minorHAnsi"/>
      <w:sz w:val="24"/>
      <w:szCs w:val="22"/>
      <w:lang w:val="en-US"/>
    </w:rPr>
  </w:style>
  <w:style w:type="character" w:styleId="1038" w:customStyle="1">
    <w:name w:val="17"/>
    <w:uiPriority w:val="0"/>
    <w:qFormat/>
    <w:rPr>
      <w:rFonts w:hint="eastAsia" w:ascii="宋体" w:hAnsi="宋体" w:eastAsia="宋体" w:cs="宋体"/>
      <w:color w:val="ff0000"/>
      <w:sz w:val="20"/>
      <w:szCs w:val="20"/>
    </w:rPr>
  </w:style>
  <w:style w:type="character" w:styleId="103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40" w:customStyle="1">
    <w:name w:val="content_lineheight1"/>
    <w:basedOn w:val="866"/>
    <w:uiPriority w:val="0"/>
    <w:qFormat/>
  </w:style>
  <w:style w:type="character" w:styleId="1041" w:customStyle="1">
    <w:name w:val="标题 3 Char Char"/>
    <w:uiPriority w:val="0"/>
    <w:qFormat/>
    <w:rPr>
      <w:rFonts w:eastAsia="仿宋_GB2312"/>
      <w:b/>
      <w:bCs/>
      <w:sz w:val="28"/>
      <w:szCs w:val="32"/>
      <w:lang w:val="en-US" w:eastAsia="zh-CN" w:bidi="ar-SA"/>
    </w:rPr>
  </w:style>
  <w:style w:type="character" w:styleId="1042" w:customStyle="1">
    <w:name w:val="样式 首行缩进:  0 字符 Char"/>
    <w:link w:val="1043"/>
    <w:uiPriority w:val="0"/>
    <w:qFormat/>
    <w:rPr>
      <w:rFonts w:ascii="Verdana" w:hAnsi="Verdana" w:cs="宋体"/>
      <w:sz w:val="24"/>
    </w:rPr>
  </w:style>
  <w:style w:type="paragraph" w:styleId="1043" w:customStyle="1">
    <w:name w:val="样式 首行缩进:  0 字符"/>
    <w:basedOn w:val="856"/>
    <w:link w:val="1042"/>
    <w:uiPriority w:val="0"/>
    <w:qFormat/>
    <w:pPr>
      <w:ind w:firstLine="200"/>
      <w:jc w:val="left"/>
      <w:spacing w:line="360" w:lineRule="auto"/>
      <w:widowControl/>
    </w:pPr>
    <w:rPr>
      <w:rFonts w:ascii="Verdana" w:hAnsi="Verdana" w:eastAsiaTheme="minorEastAsia"/>
      <w:sz w:val="24"/>
      <w:szCs w:val="22"/>
      <w:lang w:val="en-US"/>
    </w:rPr>
  </w:style>
  <w:style w:type="character" w:styleId="1044" w:customStyle="1">
    <w:name w:val="标准小四 Char"/>
    <w:uiPriority w:val="0"/>
    <w:qFormat/>
    <w:rPr>
      <w:rFonts w:ascii="Arial" w:hAnsi="Arial" w:eastAsia="宋体"/>
      <w:sz w:val="24"/>
      <w:szCs w:val="21"/>
      <w:lang w:val="en-US" w:eastAsia="zh-CN" w:bidi="ar-SA"/>
    </w:rPr>
  </w:style>
  <w:style w:type="character" w:styleId="1045" w:customStyle="1">
    <w:name w:val="point_normal1"/>
    <w:uiPriority w:val="0"/>
    <w:qFormat/>
    <w:rPr>
      <w:rFonts w:hint="default" w:ascii="Arial" w:hAnsi="Arial" w:cs="Arial"/>
      <w:sz w:val="18"/>
      <w:szCs w:val="18"/>
    </w:rPr>
  </w:style>
  <w:style w:type="character" w:styleId="1046" w:customStyle="1">
    <w:name w:val="normalfont1"/>
    <w:uiPriority w:val="0"/>
    <w:qFormat/>
    <w:rPr>
      <w:rFonts w:hint="default" w:ascii="ˎ̥" w:hAnsi="ˎ̥"/>
      <w:sz w:val="18"/>
      <w:szCs w:val="18"/>
      <w:u w:val="none"/>
    </w:rPr>
  </w:style>
  <w:style w:type="character" w:styleId="1047" w:customStyle="1">
    <w:name w:val="页脚 字符"/>
    <w:link w:val="892"/>
    <w:uiPriority w:val="0"/>
    <w:qFormat/>
    <w:rPr>
      <w:sz w:val="18"/>
    </w:rPr>
  </w:style>
  <w:style w:type="paragraph" w:styleId="1048" w:customStyle="1">
    <w:name w:val="默认段落字体 Para Char"/>
    <w:basedOn w:val="856"/>
    <w:uiPriority w:val="0"/>
    <w:qFormat/>
    <w:rPr>
      <w:sz w:val="24"/>
      <w:szCs w:val="24"/>
    </w:rPr>
  </w:style>
  <w:style w:type="character" w:styleId="1049" w:customStyle="1">
    <w:name w:val="批注框文本 字符"/>
    <w:basedOn w:val="866"/>
    <w:link w:val="891"/>
    <w:uiPriority w:val="0"/>
    <w:semiHidden/>
    <w:qFormat/>
    <w:rPr>
      <w:rFonts w:ascii="Calibri" w:hAnsi="Calibri" w:eastAsia="Calibri" w:cs="宋体"/>
      <w:sz w:val="18"/>
      <w:szCs w:val="18"/>
      <w:lang w:val="zh-CN"/>
    </w:rPr>
  </w:style>
  <w:style w:type="paragraph" w:styleId="1050" w:customStyle="1">
    <w:name w:val="Char Char Char Char Char Char Char Char"/>
    <w:basedOn w:val="856"/>
    <w:uiPriority w:val="0"/>
    <w:qFormat/>
    <w:rPr>
      <w:rFonts w:ascii="Tahoma" w:hAnsi="Tahoma"/>
      <w:sz w:val="24"/>
    </w:rPr>
  </w:style>
  <w:style w:type="paragraph" w:styleId="1051" w:customStyle="1">
    <w:name w:val="Char Char1 Char"/>
    <w:basedOn w:val="856"/>
    <w:uiPriority w:val="0"/>
    <w:qFormat/>
    <w:pPr>
      <w:jc w:val="left"/>
      <w:spacing w:after="160" w:line="240" w:lineRule="exact"/>
      <w:widowControl/>
    </w:pPr>
    <w:rPr>
      <w:rFonts w:ascii="Verdana" w:hAnsi="Verdana"/>
      <w:lang w:eastAsia="en-US"/>
    </w:rPr>
  </w:style>
  <w:style w:type="paragraph" w:styleId="1052" w:customStyle="1">
    <w:name w:val="Char Char Char Char Char Char Char Char Char Char Char Char Char"/>
    <w:basedOn w:val="875"/>
    <w:uiPriority w:val="0"/>
    <w:qFormat/>
    <w:rPr>
      <w:rFonts w:ascii="Tahoma" w:hAnsi="Tahoma"/>
      <w:sz w:val="24"/>
      <w:szCs w:val="24"/>
    </w:rPr>
  </w:style>
  <w:style w:type="character" w:styleId="1053" w:customStyle="1">
    <w:name w:val="正文文本 2 字符"/>
    <w:basedOn w:val="866"/>
    <w:link w:val="908"/>
    <w:uiPriority w:val="0"/>
    <w:qFormat/>
    <w:rPr>
      <w:rFonts w:ascii="楷体_GB2312" w:hAnsi="Calibri" w:eastAsia="楷体_GB2312" w:cs="宋体"/>
      <w:sz w:val="28"/>
      <w:szCs w:val="20"/>
      <w:lang w:val="zh-CN"/>
    </w:rPr>
  </w:style>
  <w:style w:type="paragraph" w:styleId="1054" w:customStyle="1">
    <w:name w:val="Table Text Char"/>
    <w:uiPriority w:val="0"/>
    <w:qFormat/>
    <w:pPr>
      <w:spacing w:before="80" w:after="80"/>
    </w:pPr>
    <w:rPr>
      <w:rFonts w:ascii="Arial" w:hAnsi="Arial" w:eastAsia="宋体" w:cs="Arial"/>
      <w:sz w:val="18"/>
      <w:szCs w:val="28"/>
      <w:lang w:val="en-US" w:eastAsia="zh-CN" w:bidi="ar-SA"/>
    </w:rPr>
  </w:style>
  <w:style w:type="paragraph" w:styleId="1055" w:customStyle="1">
    <w:name w:val="Char Char Char Char Char Char Char Char Char Char Char Char Char Char Char Char Char Char Char Char Char"/>
    <w:basedOn w:val="856"/>
    <w:uiPriority w:val="0"/>
    <w:qFormat/>
    <w:rPr>
      <w:rFonts w:ascii="Tahoma" w:hAnsi="Tahoma" w:cs="Tahoma"/>
      <w:sz w:val="24"/>
    </w:rPr>
  </w:style>
  <w:style w:type="paragraph" w:styleId="1056" w:customStyle="1">
    <w:name w:val="xl3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57" w:customStyle="1">
    <w:name w:val="xl3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58" w:customStyle="1">
    <w:name w:val="段"/>
    <w:uiPriority w:val="0"/>
    <w:qFormat/>
    <w:pPr>
      <w:ind w:firstLine="200"/>
      <w:jc w:val="both"/>
    </w:pPr>
    <w:rPr>
      <w:rFonts w:ascii="宋体" w:hAnsi="Calibri" w:eastAsia="宋体" w:cs="Times New Roman"/>
      <w:sz w:val="21"/>
      <w:lang w:val="en-US" w:eastAsia="zh-CN" w:bidi="ar-SA"/>
    </w:rPr>
  </w:style>
  <w:style w:type="paragraph" w:styleId="1059" w:customStyle="1">
    <w:name w:val="font13"/>
    <w:basedOn w:val="856"/>
    <w:uiPriority w:val="0"/>
    <w:qFormat/>
    <w:pPr>
      <w:jc w:val="left"/>
      <w:spacing w:before="100" w:beforeAutospacing="1" w:after="100" w:afterAutospacing="1"/>
      <w:widowControl/>
    </w:pPr>
    <w:rPr>
      <w:i/>
      <w:iCs/>
      <w:sz w:val="36"/>
      <w:szCs w:val="36"/>
    </w:rPr>
  </w:style>
  <w:style w:type="paragraph" w:styleId="1060" w:customStyle="1">
    <w:name w:val="符号与编号 Char"/>
    <w:basedOn w:val="856"/>
    <w:uiPriority w:val="0"/>
    <w:qFormat/>
    <w:pPr>
      <w:ind w:left="720"/>
      <w:spacing w:line="400" w:lineRule="atLeast"/>
      <w:tabs>
        <w:tab w:val="left" w:pos="720" w:leader="none"/>
      </w:tabs>
    </w:pPr>
    <w:rPr>
      <w:sz w:val="24"/>
      <w:szCs w:val="24"/>
    </w:rPr>
  </w:style>
  <w:style w:type="paragraph" w:styleId="1061" w:customStyle="1">
    <w:name w:val="标题2，章节第二层"/>
    <w:basedOn w:val="856"/>
    <w:next w:val="106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2" w:customStyle="1">
    <w:name w:val="正文格式"/>
    <w:basedOn w:val="856"/>
    <w:uiPriority w:val="0"/>
    <w:qFormat/>
    <w:pPr>
      <w:ind w:left="178" w:right="44" w:hanging="178"/>
      <w:jc w:val="left"/>
      <w:spacing w:line="360" w:lineRule="auto"/>
      <w:widowControl/>
    </w:pPr>
    <w:rPr>
      <w:rFonts w:ascii="宋体" w:hAnsi="宋体"/>
      <w:bCs/>
      <w:szCs w:val="21"/>
    </w:rPr>
  </w:style>
  <w:style w:type="paragraph" w:styleId="1063" w:customStyle="1">
    <w:name w:val="正文--表格内正文"/>
    <w:basedOn w:val="856"/>
    <w:uiPriority w:val="0"/>
    <w:qFormat/>
    <w:pPr>
      <w:jc w:val="center"/>
      <w:spacing w:line="0" w:lineRule="atLeast"/>
    </w:pPr>
    <w:rPr>
      <w:rFonts w:ascii="宋体" w:hAnsi="宋体"/>
      <w:color w:val="000000"/>
      <w:sz w:val="24"/>
      <w:szCs w:val="24"/>
    </w:rPr>
  </w:style>
  <w:style w:type="paragraph" w:styleId="1064" w:customStyle="1">
    <w:name w:val="xl3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65" w:customStyle="1">
    <w:name w:val="Char Char Char"/>
    <w:basedOn w:val="856"/>
    <w:uiPriority w:val="0"/>
    <w:qFormat/>
    <w:rPr>
      <w:rFonts w:ascii="Tahoma" w:hAnsi="Tahoma"/>
      <w:sz w:val="24"/>
    </w:rPr>
  </w:style>
  <w:style w:type="character" w:styleId="1066" w:customStyle="1">
    <w:name w:val="脚注文本 字符"/>
    <w:basedOn w:val="866"/>
    <w:link w:val="900"/>
    <w:uiPriority w:val="0"/>
    <w:qFormat/>
    <w:rPr>
      <w:rFonts w:ascii="Calibri" w:hAnsi="Calibri" w:eastAsia="Calibri" w:cs="宋体"/>
      <w:sz w:val="18"/>
      <w:szCs w:val="18"/>
      <w:lang w:val="zh-CN"/>
    </w:rPr>
  </w:style>
  <w:style w:type="paragraph" w:styleId="1067" w:customStyle="1">
    <w:name w:val="默认段落字体 Para Char Char Char Char Char Char Char Char Char1 Char Char Char Char Char Char Char"/>
    <w:basedOn w:val="875"/>
    <w:uiPriority w:val="0"/>
    <w:qFormat/>
  </w:style>
  <w:style w:type="paragraph" w:styleId="1068" w:customStyle="1">
    <w:name w:val="正文表标题"/>
    <w:next w:val="105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69" w:customStyle="1">
    <w:name w:val="Char Char Char Char Char Char"/>
    <w:basedOn w:val="856"/>
    <w:uiPriority w:val="0"/>
    <w:qFormat/>
    <w:rPr>
      <w:rFonts w:ascii="Tahoma" w:hAnsi="Tahoma" w:cs="Tahoma"/>
      <w:sz w:val="24"/>
    </w:rPr>
  </w:style>
  <w:style w:type="character" w:styleId="1070" w:customStyle="1">
    <w:name w:val="纯文本 Char2"/>
    <w:basedOn w:val="866"/>
    <w:uiPriority w:val="99"/>
    <w:semiHidden/>
    <w:qFormat/>
    <w:rPr>
      <w:rFonts w:ascii="宋体" w:hAnsi="Courier New" w:eastAsia="宋体" w:cs="Courier New"/>
      <w:szCs w:val="21"/>
      <w:lang w:val="zh-CN"/>
    </w:rPr>
  </w:style>
  <w:style w:type="paragraph" w:styleId="1071" w:customStyle="1">
    <w:name w:val="我的正文"/>
    <w:basedOn w:val="856"/>
    <w:uiPriority w:val="0"/>
    <w:qFormat/>
    <w:pPr>
      <w:ind w:firstLine="420"/>
      <w:jc w:val="left"/>
      <w:spacing w:line="360" w:lineRule="auto"/>
      <w:widowControl/>
    </w:pPr>
    <w:rPr>
      <w:rFonts w:ascii="宋体" w:hAnsi="宋体"/>
      <w:szCs w:val="21"/>
    </w:rPr>
  </w:style>
  <w:style w:type="paragraph" w:styleId="1072" w:customStyle="1">
    <w:name w:val="列出段落1"/>
    <w:basedOn w:val="856"/>
    <w:uiPriority w:val="0"/>
    <w:qFormat/>
    <w:pPr>
      <w:contextualSpacing/>
      <w:ind w:left="720"/>
      <w:jc w:val="left"/>
      <w:widowControl/>
    </w:pPr>
    <w:rPr>
      <w:rFonts w:ascii="Arial" w:hAnsi="Arial" w:eastAsia="黑体"/>
      <w:sz w:val="24"/>
      <w:szCs w:val="24"/>
      <w:lang w:eastAsia="en-US"/>
    </w:rPr>
  </w:style>
  <w:style w:type="character" w:styleId="1073" w:customStyle="1">
    <w:name w:val="标题 Char2"/>
    <w:basedOn w:val="866"/>
    <w:uiPriority w:val="10"/>
    <w:qFormat/>
    <w:rPr>
      <w:rFonts w:eastAsia="宋体" w:asciiTheme="majorHAnsi" w:hAnsiTheme="majorHAnsi" w:cstheme="majorBidi"/>
      <w:b/>
      <w:bCs/>
      <w:sz w:val="32"/>
      <w:szCs w:val="32"/>
      <w:lang w:val="zh-CN"/>
    </w:rPr>
  </w:style>
  <w:style w:type="paragraph" w:styleId="107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75" w:customStyle="1">
    <w:name w:val="样式 标题 2第一章 标题 2Heading 2 HiddenHeading 2 CCBSheading 2H2h2..."/>
    <w:basedOn w:val="858"/>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76" w:customStyle="1">
    <w:name w:val="正文文本缩进 Char1"/>
    <w:basedOn w:val="866"/>
    <w:uiPriority w:val="99"/>
    <w:semiHidden/>
    <w:qFormat/>
    <w:rPr>
      <w:rFonts w:ascii="Calibri" w:hAnsi="Calibri" w:eastAsia="Calibri" w:cs="宋体"/>
      <w:sz w:val="20"/>
      <w:szCs w:val="20"/>
      <w:lang w:val="zh-CN"/>
    </w:rPr>
  </w:style>
  <w:style w:type="paragraph" w:styleId="1077" w:customStyle="1">
    <w:name w:val="样式 样式 首行缩进:  0.74 厘米 行距: 1.5 倍行距 + 段后: 0.5 行"/>
    <w:basedOn w:val="856"/>
    <w:uiPriority w:val="0"/>
    <w:qFormat/>
    <w:pPr>
      <w:ind w:firstLine="420"/>
      <w:spacing w:line="360" w:lineRule="auto"/>
    </w:pPr>
    <w:rPr>
      <w:rFonts w:ascii="楷体_GB2312" w:eastAsia="楷体_GB2312"/>
      <w:bCs/>
      <w:sz w:val="24"/>
    </w:rPr>
  </w:style>
  <w:style w:type="paragraph" w:styleId="1078" w:customStyle="1">
    <w:name w:val="Char Char Char Char Char Char Char1 Char"/>
    <w:basedOn w:val="856"/>
    <w:uiPriority w:val="0"/>
    <w:qFormat/>
    <w:rPr>
      <w:rFonts w:ascii="Tahoma" w:hAnsi="Tahoma" w:cs="Tahoma"/>
      <w:sz w:val="24"/>
    </w:rPr>
  </w:style>
  <w:style w:type="paragraph" w:styleId="1079" w:customStyle="1">
    <w:name w:val="Char Char Char Char Char Char Char"/>
    <w:basedOn w:val="856"/>
    <w:uiPriority w:val="0"/>
    <w:qFormat/>
    <w:rPr>
      <w:rFonts w:ascii="Tahoma" w:hAnsi="Tahoma"/>
      <w:sz w:val="24"/>
    </w:rPr>
  </w:style>
  <w:style w:type="paragraph" w:styleId="1080" w:customStyle="1">
    <w:name w:val="华宇段落1 Char"/>
    <w:basedOn w:val="856"/>
    <w:uiPriority w:val="0"/>
    <w:qFormat/>
    <w:pPr>
      <w:ind w:firstLine="200"/>
      <w:spacing w:line="360" w:lineRule="auto"/>
    </w:pPr>
    <w:rPr>
      <w:bCs/>
      <w:sz w:val="24"/>
      <w:szCs w:val="24"/>
    </w:rPr>
  </w:style>
  <w:style w:type="character" w:styleId="1081" w:customStyle="1">
    <w:name w:val="正文文本 字符"/>
    <w:basedOn w:val="866"/>
    <w:link w:val="880"/>
    <w:uiPriority w:val="99"/>
    <w:semiHidden/>
    <w:qFormat/>
    <w:rPr>
      <w:rFonts w:ascii="Calibri" w:hAnsi="Calibri" w:eastAsia="Calibri" w:cs="宋体"/>
      <w:sz w:val="20"/>
      <w:szCs w:val="20"/>
      <w:lang w:val="zh-CN"/>
    </w:rPr>
  </w:style>
  <w:style w:type="character" w:styleId="1082" w:customStyle="1">
    <w:name w:val="正文文本首行缩进 字符"/>
    <w:basedOn w:val="1081"/>
    <w:link w:val="914"/>
    <w:uiPriority w:val="0"/>
    <w:qFormat/>
    <w:rPr>
      <w:rFonts w:ascii="Times New Roman" w:hAnsi="Times New Roman" w:eastAsia="宋体" w:cs="宋体"/>
      <w:sz w:val="20"/>
      <w:szCs w:val="24"/>
      <w:lang w:val="zh-CN"/>
    </w:rPr>
  </w:style>
  <w:style w:type="paragraph" w:styleId="1083" w:customStyle="1">
    <w:name w:val="Char Char Char Char"/>
    <w:basedOn w:val="856"/>
    <w:uiPriority w:val="0"/>
    <w:qFormat/>
    <w:pPr>
      <w:jc w:val="center"/>
      <w:spacing w:after="160" w:line="240" w:lineRule="exact"/>
      <w:widowControl/>
    </w:pPr>
    <w:rPr>
      <w:rFonts w:ascii="黑体" w:hAnsi="Verdana" w:eastAsia="黑体"/>
      <w:sz w:val="32"/>
      <w:szCs w:val="32"/>
      <w:lang w:eastAsia="en-US"/>
    </w:rPr>
  </w:style>
  <w:style w:type="character" w:styleId="1084" w:customStyle="1">
    <w:name w:val="正文文本缩进 2 Char1"/>
    <w:basedOn w:val="866"/>
    <w:uiPriority w:val="99"/>
    <w:semiHidden/>
    <w:qFormat/>
    <w:rPr>
      <w:rFonts w:ascii="Calibri" w:hAnsi="Calibri" w:eastAsia="Calibri" w:cs="宋体"/>
      <w:sz w:val="20"/>
      <w:szCs w:val="20"/>
      <w:lang w:val="zh-CN"/>
    </w:rPr>
  </w:style>
  <w:style w:type="paragraph" w:styleId="1085" w:customStyle="1">
    <w:name w:val="xl25"/>
    <w:basedOn w:val="856"/>
    <w:uiPriority w:val="0"/>
    <w:qFormat/>
    <w:pPr>
      <w:jc w:val="center"/>
      <w:spacing w:before="100" w:beforeAutospacing="1" w:after="100" w:afterAutospacing="1"/>
      <w:widowControl/>
      <w:pBdr>
        <w:right w:val="single" w:color="auto" w:sz="4" w:space="0"/>
      </w:pBdr>
    </w:pPr>
    <w:rPr>
      <w:szCs w:val="21"/>
    </w:rPr>
  </w:style>
  <w:style w:type="paragraph" w:styleId="1086" w:customStyle="1">
    <w:name w:val="标题6"/>
    <w:basedOn w:val="861"/>
    <w:uiPriority w:val="0"/>
    <w:qFormat/>
    <w:pPr>
      <w:ind w:left="420" w:hanging="420"/>
      <w:keepLines/>
      <w:tabs>
        <w:tab w:val="left" w:pos="420" w:leader="none"/>
      </w:tabs>
    </w:pPr>
    <w:rPr>
      <w:rFonts w:ascii="Times New Roman"/>
      <w:b w:val="0"/>
      <w:bCs/>
      <w:color w:val="auto"/>
      <w:sz w:val="24"/>
      <w:szCs w:val="28"/>
    </w:rPr>
  </w:style>
  <w:style w:type="paragraph" w:styleId="1087" w:customStyle="1">
    <w:name w:val="content_lineheight"/>
    <w:basedOn w:val="856"/>
    <w:uiPriority w:val="0"/>
    <w:qFormat/>
    <w:pPr>
      <w:jc w:val="left"/>
      <w:spacing w:before="100" w:beforeAutospacing="1" w:after="100" w:afterAutospacing="1"/>
      <w:widowControl/>
    </w:pPr>
    <w:rPr>
      <w:rFonts w:ascii="宋体" w:hAnsi="宋体"/>
      <w:sz w:val="24"/>
      <w:szCs w:val="24"/>
    </w:rPr>
  </w:style>
  <w:style w:type="paragraph" w:styleId="1088" w:customStyle="1">
    <w:name w:val="Char Char Char Char Char Char Char Char Char Char Char Char Char Char Char Char Char Char Char Char Char Char Char"/>
    <w:basedOn w:val="856"/>
    <w:uiPriority w:val="0"/>
    <w:qFormat/>
    <w:rPr>
      <w:rFonts w:ascii="Tahoma" w:hAnsi="Tahoma"/>
      <w:sz w:val="24"/>
    </w:rPr>
  </w:style>
  <w:style w:type="paragraph" w:styleId="1089" w:customStyle="1">
    <w:name w:val="font5"/>
    <w:basedOn w:val="856"/>
    <w:uiPriority w:val="0"/>
    <w:qFormat/>
    <w:pPr>
      <w:jc w:val="left"/>
      <w:spacing w:before="100" w:beforeAutospacing="1" w:after="100" w:afterAutospacing="1"/>
      <w:widowControl/>
    </w:pPr>
    <w:rPr>
      <w:rFonts w:ascii="宋体" w:hAnsi="宋体"/>
      <w:sz w:val="18"/>
      <w:szCs w:val="18"/>
    </w:rPr>
  </w:style>
  <w:style w:type="paragraph" w:styleId="1090" w:customStyle="1">
    <w:name w:val="正文 首行缩进:  2 字符 Char Char"/>
    <w:basedOn w:val="856"/>
    <w:uiPriority w:val="0"/>
    <w:qFormat/>
    <w:pPr>
      <w:ind w:firstLine="480"/>
      <w:spacing w:line="360" w:lineRule="auto"/>
    </w:pPr>
    <w:rPr>
      <w:rFonts w:ascii="楷体_GB2312" w:eastAsia="楷体_GB2312"/>
      <w:bCs/>
      <w:sz w:val="24"/>
      <w:szCs w:val="24"/>
    </w:rPr>
  </w:style>
  <w:style w:type="paragraph" w:styleId="1091" w:customStyle="1">
    <w:name w:val="xl3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92" w:customStyle="1">
    <w:name w:val="文档结构图 Char1"/>
    <w:basedOn w:val="866"/>
    <w:uiPriority w:val="99"/>
    <w:semiHidden/>
    <w:qFormat/>
    <w:rPr>
      <w:rFonts w:ascii="宋体" w:hAnsi="Calibri" w:eastAsia="宋体" w:cs="宋体"/>
      <w:sz w:val="18"/>
      <w:szCs w:val="18"/>
      <w:lang w:val="zh-CN"/>
    </w:rPr>
  </w:style>
  <w:style w:type="character" w:styleId="1093" w:customStyle="1">
    <w:name w:val="页脚 Char1"/>
    <w:basedOn w:val="866"/>
    <w:uiPriority w:val="99"/>
    <w:semiHidden/>
    <w:qFormat/>
    <w:rPr>
      <w:rFonts w:ascii="Calibri" w:hAnsi="Calibri" w:eastAsia="Calibri" w:cs="宋体"/>
      <w:sz w:val="18"/>
      <w:szCs w:val="18"/>
      <w:lang w:val="zh-CN"/>
    </w:rPr>
  </w:style>
  <w:style w:type="paragraph" w:styleId="109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95" w:customStyle="1">
    <w:name w:val="Char1"/>
    <w:basedOn w:val="856"/>
    <w:uiPriority w:val="0"/>
    <w:qFormat/>
    <w:rPr>
      <w:rFonts w:ascii="仿宋_GB2312" w:hAnsi="宋体" w:eastAsia="仿宋_GB2312"/>
      <w:b/>
      <w:sz w:val="32"/>
      <w:szCs w:val="32"/>
    </w:rPr>
  </w:style>
  <w:style w:type="paragraph" w:styleId="1096" w:customStyle="1">
    <w:name w:val="部分1"/>
    <w:basedOn w:val="856"/>
    <w:uiPriority w:val="0"/>
    <w:qFormat/>
    <w:pPr>
      <w:jc w:val="center"/>
      <w:keepNext/>
      <w:pageBreakBefore/>
      <w:spacing w:line="360" w:lineRule="auto"/>
      <w:tabs>
        <w:tab w:val="left" w:pos="360" w:leader="none"/>
      </w:tabs>
      <w:outlineLvl w:val="0"/>
    </w:pPr>
    <w:rPr>
      <w:rFonts w:eastAsia="黑体"/>
      <w:b/>
      <w:sz w:val="36"/>
    </w:rPr>
  </w:style>
  <w:style w:type="character" w:styleId="1097" w:customStyle="1">
    <w:name w:val="批注文字 字符"/>
    <w:basedOn w:val="866"/>
    <w:link w:val="876"/>
    <w:uiPriority w:val="99"/>
    <w:semiHidden/>
    <w:qFormat/>
    <w:rPr>
      <w:rFonts w:ascii="Calibri" w:hAnsi="Calibri" w:eastAsia="Calibri" w:cs="宋体"/>
      <w:sz w:val="20"/>
      <w:szCs w:val="20"/>
      <w:lang w:val="zh-CN"/>
    </w:rPr>
  </w:style>
  <w:style w:type="character" w:styleId="1098" w:customStyle="1">
    <w:name w:val="批注主题 Char1"/>
    <w:basedOn w:val="1097"/>
    <w:uiPriority w:val="99"/>
    <w:semiHidden/>
    <w:qFormat/>
    <w:rPr>
      <w:rFonts w:ascii="Calibri" w:hAnsi="Calibri" w:eastAsia="Calibri" w:cs="宋体"/>
      <w:b/>
      <w:bCs/>
      <w:sz w:val="20"/>
      <w:szCs w:val="20"/>
      <w:lang w:val="zh-CN"/>
    </w:rPr>
  </w:style>
  <w:style w:type="character" w:styleId="1099" w:customStyle="1">
    <w:name w:val="HTML 预设格式 Char1"/>
    <w:basedOn w:val="866"/>
    <w:uiPriority w:val="99"/>
    <w:semiHidden/>
    <w:qFormat/>
    <w:rPr>
      <w:rFonts w:ascii="Courier New" w:hAnsi="Courier New" w:eastAsia="Calibri" w:cs="Courier New"/>
      <w:sz w:val="20"/>
      <w:szCs w:val="20"/>
      <w:lang w:val="zh-CN"/>
    </w:rPr>
  </w:style>
  <w:style w:type="paragraph" w:styleId="1100" w:customStyle="1">
    <w:name w:val="项目符号：一级"/>
    <w:basedOn w:val="1062"/>
    <w:next w:val="1062"/>
    <w:uiPriority w:val="0"/>
    <w:qFormat/>
    <w:pPr>
      <w:ind w:right="-134"/>
    </w:pPr>
    <w:rPr>
      <w:bCs w:val="0"/>
      <w:lang w:val="en-US"/>
    </w:rPr>
  </w:style>
  <w:style w:type="paragraph" w:styleId="1101" w:customStyle="1">
    <w:name w:val="列出段落11"/>
    <w:basedOn w:val="856"/>
    <w:uiPriority w:val="0"/>
    <w:qFormat/>
    <w:pPr>
      <w:contextualSpacing/>
      <w:ind w:left="720"/>
      <w:jc w:val="left"/>
      <w:widowControl/>
    </w:pPr>
    <w:rPr>
      <w:rFonts w:ascii="Arial" w:hAnsi="Arial" w:eastAsia="黑体"/>
      <w:sz w:val="24"/>
      <w:szCs w:val="24"/>
      <w:lang w:eastAsia="en-US"/>
    </w:rPr>
  </w:style>
  <w:style w:type="paragraph" w:styleId="1102" w:customStyle="1">
    <w:name w:val="Char Char Char Char Char Char Char Char Char Char Char Char Char Char Char Char Char Char Char Char Char1"/>
    <w:basedOn w:val="856"/>
    <w:uiPriority w:val="0"/>
    <w:qFormat/>
    <w:rPr>
      <w:rFonts w:ascii="Tahoma" w:hAnsi="Tahoma"/>
      <w:sz w:val="24"/>
    </w:rPr>
  </w:style>
  <w:style w:type="paragraph" w:styleId="1103" w:customStyle="1">
    <w:name w:val="font8"/>
    <w:basedOn w:val="856"/>
    <w:uiPriority w:val="0"/>
    <w:qFormat/>
    <w:pPr>
      <w:jc w:val="left"/>
      <w:spacing w:before="100" w:beforeAutospacing="1" w:after="100" w:afterAutospacing="1"/>
      <w:widowControl/>
    </w:pPr>
    <w:rPr>
      <w:rFonts w:ascii="宋体" w:hAnsi="宋体"/>
      <w:b/>
      <w:bCs/>
      <w:i/>
      <w:iCs/>
    </w:rPr>
  </w:style>
  <w:style w:type="paragraph" w:styleId="1104" w:customStyle="1">
    <w:name w:val="Char Char1 Char Char Char Char1 Char Char Char Char Char Char"/>
    <w:basedOn w:val="856"/>
    <w:uiPriority w:val="0"/>
    <w:qFormat/>
    <w:rPr>
      <w:rFonts w:ascii="Tahoma" w:hAnsi="Tahoma"/>
      <w:sz w:val="24"/>
    </w:rPr>
  </w:style>
  <w:style w:type="character" w:styleId="1105" w:customStyle="1">
    <w:name w:val="正文文本缩进 3 Char1"/>
    <w:basedOn w:val="866"/>
    <w:uiPriority w:val="99"/>
    <w:semiHidden/>
    <w:qFormat/>
    <w:rPr>
      <w:rFonts w:ascii="Calibri" w:hAnsi="Calibri" w:eastAsia="Calibri" w:cs="宋体"/>
      <w:sz w:val="16"/>
      <w:szCs w:val="16"/>
      <w:lang w:val="zh-CN"/>
    </w:rPr>
  </w:style>
  <w:style w:type="paragraph" w:styleId="1106" w:customStyle="1">
    <w:name w:val="p0"/>
    <w:basedOn w:val="856"/>
    <w:uiPriority w:val="0"/>
    <w:qFormat/>
    <w:pPr>
      <w:jc w:val="left"/>
      <w:spacing w:before="100" w:beforeAutospacing="1" w:after="100" w:afterAutospacing="1"/>
      <w:widowControl/>
    </w:pPr>
    <w:rPr>
      <w:rFonts w:ascii="宋体" w:hAnsi="宋体"/>
      <w:sz w:val="24"/>
      <w:szCs w:val="24"/>
    </w:rPr>
  </w:style>
  <w:style w:type="paragraph" w:styleId="1107" w:customStyle="1">
    <w:name w:val="Char Char Char Char Char Char Char Char Char Char Char Char Char Char"/>
    <w:basedOn w:val="856"/>
    <w:uiPriority w:val="0"/>
    <w:qFormat/>
    <w:rPr>
      <w:rFonts w:ascii="Tahoma" w:hAnsi="Tahoma"/>
      <w:sz w:val="24"/>
    </w:rPr>
  </w:style>
  <w:style w:type="character" w:styleId="1108" w:customStyle="1">
    <w:name w:val="副标题 字符"/>
    <w:basedOn w:val="866"/>
    <w:link w:val="899"/>
    <w:uiPriority w:val="0"/>
    <w:qFormat/>
    <w:rPr>
      <w:rFonts w:ascii="Cambria" w:hAnsi="Cambria" w:eastAsia="Calibri" w:cs="宋体"/>
      <w:i/>
      <w:iCs/>
      <w:spacing w:val="13"/>
      <w:sz w:val="24"/>
      <w:szCs w:val="24"/>
      <w:lang w:val="zh-CN" w:eastAsia="en-US" w:bidi="en-US"/>
    </w:rPr>
  </w:style>
  <w:style w:type="paragraph" w:styleId="1109" w:customStyle="1">
    <w:name w:val="xl2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10" w:customStyle="1">
    <w:name w:val="font9"/>
    <w:basedOn w:val="856"/>
    <w:uiPriority w:val="0"/>
    <w:qFormat/>
    <w:pPr>
      <w:jc w:val="left"/>
      <w:spacing w:before="100" w:beforeAutospacing="1" w:after="100" w:afterAutospacing="1"/>
      <w:widowControl/>
    </w:pPr>
    <w:rPr>
      <w:b/>
      <w:bCs/>
    </w:rPr>
  </w:style>
  <w:style w:type="character" w:styleId="1111" w:customStyle="1">
    <w:name w:val="日期 字符"/>
    <w:basedOn w:val="866"/>
    <w:link w:val="888"/>
    <w:uiPriority w:val="0"/>
    <w:qFormat/>
    <w:rPr>
      <w:rFonts w:ascii="Calibri" w:hAnsi="Calibri" w:eastAsia="Calibri" w:cs="宋体"/>
      <w:sz w:val="28"/>
      <w:szCs w:val="20"/>
      <w:lang w:val="zh-CN"/>
    </w:rPr>
  </w:style>
  <w:style w:type="paragraph" w:styleId="1112" w:customStyle="1">
    <w:name w:val="样式 加点正文 + 段前: 0.5 行 段后: 0.5 行1"/>
    <w:basedOn w:val="856"/>
    <w:uiPriority w:val="0"/>
    <w:qFormat/>
    <w:pPr>
      <w:ind w:left="1268" w:hanging="420"/>
      <w:spacing w:line="300" w:lineRule="auto"/>
      <w:tabs>
        <w:tab w:val="left" w:pos="420" w:leader="none"/>
        <w:tab w:val="left" w:pos="1268" w:leader="none"/>
      </w:tabs>
    </w:pPr>
    <w:rPr>
      <w:sz w:val="24"/>
    </w:rPr>
  </w:style>
  <w:style w:type="paragraph" w:styleId="1113" w:customStyle="1">
    <w:name w:val="Char Char Char Char Char Char Char Char Char Char Char"/>
    <w:basedOn w:val="856"/>
    <w:uiPriority w:val="0"/>
    <w:qFormat/>
    <w:rPr>
      <w:rFonts w:ascii="Tahoma" w:hAnsi="Tahoma"/>
      <w:sz w:val="24"/>
    </w:rPr>
  </w:style>
  <w:style w:type="paragraph" w:styleId="1114" w:customStyle="1">
    <w:name w:val="font7"/>
    <w:basedOn w:val="856"/>
    <w:uiPriority w:val="0"/>
    <w:qFormat/>
    <w:pPr>
      <w:jc w:val="left"/>
      <w:spacing w:before="100" w:beforeAutospacing="1" w:after="100" w:afterAutospacing="1"/>
      <w:widowControl/>
    </w:pPr>
    <w:rPr>
      <w:rFonts w:hint="eastAsia" w:ascii="宋体" w:hAnsi="宋体"/>
      <w:b/>
      <w:bCs/>
      <w:sz w:val="24"/>
      <w:szCs w:val="24"/>
    </w:rPr>
  </w:style>
  <w:style w:type="character" w:styleId="1115" w:customStyle="1">
    <w:name w:val="签名 字符"/>
    <w:basedOn w:val="866"/>
    <w:link w:val="894"/>
    <w:uiPriority w:val="0"/>
    <w:qFormat/>
    <w:rPr>
      <w:rFonts w:ascii="Calibri" w:hAnsi="Calibri" w:eastAsia="仿宋_GB2312" w:cs="宋体"/>
      <w:sz w:val="24"/>
      <w:szCs w:val="20"/>
      <w:lang w:val="zh-CN"/>
    </w:rPr>
  </w:style>
  <w:style w:type="paragraph" w:styleId="1116" w:customStyle="1">
    <w:name w:val="flName"/>
    <w:basedOn w:val="1117"/>
    <w:uiPriority w:val="0"/>
    <w:qFormat/>
    <w:pPr>
      <w:spacing w:before="0" w:line="113" w:lineRule="atLeast"/>
    </w:pPr>
  </w:style>
  <w:style w:type="paragraph" w:styleId="1117" w:customStyle="1">
    <w:name w:val="flNote"/>
    <w:basedOn w:val="856"/>
    <w:uiPriority w:val="0"/>
    <w:qFormat/>
    <w:pPr>
      <w:jc w:val="center"/>
      <w:spacing w:before="567" w:line="360" w:lineRule="atLeast"/>
    </w:pPr>
    <w:rPr>
      <w:rFonts w:eastAsia="黑体"/>
      <w:b/>
      <w:sz w:val="24"/>
    </w:rPr>
  </w:style>
  <w:style w:type="paragraph" w:styleId="1118" w:customStyle="1">
    <w:name w:val="插图"/>
    <w:basedOn w:val="856"/>
    <w:uiPriority w:val="0"/>
    <w:qFormat/>
    <w:pPr>
      <w:jc w:val="center"/>
      <w:tabs>
        <w:tab w:val="left" w:pos="1620" w:leader="none"/>
      </w:tabs>
    </w:pPr>
    <w:rPr>
      <w:bCs/>
      <w:color w:val="000000"/>
      <w:szCs w:val="22"/>
    </w:rPr>
  </w:style>
  <w:style w:type="paragraph" w:styleId="1119" w:customStyle="1">
    <w:name w:val="xl51"/>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20" w:customStyle="1">
    <w:name w:val="Char Char1"/>
    <w:basedOn w:val="856"/>
    <w:uiPriority w:val="0"/>
    <w:qFormat/>
    <w:rPr>
      <w:rFonts w:ascii="Tahoma" w:hAnsi="Tahoma" w:cs="Tahoma"/>
      <w:sz w:val="24"/>
    </w:rPr>
  </w:style>
  <w:style w:type="paragraph" w:styleId="1121" w:customStyle="1">
    <w:name w:val="xl2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22" w:customStyle="1">
    <w:name w:val="xl56"/>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23" w:customStyle="1">
    <w:name w:val="默认段落字体 Para Char Char Char Char Char Char Char"/>
    <w:basedOn w:val="856"/>
    <w:uiPriority w:val="0"/>
    <w:qFormat/>
  </w:style>
  <w:style w:type="paragraph" w:styleId="1124" w:customStyle="1">
    <w:name w:val="项目符号，一级"/>
    <w:basedOn w:val="1062"/>
    <w:next w:val="1062"/>
    <w:uiPriority w:val="0"/>
    <w:qFormat/>
    <w:pPr>
      <w:ind w:left="376" w:firstLine="0"/>
      <w:spacing w:line="240" w:lineRule="atLeast"/>
      <w:tabs>
        <w:tab w:val="left" w:pos="1320" w:leader="none"/>
      </w:tabs>
    </w:pPr>
    <w:rPr>
      <w:bCs w:val="0"/>
      <w:color w:val="000000"/>
      <w:szCs w:val="24"/>
    </w:rPr>
  </w:style>
  <w:style w:type="paragraph" w:styleId="1125" w:customStyle="1">
    <w:name w:val="二级条标题"/>
    <w:basedOn w:val="856"/>
    <w:next w:val="1058"/>
    <w:uiPriority w:val="0"/>
    <w:qFormat/>
    <w:pPr>
      <w:ind w:hanging="420"/>
      <w:widowControl/>
      <w:tabs>
        <w:tab w:val="left" w:pos="2240" w:leader="none"/>
      </w:tabs>
      <w:outlineLvl w:val="3"/>
    </w:pPr>
    <w:rPr>
      <w:rFonts w:eastAsia="黑体"/>
    </w:rPr>
  </w:style>
  <w:style w:type="paragraph" w:styleId="1126" w:customStyle="1">
    <w:name w:val="标题5，章节第五层"/>
    <w:basedOn w:val="856"/>
    <w:next w:val="85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7" w:customStyle="1">
    <w:name w:val="Char Char Char Char Char Char Char Char1"/>
    <w:basedOn w:val="856"/>
    <w:uiPriority w:val="0"/>
    <w:qFormat/>
    <w:rPr>
      <w:rFonts w:ascii="Tahoma" w:hAnsi="Tahoma" w:cs="Tahoma"/>
      <w:sz w:val="24"/>
    </w:rPr>
  </w:style>
  <w:style w:type="paragraph" w:styleId="1128" w:customStyle="1">
    <w:name w:val="List Paragraph1"/>
    <w:basedOn w:val="856"/>
    <w:uiPriority w:val="34"/>
    <w:qFormat/>
    <w:pPr>
      <w:contextualSpacing/>
      <w:ind w:left="720"/>
      <w:jc w:val="left"/>
      <w:spacing w:after="160" w:line="259" w:lineRule="auto"/>
      <w:widowControl/>
    </w:pPr>
    <w:rPr>
      <w:sz w:val="22"/>
    </w:rPr>
  </w:style>
  <w:style w:type="character" w:styleId="1129" w:customStyle="1">
    <w:name w:val="正文文本 3 字符"/>
    <w:basedOn w:val="866"/>
    <w:link w:val="879"/>
    <w:uiPriority w:val="0"/>
    <w:qFormat/>
    <w:rPr>
      <w:rFonts w:ascii="仿宋_GB2312" w:hAnsi="Arial" w:eastAsia="仿宋_GB2312" w:cs="宋体"/>
      <w:sz w:val="32"/>
      <w:szCs w:val="20"/>
      <w:lang w:val="zh-CN"/>
    </w:rPr>
  </w:style>
  <w:style w:type="paragraph" w:styleId="1130" w:customStyle="1">
    <w:name w:val="正文1"/>
    <w:basedOn w:val="856"/>
    <w:uiPriority w:val="0"/>
    <w:qFormat/>
  </w:style>
  <w:style w:type="character" w:styleId="1131" w:customStyle="1">
    <w:name w:val="页眉 字符"/>
    <w:basedOn w:val="866"/>
    <w:link w:val="893"/>
    <w:uiPriority w:val="0"/>
    <w:qFormat/>
    <w:rPr>
      <w:rFonts w:ascii="Calibri" w:hAnsi="Calibri" w:eastAsia="Calibri" w:cs="宋体"/>
      <w:sz w:val="18"/>
      <w:szCs w:val="20"/>
      <w:lang w:val="zh-CN"/>
    </w:rPr>
  </w:style>
  <w:style w:type="paragraph" w:styleId="1132" w:customStyle="1">
    <w:name w:val="_Style 42"/>
    <w:basedOn w:val="856"/>
    <w:next w:val="880"/>
    <w:uiPriority w:val="0"/>
    <w:qFormat/>
    <w:rPr>
      <w:rFonts w:ascii="楷体_GB2312" w:hAnsi="Arial" w:eastAsia="楷体_GB2312"/>
      <w:sz w:val="28"/>
    </w:rPr>
  </w:style>
  <w:style w:type="paragraph" w:styleId="1133" w:customStyle="1">
    <w:name w:val="xl49"/>
    <w:basedOn w:val="856"/>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34" w:customStyle="1">
    <w:name w:val="尾注文本 字符"/>
    <w:basedOn w:val="866"/>
    <w:link w:val="890"/>
    <w:uiPriority w:val="0"/>
    <w:qFormat/>
    <w:rPr>
      <w:rFonts w:ascii="Calibri" w:hAnsi="Calibri" w:eastAsia="Calibri" w:cs="宋体"/>
      <w:sz w:val="20"/>
      <w:szCs w:val="24"/>
      <w:lang w:val="zh-CN"/>
    </w:rPr>
  </w:style>
  <w:style w:type="paragraph" w:styleId="1135" w:customStyle="1">
    <w:name w:val="Normal1"/>
    <w:basedOn w:val="856"/>
    <w:uiPriority w:val="0"/>
    <w:qFormat/>
  </w:style>
  <w:style w:type="paragraph" w:styleId="1136" w:customStyle="1">
    <w:name w:val="丁华标题3"/>
    <w:basedOn w:val="1137"/>
    <w:next w:val="113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37" w:customStyle="1">
    <w:name w:val="丁华标题2"/>
    <w:basedOn w:val="858"/>
    <w:next w:val="1138"/>
    <w:uiPriority w:val="0"/>
    <w:qFormat/>
    <w:pPr>
      <w:numPr>
        <w:ilvl w:val="1"/>
        <w:numId w:val="4"/>
      </w:numPr>
      <w:spacing w:line="415" w:lineRule="auto"/>
    </w:pPr>
    <w:rPr>
      <w:rFonts w:ascii="Arial" w:hAnsi="Arial" w:eastAsia="黑体"/>
      <w:b w:val="0"/>
      <w:sz w:val="28"/>
      <w:szCs w:val="20"/>
    </w:rPr>
  </w:style>
  <w:style w:type="paragraph" w:styleId="1138" w:customStyle="1">
    <w:name w:val="丁华正文"/>
    <w:basedOn w:val="902"/>
    <w:uiPriority w:val="0"/>
    <w:qFormat/>
    <w:pPr>
      <w:ind w:left="0" w:firstLine="510"/>
      <w:spacing w:line="360" w:lineRule="auto"/>
    </w:pPr>
    <w:rPr>
      <w:rFonts w:ascii="Times New Roman" w:hAnsi="Times New Roman" w:eastAsia="宋体"/>
      <w:color w:val="auto"/>
      <w:sz w:val="24"/>
      <w:szCs w:val="16"/>
    </w:rPr>
  </w:style>
  <w:style w:type="character" w:styleId="1139" w:customStyle="1">
    <w:name w:val="称呼 字符"/>
    <w:basedOn w:val="866"/>
    <w:link w:val="878"/>
    <w:uiPriority w:val="0"/>
    <w:qFormat/>
    <w:rPr>
      <w:rFonts w:ascii="仿宋_GB2312" w:hAnsi="Calibri" w:eastAsia="仿宋_GB2312" w:cs="宋体"/>
      <w:sz w:val="28"/>
      <w:szCs w:val="20"/>
      <w:lang w:val="zh-CN"/>
    </w:rPr>
  </w:style>
  <w:style w:type="paragraph" w:styleId="1140" w:customStyle="1">
    <w:name w:val="纯文本1"/>
    <w:basedOn w:val="856"/>
    <w:uiPriority w:val="0"/>
    <w:qFormat/>
    <w:rPr>
      <w:rFonts w:ascii="宋体" w:hAnsi="宋体" w:eastAsia="楷体_GB2312"/>
      <w:sz w:val="28"/>
    </w:rPr>
  </w:style>
  <w:style w:type="paragraph" w:styleId="1141" w:customStyle="1">
    <w:name w:val="样式"/>
    <w:basedOn w:val="856"/>
    <w:uiPriority w:val="0"/>
    <w:qFormat/>
    <w:pPr>
      <w:spacing w:before="120" w:after="120" w:line="360" w:lineRule="auto"/>
    </w:pPr>
    <w:rPr>
      <w:rFonts w:ascii="宋体"/>
      <w:sz w:val="24"/>
    </w:rPr>
  </w:style>
  <w:style w:type="paragraph" w:styleId="1142" w:customStyle="1">
    <w:name w:val="样式 段后: 0.5 行 左  0.75 字符"/>
    <w:basedOn w:val="856"/>
    <w:uiPriority w:val="0"/>
    <w:qFormat/>
    <w:pPr>
      <w:ind w:firstLine="420"/>
      <w:spacing w:line="360" w:lineRule="auto"/>
      <w:widowControl/>
    </w:pPr>
    <w:rPr>
      <w:rFonts w:hAnsi="Arial" w:cs="Arial"/>
      <w:szCs w:val="21"/>
    </w:rPr>
  </w:style>
  <w:style w:type="paragraph" w:styleId="1143" w:customStyle="1">
    <w:name w:val="zw"/>
    <w:basedOn w:val="856"/>
    <w:uiPriority w:val="0"/>
    <w:qFormat/>
    <w:pPr>
      <w:ind w:firstLine="480"/>
      <w:jc w:val="left"/>
      <w:spacing w:line="360" w:lineRule="auto"/>
      <w:widowControl/>
    </w:pPr>
    <w:rPr>
      <w:rFonts w:ascii="宋体" w:hAnsi="宋体"/>
      <w:bCs/>
      <w:sz w:val="24"/>
    </w:rPr>
  </w:style>
  <w:style w:type="paragraph" w:styleId="1144" w:customStyle="1">
    <w:name w:val="1"/>
    <w:basedOn w:val="856"/>
    <w:next w:val="908"/>
    <w:uiPriority w:val="0"/>
    <w:qFormat/>
    <w:pPr>
      <w:spacing w:line="360" w:lineRule="auto"/>
    </w:pPr>
    <w:rPr>
      <w:rFonts w:eastAsia="仿宋_GB2312"/>
      <w:sz w:val="24"/>
      <w:szCs w:val="24"/>
    </w:rPr>
  </w:style>
  <w:style w:type="character" w:styleId="1145" w:customStyle="1">
    <w:name w:val="明显引用 Char1"/>
    <w:basedOn w:val="866"/>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46" w:customStyle="1">
    <w:name w:val="tableau"/>
    <w:basedOn w:val="856"/>
    <w:uiPriority w:val="0"/>
    <w:qFormat/>
    <w:pPr>
      <w:jc w:val="center"/>
      <w:spacing w:before="20" w:after="20"/>
      <w:widowControl/>
    </w:pPr>
    <w:rPr>
      <w:rFonts w:ascii="Arial" w:hAnsi="Arial"/>
      <w:sz w:val="16"/>
      <w:lang w:val="en-GB" w:eastAsia="en-US"/>
    </w:rPr>
  </w:style>
  <w:style w:type="paragraph" w:styleId="1147" w:customStyle="1">
    <w:name w:val="Char"/>
    <w:basedOn w:val="856"/>
    <w:uiPriority w:val="0"/>
    <w:semiHidden/>
    <w:qFormat/>
    <w:rPr>
      <w:rFonts w:ascii="Tahoma" w:hAnsi="Tahoma" w:cs="仿宋_GB2312"/>
      <w:sz w:val="24"/>
      <w:szCs w:val="28"/>
    </w:rPr>
  </w:style>
  <w:style w:type="paragraph" w:styleId="1148" w:customStyle="1">
    <w:name w:val="xl44"/>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49" w:customStyle="1">
    <w:name w:val="xl4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0" w:customStyle="1">
    <w:name w:val="xl62"/>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51" w:customStyle="1">
    <w:name w:val="标准文本"/>
    <w:basedOn w:val="856"/>
    <w:uiPriority w:val="0"/>
    <w:qFormat/>
    <w:pPr>
      <w:ind w:firstLine="480"/>
      <w:spacing w:line="360" w:lineRule="auto"/>
    </w:pPr>
    <w:rPr>
      <w:sz w:val="24"/>
      <w:szCs w:val="24"/>
    </w:rPr>
  </w:style>
  <w:style w:type="paragraph" w:styleId="1152" w:customStyle="1">
    <w:name w:val="公文正文"/>
    <w:basedOn w:val="881"/>
    <w:uiPriority w:val="0"/>
    <w:qFormat/>
    <w:pPr>
      <w:ind w:firstLine="200"/>
    </w:pPr>
    <w:rPr>
      <w:rFonts w:ascii="仿宋_GB2312" w:hAnsi="宋体" w:eastAsia="仿宋_GB2312"/>
      <w:sz w:val="28"/>
      <w:szCs w:val="24"/>
    </w:rPr>
  </w:style>
  <w:style w:type="paragraph" w:styleId="1153" w:customStyle="1">
    <w:name w:val="标准小四"/>
    <w:basedOn w:val="856"/>
    <w:uiPriority w:val="0"/>
    <w:qFormat/>
    <w:pPr>
      <w:ind w:firstLine="480"/>
      <w:spacing w:line="360" w:lineRule="auto"/>
    </w:pPr>
    <w:rPr>
      <w:rFonts w:ascii="Arial" w:hAnsi="Arial"/>
      <w:sz w:val="24"/>
      <w:szCs w:val="21"/>
    </w:rPr>
  </w:style>
  <w:style w:type="paragraph" w:styleId="1154" w:customStyle="1">
    <w:name w:val="xl52"/>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55" w:customStyle="1">
    <w:name w:val="符号与编号"/>
    <w:basedOn w:val="856"/>
    <w:uiPriority w:val="0"/>
    <w:qFormat/>
    <w:pPr>
      <w:ind w:left="900" w:hanging="420"/>
      <w:spacing w:line="400" w:lineRule="atLeast"/>
      <w:tabs>
        <w:tab w:val="left" w:pos="900" w:leader="none"/>
      </w:tabs>
    </w:pPr>
    <w:rPr>
      <w:sz w:val="24"/>
      <w:szCs w:val="24"/>
    </w:rPr>
  </w:style>
  <w:style w:type="paragraph" w:styleId="1156" w:customStyle="1">
    <w:name w:val="Char Char Char Char Char Char Char Char Char Char Char Char Char Char1"/>
    <w:basedOn w:val="856"/>
    <w:uiPriority w:val="0"/>
    <w:qFormat/>
    <w:rPr>
      <w:rFonts w:ascii="Tahoma" w:hAnsi="Tahoma" w:cs="Tahoma"/>
      <w:sz w:val="24"/>
    </w:rPr>
  </w:style>
  <w:style w:type="paragraph" w:styleId="1157" w:customStyle="1">
    <w:name w:val="Char Char Char Char Char Char Char Char Char Char Char Char Char Char Char Char Char Char Char Char Char Char Char1"/>
    <w:basedOn w:val="856"/>
    <w:uiPriority w:val="0"/>
    <w:qFormat/>
    <w:rPr>
      <w:rFonts w:ascii="Tahoma" w:hAnsi="Tahoma" w:cs="Tahoma"/>
      <w:sz w:val="24"/>
    </w:rPr>
  </w:style>
  <w:style w:type="paragraph" w:styleId="1158" w:customStyle="1">
    <w:name w:val="正文 首行缩进:  2 字符 Char"/>
    <w:basedOn w:val="856"/>
    <w:uiPriority w:val="0"/>
    <w:qFormat/>
    <w:pPr>
      <w:ind w:firstLine="480"/>
      <w:spacing w:line="360" w:lineRule="auto"/>
    </w:pPr>
    <w:rPr>
      <w:sz w:val="24"/>
    </w:rPr>
  </w:style>
  <w:style w:type="paragraph" w:styleId="1159" w:customStyle="1">
    <w:name w:val="xl4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6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6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62" w:customStyle="1">
    <w:name w:val="xl3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63" w:customStyle="1">
    <w:name w:val="Char Char Char Char Char Char Char Char Char"/>
    <w:basedOn w:val="856"/>
    <w:uiPriority w:val="0"/>
    <w:qFormat/>
    <w:pPr>
      <w:ind w:left="360" w:hanging="360"/>
      <w:tabs>
        <w:tab w:val="left" w:pos="360" w:leader="none"/>
      </w:tabs>
    </w:pPr>
    <w:rPr>
      <w:sz w:val="24"/>
      <w:szCs w:val="24"/>
    </w:rPr>
  </w:style>
  <w:style w:type="paragraph" w:styleId="1164" w:customStyle="1">
    <w:name w:val="Char2"/>
    <w:basedOn w:val="856"/>
    <w:uiPriority w:val="0"/>
    <w:qFormat/>
    <w:pPr>
      <w:spacing w:line="360" w:lineRule="auto"/>
    </w:pPr>
    <w:rPr>
      <w:rFonts w:ascii="Tahoma" w:hAnsi="Tahoma"/>
      <w:sz w:val="24"/>
    </w:rPr>
  </w:style>
  <w:style w:type="paragraph" w:styleId="1165" w:customStyle="1">
    <w:name w:val="正文文本 21"/>
    <w:basedOn w:val="856"/>
    <w:uiPriority w:val="0"/>
    <w:qFormat/>
    <w:pPr>
      <w:ind w:left="720" w:hanging="720"/>
      <w:widowControl/>
    </w:pPr>
    <w:rPr>
      <w:sz w:val="24"/>
      <w:lang w:val="en-GB"/>
    </w:rPr>
  </w:style>
  <w:style w:type="paragraph" w:styleId="1166" w:customStyle="1">
    <w:name w:val="Char Char11"/>
    <w:basedOn w:val="856"/>
    <w:uiPriority w:val="0"/>
    <w:qFormat/>
    <w:rPr>
      <w:rFonts w:ascii="Tahoma" w:hAnsi="Tahoma"/>
      <w:sz w:val="24"/>
    </w:rPr>
  </w:style>
  <w:style w:type="paragraph" w:styleId="1167" w:customStyle="1">
    <w:name w:val="Char Char"/>
    <w:basedOn w:val="856"/>
    <w:uiPriority w:val="0"/>
    <w:qFormat/>
    <w:rPr>
      <w:rFonts w:ascii="Tahoma" w:hAnsi="Tahoma" w:cs="Tahoma"/>
      <w:sz w:val="24"/>
    </w:rPr>
  </w:style>
  <w:style w:type="paragraph" w:styleId="1168" w:customStyle="1">
    <w:name w:val="a"/>
    <w:basedOn w:val="856"/>
    <w:uiPriority w:val="0"/>
    <w:qFormat/>
    <w:pPr>
      <w:spacing w:before="100" w:beforeAutospacing="1" w:after="100" w:afterAutospacing="1"/>
      <w:widowControl/>
    </w:pPr>
    <w:rPr>
      <w:rFonts w:ascii="宋体" w:hAnsi="宋体"/>
      <w:sz w:val="24"/>
      <w:szCs w:val="24"/>
    </w:rPr>
  </w:style>
  <w:style w:type="paragraph" w:styleId="1169" w:customStyle="1">
    <w:name w:val="修订1"/>
    <w:uiPriority w:val="0"/>
    <w:semiHidden/>
    <w:qFormat/>
    <w:rPr>
      <w:rFonts w:ascii="Calibri" w:hAnsi="Calibri" w:eastAsia="宋体" w:cs="Times New Roman"/>
      <w:sz w:val="21"/>
      <w:szCs w:val="24"/>
      <w:lang w:val="en-US" w:eastAsia="zh-CN" w:bidi="ar-SA"/>
    </w:rPr>
  </w:style>
  <w:style w:type="paragraph" w:styleId="1170" w:customStyle="1">
    <w:name w:val="文档正文"/>
    <w:basedOn w:val="856"/>
    <w:uiPriority w:val="0"/>
    <w:qFormat/>
    <w:pPr>
      <w:spacing w:line="360" w:lineRule="auto"/>
    </w:pPr>
    <w:rPr>
      <w:rFonts w:ascii="宋体" w:hAnsi="宋体"/>
      <w:b/>
      <w:bCs/>
      <w:szCs w:val="24"/>
    </w:rPr>
  </w:style>
  <w:style w:type="paragraph" w:styleId="1171" w:customStyle="1">
    <w:name w:val="Default Text"/>
    <w:basedOn w:val="856"/>
    <w:uiPriority w:val="0"/>
    <w:qFormat/>
    <w:pPr>
      <w:jc w:val="left"/>
      <w:widowControl/>
    </w:pPr>
    <w:rPr>
      <w:sz w:val="24"/>
      <w:lang w:eastAsia="en-US"/>
    </w:rPr>
  </w:style>
  <w:style w:type="paragraph" w:styleId="1172" w:customStyle="1">
    <w:name w:val="正文 + 宋体"/>
    <w:basedOn w:val="856"/>
    <w:uiPriority w:val="0"/>
    <w:qFormat/>
    <w:pPr>
      <w:ind w:firstLine="420"/>
      <w:spacing w:line="360" w:lineRule="auto"/>
    </w:pPr>
    <w:rPr>
      <w:szCs w:val="24"/>
    </w:rPr>
  </w:style>
  <w:style w:type="paragraph" w:styleId="1173" w:customStyle="1">
    <w:name w:val="正文lzq"/>
    <w:basedOn w:val="856"/>
    <w:uiPriority w:val="0"/>
    <w:qFormat/>
    <w:pPr>
      <w:ind w:firstLine="480"/>
      <w:spacing w:line="360" w:lineRule="auto"/>
    </w:pPr>
    <w:rPr>
      <w:sz w:val="24"/>
    </w:rPr>
  </w:style>
  <w:style w:type="paragraph" w:styleId="1174" w:customStyle="1">
    <w:name w:val="xl57"/>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75" w:customStyle="1">
    <w:name w:val="Pa5"/>
    <w:basedOn w:val="856"/>
    <w:next w:val="856"/>
    <w:uiPriority w:val="0"/>
    <w:qFormat/>
    <w:pPr>
      <w:jc w:val="left"/>
      <w:spacing w:line="241" w:lineRule="atLeast"/>
    </w:pPr>
    <w:rPr>
      <w:rFonts w:ascii="汉仪大黑简" w:eastAsia="汉仪大黑简"/>
      <w:sz w:val="24"/>
      <w:szCs w:val="24"/>
    </w:rPr>
  </w:style>
  <w:style w:type="paragraph" w:styleId="1176" w:customStyle="1">
    <w:name w:val="正文 + Arial Char"/>
    <w:basedOn w:val="856"/>
    <w:uiPriority w:val="0"/>
    <w:qFormat/>
    <w:pPr>
      <w:ind w:left="315" w:hanging="315"/>
      <w:spacing w:line="300" w:lineRule="auto"/>
      <w:widowControl/>
      <w:tabs>
        <w:tab w:val="left" w:pos="315" w:leader="none"/>
      </w:tabs>
    </w:pPr>
    <w:rPr>
      <w:rFonts w:ascii="Arial" w:hAnsi="Arial" w:cs="Arial"/>
      <w:b/>
      <w:color w:val="000000"/>
    </w:rPr>
  </w:style>
  <w:style w:type="paragraph" w:styleId="1177" w:customStyle="1">
    <w:name w:val="Char Char Char Char Char"/>
    <w:basedOn w:val="856"/>
    <w:uiPriority w:val="0"/>
    <w:qFormat/>
    <w:rPr>
      <w:rFonts w:ascii="Tahoma" w:hAnsi="Tahoma"/>
      <w:sz w:val="24"/>
    </w:rPr>
  </w:style>
  <w:style w:type="paragraph" w:styleId="1178" w:customStyle="1">
    <w:name w:val="方案正文"/>
    <w:basedOn w:val="856"/>
    <w:uiPriority w:val="0"/>
    <w:qFormat/>
    <w:pPr>
      <w:ind w:firstLine="359"/>
      <w:jc w:val="left"/>
      <w:spacing w:before="156" w:line="360" w:lineRule="auto"/>
    </w:pPr>
    <w:rPr>
      <w:rFonts w:ascii="Arial" w:hAnsi="Arial"/>
      <w:sz w:val="24"/>
      <w:szCs w:val="21"/>
    </w:rPr>
  </w:style>
  <w:style w:type="paragraph" w:styleId="1179" w:customStyle="1">
    <w:name w:val="xl3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80" w:customStyle="1">
    <w:name w:val="Char Char3"/>
    <w:basedOn w:val="856"/>
    <w:uiPriority w:val="0"/>
    <w:qFormat/>
    <w:rPr>
      <w:rFonts w:ascii="Tahoma" w:hAnsi="Tahoma"/>
      <w:sz w:val="24"/>
    </w:rPr>
  </w:style>
  <w:style w:type="paragraph" w:styleId="1181" w:customStyle="1">
    <w:name w:val="公文标题 2"/>
    <w:basedOn w:val="856"/>
    <w:next w:val="1152"/>
    <w:uiPriority w:val="0"/>
    <w:qFormat/>
    <w:pPr>
      <w:outlineLvl w:val="1"/>
    </w:pPr>
    <w:rPr>
      <w:rFonts w:ascii="仿宋_GB2312" w:hAnsi="宋体" w:eastAsia="仿宋_GB2312"/>
      <w:sz w:val="28"/>
      <w:szCs w:val="24"/>
    </w:rPr>
  </w:style>
  <w:style w:type="paragraph" w:styleId="1182" w:customStyle="1">
    <w:name w:val="Char1 Char Char Char"/>
    <w:basedOn w:val="856"/>
    <w:uiPriority w:val="0"/>
    <w:qFormat/>
    <w:rPr>
      <w:rFonts w:ascii="Tahoma" w:hAnsi="Tahoma" w:cs="Tahoma"/>
      <w:sz w:val="24"/>
    </w:rPr>
  </w:style>
  <w:style w:type="paragraph" w:styleId="1183" w:customStyle="1">
    <w:name w:val="表格内容"/>
    <w:basedOn w:val="856"/>
    <w:uiPriority w:val="0"/>
    <w:qFormat/>
    <w:pPr>
      <w:jc w:val="center"/>
      <w:spacing w:before="60" w:line="300" w:lineRule="auto"/>
      <w:widowControl/>
    </w:pPr>
  </w:style>
  <w:style w:type="paragraph" w:styleId="1184" w:customStyle="1">
    <w:name w:val="xl43"/>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85" w:customStyle="1">
    <w:name w:val="样式 标题 3H3sect1.2.3BOD 0Heading 3 - oldh3l3CTLevel 3 Head..."/>
    <w:basedOn w:val="859"/>
    <w:uiPriority w:val="0"/>
    <w:qFormat/>
    <w:pPr>
      <w:jc w:val="left"/>
    </w:pPr>
    <w:rPr>
      <w:rFonts w:cs="宋体"/>
      <w:bCs/>
      <w:sz w:val="30"/>
    </w:rPr>
  </w:style>
  <w:style w:type="paragraph" w:styleId="1186" w:customStyle="1">
    <w:name w:val="Body Text 21"/>
    <w:basedOn w:val="856"/>
    <w:uiPriority w:val="0"/>
    <w:qFormat/>
    <w:pPr>
      <w:ind w:left="720" w:hanging="720"/>
      <w:widowControl/>
    </w:pPr>
    <w:rPr>
      <w:sz w:val="24"/>
      <w:lang w:val="en-GB"/>
    </w:rPr>
  </w:style>
  <w:style w:type="paragraph" w:styleId="1187" w:customStyle="1">
    <w:name w:val="正文文本 211"/>
    <w:basedOn w:val="856"/>
    <w:uiPriority w:val="0"/>
    <w:qFormat/>
    <w:pPr>
      <w:ind w:left="720" w:hanging="720"/>
      <w:widowControl/>
    </w:pPr>
    <w:rPr>
      <w:sz w:val="24"/>
      <w:lang w:val="en-GB"/>
    </w:rPr>
  </w:style>
  <w:style w:type="paragraph" w:styleId="1188" w:customStyle="1">
    <w:name w:val="xl50"/>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89" w:customStyle="1">
    <w:name w:val="一级标题"/>
    <w:basedOn w:val="856"/>
    <w:uiPriority w:val="0"/>
    <w:qFormat/>
    <w:pPr>
      <w:ind w:left="900" w:hanging="420"/>
      <w:spacing w:line="360" w:lineRule="auto"/>
      <w:tabs>
        <w:tab w:val="left" w:pos="903" w:leader="none"/>
      </w:tabs>
    </w:pPr>
    <w:rPr>
      <w:rFonts w:ascii="Arial" w:hAnsi="Arial" w:cs="Arial"/>
      <w:sz w:val="24"/>
    </w:rPr>
  </w:style>
  <w:style w:type="paragraph" w:styleId="1190" w:customStyle="1">
    <w:name w:val="样式 段后: 0.25 行"/>
    <w:basedOn w:val="856"/>
    <w:uiPriority w:val="0"/>
    <w:qFormat/>
    <w:pPr>
      <w:ind w:firstLine="420"/>
      <w:jc w:val="left"/>
      <w:spacing w:line="300" w:lineRule="auto"/>
      <w:widowControl/>
    </w:pPr>
    <w:rPr>
      <w:rFonts w:ascii="Arial" w:hAnsi="Arial"/>
      <w:sz w:val="22"/>
      <w:lang w:eastAsia="en-US" w:bidi="en-US"/>
    </w:rPr>
  </w:style>
  <w:style w:type="paragraph" w:styleId="1191" w:customStyle="1">
    <w:name w:val="表头_5"/>
    <w:basedOn w:val="856"/>
    <w:uiPriority w:val="0"/>
    <w:qFormat/>
    <w:pPr>
      <w:spacing w:line="360" w:lineRule="auto"/>
    </w:pPr>
    <w:rPr>
      <w:b/>
      <w:bCs/>
      <w:sz w:val="28"/>
      <w:szCs w:val="21"/>
    </w:rPr>
  </w:style>
  <w:style w:type="paragraph" w:styleId="1192" w:customStyle="1">
    <w:name w:val="Char1 Char Char Char1"/>
    <w:basedOn w:val="856"/>
    <w:uiPriority w:val="0"/>
    <w:qFormat/>
    <w:rPr>
      <w:rFonts w:ascii="Tahoma" w:hAnsi="Tahoma"/>
      <w:sz w:val="24"/>
    </w:rPr>
  </w:style>
  <w:style w:type="paragraph" w:styleId="1193" w:customStyle="1">
    <w:name w:val="样式3"/>
    <w:basedOn w:val="856"/>
    <w:next w:val="856"/>
    <w:uiPriority w:val="0"/>
    <w:qFormat/>
    <w:pPr>
      <w:spacing w:line="360" w:lineRule="auto"/>
    </w:pPr>
  </w:style>
  <w:style w:type="paragraph" w:styleId="1194" w:customStyle="1">
    <w:name w:val="项目符号，二级"/>
    <w:basedOn w:val="1062"/>
    <w:next w:val="106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95" w:customStyle="1">
    <w:name w:val="小四 段落 宋体 Char Char Char Char"/>
    <w:basedOn w:val="856"/>
    <w:uiPriority w:val="0"/>
    <w:qFormat/>
    <w:pPr>
      <w:ind w:right="-33" w:firstLine="480"/>
      <w:jc w:val="left"/>
      <w:spacing w:line="360" w:lineRule="auto"/>
    </w:pPr>
    <w:rPr>
      <w:sz w:val="24"/>
      <w:szCs w:val="24"/>
    </w:rPr>
  </w:style>
  <w:style w:type="paragraph" w:styleId="1196" w:customStyle="1">
    <w:name w:val="Char Char1 Char Char Char Char"/>
    <w:basedOn w:val="875"/>
    <w:uiPriority w:val="0"/>
    <w:qFormat/>
    <w:pPr>
      <w:ind w:left="357"/>
      <w:jc w:val="left"/>
      <w:spacing w:line="436" w:lineRule="exact"/>
      <w:outlineLvl w:val="3"/>
    </w:pPr>
    <w:rPr>
      <w:rFonts w:ascii="Tahoma" w:hAnsi="Tahoma" w:cs="Tahoma"/>
      <w:b/>
      <w:sz w:val="24"/>
      <w:szCs w:val="24"/>
    </w:rPr>
  </w:style>
  <w:style w:type="paragraph" w:styleId="1197" w:customStyle="1">
    <w:name w:val="表格内文字"/>
    <w:basedOn w:val="856"/>
    <w:uiPriority w:val="0"/>
    <w:qFormat/>
    <w:pPr>
      <w:spacing w:line="300" w:lineRule="atLeast"/>
    </w:pPr>
    <w:rPr>
      <w:sz w:val="18"/>
      <w:szCs w:val="24"/>
    </w:rPr>
  </w:style>
  <w:style w:type="paragraph" w:styleId="1198" w:customStyle="1">
    <w:name w:val="章标题"/>
    <w:next w:val="1058"/>
    <w:uiPriority w:val="0"/>
    <w:qFormat/>
    <w:pPr>
      <w:jc w:val="both"/>
      <w:outlineLvl w:val="1"/>
    </w:pPr>
    <w:rPr>
      <w:rFonts w:ascii="Calibri" w:hAnsi="Calibri" w:eastAsia="黑体" w:cs="Times New Roman"/>
      <w:sz w:val="21"/>
      <w:lang w:val="en-US" w:eastAsia="zh-CN" w:bidi="ar-SA"/>
    </w:rPr>
  </w:style>
  <w:style w:type="paragraph" w:styleId="1199" w:customStyle="1">
    <w:name w:val="xl6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00" w:customStyle="1">
    <w:name w:val="7"/>
    <w:basedOn w:val="856"/>
    <w:next w:val="910"/>
    <w:uiPriority w:val="0"/>
    <w:qFormat/>
    <w:pPr>
      <w:jc w:val="left"/>
      <w:spacing w:before="100" w:beforeAutospacing="1" w:after="100" w:afterAutospacing="1"/>
      <w:widowControl/>
    </w:pPr>
    <w:rPr>
      <w:rFonts w:ascii="宋体" w:hAnsi="宋体"/>
      <w:sz w:val="24"/>
    </w:rPr>
  </w:style>
  <w:style w:type="paragraph" w:styleId="1201" w:customStyle="1">
    <w:name w:val="font12"/>
    <w:basedOn w:val="856"/>
    <w:uiPriority w:val="0"/>
    <w:qFormat/>
    <w:pPr>
      <w:jc w:val="left"/>
      <w:spacing w:before="100" w:beforeAutospacing="1" w:after="100" w:afterAutospacing="1"/>
      <w:widowControl/>
    </w:pPr>
    <w:rPr>
      <w:rFonts w:ascii="宋体" w:hAnsi="宋体"/>
      <w:sz w:val="36"/>
      <w:szCs w:val="36"/>
    </w:rPr>
  </w:style>
  <w:style w:type="paragraph" w:styleId="1202" w:customStyle="1">
    <w:name w:val="xl4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3" w:customStyle="1">
    <w:name w:val="正文11"/>
    <w:basedOn w:val="856"/>
    <w:next w:val="856"/>
    <w:uiPriority w:val="0"/>
    <w:qFormat/>
    <w:pPr>
      <w:ind w:firstLine="510"/>
      <w:spacing w:before="156" w:line="360" w:lineRule="auto"/>
    </w:pPr>
    <w:rPr>
      <w:sz w:val="24"/>
    </w:rPr>
  </w:style>
  <w:style w:type="paragraph" w:styleId="1204" w:customStyle="1">
    <w:name w:val="小四 段落 宋体 Char Char Char"/>
    <w:basedOn w:val="873"/>
    <w:uiPriority w:val="0"/>
    <w:qFormat/>
    <w:pPr>
      <w:ind w:left="0" w:right="-33" w:firstLine="545"/>
      <w:jc w:val="left"/>
      <w:spacing w:line="360" w:lineRule="auto"/>
      <w:tabs>
        <w:tab w:val="clear" w:pos="2952" w:leader="none"/>
      </w:tabs>
    </w:pPr>
    <w:rPr>
      <w:sz w:val="24"/>
    </w:rPr>
  </w:style>
  <w:style w:type="paragraph" w:styleId="1205" w:customStyle="1">
    <w:name w:val="font11"/>
    <w:basedOn w:val="856"/>
    <w:uiPriority w:val="0"/>
    <w:qFormat/>
    <w:pPr>
      <w:jc w:val="left"/>
      <w:spacing w:before="100" w:beforeAutospacing="1" w:after="100" w:afterAutospacing="1"/>
      <w:widowControl/>
    </w:pPr>
    <w:rPr>
      <w:b/>
      <w:bCs/>
      <w:sz w:val="18"/>
      <w:szCs w:val="18"/>
    </w:rPr>
  </w:style>
  <w:style w:type="paragraph" w:styleId="1206" w:customStyle="1">
    <w:name w:val="Test2"/>
    <w:basedOn w:val="858"/>
    <w:uiPriority w:val="0"/>
    <w:qFormat/>
    <w:pPr>
      <w:jc w:val="center"/>
      <w:spacing w:line="480" w:lineRule="exact"/>
      <w:widowControl/>
    </w:pPr>
    <w:rPr>
      <w:rFonts w:ascii="黑体" w:hAnsi="Arial" w:eastAsia="黑体"/>
      <w:bCs/>
      <w:sz w:val="24"/>
    </w:rPr>
  </w:style>
  <w:style w:type="paragraph" w:styleId="1207" w:customStyle="1">
    <w:name w:val="丁华标题1"/>
    <w:basedOn w:val="857"/>
    <w:next w:val="113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08" w:customStyle="1">
    <w:name w:val="Char Char Char Char Char Char Char Char Char Char Char1"/>
    <w:basedOn w:val="856"/>
    <w:uiPriority w:val="0"/>
    <w:qFormat/>
    <w:rPr>
      <w:rFonts w:ascii="Tahoma" w:hAnsi="Tahoma" w:cs="Tahoma"/>
      <w:sz w:val="24"/>
    </w:rPr>
  </w:style>
  <w:style w:type="paragraph" w:styleId="120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10" w:customStyle="1">
    <w:name w:val="font6"/>
    <w:basedOn w:val="856"/>
    <w:uiPriority w:val="0"/>
    <w:qFormat/>
    <w:pPr>
      <w:jc w:val="left"/>
      <w:spacing w:before="100" w:beforeAutospacing="1" w:after="100" w:afterAutospacing="1"/>
      <w:widowControl/>
    </w:pPr>
    <w:rPr>
      <w:rFonts w:ascii="宋体" w:hAnsi="宋体"/>
      <w:b/>
      <w:bCs/>
    </w:rPr>
  </w:style>
  <w:style w:type="paragraph" w:styleId="1211" w:customStyle="1">
    <w:name w:val="小四 段落 宋体 Char Char"/>
    <w:basedOn w:val="856"/>
    <w:uiPriority w:val="0"/>
    <w:qFormat/>
    <w:pPr>
      <w:ind w:firstLine="480"/>
      <w:spacing w:line="360" w:lineRule="auto"/>
    </w:pPr>
    <w:rPr>
      <w:rFonts w:ascii="宋体" w:hAnsi="宋体"/>
      <w:sz w:val="24"/>
      <w:szCs w:val="24"/>
    </w:rPr>
  </w:style>
  <w:style w:type="paragraph" w:styleId="1212" w:customStyle="1">
    <w:name w:val="Char Char Char Char Char Char Char Char Char Char Char1 Char Char Char1"/>
    <w:basedOn w:val="856"/>
    <w:uiPriority w:val="0"/>
    <w:semiHidden/>
    <w:qFormat/>
    <w:pPr>
      <w:ind w:firstLine="200"/>
      <w:jc w:val="left"/>
    </w:pPr>
    <w:rPr>
      <w:rFonts w:ascii="Tahoma" w:hAnsi="Tahoma"/>
      <w:sz w:val="24"/>
      <w:szCs w:val="24"/>
    </w:rPr>
  </w:style>
  <w:style w:type="paragraph" w:styleId="1213" w:customStyle="1">
    <w:name w:val="Char Char Char Char Char Char Char Char Char1"/>
    <w:basedOn w:val="856"/>
    <w:uiPriority w:val="0"/>
    <w:qFormat/>
    <w:pPr>
      <w:ind w:left="200" w:hanging="200"/>
      <w:tabs>
        <w:tab w:val="left" w:pos="360" w:leader="none"/>
      </w:tabs>
    </w:pPr>
    <w:rPr>
      <w:sz w:val="24"/>
      <w:szCs w:val="24"/>
    </w:rPr>
  </w:style>
  <w:style w:type="paragraph" w:styleId="1214" w:customStyle="1">
    <w:name w:val="马刚标题3"/>
    <w:basedOn w:val="856"/>
    <w:next w:val="85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5" w:customStyle="1">
    <w:name w:val="xl48"/>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16" w:customStyle="1">
    <w:name w:val="标题 4宋体"/>
    <w:basedOn w:val="860"/>
    <w:uiPriority w:val="0"/>
    <w:qFormat/>
    <w:pPr>
      <w:jc w:val="left"/>
      <w:keepLines w:val="0"/>
      <w:spacing w:before="0" w:after="0" w:line="360" w:lineRule="auto"/>
    </w:pPr>
    <w:rPr>
      <w:rFonts w:ascii="宋体" w:hAnsi="宋体" w:eastAsia="宋体"/>
      <w:bCs/>
      <w:color w:val="000000"/>
      <w:sz w:val="24"/>
    </w:rPr>
  </w:style>
  <w:style w:type="paragraph" w:styleId="1217" w:customStyle="1">
    <w:name w:val="正文 居中"/>
    <w:basedOn w:val="856"/>
    <w:uiPriority w:val="0"/>
    <w:qFormat/>
    <w:pPr>
      <w:jc w:val="center"/>
      <w:spacing w:line="360" w:lineRule="auto"/>
    </w:pPr>
    <w:rPr>
      <w:sz w:val="24"/>
    </w:rPr>
  </w:style>
  <w:style w:type="paragraph" w:styleId="1218" w:customStyle="1">
    <w:name w:val="马刚标题1"/>
    <w:basedOn w:val="857"/>
    <w:next w:val="85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19" w:customStyle="1">
    <w:name w:val="font10"/>
    <w:basedOn w:val="856"/>
    <w:uiPriority w:val="0"/>
    <w:qFormat/>
    <w:pPr>
      <w:jc w:val="left"/>
      <w:spacing w:before="100" w:beforeAutospacing="1" w:after="100" w:afterAutospacing="1"/>
      <w:widowControl/>
    </w:pPr>
    <w:rPr>
      <w:rFonts w:ascii="楷体_GB2312" w:hAnsi="宋体" w:eastAsia="楷体_GB2312"/>
      <w:b/>
      <w:bCs/>
      <w:sz w:val="18"/>
      <w:szCs w:val="18"/>
    </w:rPr>
  </w:style>
  <w:style w:type="paragraph" w:styleId="1220" w:customStyle="1">
    <w:name w:val="xl61"/>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21" w:customStyle="1">
    <w:name w:val="样式 样式 标题 3H3sect1.2.3BOD 0Heading 3 - oldh3l3CTLevel 3 Head... +..."/>
    <w:basedOn w:val="856"/>
    <w:uiPriority w:val="0"/>
    <w:qFormat/>
    <w:pPr>
      <w:jc w:val="left"/>
      <w:keepLines/>
      <w:keepNext/>
      <w:outlineLvl w:val="2"/>
    </w:pPr>
    <w:rPr>
      <w:b/>
      <w:bCs/>
      <w:sz w:val="24"/>
    </w:rPr>
  </w:style>
  <w:style w:type="paragraph" w:styleId="1222" w:customStyle="1">
    <w:name w:val="大标题"/>
    <w:basedOn w:val="856"/>
    <w:next w:val="856"/>
    <w:uiPriority w:val="0"/>
    <w:qFormat/>
    <w:pPr>
      <w:ind w:hanging="420"/>
      <w:pageBreakBefore/>
      <w:spacing w:line="360" w:lineRule="auto"/>
      <w:tabs>
        <w:tab w:val="left" w:pos="420" w:leader="none"/>
      </w:tabs>
      <w:outlineLvl w:val="0"/>
    </w:pPr>
    <w:rPr>
      <w:b/>
      <w:iCs/>
      <w:sz w:val="44"/>
      <w:szCs w:val="24"/>
    </w:rPr>
  </w:style>
  <w:style w:type="paragraph" w:styleId="1223" w:customStyle="1">
    <w:name w:val="xl45"/>
    <w:basedOn w:val="85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24" w:customStyle="1">
    <w:name w:val="标题3"/>
    <w:basedOn w:val="859"/>
    <w:uiPriority w:val="0"/>
    <w:qFormat/>
    <w:pPr>
      <w:keepLines w:val="0"/>
      <w:keepNext w:val="0"/>
      <w:spacing w:line="360" w:lineRule="auto"/>
    </w:pPr>
    <w:rPr>
      <w:rFonts w:eastAsia="仿宋_GB2312"/>
      <w:b w:val="0"/>
      <w:bCs/>
      <w:sz w:val="30"/>
      <w:szCs w:val="32"/>
    </w:rPr>
  </w:style>
  <w:style w:type="paragraph" w:styleId="1225" w:customStyle="1">
    <w:name w:val="Char Char1 Char Char Char Char Char Char Char"/>
    <w:basedOn w:val="856"/>
    <w:uiPriority w:val="0"/>
    <w:qFormat/>
    <w:rPr>
      <w:rFonts w:ascii="Tahoma" w:hAnsi="Tahoma" w:cs="Tahoma"/>
      <w:sz w:val="24"/>
    </w:rPr>
  </w:style>
  <w:style w:type="paragraph" w:styleId="1226" w:customStyle="1">
    <w:name w:val="Char Char Char Char1"/>
    <w:basedOn w:val="875"/>
    <w:uiPriority w:val="0"/>
    <w:qFormat/>
    <w:pPr>
      <w:spacing w:line="360" w:lineRule="auto"/>
    </w:pPr>
    <w:rPr>
      <w:rFonts w:ascii="Tahoma" w:hAnsi="Tahoma"/>
      <w:sz w:val="24"/>
      <w:szCs w:val="24"/>
    </w:rPr>
  </w:style>
  <w:style w:type="paragraph" w:styleId="1227" w:customStyle="1">
    <w:name w:val="Char Char Char Char Char Char Char1"/>
    <w:basedOn w:val="856"/>
    <w:uiPriority w:val="0"/>
    <w:qFormat/>
    <w:pPr>
      <w:jc w:val="left"/>
    </w:pPr>
    <w:rPr>
      <w:rFonts w:ascii="Tahoma" w:hAnsi="Tahoma"/>
      <w:sz w:val="24"/>
    </w:rPr>
  </w:style>
  <w:style w:type="paragraph" w:styleId="1228" w:customStyle="1">
    <w:name w:val="retrait3"/>
    <w:basedOn w:val="856"/>
    <w:uiPriority w:val="0"/>
    <w:qFormat/>
    <w:pPr>
      <w:ind w:left="851"/>
      <w:jc w:val="left"/>
      <w:spacing w:before="20" w:after="20"/>
      <w:widowControl/>
    </w:pPr>
    <w:rPr>
      <w:rFonts w:ascii="Arial" w:hAnsi="Arial"/>
      <w:sz w:val="24"/>
      <w:lang w:val="en-GB"/>
    </w:rPr>
  </w:style>
  <w:style w:type="paragraph" w:styleId="1229" w:customStyle="1">
    <w:name w:val="段落"/>
    <w:basedOn w:val="856"/>
    <w:uiPriority w:val="0"/>
    <w:qFormat/>
    <w:pPr>
      <w:ind w:firstLine="480"/>
      <w:spacing w:line="460" w:lineRule="exact"/>
    </w:pPr>
    <w:rPr>
      <w:sz w:val="24"/>
    </w:rPr>
  </w:style>
  <w:style w:type="paragraph" w:styleId="1230" w:customStyle="1">
    <w:name w:val="xl30"/>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31" w:customStyle="1">
    <w:name w:val="标题4，章节第四层"/>
    <w:basedOn w:val="856"/>
    <w:next w:val="856"/>
    <w:uiPriority w:val="0"/>
    <w:qFormat/>
    <w:pPr>
      <w:spacing w:line="360" w:lineRule="auto"/>
      <w:tabs>
        <w:tab w:val="left" w:pos="0" w:leader="none"/>
      </w:tabs>
      <w:outlineLvl w:val="3"/>
    </w:pPr>
    <w:rPr>
      <w:rFonts w:ascii="宋体" w:hAnsi="宋体"/>
      <w:b/>
      <w:sz w:val="24"/>
      <w:szCs w:val="24"/>
    </w:rPr>
  </w:style>
  <w:style w:type="paragraph" w:styleId="1232" w:customStyle="1">
    <w:name w:val="xl3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33" w:customStyle="1">
    <w:name w:val="Char Char Char Char Char Char Char Char Char Char Char Char Char1"/>
    <w:basedOn w:val="856"/>
    <w:uiPriority w:val="0"/>
    <w:qFormat/>
    <w:pPr>
      <w:jc w:val="left"/>
      <w:spacing w:after="160" w:line="240" w:lineRule="exact"/>
      <w:widowControl/>
    </w:pPr>
    <w:rPr>
      <w:szCs w:val="24"/>
    </w:rPr>
  </w:style>
  <w:style w:type="paragraph" w:styleId="1234" w:customStyle="1">
    <w:name w:val="列表内容"/>
    <w:basedOn w:val="856"/>
    <w:next w:val="856"/>
    <w:uiPriority w:val="0"/>
    <w:qFormat/>
    <w:pPr>
      <w:ind w:left="840" w:hanging="420"/>
      <w:jc w:val="left"/>
      <w:widowControl/>
      <w:tabs>
        <w:tab w:val="left" w:pos="840" w:leader="none"/>
      </w:tabs>
    </w:pPr>
    <w:rPr>
      <w:sz w:val="18"/>
      <w:szCs w:val="24"/>
    </w:rPr>
  </w:style>
  <w:style w:type="paragraph" w:styleId="1235" w:customStyle="1">
    <w:name w:val="xl2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6" w:customStyle="1">
    <w:name w:val="小四 段落 宋体 Char"/>
    <w:basedOn w:val="873"/>
    <w:uiPriority w:val="0"/>
    <w:qFormat/>
    <w:pPr>
      <w:ind w:left="0" w:right="-33" w:firstLine="600"/>
      <w:jc w:val="left"/>
      <w:tabs>
        <w:tab w:val="clear" w:pos="2952" w:leader="none"/>
      </w:tabs>
    </w:pPr>
    <w:rPr>
      <w:rFonts w:ascii="仿宋_GB2312" w:eastAsia="仿宋_GB2312"/>
      <w:sz w:val="30"/>
      <w:szCs w:val="30"/>
    </w:rPr>
  </w:style>
  <w:style w:type="paragraph" w:styleId="1237" w:customStyle="1">
    <w:name w:val="表格文字"/>
    <w:basedOn w:val="856"/>
    <w:uiPriority w:val="0"/>
    <w:qFormat/>
    <w:pPr>
      <w:ind w:firstLine="200"/>
      <w:jc w:val="left"/>
      <w:spacing w:line="360" w:lineRule="auto"/>
    </w:pPr>
    <w:rPr>
      <w:rFonts w:ascii="Arial" w:hAnsi="Arial"/>
      <w:sz w:val="24"/>
    </w:rPr>
  </w:style>
  <w:style w:type="paragraph" w:styleId="1238" w:customStyle="1">
    <w:name w:val="Pa6"/>
    <w:basedOn w:val="856"/>
    <w:next w:val="856"/>
    <w:uiPriority w:val="0"/>
    <w:qFormat/>
    <w:pPr>
      <w:jc w:val="left"/>
      <w:spacing w:line="241" w:lineRule="atLeast"/>
    </w:pPr>
    <w:rPr>
      <w:rFonts w:ascii="汉仪大黑简" w:eastAsia="汉仪大黑简"/>
      <w:sz w:val="24"/>
      <w:szCs w:val="24"/>
    </w:rPr>
  </w:style>
  <w:style w:type="paragraph" w:styleId="1239" w:customStyle="1">
    <w:name w:val="列出段落2"/>
    <w:basedOn w:val="856"/>
    <w:uiPriority w:val="0"/>
    <w:qFormat/>
    <w:pPr>
      <w:ind w:left="720"/>
      <w:jc w:val="left"/>
      <w:widowControl/>
    </w:pPr>
    <w:rPr>
      <w:rFonts w:ascii="Arial" w:hAnsi="Arial" w:eastAsia="黑体" w:cs="Arial"/>
      <w:sz w:val="24"/>
      <w:szCs w:val="24"/>
      <w:lang w:eastAsia="en-US"/>
    </w:rPr>
  </w:style>
  <w:style w:type="paragraph" w:styleId="1240" w:customStyle="1">
    <w:name w:val="段 Char"/>
    <w:uiPriority w:val="0"/>
    <w:qFormat/>
    <w:pPr>
      <w:ind w:firstLine="200"/>
      <w:jc w:val="both"/>
    </w:pPr>
    <w:rPr>
      <w:rFonts w:ascii="宋体" w:hAnsi="Calibri" w:eastAsia="宋体" w:cs="Times New Roman"/>
      <w:sz w:val="21"/>
      <w:lang w:val="en-US" w:eastAsia="zh-CN" w:bidi="ar-SA"/>
    </w:rPr>
  </w:style>
  <w:style w:type="paragraph" w:styleId="1241" w:customStyle="1">
    <w:name w:val="表蕊"/>
    <w:basedOn w:val="856"/>
    <w:uiPriority w:val="0"/>
    <w:qFormat/>
    <w:pPr>
      <w:jc w:val="left"/>
      <w:spacing w:line="320" w:lineRule="atLeast"/>
    </w:pPr>
    <w:rPr>
      <w:rFonts w:eastAsia="楷体_GB2312"/>
      <w:spacing w:val="-10"/>
    </w:rPr>
  </w:style>
  <w:style w:type="paragraph" w:styleId="1242" w:customStyle="1">
    <w:name w:val="font14"/>
    <w:basedOn w:val="856"/>
    <w:uiPriority w:val="0"/>
    <w:qFormat/>
    <w:pPr>
      <w:jc w:val="left"/>
      <w:spacing w:before="100" w:beforeAutospacing="1" w:after="100" w:afterAutospacing="1"/>
      <w:widowControl/>
    </w:pPr>
    <w:rPr>
      <w:sz w:val="36"/>
      <w:szCs w:val="36"/>
    </w:rPr>
  </w:style>
  <w:style w:type="paragraph" w:styleId="1243" w:customStyle="1">
    <w:name w:val="正文2"/>
    <w:basedOn w:val="856"/>
    <w:uiPriority w:val="0"/>
    <w:qFormat/>
    <w:pPr>
      <w:ind w:firstLine="510"/>
      <w:spacing w:before="156" w:line="360" w:lineRule="auto"/>
    </w:pPr>
    <w:rPr>
      <w:sz w:val="24"/>
    </w:rPr>
  </w:style>
  <w:style w:type="paragraph" w:styleId="1244" w:customStyle="1">
    <w:name w:val="xl31"/>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45" w:customStyle="1">
    <w:name w:val="xl54"/>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46" w:customStyle="1">
    <w:name w:val="Char11"/>
    <w:basedOn w:val="856"/>
    <w:uiPriority w:val="0"/>
    <w:qFormat/>
    <w:pPr>
      <w:jc w:val="left"/>
      <w:spacing w:after="160" w:line="240" w:lineRule="exact"/>
      <w:widowControl/>
    </w:pPr>
    <w:rPr>
      <w:rFonts w:ascii="Verdana" w:hAnsi="Verdana" w:eastAsia="仿宋_GB2312"/>
      <w:sz w:val="24"/>
      <w:lang w:eastAsia="en-US"/>
    </w:rPr>
  </w:style>
  <w:style w:type="paragraph" w:styleId="1247" w:customStyle="1">
    <w:name w:val="Char Char1 Char1"/>
    <w:basedOn w:val="856"/>
    <w:uiPriority w:val="0"/>
    <w:qFormat/>
    <w:pPr>
      <w:jc w:val="left"/>
      <w:spacing w:after="160" w:line="240" w:lineRule="exact"/>
      <w:widowControl/>
    </w:pPr>
    <w:rPr>
      <w:rFonts w:ascii="Verdana" w:hAnsi="Verdana"/>
      <w:lang w:eastAsia="en-US"/>
    </w:rPr>
  </w:style>
  <w:style w:type="paragraph" w:styleId="1248" w:customStyle="1">
    <w:name w:val="xl27"/>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49" w:customStyle="1">
    <w:name w:val="标题1，章节第一层"/>
    <w:basedOn w:val="1062"/>
    <w:next w:val="1062"/>
    <w:uiPriority w:val="0"/>
    <w:qFormat/>
    <w:pPr>
      <w:ind w:left="482"/>
      <w:tabs>
        <w:tab w:val="left" w:pos="693" w:leader="none"/>
      </w:tabs>
      <w:outlineLvl w:val="0"/>
    </w:pPr>
    <w:rPr>
      <w:color w:val="000000"/>
      <w:sz w:val="24"/>
      <w:szCs w:val="24"/>
    </w:rPr>
  </w:style>
  <w:style w:type="paragraph" w:styleId="1250" w:customStyle="1">
    <w:name w:val="符号与编号 Char Char"/>
    <w:basedOn w:val="856"/>
    <w:uiPriority w:val="0"/>
    <w:qFormat/>
    <w:pPr>
      <w:ind w:left="839" w:hanging="419"/>
      <w:spacing w:line="400" w:lineRule="atLeast"/>
      <w:tabs>
        <w:tab w:val="left" w:pos="840" w:leader="none"/>
      </w:tabs>
    </w:pPr>
    <w:rPr>
      <w:sz w:val="24"/>
      <w:szCs w:val="24"/>
    </w:rPr>
  </w:style>
  <w:style w:type="paragraph" w:styleId="1251" w:customStyle="1">
    <w:name w:val="Char Char Char1"/>
    <w:basedOn w:val="875"/>
    <w:uiPriority w:val="0"/>
    <w:qFormat/>
    <w:pPr>
      <w:spacing w:line="436" w:lineRule="exact"/>
    </w:pPr>
    <w:rPr>
      <w:szCs w:val="24"/>
    </w:rPr>
  </w:style>
  <w:style w:type="paragraph" w:styleId="1252" w:customStyle="1">
    <w:name w:val="正文文本 New New"/>
    <w:basedOn w:val="856"/>
    <w:uiPriority w:val="0"/>
    <w:qFormat/>
    <w:pPr>
      <w:ind w:firstLine="200"/>
      <w:spacing w:before="60" w:after="60" w:line="360" w:lineRule="auto"/>
      <w:widowControl/>
    </w:pPr>
    <w:rPr>
      <w:rFonts w:eastAsia="华文楷体"/>
      <w:sz w:val="24"/>
      <w:szCs w:val="24"/>
    </w:rPr>
  </w:style>
  <w:style w:type="paragraph" w:styleId="1253" w:customStyle="1">
    <w:name w:val="xl59"/>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54" w:customStyle="1">
    <w:name w:val="中等深浅网格 1 - 强调文字颜色 21"/>
    <w:basedOn w:val="856"/>
    <w:uiPriority w:val="0"/>
    <w:qFormat/>
    <w:pPr>
      <w:ind w:firstLine="420"/>
    </w:pPr>
    <w:rPr>
      <w:szCs w:val="22"/>
    </w:rPr>
  </w:style>
  <w:style w:type="paragraph" w:styleId="1255" w:customStyle="1">
    <w:name w:val="小四 段落 宋体"/>
    <w:basedOn w:val="873"/>
    <w:uiPriority w:val="0"/>
    <w:qFormat/>
    <w:pPr>
      <w:ind w:left="113" w:right="113" w:firstLine="425"/>
      <w:jc w:val="left"/>
      <w:spacing w:line="360" w:lineRule="auto"/>
      <w:tabs>
        <w:tab w:val="clear" w:pos="2952" w:leader="none"/>
      </w:tabs>
    </w:pPr>
    <w:rPr>
      <w:sz w:val="24"/>
    </w:rPr>
  </w:style>
  <w:style w:type="paragraph" w:styleId="1256" w:customStyle="1">
    <w:name w:val="正文缩进2字符"/>
    <w:basedOn w:val="856"/>
    <w:uiPriority w:val="0"/>
    <w:qFormat/>
    <w:pPr>
      <w:ind w:firstLine="200"/>
      <w:spacing w:line="300" w:lineRule="auto"/>
    </w:pPr>
    <w:rPr>
      <w:rFonts w:ascii="仿宋_GB2312" w:eastAsia="仿宋_GB2312"/>
      <w:sz w:val="32"/>
      <w:szCs w:val="32"/>
    </w:rPr>
  </w:style>
  <w:style w:type="paragraph" w:styleId="1257" w:customStyle="1">
    <w:name w:val="xl58"/>
    <w:basedOn w:val="856"/>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58" w:customStyle="1">
    <w:name w:val="表格"/>
    <w:basedOn w:val="856"/>
    <w:uiPriority w:val="0"/>
    <w:qFormat/>
    <w:pPr>
      <w:ind w:firstLine="21"/>
    </w:pPr>
    <w:rPr>
      <w:rFonts w:ascii="宋体" w:hAnsi="宋体"/>
    </w:rPr>
  </w:style>
  <w:style w:type="paragraph" w:styleId="125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60" w:customStyle="1">
    <w:name w:val="xl47"/>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61" w:customStyle="1">
    <w:name w:val="Bullets L1"/>
    <w:basedOn w:val="856"/>
    <w:uiPriority w:val="0"/>
    <w:qFormat/>
    <w:pPr>
      <w:numPr>
        <w:ilvl w:val="0"/>
        <w:numId w:val="5"/>
      </w:numPr>
      <w:jc w:val="left"/>
      <w:spacing w:before="60" w:after="60"/>
      <w:widowControl/>
    </w:pPr>
    <w:rPr>
      <w:rFonts w:ascii="Arial" w:hAnsi="Arial"/>
    </w:rPr>
  </w:style>
  <w:style w:type="paragraph" w:styleId="1262" w:customStyle="1">
    <w:name w:val="表格1"/>
    <w:basedOn w:val="856"/>
    <w:uiPriority w:val="0"/>
    <w:qFormat/>
    <w:rPr>
      <w:rFonts w:ascii="宋体"/>
      <w:szCs w:val="21"/>
    </w:rPr>
  </w:style>
  <w:style w:type="paragraph" w:styleId="1263" w:customStyle="1">
    <w:name w:val="条1"/>
    <w:basedOn w:val="856"/>
    <w:uiPriority w:val="0"/>
    <w:qFormat/>
    <w:pPr>
      <w:ind w:left="780" w:hanging="360"/>
      <w:spacing w:before="156" w:line="360" w:lineRule="auto"/>
      <w:tabs>
        <w:tab w:val="left" w:pos="780" w:leader="none"/>
      </w:tabs>
    </w:pPr>
    <w:rPr>
      <w:rFonts w:eastAsia="黑体"/>
      <w:sz w:val="24"/>
    </w:rPr>
  </w:style>
  <w:style w:type="paragraph" w:styleId="1264" w:customStyle="1">
    <w:name w:val="样式4 Char"/>
    <w:basedOn w:val="856"/>
    <w:uiPriority w:val="0"/>
    <w:qFormat/>
    <w:pPr>
      <w:ind w:firstLine="480"/>
      <w:jc w:val="left"/>
      <w:spacing w:line="360" w:lineRule="auto"/>
      <w:widowControl/>
    </w:pPr>
    <w:rPr>
      <w:color w:val="000000"/>
      <w:sz w:val="24"/>
      <w:szCs w:val="24"/>
    </w:rPr>
  </w:style>
  <w:style w:type="paragraph" w:styleId="1265" w:customStyle="1">
    <w:name w:val="马刚标题4"/>
    <w:basedOn w:val="1214"/>
    <w:next w:val="856"/>
    <w:uiPriority w:val="0"/>
    <w:qFormat/>
    <w:pPr>
      <w:spacing w:before="100" w:after="40"/>
      <w:tabs>
        <w:tab w:val="clear" w:pos="567" w:leader="none"/>
        <w:tab w:val="clear" w:pos="735" w:leader="none"/>
        <w:tab w:val="left" w:pos="1050" w:leader="none"/>
      </w:tabs>
      <w:outlineLvl w:val="3"/>
    </w:pPr>
    <w:rPr>
      <w:b w:val="0"/>
    </w:rPr>
  </w:style>
  <w:style w:type="paragraph" w:styleId="1266" w:customStyle="1">
    <w:name w:val="flType"/>
    <w:basedOn w:val="1116"/>
    <w:uiPriority w:val="0"/>
    <w:qFormat/>
    <w:pPr>
      <w:spacing w:after="284"/>
    </w:pPr>
    <w:rPr>
      <w:rFonts w:eastAsia="宋体"/>
      <w:b w:val="0"/>
    </w:rPr>
  </w:style>
  <w:style w:type="paragraph" w:styleId="1267" w:customStyle="1">
    <w:name w:val="xl26"/>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68" w:customStyle="1">
    <w:name w:val="Char Char Char Char Char1"/>
    <w:basedOn w:val="856"/>
    <w:uiPriority w:val="0"/>
    <w:qFormat/>
    <w:rPr>
      <w:rFonts w:ascii="Tahoma" w:hAnsi="Tahoma" w:cs="Tahoma"/>
      <w:sz w:val="24"/>
    </w:rPr>
  </w:style>
  <w:style w:type="paragraph" w:styleId="1269" w:customStyle="1">
    <w:name w:val="样式 样式 首行缩进:  2 字符 + 行距: 1.5 倍行距"/>
    <w:basedOn w:val="856"/>
    <w:uiPriority w:val="0"/>
    <w:qFormat/>
    <w:pPr>
      <w:ind w:firstLine="470"/>
      <w:spacing w:line="360" w:lineRule="auto"/>
    </w:pPr>
    <w:rPr>
      <w:sz w:val="24"/>
    </w:rPr>
  </w:style>
  <w:style w:type="paragraph" w:styleId="1270" w:customStyle="1">
    <w:name w:val="a0"/>
    <w:basedOn w:val="856"/>
    <w:uiPriority w:val="0"/>
    <w:qFormat/>
    <w:pPr>
      <w:spacing w:before="100" w:beforeAutospacing="1" w:after="100" w:afterAutospacing="1"/>
      <w:widowControl/>
    </w:pPr>
    <w:rPr>
      <w:rFonts w:ascii="宋体" w:hAnsi="宋体"/>
      <w:sz w:val="24"/>
      <w:szCs w:val="24"/>
    </w:rPr>
  </w:style>
  <w:style w:type="paragraph" w:styleId="1271" w:customStyle="1">
    <w:name w:val="xl53"/>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72" w:customStyle="1">
    <w:name w:val="xl60"/>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73" w:customStyle="1">
    <w:name w:val="样式1"/>
    <w:basedOn w:val="856"/>
    <w:uiPriority w:val="0"/>
    <w:qFormat/>
    <w:pPr>
      <w:ind w:firstLine="480"/>
      <w:spacing w:line="300" w:lineRule="auto"/>
    </w:pPr>
    <w:rPr>
      <w:sz w:val="24"/>
      <w:szCs w:val="24"/>
    </w:rPr>
  </w:style>
  <w:style w:type="paragraph" w:styleId="1274" w:customStyle="1">
    <w:name w:val="论文正文"/>
    <w:basedOn w:val="889"/>
    <w:uiPriority w:val="0"/>
    <w:qFormat/>
    <w:pPr>
      <w:ind w:left="0" w:firstLine="200"/>
      <w:jc w:val="left"/>
      <w:spacing w:line="360" w:lineRule="auto"/>
    </w:pPr>
    <w:rPr>
      <w:rFonts w:ascii="Times New Roman" w:hAnsi="Times New Roman"/>
      <w:sz w:val="28"/>
      <w:szCs w:val="24"/>
    </w:rPr>
  </w:style>
  <w:style w:type="paragraph" w:styleId="1275" w:customStyle="1">
    <w:name w:val="greytypebeni"/>
    <w:basedOn w:val="856"/>
    <w:uiPriority w:val="0"/>
    <w:qFormat/>
    <w:pPr>
      <w:jc w:val="left"/>
      <w:widowControl/>
    </w:pPr>
    <w:rPr>
      <w:rFonts w:ascii="宋体" w:hAnsi="宋体"/>
      <w:sz w:val="24"/>
      <w:szCs w:val="24"/>
    </w:rPr>
  </w:style>
  <w:style w:type="paragraph" w:styleId="127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77" w:customStyle="1">
    <w:name w:val="xl55"/>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78" w:customStyle="1">
    <w:name w:val="正文文本缩进1"/>
    <w:basedOn w:val="856"/>
    <w:uiPriority w:val="0"/>
    <w:qFormat/>
    <w:pPr>
      <w:ind w:left="420"/>
      <w:spacing w:after="120"/>
    </w:pPr>
    <w:rPr>
      <w:szCs w:val="24"/>
    </w:rPr>
  </w:style>
  <w:style w:type="paragraph" w:styleId="1279" w:customStyle="1">
    <w:name w:val="xl3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80" w:customStyle="1">
    <w:name w:val="引用 Char1"/>
    <w:basedOn w:val="866"/>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81" w:customStyle="1">
    <w:name w:val="标题3，章节第三层"/>
    <w:basedOn w:val="856"/>
    <w:next w:val="1062"/>
    <w:uiPriority w:val="0"/>
    <w:qFormat/>
    <w:pPr>
      <w:spacing w:before="78" w:line="300" w:lineRule="auto"/>
      <w:outlineLvl w:val="2"/>
    </w:pPr>
    <w:rPr>
      <w:rFonts w:ascii="Arial" w:hAnsi="Arial" w:eastAsia="华文细黑"/>
      <w:sz w:val="30"/>
      <w:szCs w:val="24"/>
    </w:rPr>
  </w:style>
  <w:style w:type="paragraph" w:styleId="1282" w:customStyle="1">
    <w:name w:val="Char2 Char Char Char Char Char Char1"/>
    <w:basedOn w:val="856"/>
    <w:uiPriority w:val="0"/>
    <w:qFormat/>
    <w:pPr>
      <w:ind w:hanging="425"/>
      <w:keepNext/>
      <w:spacing w:before="80" w:after="80"/>
      <w:widowControl/>
      <w:tabs>
        <w:tab w:val="left" w:pos="425" w:leader="none"/>
      </w:tabs>
    </w:pPr>
    <w:rPr>
      <w:rFonts w:ascii="Arial" w:hAnsi="Arial" w:cs="Arial"/>
    </w:rPr>
  </w:style>
  <w:style w:type="paragraph" w:styleId="1283" w:customStyle="1">
    <w:name w:val="xl46"/>
    <w:basedOn w:val="85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84" w:customStyle="1">
    <w:name w:val="普通文字"/>
    <w:basedOn w:val="856"/>
    <w:next w:val="856"/>
    <w:uiPriority w:val="0"/>
    <w:qFormat/>
    <w:rPr>
      <w:rFonts w:ascii="宋体" w:hAnsi="宋体"/>
      <w:sz w:val="24"/>
    </w:rPr>
  </w:style>
  <w:style w:type="paragraph" w:styleId="1285" w:customStyle="1">
    <w:name w:val="样式2"/>
    <w:basedOn w:val="856"/>
    <w:uiPriority w:val="0"/>
    <w:qFormat/>
    <w:pPr>
      <w:ind w:left="200"/>
      <w:spacing w:line="360" w:lineRule="auto"/>
    </w:pPr>
    <w:rPr>
      <w:rFonts w:ascii="宋体" w:hAnsi="宋体"/>
      <w:b/>
      <w:sz w:val="24"/>
      <w:szCs w:val="24"/>
    </w:rPr>
  </w:style>
  <w:style w:type="paragraph" w:styleId="1286" w:customStyle="1">
    <w:name w:val="Table Paragraph"/>
    <w:basedOn w:val="856"/>
    <w:uiPriority w:val="0"/>
    <w:qFormat/>
    <w:rPr>
      <w:rFonts w:cs="Times New Roman"/>
      <w:sz w:val="21"/>
      <w:szCs w:val="24"/>
      <w:lang w:val="en-US"/>
    </w:rPr>
  </w:style>
  <w:style w:type="character" w:styleId="1287" w:customStyle="1">
    <w:name w:val="font31"/>
    <w:basedOn w:val="866"/>
    <w:uiPriority w:val="0"/>
    <w:qFormat/>
    <w:rPr>
      <w:rFonts w:hint="eastAsia" w:ascii="微软雅黑" w:hAnsi="微软雅黑" w:eastAsia="微软雅黑" w:cs="微软雅黑"/>
      <w:color w:val="000000"/>
      <w:sz w:val="22"/>
      <w:szCs w:val="22"/>
      <w:u w:val="none"/>
    </w:rPr>
  </w:style>
  <w:style w:type="paragraph" w:styleId="1288" w:customStyle="1">
    <w:name w:val="_Style 1"/>
    <w:basedOn w:val="856"/>
    <w:uiPriority w:val="34"/>
    <w:qFormat/>
    <w:pPr>
      <w:ind w:firstLine="420"/>
    </w:pPr>
    <w:rPr>
      <w:rFonts w:eastAsia="宋体" w:cs="Times New Roman"/>
    </w:rPr>
  </w:style>
  <w:style w:type="paragraph" w:styleId="1289" w:customStyle="1">
    <w:name w:val="正文首行缩进（绿盟科技）"/>
    <w:basedOn w:val="856"/>
    <w:uiPriority w:val="0"/>
    <w:qFormat/>
    <w:pPr>
      <w:ind w:firstLine="200"/>
      <w:jc w:val="left"/>
      <w:spacing w:after="50" w:line="300" w:lineRule="auto"/>
      <w:widowControl/>
    </w:pPr>
    <w:rPr>
      <w:rFonts w:ascii="Arial" w:hAnsi="Arial"/>
      <w:szCs w:val="21"/>
    </w:rPr>
  </w:style>
  <w:style w:type="paragraph" w:styleId="1290" w:customStyle="1">
    <w:name w:val="KS表格"/>
    <w:basedOn w:val="856"/>
    <w:uiPriority w:val="0"/>
    <w:qFormat/>
    <w:pPr>
      <w:spacing w:line="300" w:lineRule="auto"/>
    </w:pPr>
  </w:style>
  <w:style w:type="character" w:styleId="1291" w:customStyle="1">
    <w:name w:val="标题 2 Char Char Char"/>
    <w:uiPriority w:val="0"/>
    <w:qFormat/>
    <w:rPr>
      <w:rFonts w:ascii="Arial" w:hAnsi="Arial" w:eastAsia="黑体"/>
      <w:b/>
      <w:bCs/>
      <w:sz w:val="32"/>
      <w:szCs w:val="32"/>
      <w:lang w:val="en-US" w:eastAsia="zh-CN" w:bidi="ar-SA"/>
    </w:rPr>
  </w:style>
  <w:style w:type="paragraph" w:styleId="129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93" w:customStyle="1">
    <w:name w:val="修订2"/>
    <w:hidden/>
    <w:uiPriority w:val="99"/>
    <w:semiHidden/>
    <w:qFormat/>
    <w:rPr>
      <w:rFonts w:ascii="Calibri" w:hAnsi="Calibri" w:eastAsia="Calibri" w:cs="宋体"/>
      <w:lang w:val="zh-CN" w:eastAsia="zh-CN" w:bidi="ar-SA"/>
    </w:rPr>
  </w:style>
  <w:style w:type="paragraph" w:styleId="1294" w:customStyle="1">
    <w:name w:val="修订3"/>
    <w:hidden/>
    <w:uiPriority w:val="99"/>
    <w:semiHidden/>
    <w:qFormat/>
    <w:rPr>
      <w:rFonts w:ascii="Calibri" w:hAnsi="Calibri" w:eastAsia="Calibri" w:cs="宋体"/>
      <w:lang w:val="zh-CN" w:eastAsia="zh-CN" w:bidi="ar-SA"/>
    </w:rPr>
  </w:style>
  <w:style w:type="paragraph" w:styleId="1295" w:customStyle="1">
    <w:name w:val="@正文"/>
    <w:basedOn w:val="929"/>
    <w:uiPriority w:val="0"/>
    <w:qFormat/>
    <w:pPr>
      <w:ind w:firstLine="200"/>
      <w:spacing w:line="360" w:lineRule="auto"/>
    </w:pPr>
    <w:rPr>
      <w:rFonts w:ascii="黑体" w:hAnsi="黑体" w:eastAsia="仿宋"/>
      <w:sz w:val="32"/>
      <w:szCs w:val="32"/>
    </w:rPr>
  </w:style>
  <w:style w:type="paragraph" w:styleId="1296" w:customStyle="1">
    <w:name w:val="msolistparagraph"/>
    <w:basedOn w:val="856"/>
    <w:uiPriority w:val="0"/>
    <w:qFormat/>
    <w:pPr>
      <w:ind w:firstLine="420"/>
    </w:pPr>
    <w:rPr>
      <w:rFonts w:eastAsia="宋体" w:cs="Times New Roman"/>
      <w:sz w:val="21"/>
      <w:szCs w:val="22"/>
      <w:lang w:val="en-US"/>
    </w:rPr>
  </w:style>
  <w:style w:type="paragraph" w:styleId="1297" w:customStyle="1">
    <w:name w:val="标题 31"/>
    <w:basedOn w:val="856"/>
    <w:next w:val="85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298" w:customStyle="1">
    <w:name w:val="修订4"/>
    <w:hidden/>
    <w:uiPriority w:val="99"/>
    <w:unhideWhenUsed/>
    <w:qFormat/>
    <w:rPr>
      <w:rFonts w:ascii="Calibri" w:hAnsi="Calibri" w:eastAsia="Calibri" w:cs="宋体"/>
      <w:lang w:val="zh-CN" w:eastAsia="zh-CN" w:bidi="ar-SA"/>
    </w:rPr>
  </w:style>
  <w:style w:type="paragraph" w:styleId="1299" w:customStyle="1">
    <w:name w:val="正文首行缩进1"/>
    <w:basedOn w:val="1300"/>
    <w:uiPriority w:val="0"/>
    <w:qFormat/>
    <w:pPr>
      <w:ind w:firstLine="420"/>
      <w:spacing w:line="360" w:lineRule="auto"/>
    </w:pPr>
    <w:rPr>
      <w:rFonts w:ascii="Times New Roman"/>
      <w:szCs w:val="21"/>
    </w:rPr>
  </w:style>
  <w:style w:type="paragraph" w:styleId="1300" w:customStyle="1">
    <w:name w:val="正文文本1"/>
    <w:basedOn w:val="856"/>
    <w:next w:val="856"/>
    <w:uiPriority w:val="0"/>
    <w:qFormat/>
    <w:rPr>
      <w:rFonts w:ascii="宋体"/>
      <w:sz w:val="28"/>
    </w:rPr>
  </w:style>
  <w:style w:type="paragraph" w:styleId="1301" w:customStyle="1">
    <w:name w:val="页脚1"/>
    <w:basedOn w:val="856"/>
    <w:uiPriority w:val="99"/>
    <w:qFormat/>
    <w:pPr>
      <w:jc w:val="left"/>
      <w:tabs>
        <w:tab w:val="center" w:pos="4153" w:leader="none"/>
        <w:tab w:val="right" w:pos="8306" w:leader="none"/>
      </w:tabs>
    </w:pPr>
    <w:rPr>
      <w:sz w:val="18"/>
    </w:rPr>
  </w:style>
  <w:style w:type="paragraph" w:styleId="1302" w:customStyle="1">
    <w:name w:val="普通(网站)11"/>
    <w:basedOn w:val="856"/>
    <w:uiPriority w:val="0"/>
    <w:qFormat/>
    <w:pPr>
      <w:jc w:val="left"/>
      <w:spacing w:beforeAutospacing="1" w:afterAutospacing="1"/>
    </w:pPr>
    <w:rPr>
      <w:sz w:val="24"/>
    </w:rPr>
  </w:style>
  <w:style w:type="paragraph" w:styleId="1303" w:customStyle="1">
    <w:name w:val="正文文本12"/>
    <w:basedOn w:val="856"/>
    <w:uiPriority w:val="99"/>
    <w:qFormat/>
    <w:rPr>
      <w:rFonts w:ascii="华文中宋" w:eastAsia="华文中宋"/>
      <w:bCs/>
      <w:sz w:val="28"/>
    </w:rPr>
  </w:style>
  <w:style w:type="paragraph" w:styleId="1304" w:customStyle="1">
    <w:name w:val="列表段落1"/>
    <w:basedOn w:val="856"/>
    <w:uiPriority w:val="0"/>
    <w:qFormat/>
    <w:pPr>
      <w:jc w:val="center"/>
    </w:pPr>
    <w:rPr>
      <w:rFonts w:ascii="宋体" w:hAnsi="宋体" w:eastAsia="宋体"/>
      <w:b/>
      <w:sz w:val="22"/>
      <w:szCs w:val="22"/>
    </w:rPr>
  </w:style>
  <w:style w:type="numbering" w:styleId="87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121CFCD-6C43-4533-B5E0-0922A4320D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18</cp:revision>
  <dcterms:created xsi:type="dcterms:W3CDTF">2025-08-29T07:48:00Z</dcterms:created>
  <dcterms:modified xsi:type="dcterms:W3CDTF">2026-10-26T07:23:59Z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7C5FC8D1E7CD4FC795BFB502B725711F_13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