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center"/>
        <w:spacing w:before="0" w:line="360" w:lineRule="auto"/>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太仓市政府采购</w:t>
      </w:r>
      <w:r>
        <w:rPr>
          <w:rFonts w:hint="eastAsia" w:ascii="宋体" w:hAnsi="宋体" w:eastAsia="宋体" w:cs="宋体"/>
          <w:b/>
          <w:bCs/>
          <w:color w:val="000000"/>
          <w:sz w:val="84"/>
          <w:szCs w:val="84"/>
          <w:highlight w:val="none"/>
        </w:rPr>
      </w:r>
      <w:r/>
    </w:p>
    <w:p>
      <w:pPr>
        <w:pStyle w:val="684"/>
        <w:ind w:left="0"/>
        <w:jc w:val="center"/>
        <w:spacing w:before="0" w:line="360" w:lineRule="auto"/>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招 标 文 件</w:t>
      </w:r>
      <w:r>
        <w:rPr>
          <w:rFonts w:hint="eastAsia" w:ascii="宋体" w:hAnsi="宋体" w:eastAsia="宋体" w:cs="宋体"/>
          <w:b/>
          <w:bCs/>
          <w:color w:val="000000"/>
          <w:sz w:val="84"/>
          <w:szCs w:val="84"/>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firstLine="1606"/>
        <w:jc w:val="both"/>
        <w:spacing w:before="0"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采购编号：</w:t>
      </w:r>
      <w:bookmarkStart w:id="0" w:name="OLE_LINK11"/>
      <w:r>
        <w:rPr>
          <w:rFonts w:hint="eastAsia" w:hAnsi="宋体" w:eastAsia="宋体" w:cs="宋体"/>
          <w:b/>
          <w:bCs/>
          <w:color w:val="000000"/>
          <w:sz w:val="32"/>
          <w:szCs w:val="32"/>
          <w:highlight w:val="none"/>
          <w:lang w:eastAsia="zh-CN"/>
        </w:rPr>
        <w:t xml:space="preserve">JSZC-320585-SZSK-G2026-0003</w:t>
      </w:r>
      <w:r>
        <w:rPr>
          <w:rFonts w:hint="eastAsia" w:ascii="宋体" w:hAnsi="宋体" w:eastAsia="宋体" w:cs="宋体"/>
          <w:b/>
          <w:bCs/>
          <w:color w:val="000000"/>
          <w:sz w:val="32"/>
          <w:szCs w:val="32"/>
          <w:highlight w:val="none"/>
          <w:lang w:eastAsia="zh-CN"/>
        </w:rPr>
      </w:r>
      <w:r/>
    </w:p>
    <w:p>
      <w:pPr>
        <w:pStyle w:val="684"/>
        <w:ind w:left="3221" w:hanging="1606"/>
        <w:jc w:val="both"/>
        <w:spacing w:before="0" w:line="360" w:lineRule="auto"/>
        <w:rPr>
          <w:rFonts w:hint="eastAsia" w:ascii="宋体" w:hAnsi="宋体" w:eastAsia="宋体" w:cs="宋体"/>
          <w:b/>
          <w:bCs/>
          <w:color w:val="000000"/>
          <w:sz w:val="32"/>
          <w:szCs w:val="32"/>
          <w:highlight w:val="none"/>
        </w:rPr>
      </w:pPr>
      <w:r/>
      <w:bookmarkEnd w:id="0"/>
      <w:r>
        <w:rPr>
          <w:rFonts w:hint="eastAsia" w:ascii="宋体" w:hAnsi="宋体" w:eastAsia="宋体" w:cs="宋体"/>
          <w:b/>
          <w:bCs/>
          <w:color w:val="000000"/>
          <w:sz w:val="32"/>
          <w:szCs w:val="32"/>
          <w:highlight w:val="none"/>
        </w:rPr>
        <w:t xml:space="preserve">采购内容：</w:t>
      </w:r>
      <w:r>
        <w:rPr>
          <w:rFonts w:hint="eastAsia" w:hAnsi="宋体" w:eastAsia="宋体" w:cs="宋体"/>
          <w:b/>
          <w:bCs/>
          <w:color w:val="000000"/>
          <w:sz w:val="32"/>
          <w:szCs w:val="32"/>
          <w:highlight w:val="none"/>
          <w:lang w:eastAsia="zh-CN"/>
        </w:rPr>
        <w:t xml:space="preserve">东城三园等智慧技防小区（二期）租赁服务</w:t>
      </w:r>
      <w:r>
        <w:rPr>
          <w:rFonts w:hint="eastAsia" w:ascii="宋体" w:hAnsi="宋体" w:eastAsia="宋体" w:cs="宋体"/>
          <w:b/>
          <w:bCs/>
          <w:color w:val="000000"/>
          <w:sz w:val="32"/>
          <w:szCs w:val="32"/>
          <w:highlight w:val="none"/>
        </w:rPr>
      </w:r>
      <w:r/>
    </w:p>
    <w:p>
      <w:pPr>
        <w:pStyle w:val="684"/>
        <w:ind w:left="0" w:firstLine="1606"/>
        <w:jc w:val="both"/>
        <w:spacing w:before="0"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采购单位：</w:t>
      </w:r>
      <w:r>
        <w:rPr>
          <w:rFonts w:hint="eastAsia" w:hAnsi="宋体" w:eastAsia="宋体" w:cs="宋体"/>
          <w:b/>
          <w:bCs/>
          <w:color w:val="000000"/>
          <w:sz w:val="32"/>
          <w:szCs w:val="32"/>
          <w:highlight w:val="none"/>
          <w:lang w:eastAsia="zh-CN"/>
        </w:rPr>
        <w:t xml:space="preserve">太仓市人民政府陆渡街道办事处</w:t>
      </w:r>
      <w:r>
        <w:rPr>
          <w:rFonts w:hint="eastAsia" w:ascii="宋体" w:hAnsi="宋体" w:eastAsia="宋体" w:cs="宋体"/>
          <w:b/>
          <w:bCs/>
          <w:color w:val="000000"/>
          <w:sz w:val="32"/>
          <w:szCs w:val="32"/>
          <w:highlight w:val="none"/>
          <w:lang w:eastAsia="zh-CN"/>
        </w:rPr>
      </w:r>
      <w:r/>
    </w:p>
    <w:p>
      <w:pPr>
        <w:pStyle w:val="684"/>
        <w:ind w:left="0" w:firstLine="1606"/>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项目类别：服务类 </w:t>
      </w:r>
      <w:r>
        <w:rPr>
          <w:rFonts w:hint="eastAsia" w:ascii="宋体" w:hAnsi="宋体" w:eastAsia="宋体" w:cs="宋体"/>
          <w:b/>
          <w:bCs/>
          <w:color w:val="000000"/>
          <w:sz w:val="32"/>
          <w:szCs w:val="32"/>
          <w:highlight w:val="none"/>
        </w:rPr>
      </w:r>
      <w:r/>
    </w:p>
    <w:p>
      <w:pPr>
        <w:pStyle w:val="684"/>
        <w:ind w:left="0" w:firstLine="1606"/>
        <w:jc w:val="both"/>
        <w:spacing w:before="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标的所属行业：（十</w:t>
      </w:r>
      <w:r>
        <w:rPr>
          <w:rFonts w:hint="eastAsia"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）软件和信息服务业</w:t>
      </w:r>
      <w:r>
        <w:rPr>
          <w:rFonts w:hint="eastAsia" w:ascii="宋体" w:hAnsi="宋体" w:eastAsia="宋体" w:cs="宋体"/>
          <w:b/>
          <w:color w:val="000000"/>
          <w:sz w:val="32"/>
          <w:szCs w:val="32"/>
          <w:highlight w:val="none"/>
          <w:lang w:eastAsia="zh-CN"/>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firstLine="1606"/>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代理机构：苏州时凯项目管理咨询有限公司</w:t>
      </w: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center"/>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二○二</w:t>
      </w:r>
      <w:r>
        <w:rPr>
          <w:rFonts w:hint="eastAsia"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年</w:t>
      </w:r>
      <w:r>
        <w:rPr>
          <w:rFonts w:hint="eastAsia" w:hAnsi="宋体" w:eastAsia="宋体" w:cs="宋体"/>
          <w:b/>
          <w:bCs/>
          <w:color w:val="000000"/>
          <w:sz w:val="32"/>
          <w:szCs w:val="32"/>
          <w:highlight w:val="none"/>
          <w:lang w:val="en-US" w:eastAsia="zh-CN"/>
        </w:rPr>
        <w:t xml:space="preserve">九</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目   录</w:t>
      </w:r>
      <w:r>
        <w:rPr>
          <w:rFonts w:hint="eastAsia" w:ascii="宋体" w:hAnsi="宋体" w:eastAsia="宋体" w:cs="宋体"/>
          <w:b/>
          <w:color w:val="000000"/>
          <w:sz w:val="44"/>
          <w:szCs w:val="44"/>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keepLines w:val="0"/>
        <w:keepNext w:val="0"/>
        <w:pageBreakBefore w:val="0"/>
        <w:spacing w:line="48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第一章：招标公告</w:t>
      </w:r>
      <w:r>
        <w:rPr>
          <w:rFonts w:hint="eastAsia" w:ascii="宋体" w:hAnsi="宋体" w:eastAsia="宋体" w:cs="宋体"/>
          <w:color w:val="000000"/>
          <w:sz w:val="36"/>
          <w:szCs w:val="36"/>
          <w:highlight w:val="none"/>
        </w:rPr>
      </w:r>
      <w:r/>
    </w:p>
    <w:p>
      <w:pPr>
        <w:pStyle w:val="659"/>
        <w:keepLines w:val="0"/>
        <w:keepNext w:val="0"/>
        <w:pageBreakBefore w:val="0"/>
        <w:spacing w:line="48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第二章：投标人须知</w:t>
      </w:r>
      <w:r>
        <w:rPr>
          <w:rFonts w:hint="eastAsia" w:ascii="宋体" w:hAnsi="宋体" w:eastAsia="宋体" w:cs="宋体"/>
          <w:color w:val="000000"/>
          <w:sz w:val="36"/>
          <w:szCs w:val="36"/>
          <w:highlight w:val="none"/>
        </w:rPr>
      </w:r>
      <w:r/>
    </w:p>
    <w:p>
      <w:pPr>
        <w:pStyle w:val="659"/>
        <w:keepLines w:val="0"/>
        <w:keepNext w:val="0"/>
        <w:pageBreakBefore w:val="0"/>
        <w:spacing w:line="480" w:lineRule="auto"/>
        <w:widowControl w:val="off"/>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rPr>
        <w:t xml:space="preserve">第三章：</w:t>
      </w:r>
      <w:r>
        <w:rPr>
          <w:rFonts w:hint="eastAsia" w:ascii="宋体" w:hAnsi="宋体" w:eastAsia="宋体" w:cs="宋体"/>
          <w:color w:val="000000"/>
          <w:sz w:val="36"/>
          <w:szCs w:val="36"/>
          <w:highlight w:val="none"/>
          <w:lang w:val="en-US" w:eastAsia="zh-CN"/>
        </w:rPr>
        <w:t xml:space="preserve">招标书</w:t>
      </w:r>
      <w:r>
        <w:rPr>
          <w:rFonts w:hint="eastAsia" w:ascii="宋体" w:hAnsi="宋体" w:eastAsia="宋体" w:cs="宋体"/>
          <w:color w:val="000000"/>
          <w:sz w:val="36"/>
          <w:szCs w:val="36"/>
          <w:highlight w:val="none"/>
          <w:lang w:eastAsia="zh-CN"/>
        </w:rPr>
      </w:r>
      <w:r/>
    </w:p>
    <w:p>
      <w:pPr>
        <w:pStyle w:val="659"/>
        <w:keepLines w:val="0"/>
        <w:keepNext w:val="0"/>
        <w:pageBreakBefore w:val="0"/>
        <w:spacing w:line="48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第四章：评标方法与评标标准</w:t>
      </w:r>
      <w:r>
        <w:rPr>
          <w:rFonts w:hint="eastAsia" w:ascii="宋体" w:hAnsi="宋体" w:eastAsia="宋体" w:cs="宋体"/>
          <w:color w:val="000000"/>
          <w:sz w:val="36"/>
          <w:szCs w:val="36"/>
          <w:highlight w:val="none"/>
        </w:rPr>
      </w:r>
      <w:r/>
    </w:p>
    <w:p>
      <w:pPr>
        <w:pStyle w:val="659"/>
        <w:keepLines w:val="0"/>
        <w:keepNext w:val="0"/>
        <w:pageBreakBefore w:val="0"/>
        <w:spacing w:line="480" w:lineRule="auto"/>
        <w:widowControl w:val="off"/>
        <w:rPr>
          <w:rFonts w:hint="eastAsia" w:ascii="宋体" w:hAnsi="宋体" w:eastAsia="宋体" w:cs="宋体"/>
          <w:color w:val="000000"/>
          <w:sz w:val="36"/>
          <w:szCs w:val="36"/>
          <w:highlight w:val="none"/>
        </w:rPr>
      </w:pPr>
      <w:r/>
      <w:bookmarkStart w:id="1" w:name="OLE_LINK7"/>
      <w:r>
        <w:rPr>
          <w:rFonts w:hint="eastAsia" w:ascii="宋体" w:hAnsi="宋体" w:eastAsia="宋体" w:cs="宋体"/>
          <w:color w:val="000000"/>
          <w:sz w:val="36"/>
          <w:szCs w:val="36"/>
          <w:highlight w:val="none"/>
        </w:rPr>
        <w:t xml:space="preserve">第五章：投标文件格式</w:t>
      </w:r>
      <w:r>
        <w:rPr>
          <w:rFonts w:hint="eastAsia" w:ascii="宋体" w:hAnsi="宋体" w:eastAsia="宋体" w:cs="宋体"/>
          <w:color w:val="000000"/>
          <w:sz w:val="36"/>
          <w:szCs w:val="36"/>
          <w:highlight w:val="none"/>
        </w:rPr>
      </w:r>
      <w:r/>
    </w:p>
    <w:p>
      <w:pPr>
        <w:pStyle w:val="659"/>
        <w:keepLines w:val="0"/>
        <w:keepNext w:val="0"/>
        <w:pageBreakBefore w:val="0"/>
        <w:spacing w:line="480" w:lineRule="auto"/>
        <w:widowControl w:val="off"/>
        <w:rPr>
          <w:rFonts w:hint="eastAsia" w:ascii="宋体" w:hAnsi="宋体" w:eastAsia="宋体" w:cs="宋体"/>
          <w:b/>
          <w:color w:val="000000"/>
          <w:sz w:val="44"/>
          <w:szCs w:val="44"/>
          <w:highlight w:val="none"/>
        </w:rPr>
      </w:pPr>
      <w:r/>
      <w:bookmarkEnd w:id="1"/>
      <w:r>
        <w:rPr>
          <w:rFonts w:hint="eastAsia" w:ascii="宋体" w:hAnsi="宋体" w:eastAsia="宋体" w:cs="宋体"/>
          <w:color w:val="000000"/>
          <w:sz w:val="36"/>
          <w:szCs w:val="36"/>
          <w:highlight w:val="none"/>
        </w:rPr>
        <w:t xml:space="preserve">第六章：合同主要条款</w:t>
      </w:r>
      <w:r>
        <w:rPr>
          <w:rFonts w:hint="eastAsia" w:ascii="宋体" w:hAnsi="宋体" w:eastAsia="宋体" w:cs="宋体"/>
          <w:b/>
          <w:color w:val="000000"/>
          <w:sz w:val="44"/>
          <w:szCs w:val="44"/>
          <w:highlight w:val="none"/>
        </w:rPr>
      </w:r>
      <w:r/>
    </w:p>
    <w:p>
      <w:pPr>
        <w:pStyle w:val="684"/>
        <w:ind w:left="0"/>
        <w:jc w:val="both"/>
        <w:keepLines w:val="0"/>
        <w:keepNext w:val="0"/>
        <w:pageBreakBefore w:val="0"/>
        <w:spacing w:before="0"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center"/>
        <w:spacing w:before="0" w:line="360" w:lineRule="auto"/>
        <w:rPr>
          <w:rFonts w:hint="eastAsia" w:ascii="宋体" w:hAnsi="宋体" w:eastAsia="宋体" w:cs="宋体"/>
          <w:b/>
          <w:bCs/>
          <w:color w:val="000000"/>
          <w:sz w:val="36"/>
          <w:szCs w:val="36"/>
          <w:highlight w:val="none"/>
        </w:rPr>
      </w:pPr>
      <w:r/>
      <w:bookmarkStart w:id="2" w:name="OLE_LINK6"/>
      <w:r>
        <w:rPr>
          <w:rFonts w:hint="eastAsia" w:ascii="宋体" w:hAnsi="宋体" w:eastAsia="宋体" w:cs="宋体"/>
          <w:b/>
          <w:bCs/>
          <w:color w:val="000000"/>
          <w:sz w:val="36"/>
          <w:szCs w:val="36"/>
          <w:highlight w:val="none"/>
        </w:rPr>
      </w:r>
      <w:r/>
    </w:p>
    <w:p>
      <w:pPr>
        <w:pStyle w:val="684"/>
        <w:ind w:left="0"/>
        <w:jc w:val="center"/>
        <w:spacing w:before="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ind w:left="0"/>
        <w:jc w:val="center"/>
        <w:spacing w:before="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第一章 </w:t>
      </w:r>
      <w:bookmarkStart w:id="3" w:name="OLE_LINK4"/>
      <w:r/>
      <w:bookmarkStart w:id="4" w:name="OLE_LINK5"/>
      <w:r/>
      <w:bookmarkStart w:id="5" w:name="OLE_LINK3"/>
      <w:r>
        <w:rPr>
          <w:rFonts w:hint="eastAsia" w:ascii="宋体" w:hAnsi="宋体" w:eastAsia="宋体" w:cs="宋体"/>
          <w:b/>
          <w:bCs/>
          <w:color w:val="000000"/>
          <w:sz w:val="36"/>
          <w:szCs w:val="36"/>
          <w:highlight w:val="none"/>
        </w:rPr>
        <w:t xml:space="preserve">招标公告</w:t>
      </w:r>
      <w:r>
        <w:rPr>
          <w:rFonts w:hint="eastAsia" w:ascii="宋体" w:hAnsi="宋体" w:eastAsia="宋体" w:cs="宋体"/>
          <w:b/>
          <w:bCs/>
          <w:color w:val="000000"/>
          <w:sz w:val="36"/>
          <w:szCs w:val="36"/>
          <w:highlight w:val="none"/>
        </w:rPr>
      </w:r>
      <w:r/>
    </w:p>
    <w:p>
      <w:pPr>
        <w:pStyle w:val="659"/>
        <w:spacing w:line="360" w:lineRule="auto"/>
        <w:widowControl/>
        <w:rPr>
          <w:rFonts w:hint="eastAsia" w:ascii="宋体" w:hAnsi="宋体" w:eastAsia="宋体" w:cs="宋体"/>
          <w:b/>
          <w:bCs/>
          <w:color w:val="000000"/>
          <w:sz w:val="24"/>
          <w:szCs w:val="24"/>
          <w:highlight w:val="none"/>
        </w:rPr>
        <w:pBdr>
          <w:top w:val="single" w:color="000000" w:sz="4" w:space="1"/>
          <w:left w:val="single" w:color="000000" w:sz="4" w:space="4"/>
          <w:bottom w:val="single" w:color="000000" w:sz="4" w:space="1"/>
          <w:right w:val="single" w:color="000000" w:sz="4" w:space="4"/>
        </w:pBdr>
      </w:pPr>
      <w:r/>
      <w:bookmarkEnd w:id="2"/>
      <w:r/>
      <w:bookmarkEnd w:id="3"/>
      <w:r/>
      <w:bookmarkEnd w:id="4"/>
      <w:r/>
      <w:bookmarkEnd w:id="5"/>
      <w:r/>
      <w:bookmarkStart w:id="6" w:name="OLE_LINK2"/>
      <w:r/>
      <w:bookmarkStart w:id="7" w:name="OLE_LINK1"/>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659"/>
        <w:ind w:firstLine="420"/>
        <w:spacing w:line="360" w:lineRule="auto"/>
        <w:rPr>
          <w:rFonts w:hint="eastAsia" w:ascii="宋体" w:hAnsi="宋体" w:eastAsia="宋体" w:cs="宋体"/>
          <w:color w:val="000000"/>
          <w:sz w:val="21"/>
          <w:szCs w:val="21"/>
          <w:highlight w:val="none"/>
          <w:u w:val="single"/>
        </w:rPr>
        <w:pBdr>
          <w:top w:val="single" w:color="000000" w:sz="4" w:space="1"/>
          <w:left w:val="single" w:color="000000" w:sz="4" w:space="4"/>
          <w:bottom w:val="single" w:color="000000" w:sz="4" w:space="1"/>
          <w:right w:val="single" w:color="000000" w:sz="4" w:space="4"/>
        </w:pBdr>
      </w:pPr>
      <w:r>
        <w:rPr>
          <w:rFonts w:hint="eastAsia" w:hAnsi="宋体" w:eastAsia="宋体" w:cs="宋体"/>
          <w:color w:val="000000"/>
          <w:sz w:val="21"/>
          <w:szCs w:val="21"/>
          <w:highlight w:val="none"/>
          <w:lang w:eastAsia="zh-CN"/>
        </w:rPr>
        <w:t xml:space="preserve"> 东城三园等智慧技防小区（二期）租赁服务</w:t>
      </w:r>
      <w:r>
        <w:rPr>
          <w:rFonts w:hint="eastAsia" w:ascii="宋体" w:hAnsi="宋体" w:eastAsia="宋体" w:cs="宋体"/>
          <w:color w:val="000000"/>
          <w:sz w:val="21"/>
          <w:szCs w:val="21"/>
          <w:highlight w:val="none"/>
        </w:rPr>
        <w:t xml:space="preserve"> </w:t>
      </w:r>
      <w:r>
        <w:rPr>
          <w:rFonts w:hint="eastAsia" w:hAnsi="宋体" w:eastAsia="宋体" w:cs="宋体"/>
          <w:color w:val="000000"/>
          <w:sz w:val="21"/>
          <w:szCs w:val="21"/>
          <w:highlight w:val="none"/>
          <w:lang w:eastAsia="zh-CN"/>
        </w:rPr>
        <w:t xml:space="preserve">JSZC-320585-SZSK-G2026-0003</w:t>
      </w:r>
      <w:r>
        <w:rPr>
          <w:rFonts w:hint="eastAsia" w:ascii="宋体" w:hAnsi="宋体" w:eastAsia="宋体" w:cs="宋体"/>
          <w:color w:val="000000"/>
          <w:sz w:val="21"/>
          <w:szCs w:val="21"/>
          <w:highlight w:val="none"/>
        </w:rPr>
        <w:t xml:space="preserve"> 招标项目的潜在投标人应在“苏采云”系统获取招标文件，并于</w:t>
      </w:r>
      <w:r>
        <w:rPr>
          <w:rFonts w:hint="eastAsia" w:ascii="宋体" w:hAnsi="宋体" w:eastAsia="宋体" w:cs="宋体"/>
          <w:color w:val="0000ff"/>
          <w:sz w:val="21"/>
          <w:szCs w:val="21"/>
          <w:highlight w:val="none"/>
        </w:rPr>
        <w:t xml:space="preserve">2026年</w:t>
      </w:r>
      <w:r>
        <w:rPr>
          <w:rFonts w:hint="eastAsia" w:hAnsi="宋体" w:eastAsia="宋体" w:cs="宋体"/>
          <w:color w:val="0000ff"/>
          <w:sz w:val="21"/>
          <w:szCs w:val="21"/>
          <w:highlight w:val="none"/>
          <w:lang w:val="en-US" w:eastAsia="zh-CN"/>
        </w:rPr>
        <w:t xml:space="preserve">10</w:t>
      </w:r>
      <w:r>
        <w:rPr>
          <w:rFonts w:hint="eastAsia" w:ascii="宋体" w:hAnsi="宋体" w:eastAsia="宋体" w:cs="宋体"/>
          <w:color w:val="0000ff"/>
          <w:sz w:val="21"/>
          <w:szCs w:val="21"/>
          <w:highlight w:val="none"/>
        </w:rPr>
        <w:t xml:space="preserve">月</w:t>
      </w:r>
      <w:r>
        <w:rPr>
          <w:rFonts w:hint="eastAsia" w:hAnsi="宋体" w:eastAsia="宋体" w:cs="宋体"/>
          <w:color w:val="0000ff"/>
          <w:sz w:val="21"/>
          <w:szCs w:val="21"/>
          <w:highlight w:val="none"/>
          <w:lang w:val="en-US" w:eastAsia="zh-CN"/>
        </w:rPr>
        <w:t xml:space="preserve">21</w:t>
      </w:r>
      <w:r>
        <w:rPr>
          <w:rFonts w:hint="eastAsia" w:ascii="宋体" w:hAnsi="宋体" w:eastAsia="宋体" w:cs="宋体"/>
          <w:color w:val="0000ff"/>
          <w:sz w:val="21"/>
          <w:szCs w:val="21"/>
          <w:highlight w:val="none"/>
        </w:rPr>
        <w:t xml:space="preserve">日</w:t>
      </w:r>
      <w:r>
        <w:rPr>
          <w:rFonts w:hint="eastAsia" w:hAnsi="宋体" w:eastAsia="宋体" w:cs="宋体"/>
          <w:color w:val="0000ff"/>
          <w:sz w:val="21"/>
          <w:szCs w:val="21"/>
          <w:highlight w:val="none"/>
          <w:lang w:val="en-US" w:eastAsia="zh-CN"/>
        </w:rPr>
        <w:t xml:space="preserve">13</w:t>
      </w:r>
      <w:r>
        <w:rPr>
          <w:rFonts w:hint="eastAsia" w:ascii="宋体" w:hAnsi="宋体" w:eastAsia="宋体" w:cs="宋体"/>
          <w:color w:val="0000ff"/>
          <w:sz w:val="21"/>
          <w:szCs w:val="21"/>
          <w:highlight w:val="none"/>
        </w:rPr>
        <w:t xml:space="preserve">时</w:t>
      </w:r>
      <w:r>
        <w:rPr>
          <w:rFonts w:hint="eastAsia" w:hAnsi="宋体" w:eastAsia="宋体" w:cs="宋体"/>
          <w:color w:val="0000ff"/>
          <w:sz w:val="21"/>
          <w:szCs w:val="21"/>
          <w:highlight w:val="none"/>
          <w:lang w:val="en-US" w:eastAsia="zh-CN"/>
        </w:rPr>
        <w:t xml:space="preserve">30</w:t>
      </w:r>
      <w:r>
        <w:rPr>
          <w:rFonts w:hint="eastAsia" w:ascii="宋体" w:hAnsi="宋体" w:eastAsia="宋体" w:cs="宋体"/>
          <w:color w:val="0000ff"/>
          <w:sz w:val="21"/>
          <w:szCs w:val="21"/>
          <w:highlight w:val="none"/>
        </w:rPr>
        <w:t xml:space="preserve">分</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color w:val="000000"/>
          <w:sz w:val="21"/>
          <w:szCs w:val="21"/>
          <w:highlight w:val="none"/>
          <w:u w:val="single"/>
        </w:rPr>
      </w:r>
      <w:r/>
    </w:p>
    <w:p>
      <w:pPr>
        <w:pStyle w:val="659"/>
        <w:ind w:firstLine="420"/>
        <w:spacing w:before="156"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lang w:eastAsia="zh-CN"/>
        </w:rPr>
        <w:t xml:space="preserve">JSZC-320585-SZSK-G2026-0003</w:t>
      </w:r>
      <w:r>
        <w:rPr>
          <w:rFonts w:hint="eastAsia" w:ascii="宋体" w:hAnsi="宋体" w:eastAsia="宋体" w:cs="宋体"/>
          <w:color w:val="000000"/>
          <w:sz w:val="21"/>
          <w:szCs w:val="21"/>
          <w:highlight w:val="none"/>
          <w:lang w:eastAsia="zh-CN"/>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hAnsi="宋体" w:eastAsia="宋体" w:cs="宋体"/>
          <w:color w:val="000000"/>
          <w:sz w:val="21"/>
          <w:szCs w:val="21"/>
          <w:highlight w:val="none"/>
          <w:lang w:eastAsia="zh-CN"/>
        </w:rPr>
        <w:t xml:space="preserve">东城三园等智慧技防小区（二期）租赁服务</w:t>
      </w:r>
      <w:r>
        <w:rPr>
          <w:rFonts w:hint="eastAsia" w:ascii="宋体" w:hAnsi="宋体" w:eastAsia="宋体" w:cs="宋体"/>
          <w:color w:val="000000"/>
          <w:sz w:val="21"/>
          <w:szCs w:val="21"/>
          <w:highlight w:val="none"/>
        </w:rPr>
      </w:r>
      <w:r/>
    </w:p>
    <w:p>
      <w:pPr>
        <w:pStyle w:val="659"/>
        <w:ind w:firstLine="42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预算金额：</w:t>
      </w:r>
      <w:bookmarkStart w:id="8" w:name="OLE_LINK21"/>
      <w:r/>
      <w:bookmarkStart w:id="9" w:name="_Hlk159151160"/>
      <w:r/>
      <w:bookmarkStart w:id="10" w:name="OLE_LINK8"/>
      <w:r>
        <w:rPr>
          <w:rFonts w:hint="eastAsia" w:hAnsi="宋体" w:eastAsia="宋体" w:cs="宋体"/>
          <w:color w:val="000000"/>
          <w:sz w:val="21"/>
          <w:szCs w:val="21"/>
          <w:highlight w:val="none"/>
          <w:lang w:val="en-US" w:eastAsia="zh-CN"/>
        </w:rPr>
        <w:t xml:space="preserve">150.00</w:t>
      </w:r>
      <w:r>
        <w:rPr>
          <w:rFonts w:hint="eastAsia" w:ascii="宋体" w:hAnsi="宋体" w:eastAsia="宋体" w:cs="宋体"/>
          <w:color w:val="000000"/>
          <w:sz w:val="21"/>
          <w:szCs w:val="21"/>
          <w:highlight w:val="none"/>
          <w:lang w:val="en-US" w:eastAsia="zh-CN"/>
        </w:rPr>
        <w:t xml:space="preserve">万</w:t>
      </w:r>
      <w:r>
        <w:rPr>
          <w:rFonts w:hint="eastAsia" w:ascii="宋体" w:hAnsi="宋体" w:eastAsia="宋体" w:cs="宋体"/>
          <w:color w:val="000000"/>
          <w:sz w:val="21"/>
          <w:szCs w:val="21"/>
          <w:highlight w:val="none"/>
        </w:rPr>
        <w:t xml:space="preserve">元</w:t>
      </w:r>
      <w:bookmarkEnd w:id="8"/>
      <w:r/>
      <w:bookmarkEnd w:id="9"/>
      <w:r>
        <w:rPr>
          <w:rFonts w:hint="eastAsia" w:ascii="宋体" w:hAnsi="宋体" w:eastAsia="宋体" w:cs="宋体"/>
          <w:color w:val="000000"/>
          <w:sz w:val="21"/>
          <w:szCs w:val="21"/>
          <w:highlight w:val="none"/>
          <w:lang w:val="en-US" w:eastAsia="zh-CN"/>
        </w:rPr>
      </w:r>
      <w:r/>
    </w:p>
    <w:p>
      <w:pPr>
        <w:pStyle w:val="659"/>
        <w:ind w:firstLine="420"/>
        <w:spacing w:line="360" w:lineRule="auto"/>
        <w:shd w:val="clear" w:color="auto" w:fill="ffffff"/>
        <w:rPr>
          <w:rFonts w:hint="eastAsia" w:ascii="宋体" w:hAnsi="宋体" w:eastAsia="宋体" w:cs="宋体"/>
          <w:color w:val="000000"/>
          <w:sz w:val="21"/>
          <w:szCs w:val="21"/>
          <w:highlight w:val="none"/>
          <w:lang w:eastAsia="zh-CN"/>
        </w:rPr>
      </w:pPr>
      <w:r/>
      <w:bookmarkEnd w:id="10"/>
      <w:r>
        <w:rPr>
          <w:rFonts w:hint="eastAsia" w:ascii="宋体" w:hAnsi="宋体" w:eastAsia="宋体" w:cs="宋体"/>
          <w:color w:val="000000"/>
          <w:sz w:val="21"/>
          <w:szCs w:val="21"/>
          <w:highlight w:val="none"/>
        </w:rPr>
        <w:t xml:space="preserve">最高限价：</w:t>
      </w:r>
      <w:bookmarkStart w:id="11" w:name="OLE_LINK90"/>
      <w:r>
        <w:rPr>
          <w:rFonts w:hint="eastAsia" w:hAnsi="宋体" w:eastAsia="宋体" w:cs="宋体"/>
          <w:color w:val="000000"/>
          <w:sz w:val="21"/>
          <w:szCs w:val="21"/>
          <w:highlight w:val="none"/>
          <w:lang w:val="en-US" w:eastAsia="zh-CN"/>
        </w:rPr>
        <w:t xml:space="preserve">150.00</w:t>
      </w:r>
      <w:r>
        <w:rPr>
          <w:rFonts w:hint="eastAsia" w:ascii="宋体" w:hAnsi="宋体" w:eastAsia="宋体" w:cs="宋体"/>
          <w:color w:val="000000"/>
          <w:sz w:val="21"/>
          <w:szCs w:val="21"/>
          <w:highlight w:val="none"/>
          <w:lang w:val="en-US" w:eastAsia="zh-CN"/>
        </w:rPr>
        <w:t xml:space="preserve">万</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r>
      <w:r/>
    </w:p>
    <w:p>
      <w:pPr>
        <w:pStyle w:val="659"/>
        <w:ind w:firstLine="420"/>
        <w:spacing w:line="360" w:lineRule="auto"/>
        <w:widowControl/>
        <w:rPr>
          <w:rFonts w:hint="eastAsia" w:ascii="宋体" w:hAnsi="宋体" w:eastAsia="宋体" w:cs="宋体"/>
          <w:color w:val="000000"/>
          <w:sz w:val="21"/>
          <w:szCs w:val="21"/>
          <w:highlight w:val="none"/>
        </w:rPr>
      </w:pPr>
      <w:r/>
      <w:bookmarkEnd w:id="11"/>
      <w:r>
        <w:rPr>
          <w:rFonts w:hint="eastAsia" w:ascii="宋体" w:hAnsi="宋体" w:eastAsia="宋体" w:cs="宋体"/>
          <w:color w:val="000000"/>
          <w:sz w:val="21"/>
          <w:szCs w:val="21"/>
          <w:highlight w:val="none"/>
        </w:rPr>
        <w:t xml:space="preserve">采购需求</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主要</w:t>
      </w:r>
      <w:r>
        <w:rPr>
          <w:rFonts w:hint="eastAsia" w:ascii="宋体" w:hAnsi="宋体" w:eastAsia="宋体" w:cs="宋体"/>
          <w:color w:val="000000"/>
          <w:sz w:val="21"/>
          <w:szCs w:val="21"/>
          <w:highlight w:val="none"/>
        </w:rPr>
        <w:t xml:space="preserve">计划对7个技防条件较薄弱的农民集中居住小区（东城三园、东城四五七园、景湖一园、景湖二三园）进行智慧技防小区二期建设，确保陆渡街道技防治安监控工作有序实施，拟在相关区域采购视频监控技防图像服务。详见招标文件第三章招标书。</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合同履行期限：</w:t>
      </w:r>
      <w:bookmarkStart w:id="12" w:name="OLE_LINK91"/>
      <w:r>
        <w:rPr>
          <w:rFonts w:hint="eastAsia" w:hAnsi="宋体" w:eastAsia="宋体" w:cs="宋体"/>
          <w:color w:val="000000"/>
          <w:sz w:val="21"/>
          <w:szCs w:val="21"/>
          <w:highlight w:val="none"/>
          <w:lang w:val="en-US" w:eastAsia="zh-CN"/>
        </w:rPr>
        <w:t xml:space="preserve">签订合同生效后60天内完成全部系统的调试、无故障运行且经采购人及相关使用人验收合格交付服务，服务期3年，从验收合格之日起算。</w:t>
      </w:r>
      <w:r>
        <w:rPr>
          <w:rFonts w:hint="eastAsia" w:ascii="宋体" w:hAnsi="宋体" w:eastAsia="宋体" w:cs="宋体"/>
          <w:color w:val="000000"/>
          <w:sz w:val="21"/>
          <w:szCs w:val="21"/>
          <w:highlight w:val="none"/>
          <w:lang w:val="en-US" w:eastAsia="zh-CN"/>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bookmarkEnd w:id="12"/>
      <w:r>
        <w:rPr>
          <w:rFonts w:hint="eastAsia" w:ascii="宋体" w:hAnsi="宋体" w:eastAsia="宋体" w:cs="宋体"/>
          <w:color w:val="000000"/>
          <w:sz w:val="21"/>
          <w:szCs w:val="21"/>
          <w:highlight w:val="none"/>
        </w:rPr>
        <w:t xml:space="preserve">本项目（是/否）接受联合体投标：不接受联合体</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（一）满足《中华人民共和国政府采购法》第二十二条规定：</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具有独立承担民事责任的能力（提供法人或者其他组织的营业执照等证明文件，自然人的身份证明）；</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具有良好的商业信誉和健全的财务会计制度（提供最近一期的财务状况报告，其他组织、自然人提供银行出具的资信证明）；</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具有履行合同所必需的设备和专业技术能力（根据项目需求提供履行合同所必需的设备和专业技术能力的证明材料）；</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参加政府采购活动前三年内，在经营活动中没有重大违法记录（提供参加本次政府采购活动前3年内在经营活动中没有重大违法记录的书面声明）；</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59"/>
        <w:ind w:firstLine="420"/>
        <w:spacing w:line="360" w:lineRule="auto"/>
        <w:shd w:val="clear" w:color="auto" w:fill="ffff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（二）落实政府采购政策需满足的资格要求：</w:t>
      </w:r>
      <w:r>
        <w:rPr>
          <w:rFonts w:hint="eastAsia" w:ascii="宋体" w:hAnsi="宋体" w:eastAsia="宋体" w:cs="宋体"/>
          <w:color w:val="000000"/>
          <w:sz w:val="21"/>
          <w:szCs w:val="21"/>
          <w:highlight w:val="none"/>
          <w:lang w:val="en-US" w:eastAsia="zh-CN"/>
        </w:rPr>
        <w:t xml:space="preserve">根据《政府采购促进中小企业发展管理办法》的相关规定，</w:t>
      </w:r>
      <w:r>
        <w:rPr>
          <w:rFonts w:hint="eastAsia" w:ascii="宋体" w:hAnsi="宋体" w:eastAsia="宋体" w:cs="宋体"/>
          <w:b/>
          <w:bCs/>
          <w:color w:val="000000"/>
          <w:sz w:val="21"/>
          <w:szCs w:val="21"/>
          <w:highlight w:val="none"/>
          <w:lang w:val="en-US" w:eastAsia="zh-CN"/>
        </w:rPr>
        <w:t xml:space="preserve">本项目非专门面向中小企业采购。</w:t>
      </w:r>
      <w:r>
        <w:rPr>
          <w:rFonts w:hint="eastAsia" w:ascii="宋体" w:hAnsi="宋体" w:eastAsia="宋体" w:cs="宋体"/>
          <w:color w:val="000000"/>
          <w:sz w:val="21"/>
          <w:szCs w:val="21"/>
          <w:highlight w:val="none"/>
          <w:lang w:val="en-US" w:eastAsia="zh-CN"/>
        </w:rPr>
        <w:t xml:space="preserve">本项目所属行业为软件和信息服务业。</w:t>
      </w:r>
      <w:r>
        <w:rPr>
          <w:rFonts w:hint="eastAsia" w:ascii="宋体" w:hAnsi="宋体" w:eastAsia="宋体" w:cs="宋体"/>
          <w:color w:val="000000"/>
          <w:sz w:val="21"/>
          <w:szCs w:val="21"/>
          <w:highlight w:val="none"/>
          <w:lang w:val="en-US" w:eastAsia="zh-CN"/>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（三）本项目的特定资格要求：</w:t>
      </w:r>
      <w:r>
        <w:rPr>
          <w:rFonts w:hint="eastAsia" w:ascii="宋体" w:hAnsi="宋体" w:eastAsia="宋体" w:cs="宋体"/>
          <w:color w:val="000000"/>
          <w:sz w:val="21"/>
          <w:szCs w:val="21"/>
          <w:highlight w:val="none"/>
        </w:rPr>
      </w:r>
      <w:r/>
    </w:p>
    <w:p>
      <w:pPr>
        <w:pStyle w:val="659"/>
        <w:numPr>
          <w:ilvl w:val="0"/>
          <w:numId w:val="0"/>
        </w:numPr>
        <w:ind w:firstLine="420"/>
        <w:spacing w:line="360" w:lineRule="auto"/>
        <w:shd w:val="clear" w:color="auto" w:fill="ffffff"/>
        <w:rPr>
          <w:rFonts w:hint="eastAsia" w:ascii="宋体" w:hAnsi="宋体" w:eastAsia="宋体" w:cs="宋体"/>
          <w:color w:val="000000"/>
          <w:sz w:val="21"/>
          <w:szCs w:val="21"/>
          <w:highlight w:val="none"/>
          <w:lang w:eastAsia="zh-CN"/>
        </w:rPr>
      </w:pPr>
      <w:r/>
      <w:bookmarkStart w:id="13" w:name="OLE_LINK50"/>
      <w:r>
        <w:rPr>
          <w:rFonts w:hint="eastAsia"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未被“信用中国”网站（www.creditchina.gov.cn）列入失信被执行人、重大税收违法案件当事人名单、政府采购严重失信行为记录名单。</w:t>
      </w:r>
      <w:bookmarkStart w:id="14" w:name="OLE_LINK51"/>
      <w:r>
        <w:rPr>
          <w:rFonts w:hint="eastAsia" w:ascii="宋体" w:hAnsi="宋体" w:eastAsia="宋体" w:cs="宋体"/>
          <w:color w:val="000000"/>
          <w:sz w:val="21"/>
          <w:szCs w:val="21"/>
          <w:highlight w:val="none"/>
          <w:lang w:eastAsia="zh-CN"/>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bookmarkEnd w:id="13"/>
      <w:r/>
      <w:bookmarkEnd w:id="14"/>
      <w:r>
        <w:rPr>
          <w:rFonts w:hint="eastAsia" w:ascii="宋体" w:hAnsi="宋体" w:eastAsia="宋体" w:cs="宋体"/>
          <w:color w:val="000000"/>
          <w:sz w:val="21"/>
          <w:szCs w:val="21"/>
          <w:highlight w:val="none"/>
        </w:rPr>
        <w:t xml:space="preserve">（四）拒绝下述供应商参加本次采购活动：</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3.法人的分支机构不得参加投标（除银行、保险、石油石化、电力、电信等行业特殊情况外）</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65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时间：自招标文件公告发布之日起5个工作日</w:t>
      </w:r>
      <w:r>
        <w:rPr>
          <w:rFonts w:hint="eastAsia" w:ascii="宋体" w:hAnsi="宋体" w:eastAsia="宋体" w:cs="宋体"/>
          <w:color w:val="000000"/>
          <w:sz w:val="21"/>
          <w:szCs w:val="21"/>
          <w:highlight w:val="none"/>
        </w:rPr>
      </w:r>
      <w:r/>
    </w:p>
    <w:p>
      <w:pPr>
        <w:pStyle w:val="65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地点：“苏采云”系统 （网址：http://jszfcg.jsczt.cn/）</w:t>
      </w:r>
      <w:r>
        <w:rPr>
          <w:rFonts w:hint="eastAsia" w:ascii="宋体" w:hAnsi="宋体" w:eastAsia="宋体" w:cs="宋体"/>
          <w:color w:val="000000"/>
          <w:sz w:val="21"/>
          <w:szCs w:val="21"/>
          <w:highlight w:val="none"/>
        </w:rPr>
      </w:r>
      <w:r/>
    </w:p>
    <w:p>
      <w:pPr>
        <w:pStyle w:val="65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方式：自行下载（网址：http://jszfcg.jsczt.cn/）</w:t>
      </w:r>
      <w:r>
        <w:rPr>
          <w:rFonts w:hint="eastAsia" w:ascii="宋体" w:hAnsi="宋体" w:eastAsia="宋体" w:cs="宋体"/>
          <w:color w:val="000000"/>
          <w:sz w:val="21"/>
          <w:szCs w:val="21"/>
          <w:highlight w:val="none"/>
        </w:rPr>
      </w:r>
      <w:r/>
    </w:p>
    <w:p>
      <w:pPr>
        <w:pStyle w:val="65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售价：0.00元</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四、响应文件提交 </w:t>
      </w:r>
      <w:r>
        <w:rPr>
          <w:rFonts w:hint="eastAsia" w:ascii="宋体" w:hAnsi="宋体" w:eastAsia="宋体" w:cs="宋体"/>
          <w:b/>
          <w:bCs/>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截止时间：</w:t>
      </w:r>
      <w:r>
        <w:rPr>
          <w:rFonts w:hint="eastAsia" w:ascii="宋体" w:hAnsi="宋体" w:eastAsia="宋体" w:cs="宋体"/>
          <w:color w:val="0000ff"/>
          <w:sz w:val="21"/>
          <w:szCs w:val="21"/>
          <w:highlight w:val="none"/>
        </w:rPr>
        <w:t xml:space="preserve">2026年</w:t>
      </w:r>
      <w:r>
        <w:rPr>
          <w:rFonts w:hint="eastAsia" w:hAnsi="宋体" w:eastAsia="宋体" w:cs="宋体"/>
          <w:color w:val="0000ff"/>
          <w:sz w:val="21"/>
          <w:szCs w:val="21"/>
          <w:highlight w:val="none"/>
          <w:lang w:val="en-US" w:eastAsia="zh-CN"/>
        </w:rPr>
        <w:t xml:space="preserve">10</w:t>
      </w:r>
      <w:r>
        <w:rPr>
          <w:rFonts w:hint="eastAsia" w:ascii="宋体" w:hAnsi="宋体" w:eastAsia="宋体" w:cs="宋体"/>
          <w:color w:val="0000ff"/>
          <w:sz w:val="21"/>
          <w:szCs w:val="21"/>
          <w:highlight w:val="none"/>
        </w:rPr>
        <w:t xml:space="preserve">月21</w:t>
      </w:r>
      <w:r>
        <w:rPr>
          <w:rFonts w:hint="eastAsia" w:ascii="宋体" w:hAnsi="宋体" w:eastAsia="宋体" w:cs="宋体"/>
          <w:color w:val="0000ff"/>
          <w:sz w:val="21"/>
          <w:szCs w:val="21"/>
          <w:highlight w:val="none"/>
        </w:rPr>
        <w:t xml:space="preserve">日</w:t>
      </w:r>
      <w:r>
        <w:rPr>
          <w:rFonts w:hint="eastAsia" w:ascii="宋体" w:hAnsi="宋体" w:eastAsia="宋体" w:cs="宋体"/>
          <w:color w:val="0000ff"/>
          <w:sz w:val="21"/>
          <w:szCs w:val="21"/>
          <w:highlight w:val="none"/>
          <w:lang w:val="en-US" w:eastAsia="zh-CN"/>
        </w:rPr>
        <w:t xml:space="preserve">13</w:t>
      </w:r>
      <w:r>
        <w:rPr>
          <w:rFonts w:hint="eastAsia" w:ascii="宋体" w:hAnsi="宋体" w:eastAsia="宋体" w:cs="宋体"/>
          <w:color w:val="0000ff"/>
          <w:sz w:val="21"/>
          <w:szCs w:val="21"/>
          <w:highlight w:val="none"/>
        </w:rPr>
        <w:t xml:space="preserve">时</w:t>
      </w:r>
      <w:r>
        <w:rPr>
          <w:rFonts w:hint="eastAsia" w:hAnsi="宋体" w:eastAsia="宋体" w:cs="宋体"/>
          <w:color w:val="0000ff"/>
          <w:sz w:val="21"/>
          <w:szCs w:val="21"/>
          <w:highlight w:val="none"/>
          <w:lang w:val="en-US" w:eastAsia="zh-CN"/>
        </w:rPr>
        <w:t xml:space="preserve">30</w:t>
      </w:r>
      <w:r>
        <w:rPr>
          <w:rFonts w:hint="eastAsia" w:ascii="宋体" w:hAnsi="宋体" w:eastAsia="宋体" w:cs="宋体"/>
          <w:color w:val="0000ff"/>
          <w:sz w:val="21"/>
          <w:szCs w:val="21"/>
          <w:highlight w:val="none"/>
        </w:rPr>
        <w:t xml:space="preserve">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地点：“苏采云”系统（网址：http://jszfcg.jsczt.cn/）</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r>
        <w:rPr>
          <w:rFonts w:hint="eastAsia" w:ascii="宋体" w:hAnsi="宋体" w:eastAsia="宋体" w:cs="宋体"/>
          <w:b/>
          <w:bCs/>
          <w:color w:val="000000"/>
          <w:sz w:val="21"/>
          <w:szCs w:val="21"/>
          <w:highlight w:val="none"/>
        </w:rPr>
      </w:r>
      <w:r/>
    </w:p>
    <w:p>
      <w:pPr>
        <w:pStyle w:val="659"/>
        <w:ind w:firstLine="48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自本公告发布之日起5个工作日。</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r>
        <w:rPr>
          <w:rFonts w:hint="eastAsia" w:ascii="宋体" w:hAnsi="宋体" w:eastAsia="宋体" w:cs="宋体"/>
          <w:b/>
          <w:bCs/>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本项目采用不见面开标，投标人开标时无需到开标现场进行解密，采取网上开标大厅解密电子投标文件，投标人远程解密要求如下：</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2）投标人登录苏采云系统，点击开标大厅，选择开标项目，完成不见面开标流程。</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3）投标截止时间后根据系统提示解密电子投标文件。</w:t>
      </w:r>
      <w:r>
        <w:rPr>
          <w:rFonts w:hint="eastAsia" w:ascii="宋体" w:hAnsi="宋体" w:eastAsia="宋体" w:cs="宋体"/>
          <w:b/>
          <w:bCs/>
          <w:color w:val="000000"/>
          <w:sz w:val="21"/>
          <w:szCs w:val="21"/>
          <w:highlight w:val="none"/>
        </w:rPr>
        <w:t xml:space="preserve">解密时间为15分钟</w:t>
      </w:r>
      <w:r>
        <w:rPr>
          <w:rFonts w:hint="eastAsia" w:ascii="宋体" w:hAnsi="宋体" w:eastAsia="宋体" w:cs="宋体"/>
          <w:color w:val="000000"/>
          <w:sz w:val="21"/>
          <w:szCs w:val="21"/>
          <w:highlight w:val="none"/>
        </w:rPr>
        <w:t xml:space="preserve">，未在规定时间内完成解密，其投标文件将被拒绝，不参与后续投标流程。</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有关办理CA数字申领及电子签章事项，登录苏州政府采购网，点击页面底部苏采云图标，进入苏采云政府采购一体化平台，下载“新CA办理指南”文件查阅。</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代理服务费：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金额为</w:t>
      </w:r>
      <w:r>
        <w:rPr>
          <w:rFonts w:hint="eastAsia" w:ascii="宋体" w:hAnsi="宋体" w:eastAsia="宋体" w:cs="宋体"/>
          <w:b/>
          <w:bCs/>
          <w:color w:val="000000"/>
          <w:sz w:val="21"/>
          <w:szCs w:val="21"/>
          <w:highlight w:val="none"/>
          <w:lang w:val="en-US" w:eastAsia="zh-CN"/>
        </w:rPr>
        <w:t xml:space="preserve">人民币贰万零伍佰</w:t>
      </w:r>
      <w:r>
        <w:rPr>
          <w:rFonts w:hint="eastAsia" w:ascii="宋体" w:hAnsi="宋体" w:eastAsia="宋体" w:cs="宋体"/>
          <w:b/>
          <w:bCs/>
          <w:color w:val="000000"/>
          <w:sz w:val="21"/>
          <w:szCs w:val="21"/>
          <w:highlight w:val="none"/>
        </w:rPr>
        <w:t xml:space="preserve">元整（</w:t>
      </w:r>
      <w:r>
        <w:rPr>
          <w:rFonts w:hint="eastAsia" w:ascii="宋体" w:hAnsi="宋体" w:eastAsia="宋体" w:cs="宋体"/>
          <w:b/>
          <w:bCs/>
          <w:color w:val="000000"/>
          <w:sz w:val="21"/>
          <w:szCs w:val="21"/>
          <w:highlight w:val="none"/>
          <w:lang w:val="en-US" w:eastAsia="zh-CN"/>
        </w:rPr>
        <w:t xml:space="preserve">20500</w:t>
      </w:r>
      <w:r>
        <w:rPr>
          <w:rFonts w:hint="eastAsia" w:ascii="宋体" w:hAnsi="宋体" w:eastAsia="宋体" w:cs="宋体"/>
          <w:b/>
          <w:bCs/>
          <w:color w:val="000000"/>
          <w:sz w:val="21"/>
          <w:szCs w:val="21"/>
          <w:highlight w:val="none"/>
        </w:rPr>
        <w:t xml:space="preserve">.00元）。</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纸质投标文件份数：1正2副。（中标人在领取中标通知书后需向招标代理机构额外提供与投标所报电子文件一致的纸质投标书）</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有关电子投标制作技术疑问，请咨询苏采云软件公司客服：18261002950、0512-69820854、0519-86722802</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政府采购监督电话：0512-53</w:t>
      </w:r>
      <w:r>
        <w:rPr>
          <w:rFonts w:hint="eastAsia" w:ascii="宋体" w:hAnsi="宋体" w:eastAsia="宋体" w:cs="宋体"/>
          <w:color w:val="000000"/>
          <w:sz w:val="21"/>
          <w:szCs w:val="21"/>
          <w:highlight w:val="none"/>
          <w:lang w:val="en-US" w:eastAsia="zh-CN"/>
        </w:rPr>
        <w:t xml:space="preserve">890318</w:t>
      </w:r>
      <w:r>
        <w:rPr>
          <w:rFonts w:ascii="宋体" w:hAnsi="宋体" w:eastAsia="宋体" w:cs="宋体"/>
          <w:color w:val="000000"/>
          <w:sz w:val="21"/>
          <w:szCs w:val="21"/>
          <w:highlight w:val="none"/>
          <w:lang w:val="en-US" w:eastAsia="zh-CN"/>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本次招标投标保证金：本项目无须缴纳投标保证金。</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政府采购信用融资政策：中标供应商可凭政府采购合同办理融资贷款，详情请见江苏政府采购网“政采贷”专栏。</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eastAsia="宋体" w:cs="宋体"/>
          <w:color w:val="000000"/>
          <w:sz w:val="21"/>
          <w:szCs w:val="21"/>
          <w:highlight w:val="none"/>
        </w:rPr>
      </w:r>
      <w:r/>
    </w:p>
    <w:p>
      <w:pPr>
        <w:pStyle w:val="659"/>
        <w:ind w:firstLine="420"/>
        <w:spacing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七、对本次招标提出询问，请按以下方式联系</w:t>
      </w:r>
      <w:r>
        <w:rPr>
          <w:rFonts w:hint="eastAsia" w:ascii="宋体" w:hAnsi="宋体" w:eastAsia="宋体" w:cs="宋体"/>
          <w:b/>
          <w:bCs/>
          <w:color w:val="000000"/>
          <w:sz w:val="21"/>
          <w:szCs w:val="21"/>
          <w:highlight w:val="none"/>
        </w:rPr>
      </w:r>
      <w:r/>
    </w:p>
    <w:p>
      <w:pPr>
        <w:pStyle w:val="659"/>
        <w:ind w:firstLine="48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采购人信息</w:t>
      </w:r>
      <w:r>
        <w:rPr>
          <w:rFonts w:hint="eastAsia" w:ascii="宋体" w:hAnsi="宋体" w:eastAsia="宋体" w:cs="宋体"/>
          <w:color w:val="000000"/>
          <w:sz w:val="21"/>
          <w:szCs w:val="21"/>
          <w:highlight w:val="none"/>
        </w:rPr>
      </w:r>
      <w:r/>
    </w:p>
    <w:p>
      <w:pPr>
        <w:pStyle w:val="659"/>
        <w:ind w:firstLine="480"/>
        <w:spacing w:line="360" w:lineRule="auto"/>
        <w:shd w:val="clear" w:color="auto" w:fill="ffffff"/>
        <w:widowControl/>
        <w:rPr>
          <w:rFonts w:hint="eastAsia" w:ascii="宋体" w:hAnsi="宋体" w:eastAsia="宋体" w:cs="宋体"/>
          <w:color w:val="000000"/>
          <w:sz w:val="21"/>
          <w:szCs w:val="21"/>
          <w:highlight w:val="none"/>
          <w:lang w:eastAsia="zh-CN"/>
        </w:rPr>
      </w:pPr>
      <w:r/>
      <w:bookmarkStart w:id="15" w:name="_Hlk136250317"/>
      <w:r>
        <w:rPr>
          <w:rFonts w:hint="eastAsia" w:ascii="宋体" w:hAnsi="宋体" w:eastAsia="宋体" w:cs="宋体"/>
          <w:color w:val="000000"/>
          <w:sz w:val="21"/>
          <w:szCs w:val="21"/>
          <w:highlight w:val="none"/>
        </w:rPr>
        <w:t xml:space="preserve">单位名称：</w:t>
      </w:r>
      <w:r>
        <w:rPr>
          <w:rFonts w:hint="eastAsia" w:hAnsi="宋体" w:eastAsia="宋体" w:cs="宋体"/>
          <w:color w:val="000000"/>
          <w:sz w:val="21"/>
          <w:szCs w:val="21"/>
          <w:highlight w:val="none"/>
          <w:lang w:eastAsia="zh-CN"/>
        </w:rPr>
        <w:t xml:space="preserve">太仓市人民政府陆渡街道办事处</w:t>
      </w:r>
      <w:r>
        <w:rPr>
          <w:rFonts w:hint="eastAsia" w:ascii="宋体" w:hAnsi="宋体" w:eastAsia="宋体" w:cs="宋体"/>
          <w:color w:val="000000"/>
          <w:sz w:val="21"/>
          <w:szCs w:val="21"/>
          <w:highlight w:val="none"/>
          <w:lang w:eastAsia="zh-CN"/>
        </w:rPr>
      </w:r>
      <w:r/>
    </w:p>
    <w:p>
      <w:pPr>
        <w:pStyle w:val="659"/>
        <w:ind w:firstLine="48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单位地址：太仓市</w:t>
      </w:r>
      <w:r>
        <w:rPr>
          <w:rFonts w:hint="eastAsia" w:hAnsi="宋体" w:eastAsia="宋体" w:cs="宋体"/>
          <w:color w:val="000000"/>
          <w:sz w:val="21"/>
          <w:szCs w:val="21"/>
          <w:highlight w:val="none"/>
          <w:lang w:val="en-US" w:eastAsia="zh-CN"/>
        </w:rPr>
        <w:t xml:space="preserve">民安路1</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p>
      <w:pPr>
        <w:pStyle w:val="659"/>
        <w:ind w:firstLine="48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hAnsi="宋体" w:eastAsia="宋体" w:cs="宋体"/>
          <w:color w:val="000000"/>
          <w:sz w:val="21"/>
          <w:szCs w:val="21"/>
          <w:highlight w:val="none"/>
          <w:lang w:val="en-US" w:eastAsia="zh-CN"/>
        </w:rPr>
        <w:t xml:space="preserve">周锋</w:t>
      </w:r>
      <w:r>
        <w:rPr>
          <w:rFonts w:hint="eastAsia" w:ascii="宋体" w:hAnsi="宋体" w:eastAsia="宋体" w:cs="宋体"/>
          <w:color w:val="000000"/>
          <w:sz w:val="21"/>
          <w:szCs w:val="21"/>
          <w:highlight w:val="none"/>
          <w:lang w:val="en-US" w:eastAsia="zh-CN"/>
        </w:rPr>
      </w:r>
      <w:r/>
    </w:p>
    <w:p>
      <w:pPr>
        <w:pStyle w:val="659"/>
        <w:ind w:firstLine="48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联系电话：</w:t>
      </w:r>
      <w:r>
        <w:rPr>
          <w:rFonts w:hint="eastAsia" w:hAnsi="宋体" w:eastAsia="宋体" w:cs="宋体"/>
          <w:color w:val="000000"/>
          <w:sz w:val="21"/>
          <w:szCs w:val="21"/>
          <w:highlight w:val="none"/>
          <w:lang w:val="en-US" w:eastAsia="zh-CN"/>
        </w:rPr>
        <w:t xml:space="preserve">0512-53306080</w:t>
      </w:r>
      <w:r>
        <w:rPr>
          <w:rFonts w:ascii="宋体" w:hAnsi="宋体" w:eastAsia="宋体" w:cs="宋体"/>
          <w:color w:val="000000"/>
          <w:sz w:val="21"/>
          <w:szCs w:val="21"/>
          <w:highlight w:val="none"/>
          <w:lang w:val="en-US" w:eastAsia="zh-CN"/>
        </w:rPr>
      </w:r>
      <w:r/>
    </w:p>
    <w:p>
      <w:pPr>
        <w:pStyle w:val="659"/>
        <w:ind w:firstLine="480"/>
        <w:spacing w:line="360" w:lineRule="auto"/>
        <w:widowControl/>
        <w:rPr>
          <w:rFonts w:hint="eastAsia" w:ascii="宋体" w:hAnsi="宋体" w:eastAsia="宋体" w:cs="宋体"/>
          <w:color w:val="000000"/>
          <w:sz w:val="21"/>
          <w:szCs w:val="21"/>
          <w:highlight w:val="none"/>
        </w:rPr>
      </w:pPr>
      <w:r/>
      <w:bookmarkEnd w:id="15"/>
      <w:r>
        <w:rPr>
          <w:rFonts w:hint="eastAsia" w:ascii="宋体" w:hAnsi="宋体" w:eastAsia="宋体" w:cs="宋体"/>
          <w:color w:val="000000"/>
          <w:sz w:val="21"/>
          <w:szCs w:val="21"/>
          <w:highlight w:val="none"/>
        </w:rPr>
        <w:t xml:space="preserve">2</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采购代理机构信息</w:t>
      </w:r>
      <w:r>
        <w:rPr>
          <w:rFonts w:hint="eastAsia" w:ascii="宋体" w:hAnsi="宋体" w:eastAsia="宋体" w:cs="宋体"/>
          <w:color w:val="000000"/>
          <w:sz w:val="21"/>
          <w:szCs w:val="21"/>
          <w:highlight w:val="none"/>
        </w:rPr>
      </w:r>
      <w:r/>
    </w:p>
    <w:p>
      <w:pPr>
        <w:pStyle w:val="659"/>
        <w:ind w:firstLine="480"/>
        <w:spacing w:line="360" w:lineRule="auto"/>
        <w:widowControl/>
        <w:rPr>
          <w:rFonts w:hint="eastAsia" w:ascii="宋体" w:hAnsi="宋体" w:eastAsia="宋体" w:cs="宋体"/>
          <w:color w:val="000000"/>
          <w:sz w:val="21"/>
          <w:szCs w:val="21"/>
          <w:highlight w:val="none"/>
        </w:rPr>
      </w:pPr>
      <w:r/>
      <w:bookmarkEnd w:id="6"/>
      <w:r>
        <w:rPr>
          <w:rFonts w:hint="eastAsia" w:ascii="宋体" w:hAnsi="宋体" w:eastAsia="宋体" w:cs="宋体"/>
          <w:color w:val="000000"/>
          <w:sz w:val="21"/>
          <w:szCs w:val="21"/>
          <w:highlight w:val="none"/>
        </w:rPr>
        <w:t xml:space="preserve">单位名称：苏州时凯项目管理咨询有限公司</w:t>
      </w:r>
      <w:r>
        <w:rPr>
          <w:rFonts w:hint="eastAsia" w:ascii="宋体" w:hAnsi="宋体" w:eastAsia="宋体" w:cs="宋体"/>
          <w:color w:val="000000"/>
          <w:sz w:val="21"/>
          <w:szCs w:val="21"/>
          <w:highlight w:val="none"/>
        </w:rPr>
      </w:r>
      <w:r/>
    </w:p>
    <w:p>
      <w:pPr>
        <w:pStyle w:val="659"/>
        <w:ind w:firstLine="48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单位地址：</w:t>
      </w:r>
      <w:bookmarkStart w:id="16" w:name="OLE_LINK14"/>
      <w:r>
        <w:rPr>
          <w:rFonts w:hint="eastAsia" w:ascii="宋体" w:hAnsi="宋体" w:eastAsia="宋体" w:cs="宋体"/>
          <w:color w:val="000000"/>
          <w:sz w:val="21"/>
          <w:szCs w:val="21"/>
          <w:highlight w:val="none"/>
        </w:rPr>
        <w:t xml:space="preserve">太仓市经济开发区常胜北路68-1号2</w:t>
      </w:r>
      <w:bookmarkEnd w:id="16"/>
      <w:r>
        <w:rPr>
          <w:rFonts w:hint="eastAsia" w:ascii="宋体" w:hAnsi="宋体" w:eastAsia="宋体" w:cs="宋体"/>
          <w:color w:val="000000"/>
          <w:sz w:val="21"/>
          <w:szCs w:val="21"/>
          <w:highlight w:val="none"/>
          <w:lang w:val="en-US" w:eastAsia="zh-CN"/>
        </w:rPr>
        <w:t xml:space="preserve">01室</w:t>
      </w:r>
      <w:r>
        <w:rPr>
          <w:rFonts w:hint="eastAsia" w:ascii="宋体" w:hAnsi="宋体" w:eastAsia="宋体" w:cs="宋体"/>
          <w:color w:val="000000"/>
          <w:sz w:val="21"/>
          <w:szCs w:val="21"/>
          <w:highlight w:val="none"/>
          <w:lang w:val="en-US" w:eastAsia="zh-CN"/>
        </w:rPr>
      </w:r>
      <w:r/>
    </w:p>
    <w:p>
      <w:pPr>
        <w:pStyle w:val="659"/>
        <w:ind w:firstLine="48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联系人：居晓静 </w:t>
      </w:r>
      <w:r>
        <w:rPr>
          <w:rFonts w:hint="eastAsia" w:ascii="宋体" w:hAnsi="宋体" w:eastAsia="宋体" w:cs="宋体"/>
          <w:color w:val="000000"/>
          <w:sz w:val="21"/>
          <w:szCs w:val="21"/>
          <w:highlight w:val="none"/>
        </w:rPr>
      </w:r>
      <w:r/>
    </w:p>
    <w:p>
      <w:pPr>
        <w:pStyle w:val="659"/>
        <w:ind w:firstLine="48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联系电话：0512-53980629</w:t>
      </w:r>
      <w:r>
        <w:rPr>
          <w:rFonts w:hint="eastAsia" w:ascii="宋体" w:hAnsi="宋体" w:eastAsia="宋体" w:cs="宋体"/>
          <w:color w:val="000000"/>
          <w:sz w:val="21"/>
          <w:szCs w:val="21"/>
          <w:highlight w:val="none"/>
        </w:rPr>
      </w:r>
      <w:r/>
    </w:p>
    <w:p>
      <w:pPr>
        <w:pStyle w:val="659"/>
        <w:ind w:firstLine="48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659"/>
        <w:ind w:firstLine="48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项目联系人：居晓静</w:t>
      </w:r>
      <w:r>
        <w:rPr>
          <w:rFonts w:hint="eastAsia" w:ascii="宋体" w:hAnsi="宋体" w:eastAsia="宋体" w:cs="宋体"/>
          <w:color w:val="000000"/>
          <w:sz w:val="21"/>
          <w:szCs w:val="21"/>
          <w:highlight w:val="none"/>
        </w:rPr>
      </w:r>
      <w:r/>
    </w:p>
    <w:p>
      <w:pPr>
        <w:pStyle w:val="659"/>
        <w:ind w:firstLine="48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电话：17625570757</w:t>
      </w:r>
      <w:r>
        <w:rPr>
          <w:rFonts w:hint="eastAsia" w:ascii="宋体" w:hAnsi="宋体" w:eastAsia="宋体" w:cs="宋体"/>
          <w:color w:val="000000"/>
          <w:sz w:val="21"/>
          <w:szCs w:val="21"/>
          <w:highlight w:val="none"/>
        </w:rPr>
      </w:r>
      <w:r/>
    </w:p>
    <w:p>
      <w:pPr>
        <w:pStyle w:val="659"/>
        <w:jc w:val="center"/>
        <w:spacing w:line="360" w:lineRule="auto"/>
        <w:rPr>
          <w:rFonts w:hint="eastAsia" w:ascii="宋体" w:hAnsi="宋体" w:eastAsia="宋体" w:cs="宋体"/>
          <w:b/>
          <w:bCs/>
          <w:color w:val="000000"/>
          <w:sz w:val="36"/>
          <w:szCs w:val="36"/>
          <w:highlight w:val="none"/>
        </w:rPr>
      </w:pPr>
      <w:r/>
      <w:bookmarkEnd w:id="7"/>
      <w:r>
        <w:rPr>
          <w:rFonts w:hint="eastAsia" w:ascii="宋体" w:hAnsi="宋体" w:eastAsia="宋体" w:cs="宋体"/>
          <w:b/>
          <w:bCs/>
          <w:color w:val="000000"/>
          <w:sz w:val="36"/>
          <w:szCs w:val="36"/>
          <w:highlight w:val="none"/>
        </w:rPr>
      </w:r>
      <w:r/>
    </w:p>
    <w:p>
      <w:pPr>
        <w:pStyle w:val="659"/>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color w:val="000000"/>
          <w:highlight w:val="none"/>
        </w:rPr>
      </w:pPr>
      <w:r>
        <w:rPr>
          <w:rFonts w:hint="eastAsia"/>
          <w:color w:val="000000"/>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59"/>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第二章 投标人须知</w:t>
      </w:r>
      <w:r>
        <w:rPr>
          <w:rFonts w:hint="eastAsia" w:ascii="宋体" w:hAnsi="宋体" w:eastAsia="宋体" w:cs="宋体"/>
          <w:b/>
          <w:bCs/>
          <w:color w:val="000000"/>
          <w:sz w:val="36"/>
          <w:szCs w:val="36"/>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一、说明和释义</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1、说明</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1.1 本招标文件仅适用于苏州时凯项目管理咨询有限公司组织的招标活动。</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1.2 本次招标活动及因本次招标产生的合同受中国法律制约和保护。</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1.3 本招标文件的解释权属于苏州时凯项目管理咨询有限公司。</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2、词语释义</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z w:val="21"/>
          <w:highlight w:val="none"/>
        </w:rPr>
        <w:t xml:space="preserve">2.1 </w:t>
      </w:r>
      <w:r>
        <w:rPr>
          <w:rFonts w:hint="eastAsia" w:ascii="宋体" w:hAnsi="宋体" w:eastAsia="宋体" w:cs="宋体"/>
          <w:b w:val="0"/>
          <w:bCs w:val="0"/>
          <w:color w:val="000000"/>
          <w:spacing w:val="-3"/>
          <w:sz w:val="21"/>
          <w:highlight w:val="none"/>
        </w:rPr>
        <w:t xml:space="preserve">采购人：指依法进行政府采购的国家机关、事业单位、团体组织。</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2.2 供应商：指向采购人提供货物、工程或服务的法人、其他组织或者自然人。</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2.3 投标人：指参加政府采购货物服务投标活动的供应商。</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2.4 采购代理机构：指依法接受采购人委托，从事货物、工程和服务等政府采购招标代理业务的社会中介机构。</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2.5 招标采购单位：采购人及采购代理机构的统称。</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2.6 评标委员会：是指在招标投标和政府采购活动中，依法由采购人代表和有关技术、经济等方面的专家组建，负责对投标文件进行评审并提出评审意见的临时性权威机构。</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2.7 响应：投标人根据采购人或采购代理机构发售的招标文件，编制投标文件并按规定投标的行为。</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2.8 知识产权：指专利权、商标权、著作权等无形财产专有权的统称。</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2.9 天：日历日。</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2.10 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2.11 合同价款：根据合同规定，乙方在正确地履行合同义务后甲方应支付乙方的价款。</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2.12 货物：系指乙方按招标采购文件规定，应向甲方提供的一切设备、备品、备件、工具、手册及其它有关技术资料和材料。</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2.13 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2.15 交货地点：合同中明确约定的乙方提交的货物最终地点。</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2.16 不可抗力：不能预见、不能避免并且不能克服的客观情况。</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2.18 实质性响应：满足有关本次采购标的、数量、质量、价款或者报酬、履行期限、履行地点和方式、违约责任和解决争议方法等要求。</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2.19 进口产品：通过中国海关报关验放进入中国境内且产自关境外的产品。</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2.20 书面形式：指书面文字、合同书、信件和传真等可有形地表现所载内容的形式。</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二、投标人</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3、合格投标人的范围</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z w:val="21"/>
          <w:highlight w:val="none"/>
        </w:rPr>
        <w:t xml:space="preserve">3.1 </w:t>
      </w:r>
      <w:r>
        <w:rPr>
          <w:rFonts w:hint="eastAsia" w:ascii="宋体" w:hAnsi="宋体" w:eastAsia="宋体" w:cs="宋体"/>
          <w:b w:val="0"/>
          <w:bCs w:val="0"/>
          <w:color w:val="000000"/>
          <w:spacing w:val="-3"/>
          <w:sz w:val="21"/>
          <w:highlight w:val="none"/>
        </w:rPr>
        <w:t xml:space="preserve">符合《中华人民共和国政府采购法》第二十二条第一款之规定。</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b w:val="0"/>
          <w:bCs w:val="0"/>
          <w:color w:val="000000"/>
          <w:spacing w:val="-3"/>
          <w:sz w:val="21"/>
          <w:highlight w:val="none"/>
        </w:rPr>
      </w:pPr>
      <w:r>
        <w:rPr>
          <w:rFonts w:hint="eastAsia" w:ascii="宋体" w:hAnsi="宋体" w:eastAsia="宋体" w:cs="宋体"/>
          <w:b w:val="0"/>
          <w:bCs w:val="0"/>
          <w:color w:val="000000"/>
          <w:spacing w:val="-3"/>
          <w:sz w:val="21"/>
          <w:highlight w:val="none"/>
        </w:rPr>
        <w:t xml:space="preserve">3.2 满足本文件实质性条款的规定。</w:t>
      </w:r>
      <w:r>
        <w:rPr>
          <w:rFonts w:hint="eastAsia" w:ascii="宋体" w:hAnsi="宋体" w:eastAsia="宋体" w:cs="宋体"/>
          <w:b w:val="0"/>
          <w:bCs w:val="0"/>
          <w:color w:val="000000"/>
          <w:spacing w:val="-3"/>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4、合格投标人的特定条件</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4.1 </w:t>
      </w:r>
      <w:r>
        <w:rPr>
          <w:rFonts w:hint="eastAsia" w:ascii="宋体" w:hAnsi="宋体" w:eastAsia="宋体" w:cs="宋体"/>
          <w:b w:val="0"/>
          <w:bCs w:val="0"/>
          <w:color w:val="000000"/>
          <w:spacing w:val="-3"/>
          <w:sz w:val="21"/>
          <w:highlight w:val="none"/>
        </w:rPr>
        <w:t xml:space="preserve">详见招标公告规定。</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5、投标委托</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5.1 指全权代表投标人参加投标活动并签署投标文件的人，如果投标人代表不是法定代表人代表， 须持有《法定代表人代表授权委托书》（详见统一格式）。</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6、投标费用</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6.1 无论投标过程的做法和结果如何,投标人自行承担所有与参加投标有关的全部费用。</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7、联合投标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7.1 本项目不接受联合投标。</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三、招标文件的说明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8、招标文件</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8.2 招标文件及其更正文件不是直接从采购代理机构或指定媒体获得的，采购代理机构对招标文件及其补遗的真实性、完整性不承担任何责任。 </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9、现场踏勘</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9.1 招标人不组织现场踏勘，投标人可以对有关现场踏勘和周围环境进行考察，以获取编制投标文件和签署合同所需的信息，考察现场所发生的费用由投标人自己承担。</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10. 招标文件的澄清</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10.1 投标人在获取招标文件后，若有疑问，应于投标截止时间之前，向采购代理机构提出，采购代理机构将予以解答。</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10.2 如有必要，问题答复将以“变更公告”形式由采购代理机构按照本须知第 10 条的规定发出。 </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11.招标文件的修改</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11.2 迟于规定的询问和提交的疑问，采购人和采购代理机构有权拒绝回答，也不承担由此带来的对投标人投标结果的影响。</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11.3 在投标截止时间 15 日前，招标采购单位无论出于自己的考虑，还是出于对投标人提问的澄清，均可对已发出的招标文件进行必要澄清或者修改。</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11.4 为使投标人有足够的时间按招标文件的修改要求考虑修正投标文件，或出于其他原因，招标采购单位有权推迟投标截止日期和开标日期，将此变更通知所有招标文件的收受人。</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11.5 招标文件的更正（含澄清、修改等）内容与原招标文件在同一内容上表述不一致时，以发出日期最接近开标时间的公告为准。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11.6 招标文件的更正（含澄清、修改等）内容将在财政部门指定的政府采购信息发布媒体上发布，作为招标文件的组成部分，对投标人起约束作用。</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11.7 </w:t>
      </w:r>
      <w:r>
        <w:rPr>
          <w:rFonts w:hint="eastAsia" w:ascii="宋体" w:hAnsi="宋体" w:eastAsia="宋体" w:cs="宋体"/>
          <w:color w:val="000000"/>
          <w:sz w:val="21"/>
          <w:highlight w:val="none"/>
        </w:rPr>
        <w:t xml:space="preserve">招标文件若有最新的答疑文件，投标供应商必须下载并使用该文件制作新的电子投标文件，否则将无法完成电子投标文件的上传及投标。</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四、投标文件说明</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12、提示与要求</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12.1 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12.2 无论是否递交投标文件，投标人都应将招标文件及以后的所有通知、文件等视为保密文件。</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13、投标文件计量单位和使用文字</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13.1 投标文件中所使用的计量单位，除招标文件中有特殊要求外，均应使用中华人民共和国法定计量单位。</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14、知识产权</w:t>
      </w:r>
      <w:r>
        <w:rPr>
          <w:rFonts w:hint="eastAsia" w:ascii="宋体" w:hAnsi="宋体" w:eastAsia="宋体" w:cs="宋体"/>
          <w:color w:val="000000"/>
          <w:sz w:val="21"/>
          <w:highlight w:val="none"/>
        </w:rPr>
      </w:r>
      <w:r/>
    </w:p>
    <w:p>
      <w:pPr>
        <w:pStyle w:val="684"/>
        <w:ind w:left="0" w:firstLine="72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14.1</w:t>
      </w:r>
      <w:r>
        <w:rPr>
          <w:rFonts w:hint="eastAsia" w:ascii="宋体" w:hAnsi="宋体" w:eastAsia="宋体" w:cs="宋体"/>
          <w:color w:val="000000"/>
          <w:spacing w:val="-6"/>
          <w:sz w:val="21"/>
          <w:highlight w:val="none"/>
        </w:rPr>
        <w:t xml:space="preserve"> 投标人应保证在本项目使用的任何产品</w:t>
      </w:r>
      <w:r>
        <w:rPr>
          <w:rFonts w:hint="eastAsia" w:ascii="宋体" w:hAnsi="宋体" w:eastAsia="宋体" w:cs="宋体"/>
          <w:color w:val="000000"/>
          <w:spacing w:val="-3"/>
          <w:sz w:val="21"/>
          <w:highlight w:val="none"/>
        </w:rPr>
        <w:t xml:space="preserve">（包括部分使用</w:t>
      </w:r>
      <w:r>
        <w:rPr>
          <w:rFonts w:hint="eastAsia" w:ascii="宋体" w:hAnsi="宋体" w:eastAsia="宋体" w:cs="宋体"/>
          <w:color w:val="000000"/>
          <w:spacing w:val="-12"/>
          <w:sz w:val="21"/>
          <w:highlight w:val="none"/>
        </w:rPr>
        <w:t xml:space="preserve">）</w:t>
      </w:r>
      <w:r>
        <w:rPr>
          <w:rFonts w:hint="eastAsia" w:ascii="宋体" w:hAnsi="宋体" w:eastAsia="宋体" w:cs="宋体"/>
          <w:color w:val="000000"/>
          <w:spacing w:val="-4"/>
          <w:sz w:val="21"/>
          <w:highlight w:val="none"/>
        </w:rPr>
        <w:t xml:space="preserve">时，不会产生因第三方提出侵犯其专利权、商标权或其它知识产权而引起的法律和经济纠纷，如因专利权、商标权或其它知识产权而引</w:t>
      </w:r>
      <w:r>
        <w:rPr>
          <w:rFonts w:hint="eastAsia" w:ascii="宋体" w:hAnsi="宋体" w:eastAsia="宋体" w:cs="宋体"/>
          <w:color w:val="000000"/>
          <w:spacing w:val="-3"/>
          <w:sz w:val="21"/>
          <w:highlight w:val="none"/>
        </w:rPr>
        <w:t xml:space="preserve">起法</w:t>
      </w:r>
      <w:r>
        <w:rPr>
          <w:rFonts w:hint="eastAsia" w:ascii="宋体" w:hAnsi="宋体" w:eastAsia="宋体" w:cs="宋体"/>
          <w:color w:val="000000"/>
          <w:sz w:val="21"/>
          <w:highlight w:val="none"/>
        </w:rPr>
        <w:t xml:space="preserve">律和经济纠纷，由投标人承担所有相关责任。</w:t>
      </w:r>
      <w:r>
        <w:rPr>
          <w:rFonts w:hint="eastAsia" w:ascii="宋体" w:hAnsi="宋体" w:eastAsia="宋体" w:cs="宋体"/>
          <w:color w:val="000000"/>
          <w:sz w:val="21"/>
          <w:highlight w:val="none"/>
        </w:rPr>
      </w:r>
      <w:r/>
    </w:p>
    <w:p>
      <w:pPr>
        <w:pStyle w:val="684"/>
        <w:jc w:val="both"/>
        <w:spacing w:before="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15、投标文件的组成</w:t>
      </w:r>
      <w:r>
        <w:rPr>
          <w:rFonts w:hint="eastAsia" w:ascii="宋体" w:hAnsi="宋体" w:eastAsia="宋体" w:cs="宋体"/>
          <w:b/>
          <w:bCs/>
          <w:color w:val="000000"/>
          <w:sz w:val="21"/>
          <w:highlight w:val="none"/>
        </w:rPr>
      </w:r>
      <w:r/>
    </w:p>
    <w:p>
      <w:pPr>
        <w:pStyle w:val="684"/>
        <w:jc w:val="both"/>
        <w:spacing w:before="0" w:line="360" w:lineRule="auto"/>
        <w:rPr>
          <w:rFonts w:hint="eastAsia"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15.1</w:t>
      </w:r>
      <w:r>
        <w:rPr>
          <w:rFonts w:hint="eastAsia" w:ascii="宋体" w:hAnsi="宋体" w:eastAsia="宋体" w:cs="宋体"/>
          <w:b/>
          <w:bCs/>
          <w:color w:val="000000"/>
          <w:sz w:val="21"/>
          <w:highlight w:val="none"/>
          <w:lang w:val="en-US" w:eastAsia="zh-CN"/>
        </w:rPr>
        <w:t xml:space="preserve"> </w:t>
      </w:r>
      <w:r>
        <w:rPr>
          <w:rFonts w:hint="eastAsia" w:ascii="宋体" w:hAnsi="宋体" w:eastAsia="宋体" w:cs="宋体"/>
          <w:b/>
          <w:bCs/>
          <w:color w:val="000000"/>
          <w:sz w:val="21"/>
          <w:highlight w:val="none"/>
          <w:lang w:eastAsia="zh-CN"/>
        </w:rPr>
        <w:t xml:space="preserve">报价部分（详见投标文件格式）：</w:t>
      </w:r>
      <w:r>
        <w:rPr>
          <w:rFonts w:hint="eastAsia" w:ascii="宋体" w:hAnsi="宋体" w:eastAsia="宋体" w:cs="宋体"/>
          <w:b/>
          <w:bCs/>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15.1.</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lang w:eastAsia="zh-CN"/>
        </w:rPr>
        <w:t xml:space="preserve">《开标一览表》(统一格式)；</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15.1.</w:t>
      </w: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lang w:eastAsia="zh-CN"/>
        </w:rPr>
        <w:t xml:space="preserve">公开分项报价表；</w:t>
      </w:r>
      <w:r>
        <w:rPr>
          <w:rFonts w:hint="eastAsia" w:ascii="宋体" w:hAnsi="宋体" w:eastAsia="宋体" w:cs="宋体"/>
          <w:color w:val="000000"/>
          <w:sz w:val="21"/>
          <w:highlight w:val="none"/>
          <w:lang w:eastAsia="zh-CN"/>
        </w:rPr>
      </w:r>
      <w:r/>
    </w:p>
    <w:p>
      <w:pPr>
        <w:pStyle w:val="684"/>
        <w:jc w:val="both"/>
        <w:spacing w:before="0" w:line="360" w:lineRule="auto"/>
        <w:rPr>
          <w:rFonts w:hint="eastAsia"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15.2 投标正文部分（包含资质证明和技术部分）</w:t>
      </w:r>
      <w:r>
        <w:rPr>
          <w:rFonts w:hint="eastAsia" w:ascii="宋体" w:hAnsi="宋体" w:eastAsia="宋体" w:cs="宋体"/>
          <w:b/>
          <w:bCs/>
          <w:color w:val="000000"/>
          <w:sz w:val="21"/>
          <w:highlight w:val="none"/>
          <w:lang w:eastAsia="zh-CN"/>
        </w:rPr>
      </w:r>
      <w:r/>
    </w:p>
    <w:p>
      <w:pPr>
        <w:pStyle w:val="684"/>
        <w:jc w:val="both"/>
        <w:spacing w:before="0" w:line="360" w:lineRule="auto"/>
        <w:rPr>
          <w:rFonts w:hint="eastAsia"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15.2.1资质证明文件部分</w:t>
      </w:r>
      <w:r>
        <w:rPr>
          <w:rFonts w:hint="eastAsia" w:ascii="宋体" w:hAnsi="宋体" w:eastAsia="宋体" w:cs="宋体"/>
          <w:b/>
          <w:bCs/>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15.2.1.1关于资格文件的声明函（详见投标文件格式）；</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15.2.1.2投标承诺函（详见投标文件格式）；</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15.2.1.3投标人基本情况表（详见投标文件格式）；</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15.2.1.4投标人法定代表人身份证复印件；</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15.2.1.5投标人法定代表人授权委托书原件（如有授权）（详见投标文件格式）</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15.2.1.6投标人授权代理人身份证复印件（如有授权）</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15.2.1.7投标单位营业执照副本或三证合一营业执照复印件；</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15.2.1.8投标人参加本次政府采购活动前的财务状况报告或者银行出具的资信证明；</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15.2.1.9投标人根据项目需求提供履行合同所必需的设备和专业技术能力的证明材料；</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15.2.1.10投标人参加本次政府采购活动前半年（至少一个月）依法缴纳税收和社会保障资金的证明材料；</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15.2.1.11投标人参加政府采购活动前三年在经营活动中没有重大违法记录的书面申明（详见投标文件格式）；</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15.2.1.12投标人证明其符合招标文件规定的投标人特定资格条件的证书、证明和文件材料；（如有）</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15.2.1.13中小企业声明函</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15.2.1.14残疾人福利性单位声明函（如有）；</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15.2.1.15监狱企业证明文件（如有）</w:t>
      </w:r>
      <w:r>
        <w:rPr>
          <w:rFonts w:hint="eastAsia" w:ascii="宋体" w:hAnsi="宋体" w:eastAsia="宋体" w:cs="宋体"/>
          <w:color w:val="000000"/>
          <w:sz w:val="21"/>
          <w:highlight w:val="none"/>
          <w:lang w:eastAsia="zh-CN"/>
        </w:rPr>
      </w:r>
      <w:r/>
    </w:p>
    <w:p>
      <w:pPr>
        <w:pStyle w:val="684"/>
        <w:jc w:val="both"/>
        <w:spacing w:before="0" w:line="360" w:lineRule="auto"/>
        <w:rPr>
          <w:rFonts w:hint="eastAsia"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15.2.2</w:t>
      </w:r>
      <w:r>
        <w:rPr>
          <w:rFonts w:hint="eastAsia" w:ascii="宋体" w:hAnsi="宋体" w:eastAsia="宋体" w:cs="宋体"/>
          <w:b/>
          <w:bCs/>
          <w:color w:val="000000"/>
          <w:sz w:val="21"/>
          <w:highlight w:val="none"/>
          <w:lang w:val="en-US" w:eastAsia="zh-CN"/>
        </w:rPr>
        <w:t xml:space="preserve"> </w:t>
      </w:r>
      <w:r>
        <w:rPr>
          <w:rFonts w:hint="eastAsia" w:ascii="宋体" w:hAnsi="宋体" w:eastAsia="宋体" w:cs="宋体"/>
          <w:b/>
          <w:bCs/>
          <w:color w:val="000000"/>
          <w:sz w:val="21"/>
          <w:highlight w:val="none"/>
          <w:lang w:eastAsia="zh-CN"/>
        </w:rPr>
        <w:t xml:space="preserve">技术部分</w:t>
      </w:r>
      <w:r>
        <w:rPr>
          <w:rFonts w:hint="eastAsia" w:ascii="宋体" w:hAnsi="宋体" w:eastAsia="宋体" w:cs="宋体"/>
          <w:b/>
          <w:bCs/>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15.2.2.1服务要求偏离表（详见投标文件格式）；</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15.2.2.2商务要求偏离表（详见投标文件格式）；</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15.2.2.3项目的技术及服务方案；</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15.2.2.4项目实施方案和进度方案；</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15.2.2.5质量保证措施和承诺；</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15.2.2.6售后服务内容；</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15.2.2.7企业类似业绩一览表</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15.2.2.8投入本项目技术（服务）人员一览表及相关证明材料；</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15.2.2.9其他投标人认为需要提供的材料；</w:t>
      </w:r>
      <w:r>
        <w:rPr>
          <w:rFonts w:hint="eastAsia" w:ascii="宋体" w:hAnsi="宋体" w:eastAsia="宋体" w:cs="宋体"/>
          <w:color w:val="000000"/>
          <w:sz w:val="21"/>
          <w:highlight w:val="none"/>
          <w:lang w:eastAsia="zh-CN"/>
        </w:rPr>
      </w:r>
      <w:r/>
    </w:p>
    <w:p>
      <w:pPr>
        <w:pStyle w:val="684"/>
        <w:ind w:left="0" w:firstLine="720"/>
        <w:jc w:val="both"/>
        <w:spacing w:before="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eastAsia="宋体" w:cs="宋体"/>
          <w:color w:val="000000"/>
          <w:sz w:val="21"/>
          <w:highlight w:val="none"/>
          <w:lang w:eastAsia="zh-CN"/>
        </w:rPr>
      </w:r>
      <w:r/>
    </w:p>
    <w:p>
      <w:pPr>
        <w:pStyle w:val="684"/>
        <w:jc w:val="both"/>
        <w:spacing w:before="0" w:line="360" w:lineRule="auto"/>
        <w:rPr>
          <w:rFonts w:hint="eastAsia"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15.3</w:t>
      </w:r>
      <w:r>
        <w:rPr>
          <w:rFonts w:hint="eastAsia" w:ascii="宋体" w:hAnsi="宋体" w:eastAsia="宋体" w:cs="宋体"/>
          <w:b/>
          <w:bCs/>
          <w:color w:val="000000"/>
          <w:sz w:val="21"/>
          <w:highlight w:val="none"/>
          <w:lang w:val="en-US" w:eastAsia="zh-CN"/>
        </w:rPr>
        <w:t xml:space="preserve"> </w:t>
      </w:r>
      <w:r>
        <w:rPr>
          <w:rFonts w:hint="eastAsia" w:ascii="宋体" w:hAnsi="宋体" w:eastAsia="宋体" w:cs="宋体"/>
          <w:b/>
          <w:bCs/>
          <w:color w:val="000000"/>
          <w:sz w:val="21"/>
          <w:highlight w:val="none"/>
          <w:lang w:eastAsia="zh-CN"/>
        </w:rPr>
        <w:t xml:space="preserve">投标文件由15.1、15.2款规定的内容共同组成。</w:t>
      </w:r>
      <w:r>
        <w:rPr>
          <w:rFonts w:hint="eastAsia" w:ascii="宋体" w:hAnsi="宋体" w:eastAsia="宋体" w:cs="宋体"/>
          <w:b/>
          <w:bCs/>
          <w:color w:val="000000"/>
          <w:sz w:val="21"/>
          <w:highlight w:val="none"/>
          <w:lang w:eastAsia="zh-CN"/>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16、投标文件编制要求</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16.1 电子投标文件编制要求：投标人应使用</w:t>
      </w:r>
      <w:r>
        <w:rPr>
          <w:rFonts w:hint="eastAsia" w:ascii="宋体" w:hAnsi="宋体" w:eastAsia="宋体" w:cs="宋体"/>
          <w:color w:val="000000"/>
          <w:sz w:val="21"/>
          <w:highlight w:val="none"/>
        </w:rPr>
        <w:t xml:space="preserve">招标文件要求的投标文件制作软件制作电子投标文件</w:t>
      </w:r>
      <w:r>
        <w:rPr>
          <w:rFonts w:hint="eastAsia" w:ascii="宋体" w:hAnsi="宋体" w:eastAsia="宋体" w:cs="宋体"/>
          <w:b w:val="0"/>
          <w:bCs w:val="0"/>
          <w:color w:val="000000"/>
          <w:sz w:val="21"/>
          <w:highlight w:val="none"/>
        </w:rPr>
        <w:t xml:space="preserve">，电子投标文件按招标文件规定的格式制作，如果未按要求制作上传，可能导致投标无效。</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17、投标报价（编制）要求的说明</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17.1 除非合同中另有规定，投标人对《开标一览表》中的全部货物和服务的报价应包括但不限于包括但不限于设备费、人工费、材料费、机械费、运输费、安装费、调试费、专利技术费、培训费、管理费、利润、税金、政策性文件规定及合同包含的所有风险、责任等一切费用，采购人不再支付其他任何费用。</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17.3 一项投标内容只允许一个报价，招标采购单位不接受任何有选择性的投标报价。</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17.4 投标文件报价中的单价和总价全部采用人民币表示，除非合同的特殊条款另有规定。</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17.5 最低的投标报价或最高的折扣比例是中标的重要条件，但不是中标的唯一条件。</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18、投标保证金</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本项目无须缴纳投标保证金。</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19、投标文件的有效期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19.1 在本招标文件规定的开标之日起90天内，投标人所提交的投标文件应保持有效。有效期短于这个规定期限的投标文件，将被认定为未实质性响应招标文件要求。</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000000"/>
          <w:sz w:val="21"/>
          <w:highlight w:val="none"/>
        </w:rPr>
        <w:t xml:space="preserve">同意延长有效期的投标人不能修改投标文件。拒绝接受延期要求的投标人的投标将被拒绝。</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五、投标文件的递交、撤回和修改</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20、投标文件的上传、提交</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20.1 投标人应将制作好的加密电子投标文件按要求在投标截止时间前上传到交易系统平台中。</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21、投标截止时间</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21.1 电子投标文件必须按招标公告中规定的网上投标截止时间前提交，否则投标无效。</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21.2 采购代理机构推迟投标截止时间时，应以更正公告的形式，通知所有投标人。在这种情况下，采购代理机构和投标人的权利和义务将受到新的截止期的约束。</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21.3 在投标截止时间止采购代理机构收到的电子投标文件少于三份的，采购代理机构有权宣布本次招标失败。</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22、投标文件的修改和撤回</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22.1 投标人在提交投标文件截止时间前，可对其投标文件进行撤回或修改。</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22.2 开标后投标人不得撤回投标。</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六、开标和评标</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23、开标</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23.1 采购代理机构按采购公告规定的时间、地点主持不见面开标活动。开标仪式由采购代理机构主持。</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23.2</w:t>
      </w:r>
      <w:r>
        <w:rPr>
          <w:rFonts w:hint="eastAsia" w:ascii="宋体" w:hAnsi="宋体" w:eastAsia="宋体" w:cs="宋体"/>
          <w:color w:val="000000"/>
          <w:sz w:val="21"/>
          <w:highlight w:val="none"/>
        </w:rPr>
        <w:t xml:space="preserve"> 参加开标的投标法定代表人或授权代理人须在项目开标前登录苏采云不见面开标系统，进入网上不见面开标大厅，做好相关准备工作。</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23.3 </w:t>
      </w:r>
      <w:r>
        <w:rPr>
          <w:rFonts w:hint="eastAsia" w:ascii="宋体" w:hAnsi="宋体" w:eastAsia="宋体" w:cs="宋体"/>
          <w:color w:val="000000"/>
          <w:sz w:val="21"/>
          <w:highlight w:val="none"/>
        </w:rPr>
        <w:t xml:space="preserve">本项目开标后在规定的解密时间内，投标人须自行登录网上开标大厅解密投标文件，解密时间为 15 分钟，因自身原因导致解密失败的，由投标人自行承担相关责任。</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23.4 采购代理机构在开标仪式上，将公布投标人的名称、投标价格，并将作唱标记录。</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000000"/>
          <w:sz w:val="21"/>
          <w:highlight w:val="none"/>
        </w:rPr>
        <w:t xml:space="preserve">应通过不见面开标大厅</w:t>
      </w:r>
      <w:r>
        <w:rPr>
          <w:rFonts w:hint="eastAsia" w:ascii="宋体" w:hAnsi="宋体" w:eastAsia="宋体" w:cs="宋体"/>
          <w:b w:val="0"/>
          <w:bCs w:val="0"/>
          <w:color w:val="000000"/>
          <w:sz w:val="21"/>
          <w:highlight w:val="none"/>
        </w:rPr>
        <w:t xml:space="preserve">提出询问或者回避申请。采购人、采购代理机构对投标人代表提出的询问或者回避申请应当及时处理。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24、评标委员会</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24.1 评标委员会由招标采购单位依法组建，负责本项目的评标事务。</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24.2 评标委员会独立履行下列职责：</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24.2.1 审查投标文件是否符合招标文件的要求，并作评价；</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24.2.2 可要求投标供应商对投标文件有关事项作解释或澄清；</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24.2.3 评标委员会负责本次招标的评标活动，向招标人推荐中标供应商；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24.2.4 向招标采购单位或者有关部门报告非法干预评标工作的行为。</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24.3 评标委员会成员应当履行下列义务：</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24.3.1 遵纪守法，客观、公正、廉洁地履行职责；</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24.3.2 按照招标文件规定的评标办法和评标标准进行评标，对评审意见承担个人责任；</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24.3.3 对评标过程和结果，以及投标人的商业秘密保密；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24.3.4 参与评标报告的起草；</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24.3.5 配合相关部门的投诉处理工作；</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24.3.6 配合招标采购单位答复投标供应商提出的质疑。</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25、评标内容的保密</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25.1 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25.2 在投标文件的审查、澄清、评价和比较以及授予合同的过程中，投标人对招标采购单位和评标委员会成员施加影响的任何行为，都将取消其投标资格。</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25.3 在评标期间，招标采购单位将通过指定联络人与投标人进行联系。</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26、对投标文件初审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26.1 投标文件初审分为资格性检查和符合性检查。</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26.1.1 资格性检查。依据法律法规和招标文件的规定，</w:t>
      </w:r>
      <w:r>
        <w:rPr>
          <w:rFonts w:hint="eastAsia" w:ascii="宋体" w:hAnsi="宋体" w:eastAsia="宋体" w:cs="宋体"/>
          <w:color w:val="000000"/>
          <w:sz w:val="21"/>
          <w:highlight w:val="none"/>
        </w:rPr>
        <w:t xml:space="preserve">对投标文件中的资格证明相关资料进行审查，以确定投标供应商是否具备投标资格。</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26.1.2 </w:t>
      </w:r>
      <w:r>
        <w:rPr>
          <w:rFonts w:hint="eastAsia" w:ascii="宋体" w:hAnsi="宋体" w:eastAsia="宋体" w:cs="宋体"/>
          <w:color w:val="000000"/>
          <w:sz w:val="21"/>
          <w:highlight w:val="none"/>
        </w:rPr>
        <w:t xml:space="preserve">关于诚信记录查询：</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（2）查询时间：投标文件递交截止时间。</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（3）查询渠道：通过“信用中国”网站、中国政府采购网等渠道查询相关主体信用记录。</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查询证据留存方式：对存在失信信息的供应商，采购人或者采购代理机构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（5）信用记录使用规则：评审小组在对供应商进行资格性审查时，应根据查询结果对供应商的不良信用记录逐项甄别确认。</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26.1.3 符合性检查。依据招标文件的规定，从投标文件的有效性、完整性和对招标文件的响应程度进行审查，以确定是否对招标文件的实质性要求作响应。</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26.2.1 不同投标人的投标文件由同一单位或者个人编制；</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26.2.2 不同投标人委托同一单位或者个人办理投标事宜；</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26.2.3 不同投标人的投标文件载明的项目管理成员或者联系人员为同一人；</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26.2.4 不同投标人的投标文件异常一致或者投标报价呈规律性差异；</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26.2.5 不同投标人的投标文件相互混装。</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26.6 评委会将对确定为实质性响应的投标进行审核，看其是否有计算上或累加上的算术错误，修正错误的原则如下：</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26.6.1 投标文件中开标一览表（报价表）内容与投标文件中相应内容不一致的，以开标一览表（报价表）为准；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26.6.2 大写金额和小写金额不一致的，以大写金额为准；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26.6.3 单价金额小数点或者百分比有明显错位的，以开标一览表的总价为准，并修改单价；</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26.6.4 总价金额与按单价汇总金额不一致的，以单价金额计算结果为准。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同时出现两种以上不一致的，按照前款规定的顺序修正。修正后的报价按照本须知 26.6 条规定经投标人确认后产生约束力，投标人不确认的，其投标无效。</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bCs/>
          <w:color w:val="000000"/>
          <w:sz w:val="21"/>
          <w:highlight w:val="none"/>
        </w:rPr>
        <w:t xml:space="preserve">26.7 </w:t>
      </w:r>
      <w:r>
        <w:rPr>
          <w:rFonts w:hint="eastAsia" w:ascii="宋体" w:hAnsi="宋体" w:eastAsia="宋体" w:cs="宋体"/>
          <w:b w:val="0"/>
          <w:bCs w:val="0"/>
          <w:color w:val="000000"/>
          <w:sz w:val="21"/>
          <w:highlight w:val="none"/>
        </w:rPr>
        <w:t xml:space="preserve">根据（财库〔2026〕2号）关于推动解决政府采购异常低价问题的通知。</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val="0"/>
          <w:bCs w:val="0"/>
          <w:color w:val="000000"/>
          <w:sz w:val="21"/>
          <w:highlight w:val="none"/>
        </w:rPr>
        <w:t xml:space="preserve">2</w:t>
      </w:r>
      <w:r>
        <w:rPr>
          <w:rFonts w:hint="eastAsia" w:hAnsi="宋体" w:eastAsia="宋体" w:cs="宋体"/>
          <w:b w:val="0"/>
          <w:bCs w:val="0"/>
          <w:color w:val="000000"/>
          <w:sz w:val="21"/>
          <w:highlight w:val="none"/>
          <w:lang w:val="en-US" w:eastAsia="zh-CN"/>
        </w:rPr>
        <w:t xml:space="preserve">6</w:t>
      </w:r>
      <w:r>
        <w:rPr>
          <w:rFonts w:hint="eastAsia" w:ascii="宋体" w:hAnsi="宋体" w:eastAsia="宋体" w:cs="宋体"/>
          <w:b w:val="0"/>
          <w:bCs w:val="0"/>
          <w:color w:val="000000"/>
          <w:sz w:val="21"/>
          <w:highlight w:val="none"/>
        </w:rPr>
        <w:t xml:space="preserve">.7.1政府采购评审中出现下列情形之一的，评审委员会应当启动异常低价投标（响应）审查程序：</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val="0"/>
          <w:bCs w:val="0"/>
          <w:color w:val="000000"/>
          <w:sz w:val="21"/>
          <w:highlight w:val="none"/>
        </w:rPr>
        <w:t xml:space="preserve">2</w:t>
      </w:r>
      <w:r>
        <w:rPr>
          <w:rFonts w:hint="eastAsia" w:hAnsi="宋体" w:eastAsia="宋体" w:cs="宋体"/>
          <w:b w:val="0"/>
          <w:bCs w:val="0"/>
          <w:color w:val="000000"/>
          <w:sz w:val="21"/>
          <w:highlight w:val="none"/>
          <w:lang w:val="en-US" w:eastAsia="zh-CN"/>
        </w:rPr>
        <w:t xml:space="preserve">6</w:t>
      </w:r>
      <w:r>
        <w:rPr>
          <w:rFonts w:hint="eastAsia" w:ascii="宋体" w:hAnsi="宋体" w:eastAsia="宋体" w:cs="宋体"/>
          <w:b w:val="0"/>
          <w:bCs w:val="0"/>
          <w:color w:val="000000"/>
          <w:sz w:val="21"/>
          <w:highlight w:val="none"/>
        </w:rPr>
        <w:t xml:space="preserve">.7.1.1投标（响应）报价低于全部通过符合性审查供应商投标（响应）报价平均值50%的，即投标（响应）报价&lt;全部通过符合性审查供应商投标（响应）报价平均值×50%；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val="0"/>
          <w:bCs w:val="0"/>
          <w:color w:val="000000"/>
          <w:sz w:val="21"/>
          <w:highlight w:val="none"/>
        </w:rPr>
        <w:t xml:space="preserve">2</w:t>
      </w:r>
      <w:r>
        <w:rPr>
          <w:rFonts w:hint="eastAsia" w:hAnsi="宋体" w:eastAsia="宋体" w:cs="宋体"/>
          <w:b w:val="0"/>
          <w:bCs w:val="0"/>
          <w:color w:val="000000"/>
          <w:sz w:val="21"/>
          <w:highlight w:val="none"/>
          <w:lang w:val="en-US" w:eastAsia="zh-CN"/>
        </w:rPr>
        <w:t xml:space="preserve">6</w:t>
      </w:r>
      <w:r>
        <w:rPr>
          <w:rFonts w:hint="eastAsia" w:ascii="宋体" w:hAnsi="宋体" w:eastAsia="宋体" w:cs="宋体"/>
          <w:b w:val="0"/>
          <w:bCs w:val="0"/>
          <w:color w:val="000000"/>
          <w:sz w:val="21"/>
          <w:highlight w:val="none"/>
        </w:rPr>
        <w:t xml:space="preserve">.7.1.2投标（响应）报价低于通过符合性审查的次低报价供应商投标（响应）报价50%的，即投标（响应）报价&lt;通过符合性审查的次低报价供应商投标（响应）报价×50%；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val="0"/>
          <w:bCs w:val="0"/>
          <w:color w:val="000000"/>
          <w:sz w:val="21"/>
          <w:highlight w:val="none"/>
        </w:rPr>
        <w:t xml:space="preserve">2</w:t>
      </w:r>
      <w:r>
        <w:rPr>
          <w:rFonts w:hint="eastAsia" w:hAnsi="宋体" w:eastAsia="宋体" w:cs="宋体"/>
          <w:b w:val="0"/>
          <w:bCs w:val="0"/>
          <w:color w:val="000000"/>
          <w:sz w:val="21"/>
          <w:highlight w:val="none"/>
          <w:lang w:val="en-US" w:eastAsia="zh-CN"/>
        </w:rPr>
        <w:t xml:space="preserve">6</w:t>
      </w:r>
      <w:r>
        <w:rPr>
          <w:rFonts w:hint="eastAsia" w:ascii="宋体" w:hAnsi="宋体" w:eastAsia="宋体" w:cs="宋体"/>
          <w:b w:val="0"/>
          <w:bCs w:val="0"/>
          <w:color w:val="000000"/>
          <w:sz w:val="21"/>
          <w:highlight w:val="none"/>
        </w:rPr>
        <w:t xml:space="preserve">.7.1.3投标（响应）报价低于采购项目最高限价45%的，即投标（响应）报价&lt;采购项目最高限价×45%；</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val="0"/>
          <w:bCs w:val="0"/>
          <w:color w:val="000000"/>
          <w:sz w:val="21"/>
          <w:highlight w:val="none"/>
        </w:rPr>
        <w:t xml:space="preserve">2</w:t>
      </w:r>
      <w:r>
        <w:rPr>
          <w:rFonts w:hint="eastAsia" w:hAnsi="宋体" w:eastAsia="宋体" w:cs="宋体"/>
          <w:b w:val="0"/>
          <w:bCs w:val="0"/>
          <w:color w:val="000000"/>
          <w:sz w:val="21"/>
          <w:highlight w:val="none"/>
          <w:lang w:val="en-US" w:eastAsia="zh-CN"/>
        </w:rPr>
        <w:t xml:space="preserve">6</w:t>
      </w:r>
      <w:r>
        <w:rPr>
          <w:rFonts w:hint="eastAsia" w:ascii="宋体" w:hAnsi="宋体" w:eastAsia="宋体" w:cs="宋体"/>
          <w:b w:val="0"/>
          <w:bCs w:val="0"/>
          <w:color w:val="000000"/>
          <w:sz w:val="21"/>
          <w:highlight w:val="none"/>
        </w:rPr>
        <w:t xml:space="preserve">.7.1.4评审委员会基于专业判断，认为供应商报价过低，有可能影响产品质量或者不能诚信履约的其他情形。</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val="0"/>
          <w:bCs w:val="0"/>
          <w:color w:val="000000"/>
          <w:sz w:val="21"/>
          <w:highlight w:val="none"/>
        </w:rPr>
        <w:t xml:space="preserve">2</w:t>
      </w:r>
      <w:r>
        <w:rPr>
          <w:rFonts w:hint="eastAsia" w:hAnsi="宋体" w:eastAsia="宋体" w:cs="宋体"/>
          <w:b w:val="0"/>
          <w:bCs w:val="0"/>
          <w:color w:val="000000"/>
          <w:sz w:val="21"/>
          <w:highlight w:val="none"/>
          <w:lang w:val="en-US" w:eastAsia="zh-CN"/>
        </w:rPr>
        <w:t xml:space="preserve">6</w:t>
      </w:r>
      <w:r>
        <w:rPr>
          <w:rFonts w:hint="eastAsia" w:ascii="宋体" w:hAnsi="宋体" w:eastAsia="宋体" w:cs="宋体"/>
          <w:b w:val="0"/>
          <w:bCs w:val="0"/>
          <w:color w:val="000000"/>
          <w:sz w:val="21"/>
          <w:highlight w:val="none"/>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val="0"/>
          <w:bCs w:val="0"/>
          <w:color w:val="000000"/>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val="0"/>
          <w:bCs w:val="0"/>
          <w:color w:val="000000"/>
          <w:sz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highlight w:val="none"/>
        </w:rPr>
        <w:outlineLvl w:val="5"/>
      </w:pPr>
      <w:r>
        <w:rPr>
          <w:rFonts w:hint="eastAsia" w:ascii="宋体" w:hAnsi="宋体" w:eastAsia="宋体" w:cs="宋体"/>
          <w:b w:val="0"/>
          <w:bCs w:val="0"/>
          <w:color w:val="000000"/>
          <w:sz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1"/>
          <w:highlight w:val="none"/>
        </w:rPr>
      </w:r>
      <w:r/>
    </w:p>
    <w:p>
      <w:pPr>
        <w:pStyle w:val="659"/>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highlight w:val="none"/>
        </w:rPr>
        <w:t xml:space="preserve">2</w:t>
      </w:r>
      <w:r>
        <w:rPr>
          <w:rFonts w:hint="eastAsia" w:hAnsi="宋体" w:eastAsia="宋体" w:cs="宋体"/>
          <w:b w:val="0"/>
          <w:bCs w:val="0"/>
          <w:color w:val="000000"/>
          <w:sz w:val="21"/>
          <w:highlight w:val="none"/>
          <w:lang w:val="en-US" w:eastAsia="zh-CN"/>
        </w:rPr>
        <w:t xml:space="preserve">6</w:t>
      </w:r>
      <w:r>
        <w:rPr>
          <w:rFonts w:hint="eastAsia" w:ascii="宋体" w:hAnsi="宋体" w:eastAsia="宋体" w:cs="宋体"/>
          <w:b w:val="0"/>
          <w:bCs w:val="0"/>
          <w:color w:val="000000"/>
          <w:sz w:val="21"/>
          <w:highlight w:val="none"/>
        </w:rPr>
        <w:t xml:space="preserve">.7.3各级财政部门应当加强对评审专家的指导和监管，进一步压实评审专家的责任。财政部门在投诉处理、监督检查中发现评审委员会未按规定对异常低价开展审查的，依法予以纠正并追究评审专家的法律责任。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eastAsia="宋体" w:cs="宋体"/>
          <w:b w:val="0"/>
          <w:bCs w:val="0"/>
          <w:color w:val="000000"/>
          <w:sz w:val="21"/>
          <w:szCs w:val="21"/>
          <w:highlight w:val="none"/>
          <w:lang w:val="en-US" w:eastAsia="zh-CN" w:bidi="ar-SA"/>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26.8 对不同文字文本投标文件的解释发生异议的，以中文文本为准；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26.9 评标委员会对投标文件的判定，只依据投标内容本身，不依靠开标后的任何外来证明。</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26.10 评标委员会将拒绝被确定为非实质性响应的投标，投标人不能通过修正或撤销不符之处而使其投标成为实质性响应的投标。</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27、投标的澄清</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28、废标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28.1 无效投标的具体情形有：</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28.1.1 不同投标人的投标文件使用同一台电脑编制的；</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28.1.2 投标文件未按招标文件要求签署、盖章的；</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28.1.3 不具备招标文件中规定的资格要求的；</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28.1.4 报价超过招标文件中规定的预算金额或者最高限价的；</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28.1.5 投标文件含有采购人不能接受的附加条件的；</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28.1.6 法律、法规和招标文件规定的其他无效情形。</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28.2 在招标采购中，出现下列情形之一的，应予废标：</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28.2.1 符合专业条件的供应商或者对招标文件作实质响应的供应商不足三家的；</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28.2.2 出现影响采购公正的违法、违规行为的；</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28.2.3 投标人的报价均超过了采购预算，采购人不能支付的；</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28.2.4 因重大变故，采购任务取消的。</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28.3 废标后，采购人应当将废标理由通知所有投标人。</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29、投标文件的评价和比较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29.1 评标委员会按招标文件规定的评标方法和标准，仅对资格性检查和符合性检查合格的投标文件进行商务和技术评估，综合比较与评价。</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29.2.1 服务的质量保证（保障）内容；</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29.2.2 服务配备的人员；</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29.2.3 投标者的资信情况和履约能力；</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29.2.4 投标者提供的其他优惠条件；</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29.2.5 参与本项目政府采购工作的态度及信誉；</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29.2.6 最低的投标报价或最高的折扣比例是中标的重要条件，但不是唯一条件。</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如投标人在参加政府采购活动中存在苏财购字（2013）3号文件中所列的失信或不良行为的，将按照江苏省及苏州市政府采购相关规定进行扣分。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七、签订合同</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30、中标单位的确认</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30.1 评标委员会按招标文件规定的评标方法和标准进行详细评审后，按采购代理机构的委托向采购代理机构推荐中标候选单位或根据采购人授权直接确定中标供应商。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30.2 经评标委员会评审并确定中标供应商后，采购代理机构将在规定的时间内将中标结果在相关媒体上予以公告。</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30.3 各投标单位如对公告结果有异议，应在中标公告期届满起七个工作日内，以书面形式向采购代理机构提出质疑，该质疑须按《政府采购质疑和投诉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30.4 质疑函递交地点及联系方式详见 37.3 质疑函接收单位信息。</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31、合同授予</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31.1 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32、中标通知书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32.2 中标通知书在中标公告发布后将发布在业务系统中，中标通知书发布之日视为中标供应商领取之日，中标供应商自行在业务系统中下载打印。</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32.3 中标通知书将成为合同的组成部分。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32.4 采购代理机构对未中标供应商不承担解释未中标原因的义务。</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33、履约保证金</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33.1 中标供应商按合同约定的要求提交履约保证金。</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33.2 履约保证金用以约束供应商在合同履行中的行为，弥补合同执行中由于自身行为可能给采购人带来的各种损失。</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33.3 履约保证金（无息）将在中标供应商合同履行完毕且质保期满后，采购人在五个工作日内退返中标供应商。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34、合同的签订</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34.2 签订合同及合同条款应以招标文件和中标供应商的投标文件及其澄清文件为依据。</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34.3 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八、质疑与投诉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35、</w:t>
      </w:r>
      <w:r>
        <w:rPr>
          <w:rFonts w:hint="eastAsia" w:ascii="宋体" w:hAnsi="宋体" w:eastAsia="宋体" w:cs="宋体"/>
          <w:b w:val="0"/>
          <w:bCs w:val="0"/>
          <w:color w:val="000000"/>
          <w:sz w:val="21"/>
          <w:highlight w:val="none"/>
        </w:rPr>
        <w:t xml:space="preserve">质疑的提出和答复、投诉的提起和处理须按《政府采购质疑和投诉办法》（中华人民共和国财政部令第 94 号）相关规定执行。</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36、质疑的提出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36.1 提出质疑的供应商应当是参与所质疑项目采购活动的供应商。未参加投标活动的供应商或在投标活动中自身权益未受到损害的供应商所提出的质疑不予受理。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36.3 上述应知其权益受到损害之日是指：</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（1）对采购文件提出质疑的，为获取采购文件或者采购文件公告期限届满之日起计算；</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（2）对采购过程提出质疑的，自采购程序环节结束之日起计算；</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（3）对中标结果提出质疑的，自中标结果公告期限届满之日起计算。</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36.4 供应商提出质疑应当提交质疑函和必要的证明材料。质疑函应当包括下列内容：</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（1）供应商的姓名或者名称、地址、邮编、联系人及联系电话；</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（2）质疑项目的名称、编号；</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（3）具体、明确的质疑事项和与质疑事项相关的请求；</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（4）事实依据；</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（5）必要的法律依据；</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（6）提出质疑的日期。</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36.5 质疑函的格式和内容应当符合财政部《政府采购供应商质疑函范本》 要求，质疑函范本在财政部官网上提供下载。</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36.6 提交质疑函同时应当附如下证明材料：</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（1）对采购文件提出质疑的供应商提供参加本项目的报名确认单；</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（2）质疑供应商的营业执照复印件加盖单位公章；</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（3）质疑供应商法定代表人身份证复印件加盖单位公章；</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36.7 供应商为自然人的，质疑函应当由本人签字；供应商为法人或者其他组织的，应当由法定代表人、主要负责人，或者其授权代表签字或者盖章，并加盖公章。质疑函须原件。</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36.8 供应商须在在法定质疑期内一次性提出针对同一采购程序环节的质疑。</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37、质疑的受理与答复</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37.1 采购人负责供应商质疑答复。采购人委托采购代理机构采购的，采购代理机构在委托授权范围内作出答复。</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37.2 质疑函由采购代理机构办理签收手续。</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37.3 质疑函接收单位信息： </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接收单位：苏州时凯项目管理咨询有限公司</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lang w:val="en-US" w:eastAsia="zh-CN"/>
        </w:rPr>
      </w:pPr>
      <w:r>
        <w:rPr>
          <w:rFonts w:hint="eastAsia" w:ascii="宋体" w:hAnsi="宋体" w:eastAsia="宋体" w:cs="宋体"/>
          <w:b w:val="0"/>
          <w:bCs w:val="0"/>
          <w:color w:val="000000"/>
          <w:sz w:val="21"/>
          <w:highlight w:val="none"/>
        </w:rPr>
        <w:t xml:space="preserve">地址：太仓市经济开发区常胜北路68-1号2</w:t>
      </w:r>
      <w:r>
        <w:rPr>
          <w:rFonts w:hint="eastAsia" w:ascii="宋体" w:hAnsi="宋体" w:eastAsia="宋体" w:cs="宋体"/>
          <w:b w:val="0"/>
          <w:bCs w:val="0"/>
          <w:color w:val="000000"/>
          <w:sz w:val="21"/>
          <w:highlight w:val="none"/>
          <w:lang w:val="en-US" w:eastAsia="zh-CN"/>
        </w:rPr>
        <w:t xml:space="preserve">0</w:t>
      </w:r>
      <w:r>
        <w:rPr>
          <w:rFonts w:hint="eastAsia" w:ascii="宋体" w:hAnsi="宋体" w:eastAsia="宋体" w:cs="宋体"/>
          <w:b w:val="0"/>
          <w:bCs w:val="0"/>
          <w:color w:val="000000"/>
          <w:sz w:val="21"/>
          <w:highlight w:val="none"/>
          <w:lang w:val="en-US" w:eastAsia="zh-CN"/>
        </w:rPr>
        <w:t xml:space="preserve">1室</w:t>
      </w:r>
      <w:r>
        <w:rPr>
          <w:rFonts w:hint="eastAsia" w:ascii="宋体" w:hAnsi="宋体" w:eastAsia="宋体" w:cs="宋体"/>
          <w:b w:val="0"/>
          <w:bCs w:val="0"/>
          <w:color w:val="000000"/>
          <w:sz w:val="21"/>
          <w:highlight w:val="none"/>
          <w:lang w:val="en-US" w:eastAsia="zh-CN"/>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邮编：215400</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联系人：居晓静</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电话：17625570757</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37.4 采购人、采购代理机构应当在收到质疑函后 7 个工作日内作出答复，并以书面形式通知质疑供应商和其他有关供应商。 </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37.5 采购人、采购代理机构处理的其他要求按《政府采购质疑和投诉办法》（中华人民共和国财政部令第 94 号）相关规定执行。 </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38、投诉的提起</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（1）投诉人和被投诉人的姓名或者名称、通讯地址、邮编、联系人及联系电话；</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（2）质疑和质疑答复情况说明及相关证明材料；</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（3）具体、明确的投诉事项和与投诉事项相关的投诉请求；</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（4）事实依据；</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（5）法律依据；</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（6）提起投诉的日期。</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38.3 投诉人为自然人的，投诉书应当由本人签字；投诉人为法人或者其他组织的，投诉书应当由法定代表人、主要负责人，或者其授权代表签字或者盖章，并加盖公章。</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38.4 投诉人提起投诉应当符合下列条件：</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（1）提起投诉前已依法进行质疑；</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（2）投诉书内容符合本办法的规定；</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（3）在投诉有效期限内提起投诉；</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（4）同一投诉事项未经财政部门投诉处理；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（5）财政部规定的其他条件。</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38.5 供应商投诉的事项不得超出已质疑事项的范围，但基于质疑答复内容提出的投诉事项除外。</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38.6 由采购人所属预算级次的财政部门根据《政府采购质疑和投诉办法》（中华人民共和国财政部令第 94 号）相关规定进行投诉处理。</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九、其他事项 </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39、政府采购政策</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39.1 节能产品和环境标志产品</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color w:val="000000"/>
          <w:sz w:val="21"/>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39.2 </w:t>
      </w:r>
      <w:r>
        <w:rPr>
          <w:rFonts w:hint="eastAsia" w:ascii="宋体" w:hAnsi="宋体" w:eastAsia="宋体" w:cs="宋体"/>
          <w:color w:val="000000"/>
          <w:sz w:val="21"/>
          <w:highlight w:val="none"/>
        </w:rPr>
        <w:t xml:space="preserve">小微企业的价格分评审</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39.2.1 根据《政府采购促进中小企业发展管理办法（财库〔2020〕46号）及《关于贯彻执行绿色采购、促进残疾人就业和支持监狱企业发展有关政策的通知》（苏财购〔2019〕10号）的规定：</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（3）在货物采购项目中，供应商提供的货物既有小型或微型企业制造货物，也有中型或大型企业制造货物的，不享受本办法规定的小微企业价格扶持政策。</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（5）符合中小企业划分标准的个体工商户，在政府采购活动中视同中小企业。</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（6）中小企业划分标准详见“工信部联企业〔2011〕300号通知”。</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（7）中标、成交供应商享受本办法规定的中小企业扶持政策的，《中小企业声明函》应当随中标、成交结果同时公告，接受社会监督。</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（8）以上规定未尽事项，按《政府采购促进中小企业发展管理办法》（财库﹝2020﹞46号）等有关制度规定执行。</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39.2.2 残疾人福利性单位政策</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（3）中标、成交供应商为残疾人福利性单位的，《残疾人福利性单位声明函》应当随中标、成交结果同时公告，接受社会监督。</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39.2.3 监狱企业发展政策</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若投标供应商提供的声明函或认定证明为虚假声明则视同提供虚假材料，按“政府采购法”相关规定处理并报请政府监管部门给予行政处罚。</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40、</w:t>
      </w:r>
      <w:r>
        <w:rPr>
          <w:rFonts w:hint="eastAsia" w:hAnsi="宋体" w:eastAsia="宋体" w:cs="宋体"/>
          <w:color w:val="000000"/>
          <w:sz w:val="21"/>
          <w:highlight w:val="none"/>
          <w:lang w:val="en-US" w:eastAsia="zh-CN"/>
        </w:rPr>
        <w:t xml:space="preserve">代理</w:t>
      </w:r>
      <w:r>
        <w:rPr>
          <w:rFonts w:hint="eastAsia" w:ascii="宋体" w:hAnsi="宋体" w:eastAsia="宋体" w:cs="宋体"/>
          <w:color w:val="000000"/>
          <w:sz w:val="21"/>
          <w:highlight w:val="none"/>
        </w:rPr>
        <w:t xml:space="preserve">服务费</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hAnsi="宋体" w:eastAsia="宋体" w:cs="宋体"/>
          <w:b w:val="0"/>
          <w:bCs w:val="0"/>
          <w:color w:val="000000"/>
          <w:sz w:val="21"/>
          <w:highlight w:val="none"/>
          <w:lang w:val="en-US" w:eastAsia="zh-CN"/>
        </w:rPr>
        <w:t xml:space="preserve">4</w:t>
      </w:r>
      <w:r>
        <w:rPr>
          <w:rFonts w:hint="eastAsia" w:hAnsi="宋体" w:eastAsia="宋体" w:cs="宋体"/>
          <w:b w:val="0"/>
          <w:bCs w:val="0"/>
          <w:color w:val="000000"/>
          <w:sz w:val="21"/>
          <w:highlight w:val="none"/>
          <w:lang w:val="en-US" w:eastAsia="zh-CN"/>
        </w:rPr>
        <w:t xml:space="preserve">0</w:t>
      </w:r>
      <w:r>
        <w:rPr>
          <w:rFonts w:hint="eastAsia" w:ascii="宋体" w:hAnsi="宋体" w:eastAsia="宋体" w:cs="宋体"/>
          <w:b w:val="0"/>
          <w:bCs w:val="0"/>
          <w:color w:val="000000"/>
          <w:sz w:val="21"/>
          <w:highlight w:val="none"/>
        </w:rPr>
        <w:t xml:space="preserve">.1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金额为</w:t>
      </w:r>
      <w:r>
        <w:rPr>
          <w:rFonts w:hint="eastAsia" w:hAnsi="宋体" w:eastAsia="宋体" w:cs="宋体"/>
          <w:b w:val="0"/>
          <w:bCs w:val="0"/>
          <w:color w:val="000000"/>
          <w:sz w:val="21"/>
          <w:highlight w:val="none"/>
          <w:lang w:val="en-US" w:eastAsia="zh-CN"/>
        </w:rPr>
        <w:t xml:space="preserve">人民币</w:t>
      </w:r>
      <w:r>
        <w:rPr>
          <w:rFonts w:hint="eastAsia" w:hAnsi="宋体" w:eastAsia="宋体" w:cs="宋体"/>
          <w:b w:val="0"/>
          <w:bCs w:val="0"/>
          <w:color w:val="000000"/>
          <w:sz w:val="21"/>
          <w:highlight w:val="none"/>
          <w:lang w:val="en-US" w:eastAsia="zh-CN"/>
        </w:rPr>
        <w:t xml:space="preserve">贰万零伍佰</w:t>
      </w:r>
      <w:r>
        <w:rPr>
          <w:rFonts w:hint="eastAsia" w:ascii="宋体" w:hAnsi="宋体" w:eastAsia="宋体" w:cs="宋体"/>
          <w:b w:val="0"/>
          <w:bCs w:val="0"/>
          <w:color w:val="000000"/>
          <w:sz w:val="21"/>
          <w:highlight w:val="none"/>
        </w:rPr>
        <w:t xml:space="preserve">元整（</w:t>
      </w:r>
      <w:r>
        <w:rPr>
          <w:rFonts w:hint="eastAsia" w:hAnsi="宋体" w:eastAsia="宋体" w:cs="宋体"/>
          <w:b w:val="0"/>
          <w:bCs w:val="0"/>
          <w:color w:val="000000"/>
          <w:sz w:val="21"/>
          <w:highlight w:val="none"/>
          <w:lang w:val="en-US" w:eastAsia="zh-CN"/>
        </w:rPr>
        <w:t xml:space="preserve">2</w:t>
      </w:r>
      <w:r>
        <w:rPr>
          <w:rFonts w:hint="eastAsia" w:hAnsi="宋体" w:eastAsia="宋体" w:cs="宋体"/>
          <w:b w:val="0"/>
          <w:bCs w:val="0"/>
          <w:color w:val="000000"/>
          <w:sz w:val="21"/>
          <w:highlight w:val="none"/>
          <w:lang w:val="en-US" w:eastAsia="zh-CN"/>
        </w:rPr>
        <w:t xml:space="preserve">0500</w:t>
      </w:r>
      <w:r>
        <w:rPr>
          <w:rFonts w:hint="eastAsia" w:ascii="宋体" w:hAnsi="宋体" w:eastAsia="宋体" w:cs="宋体"/>
          <w:b w:val="0"/>
          <w:bCs w:val="0"/>
          <w:color w:val="000000"/>
          <w:sz w:val="21"/>
          <w:highlight w:val="none"/>
        </w:rPr>
        <w:t xml:space="preserve">.00元）。</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41、监督和公证</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42.1 政府有关监督部门将对招投标全过程进行监督。</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42.2 采购代理机构的招标过程将通过公证机关进行公证。</w:t>
      </w:r>
      <w:r>
        <w:rPr>
          <w:rFonts w:hint="eastAsia" w:ascii="宋体" w:hAnsi="宋体" w:eastAsia="宋体" w:cs="宋体"/>
          <w:b w:val="0"/>
          <w:bCs w:val="0"/>
          <w:color w:val="000000"/>
          <w:sz w:val="21"/>
          <w:highlight w:val="none"/>
        </w:rPr>
      </w:r>
      <w:r/>
    </w:p>
    <w:p>
      <w:pPr>
        <w:pStyle w:val="665"/>
        <w:ind w:left="0" w:firstLine="42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42、未尽事宜</w:t>
      </w:r>
      <w:r>
        <w:rPr>
          <w:rFonts w:hint="eastAsia" w:ascii="宋体" w:hAnsi="宋体" w:eastAsia="宋体" w:cs="宋体"/>
          <w:color w:val="000000"/>
          <w:sz w:val="21"/>
          <w:highlight w:val="none"/>
        </w:rPr>
      </w:r>
      <w:r/>
    </w:p>
    <w:p>
      <w:pPr>
        <w:pStyle w:val="665"/>
        <w:ind w:left="0" w:firstLine="420"/>
        <w:jc w:val="both"/>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按《中华人民共和国政府采购法》及其他有关政府采购的法律法规的的规定执行。</w:t>
      </w:r>
      <w:r>
        <w:rPr>
          <w:rFonts w:hint="eastAsia" w:ascii="宋体" w:hAnsi="宋体" w:eastAsia="宋体" w:cs="宋体"/>
          <w:b w:val="0"/>
          <w:bCs w:val="0"/>
          <w:color w:val="000000"/>
          <w:sz w:val="21"/>
          <w:highlight w:val="none"/>
        </w:rPr>
      </w:r>
      <w:r/>
    </w:p>
    <w:p>
      <w:pPr>
        <w:pStyle w:val="659"/>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61"/>
        <w:ind w:left="0"/>
        <w:jc w:val="center"/>
        <w:spacing w:before="0"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第三章 </w:t>
      </w:r>
      <w:r>
        <w:rPr>
          <w:rFonts w:hint="eastAsia" w:ascii="宋体" w:hAnsi="宋体" w:eastAsia="宋体" w:cs="宋体"/>
          <w:color w:val="000000"/>
          <w:sz w:val="32"/>
          <w:szCs w:val="32"/>
          <w:highlight w:val="none"/>
          <w:lang w:val="en-US" w:eastAsia="zh-CN"/>
        </w:rPr>
        <w:t xml:space="preserve">招标书</w:t>
      </w:r>
      <w:r>
        <w:rPr>
          <w:rFonts w:hint="eastAsia" w:ascii="宋体" w:hAnsi="宋体" w:eastAsia="宋体" w:cs="宋体"/>
          <w:color w:val="000000"/>
          <w:sz w:val="32"/>
          <w:szCs w:val="32"/>
          <w:highlight w:val="none"/>
          <w:lang w:eastAsia="zh-CN"/>
        </w:rPr>
      </w:r>
      <w:r/>
    </w:p>
    <w:p>
      <w:pPr>
        <w:pStyle w:val="659"/>
        <w:spacing w:line="360" w:lineRule="auto"/>
        <w:rPr>
          <w:rFonts w:hint="eastAsia" w:hAnsi="宋体" w:eastAsia="宋体"/>
          <w:b/>
          <w:bCs/>
          <w:color w:val="000000"/>
          <w:sz w:val="21"/>
          <w:szCs w:val="21"/>
          <w:highlight w:val="none"/>
        </w:rPr>
      </w:pPr>
      <w:r/>
      <w:bookmarkStart w:id="17" w:name="OLE_LINK26"/>
      <w:r/>
      <w:bookmarkStart w:id="18" w:name="_Hlk121126111"/>
      <w:r>
        <w:rPr>
          <w:rFonts w:hint="eastAsia" w:hAnsi="宋体" w:eastAsia="宋体"/>
          <w:b/>
          <w:bCs/>
          <w:color w:val="000000"/>
          <w:sz w:val="21"/>
          <w:szCs w:val="21"/>
          <w:highlight w:val="none"/>
        </w:rPr>
        <w:t xml:space="preserve">一、项目简介</w:t>
      </w:r>
      <w:r>
        <w:rPr>
          <w:rFonts w:hint="eastAsia" w:hAnsi="宋体" w:eastAsia="宋体"/>
          <w:b/>
          <w:bCs/>
          <w:color w:val="000000"/>
          <w:sz w:val="21"/>
          <w:szCs w:val="21"/>
          <w:highlight w:val="none"/>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1、招标编号：</w:t>
      </w:r>
      <w:r>
        <w:rPr>
          <w:rFonts w:hint="eastAsia" w:hAnsi="宋体" w:eastAsia="宋体" w:cs="宋体"/>
          <w:color w:val="000000"/>
          <w:highlight w:val="none"/>
          <w:lang w:eastAsia="zh-CN"/>
        </w:rPr>
        <w:t xml:space="preserve">JSZC-320585-SZSK-G2026-0003</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2、项目名称：</w:t>
      </w:r>
      <w:r>
        <w:rPr>
          <w:rFonts w:hint="eastAsia" w:hAnsi="宋体" w:eastAsia="宋体" w:cs="宋体"/>
          <w:color w:val="000000"/>
          <w:szCs w:val="21"/>
          <w:highlight w:val="none"/>
          <w:lang w:eastAsia="zh-CN"/>
        </w:rPr>
        <w:t xml:space="preserve">东城三园等智慧技防小区（二期）租赁服务</w:t>
      </w:r>
      <w:r>
        <w:rPr>
          <w:rFonts w:hint="eastAsia" w:ascii="宋体" w:hAnsi="宋体" w:eastAsia="宋体" w:cs="宋体"/>
          <w:color w:val="000000"/>
          <w:szCs w:val="21"/>
          <w:highlight w:val="none"/>
          <w:lang w:eastAsia="zh-CN"/>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3、预算金额：人民币</w:t>
      </w:r>
      <w:r>
        <w:rPr>
          <w:rFonts w:hint="eastAsia" w:ascii="宋体" w:hAnsi="宋体" w:eastAsia="宋体" w:cs="宋体"/>
          <w:color w:val="000000"/>
          <w:szCs w:val="21"/>
          <w:highlight w:val="none"/>
          <w:lang w:val="en-US" w:eastAsia="zh-CN"/>
        </w:rPr>
        <w:t xml:space="preserve">壹佰伍拾</w:t>
      </w:r>
      <w:r>
        <w:rPr>
          <w:rFonts w:hint="eastAsia" w:ascii="宋体" w:hAnsi="宋体" w:eastAsia="宋体" w:cs="宋体"/>
          <w:color w:val="000000"/>
          <w:szCs w:val="21"/>
          <w:highlight w:val="none"/>
          <w:lang w:eastAsia="zh-CN"/>
        </w:rPr>
        <w:t xml:space="preserve">万元整（¥：</w:t>
      </w:r>
      <w:r>
        <w:rPr>
          <w:rFonts w:hint="eastAsia" w:ascii="宋体" w:hAnsi="宋体" w:eastAsia="宋体" w:cs="宋体"/>
          <w:color w:val="000000"/>
          <w:szCs w:val="21"/>
          <w:highlight w:val="none"/>
          <w:lang w:val="en-US" w:eastAsia="zh-CN"/>
        </w:rPr>
        <w:t xml:space="preserve">150</w:t>
      </w:r>
      <w:r>
        <w:rPr>
          <w:rFonts w:hint="eastAsia" w:ascii="宋体" w:hAnsi="宋体" w:eastAsia="宋体" w:cs="宋体"/>
          <w:color w:val="000000"/>
          <w:szCs w:val="21"/>
          <w:highlight w:val="none"/>
          <w:lang w:eastAsia="zh-CN"/>
        </w:rPr>
        <w:t xml:space="preserve">0000.00元）</w:t>
      </w:r>
      <w:r>
        <w:rPr>
          <w:rFonts w:hint="eastAsia" w:ascii="宋体" w:hAnsi="宋体" w:eastAsia="宋体" w:cs="宋体"/>
          <w:color w:val="000000"/>
          <w:szCs w:val="21"/>
          <w:highlight w:val="none"/>
          <w:lang w:eastAsia="zh-CN"/>
        </w:rPr>
      </w:r>
      <w:r/>
    </w:p>
    <w:p>
      <w:pPr>
        <w:pStyle w:val="659"/>
        <w:ind w:firstLine="44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4、最高限价：</w:t>
      </w:r>
      <w:r>
        <w:rPr>
          <w:rFonts w:hint="eastAsia" w:ascii="宋体" w:hAnsi="宋体" w:eastAsia="宋体" w:cs="宋体"/>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壹佰伍拾</w:t>
      </w:r>
      <w:r>
        <w:rPr>
          <w:rFonts w:hint="eastAsia" w:ascii="宋体" w:hAnsi="宋体" w:eastAsia="宋体" w:cs="宋体"/>
          <w:color w:val="000000"/>
          <w:szCs w:val="21"/>
          <w:highlight w:val="none"/>
          <w:lang w:eastAsia="zh-CN"/>
        </w:rPr>
        <w:t xml:space="preserve">万元整（¥：</w:t>
      </w:r>
      <w:r>
        <w:rPr>
          <w:rFonts w:hint="eastAsia" w:ascii="宋体" w:hAnsi="宋体" w:eastAsia="宋体" w:cs="宋体"/>
          <w:color w:val="000000"/>
          <w:szCs w:val="21"/>
          <w:highlight w:val="none"/>
          <w:lang w:val="en-US" w:eastAsia="zh-CN"/>
        </w:rPr>
        <w:t xml:space="preserve">150</w:t>
      </w:r>
      <w:r>
        <w:rPr>
          <w:rFonts w:hint="eastAsia" w:ascii="宋体" w:hAnsi="宋体" w:eastAsia="宋体" w:cs="宋体"/>
          <w:color w:val="000000"/>
          <w:szCs w:val="21"/>
          <w:highlight w:val="none"/>
          <w:lang w:eastAsia="zh-CN"/>
        </w:rPr>
        <w:t xml:space="preserve">0000.00元）</w:t>
      </w:r>
      <w:r>
        <w:rPr>
          <w:rFonts w:ascii="宋体" w:hAnsi="宋体" w:eastAsia="宋体" w:cs="宋体"/>
          <w:color w:val="000000"/>
          <w:szCs w:val="21"/>
          <w:highlight w:val="none"/>
          <w:lang w:val="en-US" w:eastAsia="zh-CN"/>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、合同履行期限：</w:t>
      </w:r>
      <w:r>
        <w:rPr>
          <w:rFonts w:hint="eastAsia" w:ascii="宋体" w:hAnsi="宋体" w:eastAsia="宋体" w:cs="宋体"/>
          <w:b w:val="0"/>
          <w:bCs w:val="0"/>
          <w:color w:val="000000"/>
          <w:sz w:val="22"/>
          <w:szCs w:val="22"/>
          <w:highlight w:val="none"/>
          <w:lang w:val="en-US" w:eastAsia="zh-CN"/>
        </w:rPr>
        <w:t xml:space="preserve">签订合同生效后60天内完成全部系统的调试、无故障运行且经采购人及相关使用人验收合格交付服务，服务期3年，从验收合格之日起算。</w:t>
      </w:r>
      <w:r>
        <w:rPr>
          <w:rFonts w:hint="eastAsia" w:ascii="宋体" w:hAnsi="宋体" w:eastAsia="宋体" w:cs="宋体"/>
          <w:color w:val="000000"/>
          <w:szCs w:val="21"/>
          <w:highlight w:val="none"/>
          <w:lang w:eastAsia="zh-CN"/>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、服务地点：采购人指定地点</w:t>
      </w:r>
      <w:r>
        <w:rPr>
          <w:rFonts w:hint="eastAsia" w:ascii="宋体" w:hAnsi="宋体" w:eastAsia="宋体" w:cs="宋体"/>
          <w:color w:val="000000"/>
          <w:szCs w:val="21"/>
          <w:highlight w:val="none"/>
          <w:lang w:eastAsia="zh-CN"/>
        </w:rPr>
      </w:r>
      <w:r/>
    </w:p>
    <w:p>
      <w:pPr>
        <w:pStyle w:val="659"/>
        <w:spacing w:line="360" w:lineRule="auto"/>
        <w:rPr>
          <w:rFonts w:hint="eastAsia" w:ascii="宋体" w:hAnsi="宋体" w:eastAsia="宋体" w:cs="宋体"/>
          <w:b/>
          <w:bCs/>
          <w:color w:val="000000"/>
          <w:highlight w:val="none"/>
          <w:lang w:val="en-US" w:eastAsia="zh-CN"/>
        </w:rPr>
      </w:pPr>
      <w:r/>
      <w:bookmarkEnd w:id="17"/>
      <w:r>
        <w:rPr>
          <w:rFonts w:hint="eastAsia" w:ascii="宋体" w:hAnsi="宋体" w:eastAsia="宋体" w:cs="宋体"/>
          <w:b/>
          <w:bCs/>
          <w:color w:val="000000"/>
          <w:highlight w:val="none"/>
          <w:lang w:val="en-US" w:eastAsia="zh-CN"/>
        </w:rPr>
        <w:t xml:space="preserve">二、项目背景</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为切实提高全市居民小区治安防控水平，支撑平安太仓建设。根据中共江苏省委政法委员会、省公安厅、省科技厅《全省 “智慧技防校园”和“智慧技防小区”建设规范》、《苏州市“智慧技防小区”暨苏州市居民住宅小区安全防范系统建设要求（2019版）》以及《太仓市智慧技防小区建设方案》的建设要求，开展太仓市智慧技防小区工程项目建设。</w:t>
      </w:r>
      <w:r>
        <w:rPr>
          <w:rFonts w:hint="eastAsia" w:ascii="宋体" w:hAnsi="宋体" w:eastAsia="宋体" w:cs="宋体"/>
          <w:b w:val="0"/>
          <w:bCs w:val="0"/>
          <w:color w:val="000000"/>
          <w:highlight w:val="none"/>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针对周界、小区大门、门卫室、小区进出通道、室外人员集中区域、室久消防通道、室内道宇通道区域等重点防范部位进行智慧技防建设。运用人脸识别技术、图像处理技术、异常行为分析等技术，提前预警发现危险可疑“人、事、物”，强化警校联动机制，提前介入，互相补位，共同参与，切实减少、排除隐患，实现小区风险防控从事后应急处置向事前预知预警转变，建设稳定、可靠、安全的小区居住环境。</w:t>
      </w:r>
      <w:r>
        <w:rPr>
          <w:rFonts w:hint="eastAsia" w:ascii="宋体" w:hAnsi="宋体" w:eastAsia="宋体" w:cs="宋体"/>
          <w:b w:val="0"/>
          <w:bCs w:val="0"/>
          <w:color w:val="000000"/>
          <w:highlight w:val="none"/>
        </w:rPr>
      </w:r>
      <w:r/>
    </w:p>
    <w:p>
      <w:pPr>
        <w:pStyle w:val="659"/>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三、项目需求</w:t>
      </w:r>
      <w:r>
        <w:rPr>
          <w:rFonts w:hint="eastAsia" w:ascii="宋体" w:hAnsi="宋体" w:eastAsia="宋体" w:cs="宋体"/>
          <w:b/>
          <w:bCs/>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bookmarkStart w:id="19" w:name="_Toc83558744"/>
      <w:r>
        <w:rPr>
          <w:rFonts w:hint="eastAsia" w:ascii="宋体" w:hAnsi="宋体" w:eastAsia="宋体" w:cs="宋体"/>
          <w:b/>
          <w:bCs/>
          <w:color w:val="000000"/>
          <w:highlight w:val="none"/>
          <w:lang w:val="en-US" w:eastAsia="zh-CN"/>
        </w:rPr>
        <w:t xml:space="preserve">（一）建设依据</w:t>
      </w:r>
      <w:bookmarkEnd w:id="19"/>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《苏州市“智慧技防小区”暨苏州市居民住宅小区安全防范系统建设要求（2019版）》</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《关于贯彻落实中央和省关于推进社会治理现代化相关部署要求进一步加强智能化建设的指导意见》</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《全省“智慧技防校园”和“智慧技防小区”建设规范》；</w:t>
      </w:r>
      <w:r>
        <w:rPr>
          <w:rFonts w:hint="eastAsia" w:ascii="宋体" w:hAnsi="宋体" w:eastAsia="宋体" w:cs="宋体"/>
          <w:b w:val="0"/>
          <w:bCs w:val="0"/>
          <w:color w:val="000000"/>
          <w:highlight w:val="none"/>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《太仓市智慧技防小区建设方案》</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（二）项目建设目标</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小区通过综合运用现代科学技术，结合当地实际，整合社区各类资源，加强社区服务能力建设，初步建成智慧社区示范点。示范点应具备完善的基础设施、高效的社区服务和治理水平、多元化的社区公共服务、智能化的便民利民服务能力，以及具备良好的政策、组织、人才、资金等保障条件。</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小区需要通过综合运用现代科学技术，整合区域人、地、物、情、事、组织和房屋等信息，统筹公共管理、公共服务和商业服务等资源，以智慧社区综合信息服务平台为支撑，依托适度领先的基础设施建设，提升社区治理和社区管理现代化，促进公共服务和便民利民服务智能化的一种社区管理和服务的创新模式，也是实现新型城镇化发展目标和社区服务体系建设目标的重要举措之一。</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通过综合运用现代科学技术，结合当地实际，整合社区各类资源，加强社区服务能力建设，初步建成智慧社区示范点。示范点具备完善的基础设施、高效的社区服务和治理水平、多元化的社区公共服务、智能化的便民利民服务能力，以及具备良好的政策、组织、人才、资金等保障条件。</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（三）租赁清单</w:t>
      </w:r>
      <w:r>
        <w:rPr>
          <w:rFonts w:hint="eastAsia" w:ascii="宋体" w:hAnsi="宋体" w:eastAsia="宋体" w:cs="宋体"/>
          <w:b/>
          <w:bCs/>
          <w:color w:val="000000"/>
          <w:highlight w:val="none"/>
          <w:lang w:val="en-US" w:eastAsia="zh-CN"/>
        </w:rPr>
      </w:r>
      <w:r/>
    </w:p>
    <w:tbl>
      <w:tblPr>
        <w:tblW w:w="9781" w:type="dxa"/>
        <w:tblInd w:w="-113" w:type="dxa"/>
        <w:tblLayout w:type="autofit"/>
        <w:tblCellMar>
          <w:left w:w="108" w:type="dxa"/>
          <w:top w:w="0" w:type="dxa"/>
          <w:right w:w="108" w:type="dxa"/>
          <w:bottom w:w="0" w:type="dxa"/>
        </w:tblCellMar>
        <w:tblLook w:val="04A0" w:firstRow="1" w:lastRow="0" w:firstColumn="1" w:lastColumn="0" w:noHBand="0" w:noVBand="1"/>
      </w:tblPr>
      <w:tblGrid>
        <w:gridCol w:w="709"/>
        <w:gridCol w:w="2410"/>
        <w:gridCol w:w="4394"/>
        <w:gridCol w:w="992"/>
        <w:gridCol w:w="567"/>
        <w:gridCol w:w="709"/>
      </w:tblGrid>
      <w:tr>
        <w:trPr>
          <w:trHeight w:val="240"/>
        </w:trPr>
        <w:tc>
          <w:tcPr>
            <w:shd w:val="clear" w:color="000000"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b/>
                <w:bCs/>
                <w:color w:val="000000"/>
                <w:sz w:val="20"/>
                <w:highlight w:val="none"/>
              </w:rPr>
            </w:pPr>
            <w:r>
              <w:rPr>
                <w:rFonts w:hint="eastAsia" w:hAnsi="宋体" w:eastAsia="宋体"/>
                <w:b/>
                <w:bCs/>
                <w:color w:val="000000"/>
                <w:sz w:val="20"/>
                <w:highlight w:val="none"/>
              </w:rPr>
              <w:t xml:space="preserve">序号</w:t>
            </w:r>
            <w:r>
              <w:rPr>
                <w:rFonts w:hAnsi="宋体" w:eastAsia="宋体"/>
                <w:b/>
                <w:bCs/>
                <w:color w:val="000000"/>
                <w:sz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2410" w:type="dxa"/>
            <w:vAlign w:val="center"/>
            <w:textDirection w:val="lrTb"/>
            <w:noWrap/>
          </w:tcPr>
          <w:p>
            <w:pPr>
              <w:pStyle w:val="659"/>
              <w:jc w:val="center"/>
              <w:widowControl/>
              <w:rPr>
                <w:rFonts w:hAnsi="宋体" w:eastAsia="宋体"/>
                <w:b/>
                <w:bCs/>
                <w:color w:val="000000"/>
                <w:sz w:val="20"/>
                <w:highlight w:val="none"/>
              </w:rPr>
            </w:pPr>
            <w:r>
              <w:rPr>
                <w:rFonts w:hint="eastAsia" w:hAnsi="宋体" w:eastAsia="宋体"/>
                <w:b/>
                <w:bCs/>
                <w:color w:val="000000"/>
                <w:sz w:val="20"/>
                <w:highlight w:val="none"/>
              </w:rPr>
              <w:t xml:space="preserve">项目</w:t>
            </w:r>
            <w:r>
              <w:rPr>
                <w:rFonts w:hAnsi="宋体" w:eastAsia="宋体"/>
                <w:b/>
                <w:bCs/>
                <w:color w:val="000000"/>
                <w:sz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394" w:type="dxa"/>
            <w:vAlign w:val="center"/>
            <w:textDirection w:val="lrTb"/>
            <w:noWrap/>
          </w:tcPr>
          <w:p>
            <w:pPr>
              <w:pStyle w:val="659"/>
              <w:jc w:val="center"/>
              <w:widowControl/>
              <w:rPr>
                <w:rFonts w:hAnsi="宋体" w:eastAsia="宋体"/>
                <w:b/>
                <w:bCs/>
                <w:color w:val="000000"/>
                <w:sz w:val="20"/>
                <w:highlight w:val="none"/>
              </w:rPr>
            </w:pPr>
            <w:r>
              <w:rPr>
                <w:rFonts w:hint="eastAsia" w:hAnsi="宋体" w:eastAsia="宋体"/>
                <w:b/>
                <w:bCs/>
                <w:color w:val="000000"/>
                <w:sz w:val="20"/>
                <w:highlight w:val="none"/>
              </w:rPr>
              <w:t xml:space="preserve">项目说明</w:t>
            </w:r>
            <w:r>
              <w:rPr>
                <w:rFonts w:hAnsi="宋体" w:eastAsia="宋体"/>
                <w:b/>
                <w:bCs/>
                <w:color w:val="000000"/>
                <w:sz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b/>
                <w:bCs/>
                <w:color w:val="000000"/>
                <w:sz w:val="20"/>
                <w:highlight w:val="none"/>
              </w:rPr>
            </w:pPr>
            <w:r>
              <w:rPr>
                <w:rFonts w:hint="eastAsia" w:hAnsi="宋体" w:eastAsia="宋体"/>
                <w:b/>
                <w:bCs/>
                <w:color w:val="000000"/>
                <w:sz w:val="20"/>
                <w:highlight w:val="none"/>
              </w:rPr>
              <w:t xml:space="preserve">单位</w:t>
            </w:r>
            <w:r>
              <w:rPr>
                <w:rFonts w:hAnsi="宋体" w:eastAsia="宋体"/>
                <w:b/>
                <w:bCs/>
                <w:color w:val="000000"/>
                <w:sz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659"/>
              <w:jc w:val="center"/>
              <w:widowControl/>
              <w:rPr>
                <w:rFonts w:hAnsi="宋体" w:eastAsia="宋体"/>
                <w:b/>
                <w:bCs/>
                <w:color w:val="000000"/>
                <w:sz w:val="20"/>
                <w:highlight w:val="none"/>
              </w:rPr>
            </w:pPr>
            <w:r>
              <w:rPr>
                <w:rFonts w:hint="eastAsia" w:hAnsi="宋体" w:eastAsia="宋体"/>
                <w:b/>
                <w:bCs/>
                <w:color w:val="000000"/>
                <w:sz w:val="20"/>
                <w:highlight w:val="none"/>
              </w:rPr>
              <w:t xml:space="preserve">数量</w:t>
            </w:r>
            <w:r>
              <w:rPr>
                <w:rFonts w:hAnsi="宋体" w:eastAsia="宋体"/>
                <w:b/>
                <w:bCs/>
                <w:color w:val="000000"/>
                <w:sz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b/>
                <w:bCs/>
                <w:color w:val="000000"/>
                <w:sz w:val="20"/>
                <w:highlight w:val="none"/>
              </w:rPr>
            </w:pPr>
            <w:r>
              <w:rPr>
                <w:rFonts w:hint="eastAsia" w:hAnsi="宋体" w:eastAsia="宋体"/>
                <w:b/>
                <w:bCs/>
                <w:color w:val="000000"/>
                <w:sz w:val="20"/>
                <w:highlight w:val="none"/>
              </w:rPr>
              <w:t xml:space="preserve">备注</w:t>
            </w:r>
            <w:r>
              <w:rPr>
                <w:rFonts w:hAnsi="宋体" w:eastAsia="宋体"/>
                <w:b/>
                <w:bCs/>
                <w:color w:val="000000"/>
                <w:sz w:val="20"/>
                <w:highlight w:val="none"/>
              </w:rPr>
            </w:r>
            <w:r/>
          </w:p>
        </w:tc>
      </w:tr>
      <w:tr>
        <w:trPr>
          <w:trHeight w:val="240"/>
        </w:trPr>
        <w:tc>
          <w:tcPr>
            <w:gridSpan w:val="5"/>
            <w:shd w:val="clear" w:color="000000" w:fill="bebebe"/>
            <w:tcBorders>
              <w:top w:val="single" w:color="000000" w:sz="4" w:space="0"/>
              <w:left w:val="single" w:color="000000" w:sz="4" w:space="0"/>
              <w:bottom w:val="single" w:color="000000" w:sz="4" w:space="0"/>
              <w:right w:val="single" w:color="000000" w:sz="4" w:space="0"/>
            </w:tcBorders>
            <w:tcW w:w="9072" w:type="dxa"/>
            <w:vAlign w:val="center"/>
            <w:textDirection w:val="lrTb"/>
            <w:noWrap/>
          </w:tcPr>
          <w:p>
            <w:pPr>
              <w:pStyle w:val="659"/>
              <w:widowControl/>
              <w:rPr>
                <w:rFonts w:hAnsi="宋体" w:eastAsia="宋体"/>
                <w:b/>
                <w:bCs/>
                <w:color w:val="000000"/>
                <w:sz w:val="20"/>
                <w:highlight w:val="none"/>
              </w:rPr>
            </w:pPr>
            <w:r>
              <w:rPr>
                <w:rFonts w:hint="eastAsia" w:hAnsi="宋体" w:eastAsia="宋体"/>
                <w:b/>
                <w:bCs/>
                <w:color w:val="000000"/>
                <w:sz w:val="20"/>
                <w:highlight w:val="none"/>
              </w:rPr>
              <w:t xml:space="preserve">第一部分：东城四五七园</w:t>
            </w:r>
            <w:r>
              <w:rPr>
                <w:rFonts w:hAnsi="宋体" w:eastAsia="宋体"/>
                <w:b/>
                <w:bCs/>
                <w:color w:val="000000"/>
                <w:sz w:val="20"/>
                <w:highlight w:val="none"/>
              </w:rPr>
            </w:r>
            <w:r/>
          </w:p>
        </w:tc>
        <w:tc>
          <w:tcPr>
            <w:shd w:val="clear" w:color="000000" w:fill="bebebe"/>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智能警戒视频图像服务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400万智能警戒摄像机并配置警戒区域后AI告警联动，配套包含但不限于：支架、电源、立杆、弱电箱、存储、通讯设施等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智能AI检测视频图像服务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400万智能智能检测摄像机，配套包含但不限于：支架、电源、立杆、弱电箱、存储、通讯设施等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6</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3</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出入口车辆抓拍视频图像服务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900万环保出入口车辆抓拍超卡，配套包含但不限于：爆闪灯、补光灯、支架、电源、立杆、弱电箱、存储、通讯设施等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3</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人员聚集全景检测视频图像服务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400万双通道人员聚集全景球机，配套包含但不限于：支架、电源、立杆、弱电箱、存储、通讯设施等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5</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室外通道占用视频图像服务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400万室外通道占用摄像机并配置消防通道占用后AI告警功能，配套包含但不限于：支架、电源、立杆、弱电箱、存储、通讯设施等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6</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659"/>
              <w:widowControl/>
              <w:rPr>
                <w:rFonts w:hAnsi="宋体" w:eastAsia="宋体"/>
                <w:color w:val="000000"/>
                <w:sz w:val="20"/>
                <w:highlight w:val="none"/>
              </w:rPr>
            </w:pPr>
            <w:r>
              <w:rPr>
                <w:rFonts w:hint="eastAsia" w:hAnsi="宋体"/>
                <w:color w:val="000000"/>
                <w:sz w:val="20"/>
                <w:szCs w:val="20"/>
                <w:highlight w:val="none"/>
              </w:rPr>
              <w:t xml:space="preserve">视频解码显示服务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提供单面电视墙拼接、开窗、窗口跨屏漫游、场景轮巡和窗口轮巡等功能服务，支持4个1080P或2个4K图层，支持1/4/6/8/9/16/25/36窗口分屏功能，最大支持64个场景。提供包含但不限于满足该项服务内容所需的材料及相关设施</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套</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3</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Ansi="宋体" w:eastAsia="宋体"/>
                <w:color w:val="000000"/>
                <w:sz w:val="20"/>
                <w:highlight w:val="none"/>
              </w:rPr>
            </w:r>
            <w:r/>
          </w:p>
        </w:tc>
      </w:tr>
      <w:tr>
        <w:trPr>
          <w:trHeight w:val="240"/>
        </w:trPr>
        <w:tc>
          <w:tcPr>
            <w:gridSpan w:val="5"/>
            <w:shd w:val="clear" w:color="000000" w:fill="bebebe"/>
            <w:tcBorders>
              <w:top w:val="single" w:color="000000" w:sz="4" w:space="0"/>
              <w:left w:val="single" w:color="000000" w:sz="4" w:space="0"/>
              <w:bottom w:val="single" w:color="000000" w:sz="4" w:space="0"/>
              <w:right w:val="single" w:color="000000" w:sz="4" w:space="0"/>
            </w:tcBorders>
            <w:tcW w:w="9072" w:type="dxa"/>
            <w:vAlign w:val="center"/>
            <w:textDirection w:val="lrTb"/>
            <w:noWrap/>
          </w:tcPr>
          <w:p>
            <w:pPr>
              <w:pStyle w:val="659"/>
              <w:widowControl/>
              <w:rPr>
                <w:rFonts w:hAnsi="宋体" w:eastAsia="宋体"/>
                <w:b/>
                <w:bCs/>
                <w:color w:val="000000"/>
                <w:sz w:val="20"/>
                <w:highlight w:val="none"/>
              </w:rPr>
            </w:pPr>
            <w:r>
              <w:rPr>
                <w:rFonts w:hint="eastAsia" w:hAnsi="宋体" w:eastAsia="宋体"/>
                <w:b/>
                <w:bCs/>
                <w:color w:val="000000"/>
                <w:sz w:val="20"/>
                <w:highlight w:val="none"/>
              </w:rPr>
              <w:t xml:space="preserve">第二部分：景湖一园</w:t>
            </w:r>
            <w:r>
              <w:rPr>
                <w:rFonts w:hAnsi="宋体" w:eastAsia="宋体"/>
                <w:b/>
                <w:bCs/>
                <w:color w:val="000000"/>
                <w:sz w:val="20"/>
                <w:highlight w:val="none"/>
              </w:rPr>
            </w:r>
            <w:r/>
          </w:p>
        </w:tc>
        <w:tc>
          <w:tcPr>
            <w:shd w:val="clear" w:color="000000" w:fill="bebebe"/>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智能警戒视频图像服务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400万智能警戒摄像机并配置警戒区域后AI告警联动，配套包含但不限于：支架、电源、立杆、弱电箱、存储、通讯设施等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26</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智能AI检测视频图像服务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400万智能智能检测摄像机，配套包含但不限于：支架、电源、立杆、弱电箱、存储、通讯设施等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3</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出入口车辆抓拍视频图像服务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900万环保出入口车辆抓拍超卡，配套包含但不限于：爆闪灯、补光灯、支架、电源、立杆、弱电箱、存储、通讯设施等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人员聚集全景检测视频图像服务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400万双通道人员聚集全景球机，配套包含但不限于：支架、电源、立杆、弱电箱、存储、通讯设施等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5</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室外通道占用视频图像服务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400万室外通道占用摄像机并配置消防通道占用后AI告警功能，配套包含但不限于：支架、电源、立杆、弱电箱、存储、通讯设施等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26</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6</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659"/>
              <w:widowControl/>
              <w:rPr>
                <w:rFonts w:hAnsi="宋体" w:eastAsia="宋体"/>
                <w:color w:val="000000"/>
                <w:sz w:val="20"/>
                <w:highlight w:val="none"/>
              </w:rPr>
            </w:pPr>
            <w:r>
              <w:rPr>
                <w:rFonts w:hint="eastAsia" w:hAnsi="宋体"/>
                <w:color w:val="000000"/>
                <w:sz w:val="20"/>
                <w:szCs w:val="20"/>
                <w:highlight w:val="none"/>
              </w:rPr>
              <w:t xml:space="preserve">视频解码显示服务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提供单面电视墙拼接、开窗、窗口跨屏漫游、场景轮巡和窗口轮巡等功能服务，支持4个1080P或2个4K图层，支持1/4/6/8/9/16/25/36窗口分屏功能，最大支持64个场景。提供包含但不限于满足该项服务内容所需的材料及相关设施</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套</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gridSpan w:val="5"/>
            <w:shd w:val="clear" w:color="000000" w:fill="bebebe"/>
            <w:tcBorders>
              <w:top w:val="single" w:color="000000" w:sz="4" w:space="0"/>
              <w:left w:val="single" w:color="000000" w:sz="4" w:space="0"/>
              <w:bottom w:val="single" w:color="000000" w:sz="4" w:space="0"/>
              <w:right w:val="single" w:color="000000" w:sz="4" w:space="0"/>
            </w:tcBorders>
            <w:tcW w:w="9072" w:type="dxa"/>
            <w:vAlign w:val="center"/>
            <w:textDirection w:val="lrTb"/>
            <w:noWrap/>
          </w:tcPr>
          <w:p>
            <w:pPr>
              <w:pStyle w:val="659"/>
              <w:widowControl/>
              <w:rPr>
                <w:rFonts w:hAnsi="宋体" w:eastAsia="宋体"/>
                <w:b/>
                <w:bCs/>
                <w:color w:val="000000"/>
                <w:sz w:val="20"/>
                <w:highlight w:val="none"/>
              </w:rPr>
            </w:pPr>
            <w:r>
              <w:rPr>
                <w:rFonts w:hint="eastAsia" w:hAnsi="宋体" w:eastAsia="宋体"/>
                <w:b/>
                <w:bCs/>
                <w:color w:val="000000"/>
                <w:sz w:val="20"/>
                <w:highlight w:val="none"/>
              </w:rPr>
              <w:t xml:space="preserve">第三部分：景湖二三园</w:t>
            </w:r>
            <w:r>
              <w:rPr>
                <w:rFonts w:hAnsi="宋体" w:eastAsia="宋体"/>
                <w:b/>
                <w:bCs/>
                <w:color w:val="000000"/>
                <w:sz w:val="20"/>
                <w:highlight w:val="none"/>
              </w:rPr>
            </w:r>
            <w:r/>
          </w:p>
        </w:tc>
        <w:tc>
          <w:tcPr>
            <w:shd w:val="clear" w:color="000000" w:fill="bebebe"/>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智能警戒视频图像服务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400万智能警戒摄像机并配置警戒区域后AI告警联动，配套包含但不限于：支架、电源、立杆、弱电箱、存储、通讯设施等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智能AI检测视频图像服务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400万智能智能检测摄像机，配套包含但不限于：支架、电源、立杆、弱电箱、存储、通讯设施等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3</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出入口车辆抓拍视频图像服务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900万环保出入口车辆抓拍超卡，配套包含但不限于：爆闪灯、补光灯、支架、电源、立杆、弱电箱、存储、通讯设施等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人员聚集全景检测视频图像服务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400万双通道人员聚集全景球机，配套包含但不限于：支架、电源、立杆、弱电箱、存储等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5</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室外通道占用视频图像服务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400万室外通道占用摄像机并配置消防通道占用后AI告警功能，配套包含但不限于：支架、电源、立杆、弱电箱、存储等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26</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6</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659"/>
              <w:widowControl/>
              <w:rPr>
                <w:rFonts w:hAnsi="宋体" w:eastAsia="宋体"/>
                <w:color w:val="000000"/>
                <w:sz w:val="20"/>
                <w:highlight w:val="none"/>
              </w:rPr>
            </w:pPr>
            <w:r>
              <w:rPr>
                <w:rFonts w:hint="eastAsia" w:hAnsi="宋体"/>
                <w:color w:val="000000"/>
                <w:sz w:val="20"/>
                <w:szCs w:val="20"/>
                <w:highlight w:val="none"/>
              </w:rPr>
              <w:t xml:space="preserve">视频解码显示服务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提供单面电视墙拼接、开窗、窗口跨屏漫游、场景轮巡和窗口轮巡等功能服务，支持4个1080P或2个4K图层，支持1/4/6/8/9/16/25/36窗口分屏功能，最大支持64个场景。提供包含但不限于满足该项服务内容所需的材料及相关设施</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套</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gridSpan w:val="5"/>
            <w:shd w:val="clear" w:color="000000" w:fill="bebebe"/>
            <w:tcBorders>
              <w:top w:val="single" w:color="000000" w:sz="4" w:space="0"/>
              <w:left w:val="single" w:color="000000" w:sz="4" w:space="0"/>
              <w:bottom w:val="single" w:color="000000" w:sz="4" w:space="0"/>
              <w:right w:val="single" w:color="000000" w:sz="4" w:space="0"/>
            </w:tcBorders>
            <w:tcW w:w="9072" w:type="dxa"/>
            <w:vAlign w:val="center"/>
            <w:textDirection w:val="lrTb"/>
            <w:noWrap/>
          </w:tcPr>
          <w:p>
            <w:pPr>
              <w:pStyle w:val="659"/>
              <w:widowControl/>
              <w:rPr>
                <w:rFonts w:hAnsi="宋体" w:eastAsia="宋体"/>
                <w:b/>
                <w:bCs/>
                <w:color w:val="000000"/>
                <w:sz w:val="20"/>
                <w:highlight w:val="none"/>
              </w:rPr>
            </w:pPr>
            <w:r>
              <w:rPr>
                <w:rFonts w:hint="eastAsia" w:hAnsi="宋体" w:eastAsia="宋体"/>
                <w:b/>
                <w:bCs/>
                <w:color w:val="000000"/>
                <w:sz w:val="20"/>
                <w:highlight w:val="none"/>
              </w:rPr>
              <w:t xml:space="preserve">第四部分：东城三园</w:t>
            </w:r>
            <w:r>
              <w:rPr>
                <w:rFonts w:hAnsi="宋体" w:eastAsia="宋体"/>
                <w:b/>
                <w:bCs/>
                <w:color w:val="000000"/>
                <w:sz w:val="20"/>
                <w:highlight w:val="none"/>
              </w:rPr>
            </w:r>
            <w:r/>
          </w:p>
        </w:tc>
        <w:tc>
          <w:tcPr>
            <w:shd w:val="clear" w:color="000000" w:fill="bebebe"/>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智能警戒视频图像服务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400万智能警戒摄像机并配置警戒区域后AI告警联动，配套包含但不限于：支架、电源、立杆、弱电箱、存储、通讯设施等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13</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人像卡口抓拍视频图像服务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400万人像双舱摄像机，配套包含但不限于：支架、电源、立杆、弱电箱、存储、通讯设施等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3</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智能AI检测视频图像服务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400万智能智能检测摄像机，配套包含但不限于：支架、电源、立杆、弱电箱、存储、通讯设施等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10</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出入口车辆抓拍视频图像服务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900万环保出入口车辆抓拍超卡，配套包含但不限于：爆闪灯、补光灯、支架、电源、立杆、弱电箱、存储、通讯设施等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5</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人员聚集全景检测视频图像服务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400万双通道人员聚集全景球机，配套包含但不限于：支架、电源、立杆、弱电箱、存储、通讯设施等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6</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室外通道占用视频图像服务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400万室外通道占用摄像机并配置消防通道占用后AI告警功能，配套包含但不限于：支架、电源、立杆、弱电箱、存储、通讯设施等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7</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高空抛物检测视频图像服务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400万高空抛物检测摄像机并配置高空抛物检测后AI告警功能，配套包含但不限于：支架、电源、立杆、弱电箱、存储、通讯设施等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40</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8</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单元楼道视频监控服务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400万全彩半球摄像机，配套包含但不限于：支架、电源、弱电箱、存储、通讯设施等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40</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9</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室外盲区视频监控服务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400万全彩枪式摄像机，配套包含但不限于：支架、电源、立杆、弱电箱、存储、通讯设施等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路</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28</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10</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室内无声式一键报警服务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无声式一键报警主机，配套支架、电源等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套</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室外紧急报警服务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视频紧急报警柱，配套包含但不限于：支架、电源、弱电箱、存储、通讯设施等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套</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659"/>
              <w:widowControl/>
              <w:rPr>
                <w:rFonts w:hAnsi="宋体" w:eastAsia="宋体"/>
                <w:color w:val="000000"/>
                <w:sz w:val="20"/>
                <w:highlight w:val="none"/>
              </w:rPr>
            </w:pPr>
            <w:r>
              <w:rPr>
                <w:rFonts w:hint="eastAsia" w:hAnsi="宋体"/>
                <w:color w:val="000000"/>
                <w:sz w:val="20"/>
                <w:szCs w:val="20"/>
                <w:highlight w:val="none"/>
              </w:rPr>
              <w:t xml:space="preserve">视频解码显示服务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提供单面电视墙拼接、开窗、窗口跨屏漫游、场景轮巡和窗口轮巡等功能服务，支持4个1080P或2个4K图层，支持1/4/6/8/9/16/25/36窗口分屏功能，最大支持64个场景。提供包含但不限于满足该项服务内容所需的材料及相关设施</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套</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2</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13</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659"/>
              <w:widowControl/>
              <w:rPr>
                <w:rFonts w:hAnsi="宋体" w:eastAsia="宋体"/>
                <w:color w:val="000000"/>
                <w:sz w:val="20"/>
                <w:highlight w:val="none"/>
              </w:rPr>
            </w:pPr>
            <w:r>
              <w:rPr>
                <w:rFonts w:hint="eastAsia" w:hAnsi="宋体"/>
                <w:color w:val="000000"/>
                <w:sz w:val="20"/>
                <w:szCs w:val="20"/>
                <w:highlight w:val="none"/>
              </w:rPr>
              <w:t xml:space="preserve">门禁系统维护服务 </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人脸门禁系统，配套包含但不限于：7寸人脸门禁一体机、锁具、电源控制器、开门开关等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套</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40</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24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14</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659"/>
              <w:widowControl/>
              <w:rPr>
                <w:rFonts w:hAnsi="宋体" w:eastAsia="宋体"/>
                <w:color w:val="000000"/>
                <w:sz w:val="20"/>
                <w:highlight w:val="none"/>
              </w:rPr>
            </w:pPr>
            <w:r>
              <w:rPr>
                <w:rFonts w:hint="eastAsia" w:hAnsi="宋体"/>
                <w:color w:val="000000"/>
                <w:sz w:val="20"/>
                <w:szCs w:val="20"/>
                <w:highlight w:val="none"/>
              </w:rPr>
              <w:t xml:space="preserve">室外电子全彩屏服务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6平方Q4室外全套同步屏及配套配套支架、电源、支架等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块</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15</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张力式电子围档维护服务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张力式电子围栏，18个防区，配套包含但不限于：支架、电源、弱电箱、杆件、导线、定位件等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套</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16</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UPS维护服务</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59"/>
              <w:widowControl/>
              <w:rPr>
                <w:rFonts w:hAnsi="宋体" w:eastAsia="宋体"/>
                <w:color w:val="000000"/>
                <w:sz w:val="20"/>
                <w:highlight w:val="none"/>
              </w:rPr>
            </w:pPr>
            <w:r>
              <w:rPr>
                <w:rFonts w:hint="eastAsia" w:hAnsi="宋体"/>
                <w:color w:val="000000"/>
                <w:sz w:val="20"/>
                <w:szCs w:val="20"/>
                <w:highlight w:val="none"/>
              </w:rPr>
              <w:t xml:space="preserve">6KVA主机1台，电池16节及配套柜体与线材等</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项</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9"/>
              <w:jc w:val="center"/>
              <w:widowControl/>
              <w:rPr>
                <w:rFonts w:hAnsi="宋体" w:eastAsia="宋体"/>
                <w:color w:val="000000"/>
                <w:sz w:val="20"/>
                <w:highlight w:val="none"/>
              </w:rPr>
            </w:pPr>
            <w:r>
              <w:rPr>
                <w:rFonts w:hint="eastAsia" w:hAnsi="宋体"/>
                <w:color w:val="000000"/>
                <w:sz w:val="20"/>
                <w:szCs w:val="20"/>
                <w:highlight w:val="none"/>
              </w:rPr>
              <w:t xml:space="preserve">1</w:t>
            </w:r>
            <w:r>
              <w:rPr>
                <w:rFonts w:hAnsi="宋体" w:eastAsia="宋体"/>
                <w:color w:val="000000"/>
                <w:sz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659"/>
              <w:jc w:val="center"/>
              <w:widowControl/>
              <w:rPr>
                <w:rFonts w:hAnsi="宋体" w:eastAsia="宋体"/>
                <w:color w:val="000000"/>
                <w:sz w:val="20"/>
                <w:highlight w:val="none"/>
              </w:rPr>
            </w:pPr>
            <w:r>
              <w:rPr>
                <w:rFonts w:hint="eastAsia" w:hAnsi="宋体" w:eastAsia="宋体"/>
                <w:color w:val="000000"/>
                <w:sz w:val="20"/>
                <w:highlight w:val="none"/>
              </w:rPr>
              <w:t xml:space="preserve">　</w:t>
            </w:r>
            <w:r>
              <w:rPr>
                <w:rFonts w:hAnsi="宋体" w:eastAsia="宋体"/>
                <w:color w:val="000000"/>
                <w:sz w:val="20"/>
                <w:highlight w:val="none"/>
              </w:rPr>
            </w:r>
            <w:r/>
          </w:p>
        </w:tc>
      </w:tr>
    </w:tbl>
    <w:p>
      <w:pPr>
        <w:pStyle w:val="659"/>
        <w:ind w:firstLine="480"/>
        <w:spacing w:line="360" w:lineRule="auto"/>
        <w:widowControl/>
        <w:tabs>
          <w:tab w:val="left" w:pos="360" w:leader="none"/>
          <w:tab w:val="left" w:pos="567"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注：本项目不包含网络接入服务。</w:t>
      </w:r>
      <w:r>
        <w:rPr>
          <w:rFonts w:hint="eastAsia" w:ascii="宋体" w:hAnsi="宋体" w:eastAsia="宋体" w:cs="宋体"/>
          <w:b/>
          <w:bCs/>
          <w:sz w:val="21"/>
          <w:szCs w:val="21"/>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（四）系统功能技术参数</w:t>
      </w:r>
      <w:r>
        <w:rPr>
          <w:rFonts w:hint="eastAsia" w:ascii="宋体" w:hAnsi="宋体" w:eastAsia="宋体" w:cs="宋体"/>
          <w:b/>
          <w:bCs/>
          <w:color w:val="000000"/>
          <w:highlight w:val="none"/>
          <w:lang w:val="en-US" w:eastAsia="zh-CN"/>
        </w:rPr>
      </w:r>
      <w:r/>
    </w:p>
    <w:p>
      <w:pPr>
        <w:pStyle w:val="659"/>
        <w:ind w:firstLine="482"/>
        <w:spacing w:line="360" w:lineRule="auto"/>
        <w:widowControl/>
        <w:tabs>
          <w:tab w:val="left" w:pos="360" w:leader="none"/>
          <w:tab w:val="left" w:pos="567" w:leader="none"/>
        </w:tabs>
        <w:rPr>
          <w:rFonts w:hAnsi="宋体" w:eastAsia="宋体"/>
          <w:b/>
          <w:sz w:val="21"/>
          <w:szCs w:val="21"/>
          <w:highlight w:val="none"/>
        </w:rPr>
      </w:pPr>
      <w:r>
        <w:rPr>
          <w:rFonts w:hint="eastAsia" w:hAnsi="宋体" w:eastAsia="宋体"/>
          <w:b/>
          <w:sz w:val="21"/>
          <w:szCs w:val="21"/>
          <w:highlight w:val="none"/>
        </w:rPr>
        <w:t xml:space="preserve">1、视频要求：</w:t>
      </w:r>
      <w:r>
        <w:rPr>
          <w:rFonts w:hAnsi="宋体" w:eastAsia="宋体"/>
          <w:b/>
          <w:sz w:val="21"/>
          <w:szCs w:val="21"/>
          <w:highlight w:val="none"/>
        </w:rPr>
      </w:r>
      <w:r/>
    </w:p>
    <w:p>
      <w:pPr>
        <w:pStyle w:val="659"/>
        <w:ind w:firstLine="480"/>
        <w:spacing w:line="360" w:lineRule="auto"/>
        <w:widowControl/>
        <w:tabs>
          <w:tab w:val="left" w:pos="360" w:leader="none"/>
          <w:tab w:val="left" w:pos="567" w:leader="none"/>
        </w:tabs>
        <w:rPr>
          <w:rFonts w:hAnsi="宋体" w:eastAsia="宋体"/>
          <w:b/>
          <w:sz w:val="21"/>
          <w:szCs w:val="21"/>
          <w:highlight w:val="none"/>
        </w:rPr>
      </w:pPr>
      <w:r>
        <w:rPr>
          <w:rFonts w:hint="eastAsia" w:hAnsi="宋体" w:eastAsia="宋体"/>
          <w:sz w:val="21"/>
          <w:szCs w:val="21"/>
          <w:highlight w:val="none"/>
        </w:rPr>
        <w:t xml:space="preserve">1.1、送达的视频应流畅，无拖影、无动画感，图像延迟不能超过200毫秒，实时视频调出时的响应时间应小于1秒，视频控制切换响应时间小于1秒，前端设备控制延时小于1秒，监控视频显示与实际事件发生时间差小于1秒，设同步服务器并应予同步。</w:t>
      </w:r>
      <w:r>
        <w:rPr>
          <w:rFonts w:hAnsi="宋体" w:eastAsia="宋体"/>
          <w:b/>
          <w:sz w:val="21"/>
          <w:szCs w:val="21"/>
          <w:highlight w:val="none"/>
        </w:rPr>
      </w:r>
      <w:r/>
    </w:p>
    <w:p>
      <w:pPr>
        <w:pStyle w:val="659"/>
        <w:ind w:firstLine="480"/>
        <w:spacing w:line="360" w:lineRule="auto"/>
        <w:widowControl/>
        <w:tabs>
          <w:tab w:val="left" w:pos="360" w:leader="none"/>
          <w:tab w:val="left" w:pos="567" w:leader="none"/>
        </w:tabs>
        <w:rPr>
          <w:rFonts w:hAnsi="宋体" w:eastAsia="宋体"/>
          <w:b/>
          <w:sz w:val="21"/>
          <w:szCs w:val="21"/>
          <w:highlight w:val="none"/>
        </w:rPr>
      </w:pPr>
      <w:r>
        <w:rPr>
          <w:rFonts w:hint="eastAsia" w:hAnsi="宋体" w:eastAsia="宋体"/>
          <w:sz w:val="21"/>
          <w:szCs w:val="21"/>
          <w:highlight w:val="none"/>
        </w:rPr>
        <w:t xml:space="preserve">1.2、系统以1个服务点位为一个计量单位。</w:t>
      </w:r>
      <w:r>
        <w:rPr>
          <w:rFonts w:hAnsi="宋体" w:eastAsia="宋体"/>
          <w:b/>
          <w:sz w:val="21"/>
          <w:szCs w:val="21"/>
          <w:highlight w:val="none"/>
        </w:rPr>
      </w:r>
      <w:r/>
    </w:p>
    <w:p>
      <w:pPr>
        <w:pStyle w:val="659"/>
        <w:ind w:firstLine="480"/>
        <w:spacing w:line="360" w:lineRule="auto"/>
        <w:widowControl/>
        <w:tabs>
          <w:tab w:val="left" w:pos="360" w:leader="none"/>
          <w:tab w:val="left" w:pos="567" w:leader="none"/>
        </w:tabs>
        <w:rPr>
          <w:rFonts w:hAnsi="宋体" w:eastAsia="宋体"/>
          <w:b/>
          <w:sz w:val="21"/>
          <w:szCs w:val="21"/>
          <w:highlight w:val="none"/>
        </w:rPr>
      </w:pPr>
      <w:r>
        <w:rPr>
          <w:rFonts w:hint="eastAsia" w:hAnsi="宋体" w:eastAsia="宋体"/>
          <w:sz w:val="21"/>
          <w:szCs w:val="21"/>
          <w:highlight w:val="none"/>
        </w:rPr>
        <w:t xml:space="preserve">1.3、高清治安监控图像服务技术参数不低于图像服务技术性能参数要求。</w:t>
      </w:r>
      <w:r>
        <w:rPr>
          <w:rFonts w:hAnsi="宋体" w:eastAsia="宋体"/>
          <w:b/>
          <w:sz w:val="21"/>
          <w:szCs w:val="21"/>
          <w:highlight w:val="none"/>
        </w:rPr>
      </w:r>
      <w:r/>
    </w:p>
    <w:p>
      <w:pPr>
        <w:pStyle w:val="659"/>
        <w:ind w:firstLine="482"/>
        <w:spacing w:line="360" w:lineRule="auto"/>
        <w:widowControl/>
        <w:tabs>
          <w:tab w:val="left" w:pos="360" w:leader="none"/>
          <w:tab w:val="left" w:pos="567" w:leader="none"/>
        </w:tabs>
        <w:rPr>
          <w:rFonts w:hAnsi="宋体" w:eastAsia="宋体"/>
          <w:b/>
          <w:sz w:val="21"/>
          <w:szCs w:val="21"/>
          <w:highlight w:val="none"/>
        </w:rPr>
      </w:pPr>
      <w:r>
        <w:rPr>
          <w:rFonts w:hint="eastAsia" w:hAnsi="宋体" w:eastAsia="宋体"/>
          <w:b/>
          <w:sz w:val="21"/>
          <w:szCs w:val="21"/>
          <w:highlight w:val="none"/>
        </w:rPr>
        <w:t xml:space="preserve">2、网络传输要求：</w:t>
      </w:r>
      <w:r>
        <w:rPr>
          <w:rFonts w:hAnsi="宋体" w:eastAsia="宋体"/>
          <w:b/>
          <w:sz w:val="21"/>
          <w:szCs w:val="21"/>
          <w:highlight w:val="none"/>
        </w:rPr>
      </w:r>
      <w:r/>
    </w:p>
    <w:p>
      <w:pPr>
        <w:pStyle w:val="659"/>
        <w:ind w:firstLine="480"/>
        <w:spacing w:line="360" w:lineRule="auto"/>
        <w:widowControl/>
        <w:tabs>
          <w:tab w:val="left" w:pos="360" w:leader="none"/>
          <w:tab w:val="left" w:pos="567" w:leader="none"/>
          <w:tab w:val="left" w:pos="644" w:leader="none"/>
          <w:tab w:val="left" w:pos="786" w:leader="none"/>
        </w:tabs>
        <w:rPr>
          <w:rFonts w:hAnsi="宋体" w:eastAsia="宋体"/>
          <w:sz w:val="21"/>
          <w:szCs w:val="21"/>
          <w:highlight w:val="none"/>
        </w:rPr>
      </w:pPr>
      <w:r>
        <w:rPr>
          <w:rFonts w:hint="eastAsia" w:hAnsi="宋体" w:eastAsia="宋体"/>
          <w:sz w:val="21"/>
          <w:szCs w:val="21"/>
          <w:highlight w:val="none"/>
        </w:rPr>
        <w:t xml:space="preserve">2.1、网络传输介质按照设计方案要求采用单模光纤作传输介质，基于EPON架构的 IP 传输技术组建监控视频专网。</w:t>
      </w:r>
      <w:r>
        <w:rPr>
          <w:rFonts w:hAnsi="宋体" w:eastAsia="宋体"/>
          <w:sz w:val="21"/>
          <w:szCs w:val="21"/>
          <w:highlight w:val="none"/>
        </w:rPr>
      </w:r>
      <w:r/>
    </w:p>
    <w:p>
      <w:pPr>
        <w:pStyle w:val="659"/>
        <w:ind w:firstLine="480"/>
        <w:spacing w:line="360" w:lineRule="auto"/>
        <w:widowControl/>
        <w:tabs>
          <w:tab w:val="left" w:pos="360" w:leader="none"/>
          <w:tab w:val="left" w:pos="567" w:leader="none"/>
          <w:tab w:val="left" w:pos="644" w:leader="none"/>
          <w:tab w:val="left" w:pos="786" w:leader="none"/>
        </w:tabs>
        <w:rPr>
          <w:rFonts w:hAnsi="宋体" w:eastAsia="宋体"/>
          <w:sz w:val="21"/>
          <w:szCs w:val="21"/>
          <w:highlight w:val="none"/>
        </w:rPr>
      </w:pPr>
      <w:r>
        <w:rPr>
          <w:rFonts w:hint="eastAsia" w:hAnsi="宋体" w:eastAsia="宋体"/>
          <w:sz w:val="21"/>
          <w:szCs w:val="21"/>
          <w:highlight w:val="none"/>
        </w:rPr>
        <w:t xml:space="preserve">2.2、每个点位的传输带宽不小于20M；各汇聚机房到中心机房传输带宽不小于10G；通过适当的QOS策略确保当汇聚交换机处理正常的数据交换业务均能传送优质的图象画面，保证网络的数据传输实时、准确、完整。</w:t>
      </w:r>
      <w:r>
        <w:rPr>
          <w:rFonts w:hAnsi="宋体" w:eastAsia="宋体"/>
          <w:sz w:val="21"/>
          <w:szCs w:val="21"/>
          <w:highlight w:val="none"/>
        </w:rPr>
      </w:r>
      <w:r/>
    </w:p>
    <w:p>
      <w:pPr>
        <w:pStyle w:val="659"/>
        <w:ind w:firstLine="480"/>
        <w:spacing w:line="360" w:lineRule="auto"/>
        <w:widowControl/>
        <w:tabs>
          <w:tab w:val="left" w:pos="360" w:leader="none"/>
          <w:tab w:val="left" w:pos="567" w:leader="none"/>
          <w:tab w:val="left" w:pos="644" w:leader="none"/>
          <w:tab w:val="left" w:pos="786" w:leader="none"/>
        </w:tabs>
        <w:rPr>
          <w:rFonts w:hAnsi="宋体" w:eastAsia="宋体"/>
          <w:sz w:val="21"/>
          <w:szCs w:val="21"/>
          <w:highlight w:val="none"/>
        </w:rPr>
      </w:pPr>
      <w:r>
        <w:rPr>
          <w:rFonts w:hint="eastAsia" w:hAnsi="宋体" w:eastAsia="宋体"/>
          <w:sz w:val="21"/>
          <w:szCs w:val="21"/>
          <w:highlight w:val="none"/>
        </w:rPr>
        <w:t xml:space="preserve">2.3、在大流量、突发性数据流冲击带宽时，视频运作平稳，不影响画质，上行方向传输平均时延≤0.1ms，下行方向传输平均时延≤0.1ms。</w:t>
      </w:r>
      <w:r>
        <w:rPr>
          <w:rFonts w:hAnsi="宋体" w:eastAsia="宋体"/>
          <w:sz w:val="21"/>
          <w:szCs w:val="21"/>
          <w:highlight w:val="none"/>
        </w:rPr>
      </w:r>
      <w:r/>
    </w:p>
    <w:p>
      <w:pPr>
        <w:pStyle w:val="659"/>
        <w:ind w:firstLine="480"/>
        <w:spacing w:line="360" w:lineRule="auto"/>
        <w:widowControl/>
        <w:tabs>
          <w:tab w:val="left" w:pos="360" w:leader="none"/>
          <w:tab w:val="left" w:pos="567" w:leader="none"/>
          <w:tab w:val="left" w:pos="644" w:leader="none"/>
          <w:tab w:val="left" w:pos="786" w:leader="none"/>
        </w:tabs>
        <w:rPr>
          <w:rFonts w:hAnsi="宋体" w:eastAsia="宋体"/>
          <w:sz w:val="21"/>
          <w:szCs w:val="21"/>
          <w:highlight w:val="none"/>
        </w:rPr>
      </w:pPr>
      <w:r>
        <w:rPr>
          <w:rFonts w:hint="eastAsia" w:hAnsi="宋体" w:eastAsia="宋体"/>
          <w:sz w:val="21"/>
          <w:szCs w:val="21"/>
          <w:highlight w:val="none"/>
        </w:rPr>
        <w:t xml:space="preserve">2.4、网络应具备冗余链路，两条链路须全程保持不同物理路由，防止因同路由光纤链路中断而导致网络中断，双链路捆绑后满足MTTF 99.99%的要求，单路光纤链路MTTR 4小时。</w:t>
      </w:r>
      <w:r>
        <w:rPr>
          <w:rFonts w:hAnsi="宋体" w:eastAsia="宋体"/>
          <w:sz w:val="21"/>
          <w:szCs w:val="21"/>
          <w:highlight w:val="none"/>
        </w:rPr>
      </w:r>
      <w:r/>
    </w:p>
    <w:p>
      <w:pPr>
        <w:pStyle w:val="659"/>
        <w:ind w:firstLine="480"/>
        <w:spacing w:line="360" w:lineRule="auto"/>
        <w:widowControl/>
        <w:tabs>
          <w:tab w:val="left" w:pos="360" w:leader="none"/>
          <w:tab w:val="left" w:pos="567" w:leader="none"/>
          <w:tab w:val="left" w:pos="644" w:leader="none"/>
          <w:tab w:val="left" w:pos="786" w:leader="none"/>
        </w:tabs>
        <w:rPr>
          <w:rFonts w:hAnsi="宋体" w:eastAsia="宋体"/>
          <w:sz w:val="21"/>
          <w:szCs w:val="21"/>
          <w:highlight w:val="none"/>
        </w:rPr>
      </w:pPr>
      <w:r>
        <w:rPr>
          <w:rFonts w:hint="eastAsia" w:hAnsi="宋体" w:eastAsia="宋体"/>
          <w:sz w:val="21"/>
          <w:szCs w:val="21"/>
          <w:highlight w:val="none"/>
        </w:rPr>
        <w:t xml:space="preserve">2.5、具有网络管理系统，具有图形化网络管界面；具备全网自动监控报警功能；系统配置功能：网管系统可根据系统所有设备的网管地址在中心网管软件上进行添加，并更加系统实际拓扑构建拓扑图，支持树型列表，并可根据需要修改网络拓扑结构。</w:t>
      </w:r>
      <w:r>
        <w:rPr>
          <w:rFonts w:hAnsi="宋体" w:eastAsia="宋体"/>
          <w:sz w:val="21"/>
          <w:szCs w:val="21"/>
          <w:highlight w:val="none"/>
        </w:rPr>
      </w:r>
      <w:r/>
    </w:p>
    <w:p>
      <w:pPr>
        <w:pStyle w:val="659"/>
        <w:ind w:firstLine="480"/>
        <w:spacing w:line="360" w:lineRule="auto"/>
        <w:widowControl/>
        <w:tabs>
          <w:tab w:val="left" w:pos="360" w:leader="none"/>
          <w:tab w:val="left" w:pos="567" w:leader="none"/>
          <w:tab w:val="left" w:pos="644" w:leader="none"/>
          <w:tab w:val="left" w:pos="786" w:leader="none"/>
        </w:tabs>
        <w:rPr>
          <w:rFonts w:hAnsi="宋体" w:eastAsia="宋体"/>
          <w:sz w:val="21"/>
          <w:szCs w:val="21"/>
          <w:highlight w:val="none"/>
        </w:rPr>
      </w:pPr>
      <w:r>
        <w:rPr>
          <w:rFonts w:hint="eastAsia" w:hAnsi="宋体" w:eastAsia="宋体"/>
          <w:sz w:val="21"/>
          <w:szCs w:val="21"/>
          <w:highlight w:val="none"/>
        </w:rPr>
        <w:t xml:space="preserve">2.6、网络传输使用的路由器、交换机、OLT、ONU、光纤及其他网络设备技术参数不低于设备技术性能参数要求。</w:t>
      </w:r>
      <w:r>
        <w:rPr>
          <w:rFonts w:hAnsi="宋体" w:eastAsia="宋体"/>
          <w:sz w:val="21"/>
          <w:szCs w:val="21"/>
          <w:highlight w:val="none"/>
        </w:rPr>
      </w:r>
      <w:r/>
    </w:p>
    <w:p>
      <w:pPr>
        <w:pStyle w:val="659"/>
        <w:ind w:firstLine="482"/>
        <w:spacing w:line="360" w:lineRule="auto"/>
        <w:widowControl/>
        <w:rPr>
          <w:rFonts w:hAnsi="宋体" w:eastAsia="宋体"/>
          <w:b/>
          <w:sz w:val="21"/>
          <w:szCs w:val="21"/>
          <w:highlight w:val="none"/>
        </w:rPr>
      </w:pPr>
      <w:r>
        <w:rPr>
          <w:rFonts w:hint="eastAsia" w:hAnsi="宋体" w:eastAsia="宋体"/>
          <w:b/>
          <w:sz w:val="21"/>
          <w:szCs w:val="21"/>
          <w:highlight w:val="none"/>
        </w:rPr>
        <w:t xml:space="preserve">3、图像存储服务，服务要求：</w:t>
      </w:r>
      <w:r>
        <w:rPr>
          <w:rFonts w:hAnsi="宋体" w:eastAsia="宋体"/>
          <w:b/>
          <w:sz w:val="21"/>
          <w:szCs w:val="21"/>
          <w:highlight w:val="none"/>
        </w:rPr>
      </w:r>
      <w:r/>
    </w:p>
    <w:p>
      <w:pPr>
        <w:pStyle w:val="659"/>
        <w:ind w:firstLine="420"/>
        <w:spacing w:line="360" w:lineRule="auto"/>
        <w:widowControl/>
        <w:rPr>
          <w:rFonts w:hAnsi="宋体" w:eastAsia="宋体"/>
          <w:bCs/>
          <w:sz w:val="21"/>
          <w:szCs w:val="21"/>
          <w:highlight w:val="none"/>
        </w:rPr>
      </w:pPr>
      <w:r>
        <w:rPr>
          <w:rFonts w:hint="eastAsia" w:hAnsi="宋体" w:eastAsia="宋体"/>
          <w:bCs/>
          <w:sz w:val="21"/>
          <w:szCs w:val="21"/>
          <w:highlight w:val="none"/>
        </w:rPr>
        <w:t xml:space="preserve">支持音频设备与视频设备独立管理，支持网络拾音器的接入、校时；最大16路音频设备管理；</w:t>
      </w:r>
      <w:r>
        <w:rPr>
          <w:rFonts w:hAnsi="宋体" w:eastAsia="宋体"/>
          <w:bCs/>
          <w:sz w:val="21"/>
          <w:szCs w:val="21"/>
          <w:highlight w:val="none"/>
        </w:rPr>
      </w:r>
      <w:r/>
    </w:p>
    <w:p>
      <w:pPr>
        <w:pStyle w:val="659"/>
        <w:ind w:firstLine="420"/>
        <w:spacing w:line="360" w:lineRule="auto"/>
        <w:widowControl/>
        <w:rPr>
          <w:rFonts w:hAnsi="宋体" w:eastAsia="宋体"/>
          <w:bCs/>
          <w:sz w:val="21"/>
          <w:szCs w:val="21"/>
          <w:highlight w:val="none"/>
        </w:rPr>
      </w:pPr>
      <w:r>
        <w:rPr>
          <w:rFonts w:hint="eastAsia" w:hAnsi="宋体" w:eastAsia="宋体"/>
          <w:bCs/>
          <w:sz w:val="21"/>
          <w:szCs w:val="21"/>
          <w:highlight w:val="none"/>
        </w:rPr>
        <w:t xml:space="preserve">支持音视频动态调整组合分配功能，可将任一路音频与任一路视频组合成复合流编码；</w:t>
      </w:r>
      <w:r>
        <w:rPr>
          <w:rFonts w:hAnsi="宋体" w:eastAsia="宋体"/>
          <w:bCs/>
          <w:sz w:val="21"/>
          <w:szCs w:val="21"/>
          <w:highlight w:val="none"/>
        </w:rPr>
      </w:r>
      <w:r/>
    </w:p>
    <w:p>
      <w:pPr>
        <w:pStyle w:val="659"/>
        <w:ind w:firstLine="420"/>
        <w:spacing w:line="360" w:lineRule="auto"/>
        <w:widowControl/>
        <w:rPr>
          <w:rFonts w:hAnsi="宋体" w:eastAsia="宋体"/>
          <w:bCs/>
          <w:sz w:val="21"/>
          <w:szCs w:val="21"/>
          <w:highlight w:val="none"/>
        </w:rPr>
      </w:pPr>
      <w:r>
        <w:rPr>
          <w:rFonts w:hint="eastAsia" w:hAnsi="宋体" w:eastAsia="宋体"/>
          <w:bCs/>
          <w:sz w:val="21"/>
          <w:szCs w:val="21"/>
          <w:highlight w:val="none"/>
        </w:rPr>
        <w:t xml:space="preserve">支持网络端口扫描行为预警，可自动封禁IP，并上报预警，支持远程下发IP拦截；</w:t>
      </w:r>
      <w:r>
        <w:rPr>
          <w:rFonts w:hAnsi="宋体" w:eastAsia="宋体"/>
          <w:bCs/>
          <w:sz w:val="21"/>
          <w:szCs w:val="21"/>
          <w:highlight w:val="none"/>
        </w:rPr>
      </w:r>
      <w:r/>
    </w:p>
    <w:p>
      <w:pPr>
        <w:pStyle w:val="659"/>
        <w:ind w:firstLine="420"/>
        <w:spacing w:line="360" w:lineRule="auto"/>
        <w:widowControl/>
        <w:rPr>
          <w:rFonts w:hAnsi="宋体" w:eastAsia="宋体"/>
          <w:bCs/>
          <w:sz w:val="21"/>
          <w:szCs w:val="21"/>
          <w:highlight w:val="none"/>
          <w:lang w:eastAsia="en-US"/>
        </w:rPr>
      </w:pPr>
      <w:r>
        <w:rPr>
          <w:rFonts w:hint="eastAsia" w:hAnsi="宋体" w:eastAsia="宋体"/>
          <w:bCs/>
          <w:sz w:val="21"/>
          <w:szCs w:val="21"/>
          <w:highlight w:val="none"/>
          <w:lang w:eastAsia="en-US"/>
        </w:rPr>
        <w:t xml:space="preserve">支持自动跳转https功能，设备启用自动跳转https功能后不支持http协议访问，http访问入口连接会自动重定向到https入口；</w:t>
      </w:r>
      <w:r>
        <w:rPr>
          <w:rFonts w:hAnsi="宋体" w:eastAsia="宋体"/>
          <w:bCs/>
          <w:sz w:val="21"/>
          <w:szCs w:val="21"/>
          <w:highlight w:val="none"/>
          <w:lang w:eastAsia="en-US"/>
        </w:rPr>
      </w:r>
      <w:r/>
    </w:p>
    <w:p>
      <w:pPr>
        <w:pStyle w:val="659"/>
        <w:ind w:firstLine="420"/>
        <w:spacing w:line="360" w:lineRule="auto"/>
        <w:widowControl/>
        <w:rPr>
          <w:rFonts w:hAnsi="宋体" w:eastAsia="宋体"/>
          <w:sz w:val="21"/>
          <w:szCs w:val="21"/>
          <w:highlight w:val="none"/>
        </w:rPr>
      </w:pPr>
      <w:r>
        <w:rPr>
          <w:rFonts w:hint="eastAsia" w:hAnsi="宋体" w:eastAsia="宋体"/>
          <w:bCs/>
          <w:sz w:val="21"/>
          <w:szCs w:val="21"/>
          <w:highlight w:val="none"/>
        </w:rPr>
        <w:t xml:space="preserve">支持查看在线用户信息，包括用户名、用户类型、IP地址和用户最后操作时间等维护信息；</w:t>
      </w:r>
      <w:r>
        <w:rPr>
          <w:rFonts w:hAnsi="宋体" w:eastAsia="宋体"/>
          <w:sz w:val="21"/>
          <w:szCs w:val="21"/>
          <w:highlight w:val="none"/>
        </w:rPr>
      </w:r>
      <w:r/>
    </w:p>
    <w:p>
      <w:pPr>
        <w:pStyle w:val="659"/>
        <w:ind w:firstLine="482"/>
        <w:spacing w:line="360" w:lineRule="auto"/>
        <w:widowControl/>
        <w:rPr>
          <w:rFonts w:hAnsi="宋体" w:eastAsia="宋体"/>
          <w:sz w:val="21"/>
          <w:szCs w:val="21"/>
          <w:highlight w:val="none"/>
        </w:rPr>
      </w:pPr>
      <w:r>
        <w:rPr>
          <w:rFonts w:hint="eastAsia" w:hAnsi="宋体" w:eastAsia="宋体"/>
          <w:b/>
          <w:sz w:val="21"/>
          <w:szCs w:val="21"/>
          <w:highlight w:val="none"/>
        </w:rPr>
        <w:t xml:space="preserve">4、图像存储服务其他要求：</w:t>
      </w:r>
      <w:r>
        <w:rPr>
          <w:rFonts w:hAnsi="宋体" w:eastAsia="宋体"/>
          <w:sz w:val="21"/>
          <w:szCs w:val="21"/>
          <w:highlight w:val="none"/>
        </w:rPr>
      </w:r>
      <w:r/>
    </w:p>
    <w:p>
      <w:pPr>
        <w:pStyle w:val="659"/>
        <w:ind w:firstLine="480"/>
        <w:spacing w:line="360" w:lineRule="auto"/>
        <w:widowControl/>
        <w:rPr>
          <w:rFonts w:hAnsi="宋体" w:eastAsia="宋体"/>
          <w:sz w:val="21"/>
          <w:szCs w:val="21"/>
          <w:highlight w:val="none"/>
        </w:rPr>
      </w:pPr>
      <w:r>
        <w:rPr>
          <w:rFonts w:hint="eastAsia" w:hAnsi="宋体" w:eastAsia="宋体"/>
          <w:bCs/>
          <w:sz w:val="21"/>
          <w:szCs w:val="21"/>
          <w:highlight w:val="none"/>
        </w:rPr>
        <w:t xml:space="preserve">4.1、</w:t>
      </w:r>
      <w:r>
        <w:rPr>
          <w:rFonts w:hint="eastAsia" w:hAnsi="宋体" w:eastAsia="宋体"/>
          <w:sz w:val="21"/>
          <w:szCs w:val="21"/>
          <w:highlight w:val="none"/>
        </w:rPr>
        <w:t xml:space="preserve">存储系统应采用分布式存储数据库，应具有分布式存储和计算、数据分片机制、数据复制机制、集群负载均衡机制、故障转移机制、水平扩展机制、节点宕机保障机制、数据备份机制、基于数据总线的数据共享机制等。</w:t>
      </w:r>
      <w:r>
        <w:rPr>
          <w:rFonts w:hAnsi="宋体" w:eastAsia="宋体"/>
          <w:sz w:val="21"/>
          <w:szCs w:val="21"/>
          <w:highlight w:val="none"/>
        </w:rPr>
      </w:r>
      <w:r/>
    </w:p>
    <w:p>
      <w:pPr>
        <w:pStyle w:val="659"/>
        <w:ind w:firstLine="480"/>
        <w:spacing w:line="360" w:lineRule="auto"/>
        <w:widowControl/>
        <w:rPr>
          <w:rFonts w:hAnsi="宋体" w:eastAsia="宋体"/>
          <w:sz w:val="21"/>
          <w:szCs w:val="21"/>
          <w:highlight w:val="none"/>
        </w:rPr>
      </w:pPr>
      <w:r>
        <w:rPr>
          <w:rFonts w:hint="eastAsia" w:hAnsi="宋体" w:eastAsia="宋体"/>
          <w:sz w:val="21"/>
          <w:szCs w:val="21"/>
          <w:highlight w:val="none"/>
        </w:rPr>
        <w:t xml:space="preserve">4.2、系统采用数据总线结构，预留与其他信息系统的数据共享、交互接口，如智慧城市数据接口、业务数据接口、标准数据接口（SOA\REST）、市公安局数据接口、第三方数据接口、面向主题的数据接口、中介服务接口等，可实现更高层面的集成与联动。</w:t>
      </w:r>
      <w:r>
        <w:rPr>
          <w:rFonts w:hAnsi="宋体" w:eastAsia="宋体"/>
          <w:sz w:val="21"/>
          <w:szCs w:val="21"/>
          <w:highlight w:val="none"/>
        </w:rPr>
      </w:r>
      <w:r/>
    </w:p>
    <w:p>
      <w:pPr>
        <w:pStyle w:val="659"/>
        <w:ind w:firstLine="480"/>
        <w:spacing w:line="360" w:lineRule="auto"/>
        <w:widowControl/>
        <w:rPr>
          <w:rFonts w:hAnsi="宋体" w:eastAsia="宋体"/>
          <w:sz w:val="21"/>
          <w:szCs w:val="21"/>
          <w:highlight w:val="none"/>
        </w:rPr>
      </w:pPr>
      <w:r>
        <w:rPr>
          <w:rFonts w:hint="eastAsia" w:hAnsi="宋体" w:eastAsia="宋体"/>
          <w:sz w:val="21"/>
          <w:szCs w:val="21"/>
          <w:highlight w:val="none"/>
        </w:rPr>
        <w:t xml:space="preserve">4.3、网络存储设备主要包括分布式存储数据库服务器，数据总线服务器、网络存储设备和存储硬盘等，设备相关技术参数不低于设备技术性能参数要求。</w:t>
      </w:r>
      <w:r>
        <w:rPr>
          <w:rFonts w:hAnsi="宋体" w:eastAsia="宋体"/>
          <w:sz w:val="21"/>
          <w:szCs w:val="21"/>
          <w:highlight w:val="none"/>
        </w:rPr>
      </w:r>
      <w:r/>
    </w:p>
    <w:p>
      <w:pPr>
        <w:pStyle w:val="659"/>
        <w:ind w:firstLine="482"/>
        <w:spacing w:line="360" w:lineRule="auto"/>
        <w:widowControl/>
        <w:tabs>
          <w:tab w:val="left" w:pos="567" w:leader="none"/>
        </w:tabs>
        <w:rPr>
          <w:rFonts w:hAnsi="宋体" w:eastAsia="宋体"/>
          <w:b/>
          <w:bCs/>
          <w:sz w:val="21"/>
          <w:szCs w:val="21"/>
          <w:highlight w:val="none"/>
        </w:rPr>
      </w:pPr>
      <w:r>
        <w:rPr>
          <w:rFonts w:hint="eastAsia" w:hAnsi="宋体" w:eastAsia="宋体"/>
          <w:b/>
          <w:bCs/>
          <w:sz w:val="21"/>
          <w:szCs w:val="21"/>
          <w:highlight w:val="none"/>
        </w:rPr>
        <w:t xml:space="preserve">5、接入要求</w:t>
      </w:r>
      <w:r>
        <w:rPr>
          <w:rFonts w:hAnsi="宋体" w:eastAsia="宋体"/>
          <w:b/>
          <w:bCs/>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5.1、监控服务点按属地要求提供派出所网络设备，并在派出所的PC终端上部署监控值守软件，支持64路以上并发访问。</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bCs/>
          <w:sz w:val="21"/>
          <w:szCs w:val="21"/>
          <w:highlight w:val="none"/>
        </w:rPr>
      </w:pPr>
      <w:r>
        <w:rPr>
          <w:rFonts w:hint="eastAsia" w:hAnsi="宋体" w:eastAsia="宋体"/>
          <w:bCs/>
          <w:sz w:val="21"/>
          <w:szCs w:val="21"/>
          <w:highlight w:val="none"/>
        </w:rPr>
        <w:t xml:space="preserve">5.2、</w:t>
      </w:r>
      <w:r>
        <w:rPr>
          <w:rFonts w:hint="eastAsia" w:hAnsi="宋体" w:eastAsia="宋体"/>
          <w:sz w:val="21"/>
          <w:szCs w:val="21"/>
          <w:highlight w:val="none"/>
        </w:rPr>
        <w:t xml:space="preserve">按设计方案要求，组织实施与视频专网的安全对接。</w:t>
      </w:r>
      <w:r>
        <w:rPr>
          <w:rFonts w:hAnsi="宋体" w:eastAsia="宋体"/>
          <w:bCs/>
          <w:sz w:val="21"/>
          <w:szCs w:val="21"/>
          <w:highlight w:val="none"/>
        </w:rPr>
      </w:r>
      <w:r/>
    </w:p>
    <w:p>
      <w:pPr>
        <w:pStyle w:val="659"/>
        <w:ind w:firstLine="480"/>
        <w:spacing w:line="360" w:lineRule="auto"/>
        <w:widowControl/>
        <w:tabs>
          <w:tab w:val="left" w:pos="567" w:leader="none"/>
        </w:tabs>
        <w:rPr>
          <w:rFonts w:hAnsi="宋体" w:eastAsia="宋体"/>
          <w:b/>
          <w:bCs/>
          <w:sz w:val="21"/>
          <w:szCs w:val="21"/>
          <w:highlight w:val="none"/>
        </w:rPr>
      </w:pPr>
      <w:r>
        <w:rPr>
          <w:rFonts w:hint="eastAsia" w:hAnsi="宋体" w:eastAsia="宋体"/>
          <w:bCs/>
          <w:sz w:val="21"/>
          <w:szCs w:val="21"/>
          <w:highlight w:val="none"/>
        </w:rPr>
        <w:t xml:space="preserve">5.3、</w:t>
      </w:r>
      <w:r>
        <w:rPr>
          <w:rFonts w:hint="eastAsia" w:hAnsi="宋体" w:eastAsia="宋体"/>
          <w:sz w:val="21"/>
          <w:szCs w:val="21"/>
          <w:highlight w:val="none"/>
        </w:rPr>
        <w:t xml:space="preserve">接入所需的网络服务、图像存储服务等相关技术参数不低于服务技术性能参数要求。</w:t>
      </w:r>
      <w:r>
        <w:rPr>
          <w:rFonts w:hAnsi="宋体" w:eastAsia="宋体"/>
          <w:b/>
          <w:bCs/>
          <w:sz w:val="21"/>
          <w:szCs w:val="21"/>
          <w:highlight w:val="none"/>
        </w:rPr>
      </w:r>
      <w:r/>
    </w:p>
    <w:p>
      <w:pPr>
        <w:pStyle w:val="659"/>
        <w:ind w:firstLine="482"/>
        <w:spacing w:line="360" w:lineRule="auto"/>
        <w:widowControl/>
        <w:tabs>
          <w:tab w:val="left" w:pos="567" w:leader="none"/>
        </w:tabs>
        <w:rPr>
          <w:rFonts w:hAnsi="宋体" w:eastAsia="宋体"/>
          <w:b/>
          <w:bCs/>
          <w:sz w:val="21"/>
          <w:szCs w:val="21"/>
          <w:highlight w:val="none"/>
        </w:rPr>
      </w:pPr>
      <w:r>
        <w:rPr>
          <w:rFonts w:hint="eastAsia" w:hAnsi="宋体" w:eastAsia="宋体"/>
          <w:b/>
          <w:bCs/>
          <w:sz w:val="21"/>
          <w:szCs w:val="21"/>
          <w:highlight w:val="none"/>
        </w:rPr>
        <w:t xml:space="preserve">6、软件系统要求</w:t>
      </w:r>
      <w:r>
        <w:rPr>
          <w:rFonts w:hAnsi="宋体" w:eastAsia="宋体"/>
          <w:b/>
          <w:bCs/>
          <w:sz w:val="21"/>
          <w:szCs w:val="21"/>
          <w:highlight w:val="none"/>
        </w:rPr>
      </w:r>
      <w:r/>
    </w:p>
    <w:p>
      <w:pPr>
        <w:pStyle w:val="659"/>
        <w:ind w:firstLine="480"/>
        <w:spacing w:line="360" w:lineRule="auto"/>
        <w:widowControl/>
        <w:tabs>
          <w:tab w:val="left" w:pos="567" w:leader="none"/>
          <w:tab w:val="left" w:pos="644" w:leader="none"/>
        </w:tabs>
        <w:rPr>
          <w:rFonts w:hAnsi="宋体" w:eastAsia="宋体"/>
          <w:sz w:val="21"/>
          <w:szCs w:val="21"/>
          <w:highlight w:val="none"/>
        </w:rPr>
      </w:pPr>
      <w:r>
        <w:rPr>
          <w:rFonts w:hint="eastAsia" w:hAnsi="宋体" w:eastAsia="宋体"/>
          <w:sz w:val="21"/>
          <w:szCs w:val="21"/>
          <w:highlight w:val="none"/>
        </w:rPr>
        <w:t xml:space="preserve">6.1、派出所值守系统终端软件（具体功能需满足设计方案要求和采购人的实际需要）</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本项目中配置视频客户端软件，可独立运行于装有Windows操作系统的个人电脑上，实现通过网络实时接收视频图像，完整实现接入本派出所板块的数字视频监控的各项功能，主要功能包括：查看直播图像、录像和回放、收藏夹、打开Web界面和图片文件、多画面分割切换、云台控制、视频颜色调节、巡检、事件、日志、电视墙等。</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6.2、值守系统（具体功能需满足设计方案要求和采购人的实际需要）</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6.2.1、用户管理：对于所有用户采用集中式、分区管理的方式进行组织。用户管理包括用户认证管理、用户查询、用户增加和删除、用户分组管理等基本操作管理以及用户权限管理。</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6.2.2、权限管理</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6.2.2.1、采用分级用户管理机制，每级至少包括管理员和普通用户两个级别，并可以配置不同的权限模版，以方便用户的权限设置。其中管理员可以根据管理内容可分为系统管理员和用户管理员。</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6.2.2.2、用户管理员的权限包括用户管理权限、设备授权权限。用户管理员可以增加、删除、修改用户。用户管理员可以授权用户对视频浏览、摄像机远程控制、录像的删除、复制、浏览等操作行为的权限，同时支持权限优先级，优先级高的用户可以优先占用控制权。权限可以被赋予，也能被收回。用户管理员可以授权下级用户管理员管理权限。</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6.2.2.3、普通用户的权限包括设备控制权限。普通用户由用户管理员的授权对设备进行控制。权限包括视频浏览、摄像机远程控制、录像的删除、复制、浏览等，且普通用户不可更改操作权限。</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6.2.3、系统校时：具有统一的时间管理体系，对所有联网设备提供时钟同步接口，包括前端编解码器、DVR、NVR、各应用服务器、存储设备等。软件可灵活设置时间校正周期，如24小时、1小时、10分钟。</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6.2.4、实时监控</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6.2.4.1、为保证监控范围、图像清晰要求，摄像机采用高清摄像机，分辨率不低于1080P，帧率不低于25fps。</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6.2.4.2、支持不同画面的显示方式：单画面、4画面、6画面、9画面、12画面、16画面等方式；对于单画面显示，用户可以选择中屏显示和全屏显示两种显示方式。</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6.2.4.3、能够实现对前端云台镜头的全功能远程控制，包括云台的旋转和自动扫描、镜头的变倍变焦、快球预置位的设置和启动、快球巡航轨迹的设定和启动。</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6.2.4.4、软件应提供基于监控画面的摄像机操控功能，可通过直接点击监控画面的方式实现对摄像机的远程控制，如上、下、左、右、拉近、拉远等；操控延时应小于1秒。对监控过程中出现的嫌疑目标（车辆、人或物品），可快速抓图、保存，便于分析、取证。</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6.2.4.5、设定快球预置位启动计划，在不同的时间自动控制快球转换到需要重点监控的部位。</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6.2.4.6、具备图像自动轮巡功能，可以用事先设定的触发序列和时间间隔对监控图像进行轮流显示，参与轮巡的图像和先后顺序可以任意选择；可以指定某些设备在某一时间内执行某种特定的动作；在本机设置多个组间轮视计划，计划包含的内容有组名称、组轮视间隔时间和画面分割方式，在主界面上启动轮视计划。</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6.2.4.7、画面显示：包括组织机构、OSD、标识、通道名称、日期与时间、触发类别等。</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6.2.5、录像回放</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6.2.5.1、支持录像回放，系统主界面可选择要查询的通道，点播类型、文件类型、开始时间、结束时间等。除了对硬盘录像机以及视频记录设备进行回放，还包括对视频图像的处理：编辑、上传、下载等功能。</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6.2.5.2、回放的基本功能：单进、单退、快进（1/2/4/8倍数）、剪辑、抓帧、下载等。</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6.2.6、视频（抓录）功能：操作者在实时监看视频图像、或者在回放视频录像时，发现可疑行为、重要线索、违章车辆等情况，支持进行图像（抓录），并填写相关信息说明。</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6.3、监控设备运维管理平台（具体功能需满足设计方案要求和采购人的实战需要）</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6.3.1、设备管理：软件提供设备管理功能，包括设备入网认证、属性配置、设备注销、启/停用以及设备信息查询。</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6.3.2、点位信息：可查看点位基础信息，包括点位名称、点位位置、路段走向、所属区域、经纬度坐标、管辖单位、图片保存路径等。</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6.3.3、设备状态信息：查看设备相关信息，如当前运行状态、维保单位、维保人、联系电话，还可查看设备维保日志，对设备阶段性运行情况全面掌控，支持查询、统计、导出、打印功能。</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6.3.4、设备运行状态实时检测：软件具备对前端设备和中心的网络设备、服务器、存储设备等设备定时巡检、自动报修的功能，能以不超过十分钟的时间间隔自动巡检设备的工作状态，并记录检测时间、设备状态等信息；同时在软件界面上动态显示。</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6.3.5、设备报修：当前端设备和中心的网络设备、服务器、存储设备发生异常，授权用户还可人工报修，填报设备故障发生时间、故障现象等信息，便于运维人员及时、有效处理。</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6.3.6、设备远程维护：授权用户通过软件对前端设备和中心网络设备、DVR、服务器等进行远程参数设置、系统校时、远程升级、断电后自启动等，实现远程维护。</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6.3.7、运维人员管理：软件提供运维人员管理功能，可添加运维人员，填报姓名、所属单位、联系电话等信息，并关联负责运维的设备，便于系统运维的正常、高效。</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6.3.8、统计报表：软件可根据设备的类别、时间段来生成设备运行情况的统计报表，可以对设备的发生故障总数、不同故障的发生次数和发生时间总长度分别进行统计，便于对系统整体运行情况和主要设备运行稳定性准确掌控，进行针对性的措施。</w:t>
      </w:r>
      <w:r>
        <w:rPr>
          <w:rFonts w:hAnsi="宋体" w:eastAsia="宋体"/>
          <w:sz w:val="21"/>
          <w:szCs w:val="21"/>
          <w:highlight w:val="none"/>
        </w:rPr>
      </w:r>
      <w:r/>
    </w:p>
    <w:p>
      <w:pPr>
        <w:pStyle w:val="659"/>
        <w:ind w:firstLine="482"/>
        <w:spacing w:line="360" w:lineRule="auto"/>
        <w:widowControl/>
        <w:tabs>
          <w:tab w:val="left" w:pos="567" w:leader="none"/>
        </w:tabs>
        <w:rPr>
          <w:rFonts w:hAnsi="宋体" w:eastAsia="宋体"/>
          <w:b/>
          <w:bCs/>
          <w:sz w:val="21"/>
          <w:szCs w:val="21"/>
          <w:highlight w:val="none"/>
        </w:rPr>
      </w:pPr>
      <w:r>
        <w:rPr>
          <w:rFonts w:hint="eastAsia" w:hAnsi="宋体" w:eastAsia="宋体"/>
          <w:b/>
          <w:bCs/>
          <w:sz w:val="21"/>
          <w:szCs w:val="21"/>
          <w:highlight w:val="none"/>
        </w:rPr>
        <w:t xml:space="preserve">7、安全要求</w:t>
      </w:r>
      <w:r>
        <w:rPr>
          <w:rFonts w:hAnsi="宋体" w:eastAsia="宋体"/>
          <w:b/>
          <w:bCs/>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7.1、根据公安部和公安系统警务管理需求，为确保系统内信息内容的机密性、完整性和可用性，整个系统应具有一定的信息安全性和保密性。</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7.2、网络安全：通过对交换机的设置，限制特定端口通过（如高清摄像机、视频服务器、转发服务器等）；应实现MAC地址与交换机端口的绑定，以限定其他未知设备接入图像专网。提供的网络需与因特网及其他社会单位网络物理隔离。</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7.3、信息安全性：为了保证信息来源的真实可靠，保证信息使用的合法有效，需要有一种机制来验证系统中各方的真实身份。信息安全是监控系统正常运行的保证，它涉及到访问控制、身份认证、数据完整性和安全审计等过程。在本项目中，采用访问控制和身份认证等安全机制保证整个系统的信息安全。 </w:t>
      </w:r>
      <w:r>
        <w:rPr>
          <w:rFonts w:hAnsi="宋体" w:eastAsia="宋体"/>
          <w:sz w:val="21"/>
          <w:szCs w:val="21"/>
          <w:highlight w:val="none"/>
        </w:rPr>
      </w:r>
      <w:r/>
    </w:p>
    <w:p>
      <w:pPr>
        <w:pStyle w:val="659"/>
        <w:ind w:firstLine="480"/>
        <w:spacing w:line="360" w:lineRule="auto"/>
        <w:widowControl/>
        <w:tabs>
          <w:tab w:val="left" w:pos="567" w:leader="none"/>
        </w:tabs>
        <w:rPr>
          <w:rFonts w:hAnsi="宋体" w:eastAsia="宋体"/>
          <w:sz w:val="21"/>
          <w:szCs w:val="21"/>
          <w:highlight w:val="none"/>
        </w:rPr>
      </w:pPr>
      <w:r>
        <w:rPr>
          <w:rFonts w:hint="eastAsia" w:hAnsi="宋体" w:eastAsia="宋体"/>
          <w:sz w:val="21"/>
          <w:szCs w:val="21"/>
          <w:highlight w:val="none"/>
        </w:rPr>
        <w:t xml:space="preserve">7.4、数据安全性：保证数据的安全性，必须确保用户数据和图像数据的安全，确保视频数据在传输过程的安全，并可靠存储。</w:t>
      </w:r>
      <w:r>
        <w:rPr>
          <w:rFonts w:hAnsi="宋体" w:eastAsia="宋体"/>
          <w:sz w:val="21"/>
          <w:szCs w:val="21"/>
          <w:highlight w:val="none"/>
        </w:rPr>
      </w:r>
      <w:r/>
    </w:p>
    <w:p>
      <w:pPr>
        <w:pStyle w:val="659"/>
        <w:keepLines/>
        <w:keepNext/>
        <w:spacing w:before="80" w:after="80"/>
        <w:widowControl w:val="off"/>
        <w:rPr>
          <w:rFonts w:hint="eastAsia" w:ascii="宋体" w:hAnsi="宋体" w:eastAsia="宋体" w:cs="Times New Roman"/>
          <w:b/>
          <w:bCs/>
          <w:sz w:val="24"/>
          <w:szCs w:val="28"/>
          <w:highlight w:val="none"/>
          <w:lang w:val="en-US" w:eastAsia="zh-CN" w:bidi="ar-SA"/>
        </w:rPr>
        <w:outlineLvl w:val="3"/>
      </w:pPr>
      <w:r>
        <w:rPr>
          <w:rFonts w:hint="eastAsia" w:ascii="宋体" w:hAnsi="宋体" w:eastAsia="宋体" w:cs="Times New Roman"/>
          <w:b/>
          <w:bCs/>
          <w:sz w:val="24"/>
          <w:szCs w:val="28"/>
          <w:highlight w:val="none"/>
          <w:lang w:val="en-US" w:eastAsia="zh-CN" w:bidi="ar-SA"/>
        </w:rPr>
      </w:r>
      <w:r/>
    </w:p>
    <w:p>
      <w:pPr>
        <w:pStyle w:val="659"/>
        <w:keepLines/>
        <w:keepNext/>
        <w:spacing w:before="80" w:after="80"/>
        <w:widowControl w:val="off"/>
        <w:rPr>
          <w:rFonts w:ascii="宋体" w:hAnsi="宋体" w:eastAsia="宋体" w:cs="Times New Roman"/>
          <w:b/>
          <w:bCs/>
          <w:sz w:val="24"/>
          <w:szCs w:val="28"/>
          <w:highlight w:val="none"/>
          <w:lang w:val="en-US" w:eastAsia="zh-CN" w:bidi="ar-SA"/>
        </w:rPr>
        <w:outlineLvl w:val="3"/>
      </w:pPr>
      <w:r>
        <w:rPr>
          <w:rFonts w:hint="eastAsia" w:ascii="宋体" w:hAnsi="宋体" w:eastAsia="宋体" w:cs="Times New Roman"/>
          <w:b/>
          <w:bCs/>
          <w:sz w:val="24"/>
          <w:szCs w:val="28"/>
          <w:highlight w:val="none"/>
          <w:lang w:val="en-US" w:eastAsia="zh-CN" w:bidi="ar-SA"/>
        </w:rPr>
        <w:t xml:space="preserve">（五）设备技术参数要求</w:t>
      </w:r>
      <w:r>
        <w:rPr>
          <w:rFonts w:ascii="宋体" w:hAnsi="宋体" w:eastAsia="宋体" w:cs="Times New Roman"/>
          <w:b/>
          <w:bCs/>
          <w:sz w:val="24"/>
          <w:szCs w:val="28"/>
          <w:highlight w:val="none"/>
          <w:lang w:val="en-US" w:eastAsia="zh-CN" w:bidi="ar-SA"/>
        </w:rPr>
      </w:r>
      <w:r/>
    </w:p>
    <w:p>
      <w:pPr>
        <w:pStyle w:val="659"/>
        <w:keepLines/>
        <w:keepNext/>
        <w:spacing w:before="160" w:after="160"/>
        <w:rPr>
          <w:rFonts w:hAnsi="宋体" w:eastAsia="宋体"/>
          <w:b/>
          <w:bCs/>
          <w:sz w:val="24"/>
          <w:szCs w:val="28"/>
        </w:rPr>
        <w:outlineLvl w:val="4"/>
      </w:pPr>
      <w:r>
        <w:rPr>
          <w:rFonts w:hint="eastAsia" w:hAnsi="宋体" w:eastAsia="宋体"/>
          <w:b/>
          <w:bCs/>
          <w:sz w:val="24"/>
          <w:szCs w:val="28"/>
        </w:rPr>
        <w:t xml:space="preserve">1、出入口车辆抓拍视频服务</w:t>
      </w:r>
      <w:r>
        <w:rPr>
          <w:rFonts w:hAnsi="宋体" w:eastAsia="宋体"/>
          <w:b/>
          <w:bCs/>
          <w:sz w:val="24"/>
          <w:szCs w:val="28"/>
        </w:rPr>
      </w:r>
      <w:r/>
    </w:p>
    <w:p>
      <w:pPr>
        <w:pStyle w:val="659"/>
        <w:ind w:left="420" w:hanging="420"/>
        <w:spacing w:line="360" w:lineRule="auto"/>
        <w:rPr>
          <w:rFonts w:hAnsi="Times New Roman" w:eastAsia="宋体"/>
          <w:sz w:val="21"/>
          <w:szCs w:val="21"/>
        </w:rPr>
      </w:pPr>
      <w:r>
        <w:rPr>
          <w:rFonts w:hint="eastAsia" w:hAnsi="Times New Roman" w:eastAsia="宋体"/>
          <w:sz w:val="21"/>
          <w:szCs w:val="21"/>
        </w:rPr>
        <w:t xml:space="preserve">1.支持检出两眼瞳距 12 像素点以上的人脸图片。</w:t>
      </w:r>
      <w:r>
        <w:rPr>
          <w:rFonts w:hAnsi="Times New Roman" w:eastAsia="宋体"/>
          <w:sz w:val="21"/>
          <w:szCs w:val="21"/>
        </w:rPr>
      </w:r>
      <w:r/>
    </w:p>
    <w:p>
      <w:pPr>
        <w:pStyle w:val="659"/>
        <w:ind w:left="420" w:hanging="420"/>
        <w:spacing w:line="360" w:lineRule="auto"/>
        <w:rPr>
          <w:rFonts w:hAnsi="Times New Roman" w:eastAsia="宋体"/>
          <w:sz w:val="21"/>
          <w:szCs w:val="21"/>
        </w:rPr>
      </w:pPr>
      <w:r>
        <w:rPr>
          <w:rFonts w:hint="eastAsia" w:hAnsi="Times New Roman" w:eastAsia="宋体"/>
          <w:sz w:val="21"/>
          <w:szCs w:val="21"/>
        </w:rPr>
        <w:t xml:space="preserve">2.支持车窗人脸检测功能，支持主、副驾驶的人脸扣取和图片输出。</w:t>
      </w:r>
      <w:r>
        <w:rPr>
          <w:rFonts w:hAnsi="Times New Roman" w:eastAsia="宋体"/>
          <w:sz w:val="21"/>
          <w:szCs w:val="21"/>
        </w:rPr>
      </w:r>
      <w:r/>
    </w:p>
    <w:p>
      <w:pPr>
        <w:pStyle w:val="659"/>
        <w:ind w:left="420" w:hanging="420"/>
        <w:spacing w:line="360" w:lineRule="auto"/>
        <w:rPr>
          <w:rFonts w:hAnsi="Times New Roman" w:eastAsia="宋体"/>
          <w:sz w:val="21"/>
          <w:szCs w:val="21"/>
        </w:rPr>
      </w:pPr>
      <w:r>
        <w:rPr>
          <w:rFonts w:hint="eastAsia" w:hAnsi="Times New Roman" w:eastAsia="宋体"/>
          <w:sz w:val="21"/>
          <w:szCs w:val="21"/>
        </w:rPr>
        <w:t xml:space="preserve">3. ★车辆图像捕获时应不受雨、雪、雾等天气、环境光和相临车道通行车辆的影响，空拍和重拍的图像记录应小于3%。(采用检测依据为</w:t>
      </w:r>
      <w:r>
        <w:rPr>
          <w:rFonts w:hAnsi="Times New Roman" w:eastAsia="宋体"/>
          <w:sz w:val="21"/>
          <w:szCs w:val="21"/>
        </w:rPr>
        <w:t xml:space="preserve">GA/T497-2016的</w:t>
      </w:r>
      <w:r>
        <w:rPr>
          <w:rFonts w:hint="eastAsia" w:hAnsi="Times New Roman" w:eastAsia="宋体"/>
          <w:sz w:val="21"/>
          <w:szCs w:val="21"/>
        </w:rPr>
        <w:t xml:space="preserve">CMA认证的</w:t>
      </w:r>
      <w:r>
        <w:rPr>
          <w:rFonts w:hint="eastAsia" w:hAnsi="Times New Roman" w:eastAsia="宋体"/>
        </w:rPr>
        <w:t xml:space="preserve">检测机构</w:t>
      </w:r>
      <w:r>
        <w:rPr>
          <w:rFonts w:hint="eastAsia" w:hAnsi="Times New Roman" w:eastAsia="宋体"/>
          <w:sz w:val="21"/>
          <w:szCs w:val="21"/>
        </w:rPr>
        <w:t xml:space="preserve">提供的检测结果为</w:t>
      </w:r>
      <w:r>
        <w:rPr>
          <w:rFonts w:hint="eastAsia" w:hAnsi="Times New Roman" w:eastAsia="宋体"/>
        </w:rPr>
        <w:t xml:space="preserve">:“符合”或“达标”或“通过”或“合格”</w:t>
      </w:r>
      <w:r>
        <w:rPr>
          <w:rFonts w:hint="eastAsia" w:hAnsi="Times New Roman" w:eastAsia="宋体"/>
          <w:sz w:val="21"/>
          <w:szCs w:val="21"/>
        </w:rPr>
        <w:t xml:space="preserve"> 的检测报告并加盖受检单位或委托单位公章)</w:t>
      </w:r>
      <w:r>
        <w:rPr>
          <w:rFonts w:hAnsi="Times New Roman" w:eastAsia="宋体"/>
          <w:sz w:val="21"/>
          <w:szCs w:val="21"/>
        </w:rPr>
      </w:r>
      <w:r/>
    </w:p>
    <w:p>
      <w:pPr>
        <w:pStyle w:val="659"/>
        <w:ind w:left="420" w:hanging="420"/>
        <w:spacing w:line="360" w:lineRule="auto"/>
        <w:rPr>
          <w:rFonts w:hAnsi="Times New Roman" w:eastAsia="宋体"/>
          <w:sz w:val="21"/>
          <w:szCs w:val="21"/>
        </w:rPr>
      </w:pPr>
      <w:r>
        <w:rPr>
          <w:rFonts w:hAnsi="Times New Roman" w:eastAsia="宋体"/>
          <w:sz w:val="21"/>
          <w:szCs w:val="21"/>
        </w:rPr>
        <w:t xml:space="preserve">4</w:t>
      </w:r>
      <w:r>
        <w:rPr>
          <w:rFonts w:hint="eastAsia" w:hAnsi="Times New Roman" w:eastAsia="宋体"/>
          <w:sz w:val="21"/>
          <w:szCs w:val="21"/>
        </w:rPr>
        <w:t xml:space="preserve">.在浏览器下，应具有白平衡模式设置选项，可对 13 种白平衡模式进行设置。</w:t>
      </w:r>
      <w:r>
        <w:rPr>
          <w:rFonts w:hAnsi="Times New Roman" w:eastAsia="宋体"/>
          <w:sz w:val="21"/>
          <w:szCs w:val="21"/>
        </w:rPr>
      </w:r>
      <w:r/>
    </w:p>
    <w:p>
      <w:pPr>
        <w:pStyle w:val="659"/>
        <w:ind w:left="420" w:hanging="420"/>
        <w:spacing w:line="360" w:lineRule="auto"/>
        <w:rPr>
          <w:rFonts w:hAnsi="Times New Roman" w:eastAsia="宋体"/>
          <w:sz w:val="21"/>
          <w:szCs w:val="21"/>
        </w:rPr>
      </w:pPr>
      <w:r>
        <w:rPr>
          <w:rFonts w:hAnsi="Times New Roman" w:eastAsia="宋体"/>
          <w:sz w:val="21"/>
          <w:szCs w:val="21"/>
        </w:rPr>
        <w:t xml:space="preserve">5</w:t>
      </w:r>
      <w:r>
        <w:rPr>
          <w:rFonts w:hint="eastAsia" w:hAnsi="Times New Roman" w:eastAsia="宋体"/>
          <w:sz w:val="21"/>
          <w:szCs w:val="21"/>
        </w:rPr>
        <w:t xml:space="preserve">.</w:t>
      </w:r>
      <w:r>
        <w:rPr>
          <w:rFonts w:hint="eastAsia" w:hAnsi="Times New Roman" w:eastAsia="宋体"/>
        </w:rPr>
        <w:t xml:space="preserve"> </w:t>
      </w:r>
      <w:r>
        <w:rPr>
          <w:rFonts w:hint="eastAsia" w:hAnsi="Times New Roman" w:eastAsia="宋体"/>
          <w:sz w:val="21"/>
          <w:szCs w:val="21"/>
        </w:rPr>
        <w:t xml:space="preserve">★具有串口推送设置选项，可配置推送内容。(采用检测依据为</w:t>
      </w:r>
      <w:r>
        <w:rPr>
          <w:rFonts w:hAnsi="Times New Roman" w:eastAsia="宋体"/>
          <w:sz w:val="21"/>
          <w:szCs w:val="21"/>
        </w:rPr>
        <w:t xml:space="preserve">GA/T497-2016的</w:t>
      </w:r>
      <w:r>
        <w:rPr>
          <w:rFonts w:hint="eastAsia" w:hAnsi="Times New Roman" w:eastAsia="宋体"/>
          <w:sz w:val="21"/>
          <w:szCs w:val="21"/>
        </w:rPr>
        <w:t xml:space="preserve">CMA认证的</w:t>
      </w:r>
      <w:r>
        <w:rPr>
          <w:rFonts w:hint="eastAsia" w:hAnsi="Times New Roman" w:eastAsia="宋体"/>
        </w:rPr>
        <w:t xml:space="preserve">检测机构</w:t>
      </w:r>
      <w:r>
        <w:rPr>
          <w:rFonts w:hint="eastAsia" w:hAnsi="Times New Roman" w:eastAsia="宋体"/>
          <w:sz w:val="21"/>
          <w:szCs w:val="21"/>
        </w:rPr>
        <w:t xml:space="preserve">提供的检测结果为</w:t>
      </w:r>
      <w:r>
        <w:rPr>
          <w:rFonts w:hint="eastAsia" w:hAnsi="Times New Roman" w:eastAsia="宋体"/>
        </w:rPr>
        <w:t xml:space="preserve">:“符合”或“达标”或“通过”或“合格”</w:t>
      </w:r>
      <w:r>
        <w:rPr>
          <w:rFonts w:hint="eastAsia" w:hAnsi="Times New Roman" w:eastAsia="宋体"/>
          <w:sz w:val="21"/>
          <w:szCs w:val="21"/>
        </w:rPr>
        <w:t xml:space="preserve"> 的检测报告并加盖受检单位或委托单位公章)</w:t>
      </w:r>
      <w:r>
        <w:rPr>
          <w:rFonts w:hAnsi="Times New Roman" w:eastAsia="宋体"/>
          <w:sz w:val="21"/>
          <w:szCs w:val="21"/>
        </w:rPr>
      </w:r>
      <w:r/>
    </w:p>
    <w:p>
      <w:pPr>
        <w:pStyle w:val="659"/>
        <w:ind w:left="420" w:hanging="420"/>
        <w:spacing w:line="360" w:lineRule="auto"/>
        <w:rPr>
          <w:rFonts w:hAnsi="Times New Roman" w:eastAsia="宋体"/>
          <w:sz w:val="21"/>
          <w:szCs w:val="21"/>
        </w:rPr>
      </w:pPr>
      <w:r>
        <w:rPr>
          <w:rFonts w:hint="eastAsia" w:hAnsi="Times New Roman" w:eastAsia="宋体"/>
          <w:sz w:val="21"/>
          <w:szCs w:val="21"/>
        </w:rPr>
        <w:t xml:space="preserve">6.在车辆清晰、无遮挡的情况下，客户端设备与受检设备直连进行测试，从抓拍图片到输出车牌信息的时间小于18ms。</w:t>
      </w:r>
      <w:r>
        <w:rPr>
          <w:rFonts w:hAnsi="Times New Roman" w:eastAsia="宋体"/>
          <w:sz w:val="21"/>
          <w:szCs w:val="21"/>
        </w:rPr>
      </w:r>
      <w:r/>
    </w:p>
    <w:p>
      <w:pPr>
        <w:pStyle w:val="659"/>
        <w:ind w:left="420" w:hanging="420"/>
        <w:spacing w:line="360" w:lineRule="auto"/>
        <w:rPr>
          <w:rFonts w:hAnsi="Times New Roman" w:eastAsia="宋体"/>
          <w:sz w:val="21"/>
          <w:szCs w:val="21"/>
        </w:rPr>
      </w:pPr>
      <w:r>
        <w:rPr>
          <w:rFonts w:hint="eastAsia" w:hAnsi="Times New Roman" w:eastAsia="宋体"/>
          <w:sz w:val="21"/>
          <w:szCs w:val="21"/>
        </w:rPr>
        <w:t xml:space="preserve">7.★当车辆图像为前部特征图像时，记录的驾驶人面部图像不小于50X50个像素点。(采用检测依据为</w:t>
      </w:r>
      <w:r>
        <w:rPr>
          <w:rFonts w:hAnsi="Times New Roman" w:eastAsia="宋体"/>
          <w:sz w:val="21"/>
          <w:szCs w:val="21"/>
        </w:rPr>
        <w:t xml:space="preserve">GA/T497-2016的</w:t>
      </w:r>
      <w:r>
        <w:rPr>
          <w:rFonts w:hint="eastAsia" w:hAnsi="Times New Roman" w:eastAsia="宋体"/>
          <w:sz w:val="21"/>
          <w:szCs w:val="21"/>
        </w:rPr>
        <w:t xml:space="preserve">CMA认证的</w:t>
      </w:r>
      <w:r>
        <w:rPr>
          <w:rFonts w:hint="eastAsia" w:hAnsi="Times New Roman" w:eastAsia="宋体"/>
        </w:rPr>
        <w:t xml:space="preserve">检测机构</w:t>
      </w:r>
      <w:r>
        <w:rPr>
          <w:rFonts w:hint="eastAsia" w:hAnsi="Times New Roman" w:eastAsia="宋体"/>
          <w:sz w:val="21"/>
          <w:szCs w:val="21"/>
        </w:rPr>
        <w:t xml:space="preserve">提供的检测结果为</w:t>
      </w:r>
      <w:r>
        <w:rPr>
          <w:rFonts w:hint="eastAsia" w:hAnsi="Times New Roman" w:eastAsia="宋体"/>
        </w:rPr>
        <w:t xml:space="preserve">:“符合”或“达标”或“通过”或“合格”</w:t>
      </w:r>
      <w:r>
        <w:rPr>
          <w:rFonts w:hint="eastAsia" w:hAnsi="Times New Roman" w:eastAsia="宋体"/>
          <w:sz w:val="21"/>
          <w:szCs w:val="21"/>
        </w:rPr>
        <w:t xml:space="preserve"> 的检测报告并加盖受检单位或委托单位公章)</w:t>
      </w:r>
      <w:r>
        <w:rPr>
          <w:rFonts w:hAnsi="Times New Roman" w:eastAsia="宋体"/>
          <w:sz w:val="21"/>
          <w:szCs w:val="21"/>
        </w:rPr>
      </w:r>
      <w:r/>
    </w:p>
    <w:p>
      <w:pPr>
        <w:pStyle w:val="659"/>
        <w:ind w:left="420" w:hanging="420"/>
        <w:spacing w:line="360" w:lineRule="auto"/>
        <w:rPr>
          <w:rFonts w:hAnsi="Times New Roman" w:eastAsia="宋体"/>
          <w:sz w:val="21"/>
          <w:szCs w:val="21"/>
        </w:rPr>
      </w:pPr>
      <w:r>
        <w:rPr>
          <w:rFonts w:hint="eastAsia" w:hAnsi="Times New Roman" w:eastAsia="宋体"/>
          <w:sz w:val="21"/>
          <w:szCs w:val="21"/>
        </w:rPr>
        <w:t xml:space="preserve">8.车标识别功能试验：支持识别车标类型≥460种。在天气晴朗无雾，车辆无遮挡，白天环境光照度不低于2001x，夜晚辅助光照度不高于301x的情况下进行测试：白天车标识别准确率≥99%；夜晚车标识别准确率≥99%。</w:t>
      </w:r>
      <w:r>
        <w:rPr>
          <w:rFonts w:hAnsi="Times New Roman" w:eastAsia="宋体"/>
          <w:sz w:val="21"/>
          <w:szCs w:val="21"/>
        </w:rPr>
      </w:r>
      <w:r/>
    </w:p>
    <w:p>
      <w:pPr>
        <w:pStyle w:val="659"/>
        <w:ind w:left="420" w:hanging="420"/>
        <w:spacing w:line="360" w:lineRule="auto"/>
        <w:rPr>
          <w:rFonts w:hAnsi="Times New Roman" w:eastAsia="宋体"/>
          <w:sz w:val="21"/>
          <w:szCs w:val="21"/>
        </w:rPr>
      </w:pPr>
      <w:r>
        <w:rPr>
          <w:rFonts w:hint="eastAsia" w:hAnsi="Times New Roman" w:eastAsia="宋体"/>
          <w:sz w:val="21"/>
          <w:szCs w:val="21"/>
        </w:rPr>
        <w:t xml:space="preserve">9.目标跟踪抓拍功能检查：支持人脸检测、跟踪、抓拍功能；支持在同一视频画面中，可检测、跟踪不小于130个运动人体目标，且抓拍不小于85个运动人脸目标。</w:t>
      </w:r>
      <w:r>
        <w:rPr>
          <w:rFonts w:hAnsi="Times New Roman" w:eastAsia="宋体"/>
          <w:sz w:val="21"/>
          <w:szCs w:val="21"/>
        </w:rPr>
      </w:r>
      <w:r/>
    </w:p>
    <w:p>
      <w:pPr>
        <w:pStyle w:val="659"/>
        <w:ind w:left="420" w:hanging="420"/>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0</w:t>
      </w:r>
      <w:r>
        <w:rPr>
          <w:rFonts w:hint="eastAsia" w:hAnsi="Times New Roman" w:eastAsia="宋体"/>
          <w:sz w:val="21"/>
          <w:szCs w:val="21"/>
        </w:rPr>
        <w:t xml:space="preserve">.★日间车辆号牌号码识别准确率应不小于95%;夜间车辆号牌号码识别准确率应不小于90%。(采用检测依据为</w:t>
      </w:r>
      <w:r>
        <w:rPr>
          <w:rFonts w:hAnsi="Times New Roman" w:eastAsia="宋体"/>
          <w:sz w:val="21"/>
          <w:szCs w:val="21"/>
        </w:rPr>
        <w:t xml:space="preserve">GA/T497-2016的</w:t>
      </w:r>
      <w:r>
        <w:rPr>
          <w:rFonts w:hint="eastAsia" w:hAnsi="Times New Roman" w:eastAsia="宋体"/>
          <w:sz w:val="21"/>
          <w:szCs w:val="21"/>
        </w:rPr>
        <w:t xml:space="preserve">CMA认证的</w:t>
      </w:r>
      <w:r>
        <w:rPr>
          <w:rFonts w:hint="eastAsia" w:hAnsi="Times New Roman" w:eastAsia="宋体"/>
        </w:rPr>
        <w:t xml:space="preserve">检测机构</w:t>
      </w:r>
      <w:r>
        <w:rPr>
          <w:rFonts w:hint="eastAsia" w:hAnsi="Times New Roman" w:eastAsia="宋体"/>
          <w:sz w:val="21"/>
          <w:szCs w:val="21"/>
        </w:rPr>
        <w:t xml:space="preserve">提供的检测结果为</w:t>
      </w:r>
      <w:r>
        <w:rPr>
          <w:rFonts w:hint="eastAsia" w:hAnsi="Times New Roman" w:eastAsia="宋体"/>
        </w:rPr>
        <w:t xml:space="preserve">:“符合”或“达标”或“通过”或“合格”</w:t>
      </w:r>
      <w:r>
        <w:rPr>
          <w:rFonts w:hint="eastAsia" w:hAnsi="Times New Roman" w:eastAsia="宋体"/>
          <w:sz w:val="21"/>
          <w:szCs w:val="21"/>
        </w:rPr>
        <w:t xml:space="preserve">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1</w:t>
      </w:r>
      <w:r>
        <w:rPr>
          <w:rFonts w:hint="eastAsia" w:hAnsi="Times New Roman" w:eastAsia="宋体"/>
          <w:sz w:val="21"/>
          <w:szCs w:val="21"/>
        </w:rPr>
        <w:t xml:space="preserve">.传感器类型: 1英寸GS-CMOS</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2</w:t>
      </w:r>
      <w:r>
        <w:rPr>
          <w:rFonts w:hint="eastAsia" w:hAnsi="Times New Roman" w:eastAsia="宋体"/>
          <w:sz w:val="21"/>
          <w:szCs w:val="21"/>
        </w:rPr>
        <w:t xml:space="preserve">.快门方式: 单快门;双快门;三快门</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13</w:t>
      </w:r>
      <w:r>
        <w:rPr>
          <w:rFonts w:hint="eastAsia" w:hAnsi="Times New Roman" w:eastAsia="宋体"/>
          <w:sz w:val="21"/>
          <w:szCs w:val="21"/>
        </w:rPr>
        <w:t xml:space="preserve">.电子快门: 1/25s~1/100000s（可手动或自动调节）</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14.</w:t>
      </w:r>
      <w:r>
        <w:rPr>
          <w:rFonts w:hint="eastAsia" w:hAnsi="Times New Roman" w:eastAsia="宋体"/>
          <w:sz w:val="21"/>
          <w:szCs w:val="21"/>
        </w:rPr>
        <w:t xml:space="preserve">图像分辨率: 4096×2160（不包含OSD黑边）</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5</w:t>
      </w:r>
      <w:r>
        <w:rPr>
          <w:rFonts w:hint="eastAsia" w:hAnsi="Times New Roman" w:eastAsia="宋体"/>
          <w:sz w:val="21"/>
          <w:szCs w:val="21"/>
        </w:rPr>
        <w:t xml:space="preserve">.视频压缩标准: H.265;H.264;MJPEG</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16</w:t>
      </w:r>
      <w:r>
        <w:rPr>
          <w:rFonts w:hint="eastAsia" w:hAnsi="Times New Roman" w:eastAsia="宋体"/>
          <w:sz w:val="21"/>
          <w:szCs w:val="21"/>
        </w:rPr>
        <w:t xml:space="preserve">.触发方式: 视频触发/雷达触发/线圈触发</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7</w:t>
      </w:r>
      <w:r>
        <w:rPr>
          <w:rFonts w:hint="eastAsia" w:hAnsi="Times New Roman" w:eastAsia="宋体"/>
          <w:sz w:val="21"/>
          <w:szCs w:val="21"/>
        </w:rPr>
        <w:t xml:space="preserve">.图片合成: 支持1、2、3、4张图片合成</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8</w:t>
      </w:r>
      <w:r>
        <w:rPr>
          <w:rFonts w:hint="eastAsia" w:hAnsi="Times New Roman" w:eastAsia="宋体"/>
          <w:sz w:val="21"/>
          <w:szCs w:val="21"/>
        </w:rPr>
        <w:t xml:space="preserve">.存储功能: FTP；TF卡（最大支持256GB@Class10，推荐使用颗粒MLC及以上）</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9</w:t>
      </w:r>
      <w:r>
        <w:rPr>
          <w:rFonts w:hint="eastAsia" w:hAnsi="Times New Roman" w:eastAsia="宋体"/>
          <w:sz w:val="21"/>
          <w:szCs w:val="21"/>
        </w:rPr>
        <w:t xml:space="preserve">.目标检测: 支持机动车、非机动车、行人</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r>
      <w:r/>
    </w:p>
    <w:p>
      <w:pPr>
        <w:pStyle w:val="659"/>
        <w:keepLines/>
        <w:keepNext/>
        <w:spacing w:before="160" w:after="160"/>
        <w:rPr>
          <w:rFonts w:hAnsi="宋体" w:eastAsia="宋体"/>
          <w:b/>
          <w:bCs/>
          <w:sz w:val="24"/>
          <w:szCs w:val="28"/>
        </w:rPr>
        <w:outlineLvl w:val="4"/>
      </w:pPr>
      <w:r>
        <w:rPr>
          <w:rFonts w:hint="eastAsia" w:hAnsi="宋体" w:eastAsia="宋体"/>
          <w:b/>
          <w:bCs/>
          <w:sz w:val="24"/>
          <w:szCs w:val="28"/>
        </w:rPr>
        <w:t xml:space="preserve">2、人像卡口抓拍视频服务</w:t>
      </w:r>
      <w:r>
        <w:rPr>
          <w:rFonts w:hAnsi="宋体" w:eastAsia="宋体"/>
          <w:b/>
          <w:bCs/>
          <w:sz w:val="24"/>
          <w:szCs w:val="28"/>
        </w:rPr>
      </w:r>
      <w:r/>
    </w:p>
    <w:p>
      <w:pPr>
        <w:pStyle w:val="659"/>
        <w:spacing w:line="360" w:lineRule="auto"/>
        <w:rPr>
          <w:rFonts w:hAnsi="Times New Roman" w:eastAsia="宋体"/>
          <w:sz w:val="21"/>
          <w:szCs w:val="21"/>
        </w:rPr>
      </w:pPr>
      <w:r>
        <w:rPr>
          <w:rFonts w:hint="eastAsia" w:hAnsi="Times New Roman" w:eastAsia="宋体"/>
          <w:sz w:val="21"/>
          <w:szCs w:val="21"/>
        </w:rPr>
        <w:t xml:space="preserve">1.内置GPU芯片，支持深度学习算法，有效提升检测准确率</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2.支持五种智能资源切换：通用行为分析、人脸检测、视频结构化、人数统计、人脸识别</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3.支持视频结构化：支持机动车、非机动车、人脸、人员等目标的抓拍和属性识别</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4.支持人脸检测：支持跟踪，支持优选，支持抓拍，支持上报最优的人脸抓图，支持人脸增强，人脸曝光，支持人脸属性提取，支持6种属性，8种表情</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5.支持人数统计，支持排队管理，支持区域内人数统计，进入/离开人数统计，并可生成人数统计日/月/年报表，导出使用.</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6.</w:t>
      </w:r>
      <w:r>
        <w:rPr>
          <w:rFonts w:hint="eastAsia" w:hAnsi="Times New Roman" w:eastAsia="宋体"/>
        </w:rPr>
        <w:t xml:space="preserve"> </w:t>
      </w:r>
      <w:r>
        <w:rPr>
          <w:rFonts w:hint="eastAsia" w:hAnsi="Times New Roman" w:eastAsia="宋体"/>
          <w:sz w:val="21"/>
          <w:szCs w:val="21"/>
        </w:rPr>
        <w:t xml:space="preserve">★可通过客户端或浏览器远程导入本地安全策略更新包，并可实时记录及上报安全更新日志。</w:t>
      </w:r>
      <w:r>
        <w:rPr>
          <w:rFonts w:hint="eastAsia" w:hAnsi="Times New Roman" w:eastAsia="宋体"/>
        </w:rPr>
        <w:t xml:space="preserve">（采用检测依据为</w:t>
      </w:r>
      <w:r>
        <w:rPr>
          <w:rFonts w:hAnsi="Times New Roman" w:eastAsia="宋体"/>
        </w:rPr>
        <w:t xml:space="preserve">GB/T 1127-2025</w:t>
      </w:r>
      <w:r>
        <w:rPr>
          <w:rFonts w:hint="eastAsia" w:hAnsi="Times New Roman" w:eastAsia="宋体"/>
        </w:rPr>
        <w:t xml:space="preserve">的CMA认证的检测机构提供的检测结果为:“符合”或“达标”或“通过”或“合格” 的</w:t>
      </w:r>
      <w:r>
        <w:rPr>
          <w:rFonts w:hint="eastAsia" w:hAnsi="Times New Roman" w:eastAsia="宋体"/>
          <w:sz w:val="21"/>
          <w:szCs w:val="21"/>
        </w:rPr>
        <w:t xml:space="preserve">检测报告并加盖受检单位或委托单位公章</w:t>
      </w:r>
      <w:r>
        <w:rPr>
          <w:rFonts w:hint="eastAsia" w:hAnsi="Times New Roman" w:eastAsia="宋体"/>
        </w:rPr>
        <w:t xml:space="preserve">）</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7.支持声光报警联动，当报警产生时，可触发联动声音警报和灯光闪烁</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8.支持双通道视频，每路通道支持三码流功能，两路高清视频显示</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9</w:t>
      </w:r>
      <w:r>
        <w:rPr>
          <w:rFonts w:hAnsi="Times New Roman" w:eastAsia="宋体"/>
          <w:sz w:val="21"/>
          <w:szCs w:val="21"/>
        </w:rPr>
        <w:t xml:space="preserve">.</w:t>
      </w:r>
      <w:r>
        <w:rPr>
          <w:rFonts w:hint="eastAsia" w:hAnsi="Times New Roman" w:eastAsia="宋体"/>
          <w:sz w:val="21"/>
          <w:szCs w:val="21"/>
        </w:rPr>
        <w:t xml:space="preserve">采用高性能400万像素1/1.8英寸CMOS图像传感器+400万像素1/2.7英寸CMOS图像传感器，低照度效果好，图像清晰度高</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10.最大可输出400万(2688×1520)@30fps</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11.支持H.265编码，压缩比高，实现超低码流传输</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12.内置高效双光灯，最大红外监控距离100米，最大暖光监控距离60米，人脸检测距离30米</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13.支持3D降噪，强光抑制，背光补偿，数字水印，适用不同监控环境</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14.支持ROI，SMART H.264/H.265，灵活编码，适用不同带宽和存储环境</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15.支持报警3进2出，音频2进1出，485，BNC，最大支持256G Micro SD卡</w:t>
      </w:r>
      <w:r>
        <w:rPr>
          <w:rFonts w:hAnsi="Times New Roman" w:eastAsia="宋体"/>
          <w:sz w:val="21"/>
          <w:szCs w:val="21"/>
        </w:rPr>
      </w:r>
      <w:r/>
    </w:p>
    <w:p>
      <w:pPr>
        <w:pStyle w:val="659"/>
        <w:ind w:right="-176"/>
        <w:spacing w:line="360" w:lineRule="auto"/>
        <w:rPr>
          <w:rFonts w:hAnsi="Times New Roman" w:eastAsia="宋体"/>
          <w:sz w:val="21"/>
          <w:szCs w:val="21"/>
        </w:rPr>
      </w:pPr>
      <w:r>
        <w:rPr>
          <w:rFonts w:hint="eastAsia" w:hAnsi="Times New Roman" w:eastAsia="宋体"/>
          <w:sz w:val="21"/>
          <w:szCs w:val="21"/>
        </w:rPr>
        <w:t xml:space="preserve">16.内置双麦克风，集成大华自主降噪算法，具有自适应降噪能力，消除三级风噪声，可满足20米远程拾音</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17.内置高保真大口径扬声器，可覆盖室内30米距离</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18.</w:t>
      </w:r>
      <w:r>
        <w:rPr>
          <w:rFonts w:hint="eastAsia" w:hAnsi="Times New Roman" w:eastAsia="宋体"/>
        </w:rPr>
        <w:t xml:space="preserve"> </w:t>
      </w:r>
      <w:r>
        <w:rPr>
          <w:rFonts w:hint="eastAsia" w:hAnsi="Times New Roman" w:eastAsia="宋体"/>
          <w:sz w:val="21"/>
          <w:szCs w:val="21"/>
        </w:rPr>
        <w:t xml:space="preserve">★样机支持电动PT调节功能。</w:t>
      </w:r>
      <w:r>
        <w:rPr>
          <w:rFonts w:hint="eastAsia" w:hAnsi="Times New Roman" w:eastAsia="宋体"/>
        </w:rPr>
        <w:t xml:space="preserve">（采用检测依据为</w:t>
      </w:r>
      <w:r>
        <w:rPr>
          <w:rFonts w:hAnsi="Times New Roman" w:eastAsia="宋体"/>
        </w:rPr>
        <w:t xml:space="preserve">GB/T 1127-2025</w:t>
      </w:r>
      <w:r>
        <w:rPr>
          <w:rFonts w:hint="eastAsia" w:hAnsi="Times New Roman" w:eastAsia="宋体"/>
        </w:rPr>
        <w:t xml:space="preserve">的CMA认证的检测机构提供的检测结果为:“符合”或“达标”或“通过”或“合格” 的</w:t>
      </w:r>
      <w:r>
        <w:rPr>
          <w:rFonts w:hint="eastAsia" w:hAnsi="Times New Roman" w:eastAsia="宋体"/>
          <w:sz w:val="21"/>
          <w:szCs w:val="21"/>
        </w:rPr>
        <w:t xml:space="preserve">检测报告并加盖受检单位或委托单位公章</w:t>
      </w:r>
      <w:r>
        <w:rPr>
          <w:rFonts w:hint="eastAsia" w:hAnsi="Times New Roman" w:eastAsia="宋体"/>
        </w:rPr>
        <w:t xml:space="preserve">）</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19.支持IP67防护等级</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20.</w:t>
      </w:r>
      <w:r>
        <w:rPr>
          <w:rFonts w:hint="eastAsia" w:hAnsi="Times New Roman" w:eastAsia="宋体"/>
        </w:rPr>
        <w:t xml:space="preserve"> </w:t>
      </w:r>
      <w:r>
        <w:rPr>
          <w:rFonts w:hint="eastAsia" w:hAnsi="Times New Roman" w:eastAsia="宋体"/>
          <w:sz w:val="21"/>
          <w:szCs w:val="21"/>
        </w:rPr>
        <w:t xml:space="preserve">★</w:t>
      </w:r>
      <w:r>
        <w:rPr>
          <w:rFonts w:hint="eastAsia" w:hAnsi="Times New Roman" w:eastAsia="宋体"/>
        </w:rPr>
        <w:t xml:space="preserve">样机具有入侵检测防御功能，包括网络传输协议防火墙、操作系统进程监控、网络攻击检测防御、病毒查杀，并可实时记录及上报安全日志。（采用检测依据为</w:t>
      </w:r>
      <w:r>
        <w:rPr>
          <w:rFonts w:hAnsi="Times New Roman" w:eastAsia="宋体"/>
        </w:rPr>
        <w:t xml:space="preserve">GB/T 1127-2025</w:t>
      </w:r>
      <w:r>
        <w:rPr>
          <w:rFonts w:hint="eastAsia" w:hAnsi="Times New Roman" w:eastAsia="宋体"/>
        </w:rPr>
        <w:t xml:space="preserve">的CMA认证的检测机构提供的检测结果为:“符合”或“达标”或“通过”或“合格” 的</w:t>
      </w:r>
      <w:r>
        <w:rPr>
          <w:rFonts w:hint="eastAsia" w:hAnsi="Times New Roman" w:eastAsia="宋体"/>
          <w:sz w:val="21"/>
          <w:szCs w:val="21"/>
        </w:rPr>
        <w:t xml:space="preserve">检测报告并加盖受检单位或委托单位公章</w:t>
      </w:r>
      <w:r>
        <w:rPr>
          <w:rFonts w:hint="eastAsia" w:hAnsi="Times New Roman" w:eastAsia="宋体"/>
        </w:rPr>
        <w:t xml:space="preserve">）</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21. ★用户口令安全：安全等级I级和I级的摄像机应符合以下要求:a)支持基于账号口令进行用户身份鉴别，口令应至少包括数字、大小写字母、特殊字符中的两类，口令长度不少于8位;b)支持设置口令有效期。口令到期后，在用户登录时提醒修改口令;c)首次登录摄像机时，强制要求修改默认口令。</w:t>
      </w:r>
      <w:r>
        <w:rPr>
          <w:rFonts w:hint="eastAsia" w:hAnsi="Times New Roman" w:eastAsia="宋体"/>
        </w:rPr>
        <w:t xml:space="preserve">（采用检测依据为</w:t>
      </w:r>
      <w:r>
        <w:rPr>
          <w:rFonts w:hAnsi="Times New Roman" w:eastAsia="宋体"/>
        </w:rPr>
        <w:t xml:space="preserve">GB/T 1127-2025</w:t>
      </w:r>
      <w:r>
        <w:rPr>
          <w:rFonts w:hint="eastAsia" w:hAnsi="Times New Roman" w:eastAsia="宋体"/>
        </w:rPr>
        <w:t xml:space="preserve">的CMA认证的检测机构提供的检测结果为:“符合”或“达标”或“通过”或“合格” 的</w:t>
      </w:r>
      <w:r>
        <w:rPr>
          <w:rFonts w:hint="eastAsia" w:hAnsi="Times New Roman" w:eastAsia="宋体"/>
          <w:sz w:val="21"/>
          <w:szCs w:val="21"/>
        </w:rPr>
        <w:t xml:space="preserve">检测报告并加盖受检单位或委托单位公章</w:t>
      </w:r>
      <w:r>
        <w:rPr>
          <w:rFonts w:hint="eastAsia" w:hAnsi="Times New Roman" w:eastAsia="宋体"/>
        </w:rPr>
        <w:t xml:space="preserve">）</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22.支持自动聚焦、自动变焦、自动调节光图，在变焦过程中不会虚焦。</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23.可通过IE浏览器在预览画面框选出聚焦区域，以该区域作为参考区域聚焦。</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24</w:t>
      </w:r>
      <w:r>
        <w:rPr>
          <w:rFonts w:hAnsi="Times New Roman" w:eastAsia="宋体"/>
          <w:sz w:val="21"/>
          <w:szCs w:val="21"/>
        </w:rPr>
        <w:t xml:space="preserve">.</w:t>
      </w:r>
      <w:r>
        <w:rPr>
          <w:rFonts w:hint="eastAsia" w:hAnsi="Times New Roman" w:eastAsia="宋体"/>
          <w:sz w:val="21"/>
          <w:szCs w:val="21"/>
        </w:rPr>
        <w:t xml:space="preserve"> ★</w:t>
      </w:r>
      <w:r>
        <w:rPr>
          <w:rFonts w:hint="eastAsia" w:hAnsi="Times New Roman" w:eastAsia="宋体"/>
        </w:rPr>
        <w:t xml:space="preserve">具有安全状态检测功能，包括基础安全扫描、账户安全扫描、配置安全扫描，支持一键扫描账户安全状态，统计问题和风险数量，并给出安全加固建议。（采用检测依据为</w:t>
      </w:r>
      <w:r>
        <w:rPr>
          <w:rFonts w:hAnsi="Times New Roman" w:eastAsia="宋体"/>
        </w:rPr>
        <w:t xml:space="preserve">GB/T 1127-2025</w:t>
      </w:r>
      <w:r>
        <w:rPr>
          <w:rFonts w:hint="eastAsia" w:hAnsi="Times New Roman" w:eastAsia="宋体"/>
        </w:rPr>
        <w:t xml:space="preserve">的CMA认证的检测机构提供的检测结果为:“符合”或“达标”或“通过”或“合格” 的</w:t>
      </w:r>
      <w:r>
        <w:rPr>
          <w:rFonts w:hint="eastAsia" w:hAnsi="Times New Roman" w:eastAsia="宋体"/>
          <w:sz w:val="21"/>
          <w:szCs w:val="21"/>
        </w:rPr>
        <w:t xml:space="preserve">检测报告并加盖受检单位或委托单位公章</w:t>
      </w:r>
      <w:r>
        <w:rPr>
          <w:rFonts w:hint="eastAsia" w:hAnsi="Times New Roman" w:eastAsia="宋体"/>
        </w:rPr>
        <w:t xml:space="preserve">）</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25.</w:t>
      </w:r>
      <w:r>
        <w:rPr>
          <w:rFonts w:hint="eastAsia" w:hAnsi="Times New Roman" w:eastAsia="宋体"/>
        </w:rPr>
        <w:t xml:space="preserve"> </w:t>
      </w:r>
      <w:r>
        <w:rPr>
          <w:rFonts w:hint="eastAsia" w:hAnsi="Times New Roman" w:eastAsia="宋体"/>
          <w:sz w:val="21"/>
          <w:szCs w:val="21"/>
        </w:rPr>
        <w:t xml:space="preserve">★支持配置安全策略在线更新服务器，可通过服务器实时下载更新安全策略包。</w:t>
      </w:r>
      <w:r>
        <w:rPr>
          <w:rFonts w:hint="eastAsia" w:hAnsi="Times New Roman" w:eastAsia="宋体"/>
        </w:rPr>
        <w:t xml:space="preserve">（采用检测依据为</w:t>
      </w:r>
      <w:r>
        <w:rPr>
          <w:rFonts w:hAnsi="Times New Roman" w:eastAsia="宋体"/>
        </w:rPr>
        <w:t xml:space="preserve">GB/T 1127-2025</w:t>
      </w:r>
      <w:r>
        <w:rPr>
          <w:rFonts w:hint="eastAsia" w:hAnsi="Times New Roman" w:eastAsia="宋体"/>
        </w:rPr>
        <w:t xml:space="preserve">的CMA认证的检测机构提供的检测结果为:“符合”或“达标”或“通过”或“合格” 的</w:t>
      </w:r>
      <w:r>
        <w:rPr>
          <w:rFonts w:hint="eastAsia" w:hAnsi="Times New Roman" w:eastAsia="宋体"/>
          <w:sz w:val="21"/>
          <w:szCs w:val="21"/>
        </w:rPr>
        <w:t xml:space="preserve">检测报告并加盖受检单位或委托单位公章</w:t>
      </w:r>
      <w:r>
        <w:rPr>
          <w:rFonts w:hint="eastAsia" w:hAnsi="Times New Roman" w:eastAsia="宋体"/>
        </w:rPr>
        <w:t xml:space="preserve">）</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26.支持人脸属性显示功能，可在IE浏览器预览界面显示包括年龄、性别、有无戴眼镜、表情(包括高兴、愤怒、悲伤、惊讶、困惑、厌恶、平静、害怕等人脸表情)、胡子、口罩等人脸属性。</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27.</w:t>
      </w:r>
      <w:r>
        <w:rPr>
          <w:rFonts w:hint="eastAsia" w:hAnsi="Times New Roman" w:eastAsia="宋体"/>
        </w:rPr>
        <w:t xml:space="preserve"> </w:t>
      </w:r>
      <w:r>
        <w:rPr>
          <w:rFonts w:hint="eastAsia" w:hAnsi="Times New Roman" w:eastAsia="宋体"/>
          <w:sz w:val="21"/>
          <w:szCs w:val="21"/>
        </w:rPr>
        <w:t xml:space="preserve">★</w:t>
      </w:r>
      <w:r>
        <w:rPr>
          <w:rFonts w:hint="eastAsia" w:hAnsi="Times New Roman" w:eastAsia="宋体"/>
        </w:rPr>
        <w:t xml:space="preserve">样机内置6颗鳞镜式补光灯，每颗补光灯均包含红外补光灯和白光补光灯（采用检测依据为</w:t>
      </w:r>
      <w:r>
        <w:rPr>
          <w:rFonts w:hAnsi="Times New Roman" w:eastAsia="宋体"/>
        </w:rPr>
        <w:t xml:space="preserve">GB/T 1127-2025</w:t>
      </w:r>
      <w:r>
        <w:rPr>
          <w:rFonts w:hint="eastAsia" w:hAnsi="Times New Roman" w:eastAsia="宋体"/>
        </w:rPr>
        <w:t xml:space="preserve">的CMA认证的检测机构提供的检测结果为:“符合”或“达标”或“通过”或“合格” 的</w:t>
      </w:r>
      <w:r>
        <w:rPr>
          <w:rFonts w:hint="eastAsia" w:hAnsi="Times New Roman" w:eastAsia="宋体"/>
          <w:sz w:val="21"/>
          <w:szCs w:val="21"/>
        </w:rPr>
        <w:t xml:space="preserve">检测报告并加盖受检单位或委托单位公章</w:t>
      </w:r>
      <w:r>
        <w:rPr>
          <w:rFonts w:hint="eastAsia" w:hAnsi="Times New Roman" w:eastAsia="宋体"/>
        </w:rPr>
        <w:t xml:space="preserve">）</w:t>
      </w:r>
      <w:r>
        <w:rPr>
          <w:rFonts w:hAnsi="Times New Roman" w:eastAsia="宋体"/>
          <w:sz w:val="21"/>
          <w:szCs w:val="21"/>
        </w:rPr>
      </w:r>
      <w:r/>
    </w:p>
    <w:p>
      <w:pPr>
        <w:pStyle w:val="659"/>
        <w:spacing w:line="360" w:lineRule="auto"/>
        <w:rPr>
          <w:rFonts w:hAnsi="Times New Roman" w:eastAsia="宋体"/>
          <w:b/>
          <w:sz w:val="24"/>
          <w:szCs w:val="24"/>
        </w:rPr>
      </w:pPr>
      <w:r>
        <w:rPr>
          <w:rFonts w:hAnsi="Times New Roman" w:eastAsia="宋体"/>
          <w:b/>
          <w:sz w:val="24"/>
          <w:szCs w:val="24"/>
        </w:rPr>
      </w:r>
      <w:r/>
    </w:p>
    <w:p>
      <w:pPr>
        <w:pStyle w:val="659"/>
        <w:keepLines/>
        <w:keepNext/>
        <w:spacing w:before="160" w:after="160"/>
        <w:rPr>
          <w:rFonts w:hAnsi="宋体" w:eastAsia="宋体"/>
          <w:b/>
          <w:bCs/>
          <w:sz w:val="24"/>
          <w:szCs w:val="28"/>
        </w:rPr>
        <w:outlineLvl w:val="4"/>
      </w:pPr>
      <w:r>
        <w:rPr>
          <w:rFonts w:hAnsi="宋体" w:eastAsia="宋体"/>
          <w:b/>
          <w:bCs/>
          <w:sz w:val="24"/>
          <w:szCs w:val="28"/>
        </w:rPr>
        <w:t xml:space="preserve">3</w:t>
      </w:r>
      <w:r>
        <w:rPr>
          <w:rFonts w:hint="eastAsia" w:hAnsi="宋体" w:eastAsia="宋体"/>
          <w:b/>
          <w:bCs/>
          <w:sz w:val="24"/>
          <w:szCs w:val="28"/>
        </w:rPr>
        <w:t xml:space="preserve">、人员聚集全景检测视频服务</w:t>
      </w:r>
      <w:r>
        <w:rPr>
          <w:rFonts w:hAnsi="宋体" w:eastAsia="宋体"/>
          <w:b/>
          <w:bCs/>
          <w:sz w:val="24"/>
          <w:szCs w:val="28"/>
        </w:rPr>
      </w:r>
      <w:r/>
    </w:p>
    <w:p>
      <w:pPr>
        <w:pStyle w:val="659"/>
        <w:spacing w:line="360" w:lineRule="auto"/>
        <w:rPr>
          <w:rFonts w:hAnsi="Times New Roman" w:eastAsia="宋体"/>
          <w:sz w:val="21"/>
          <w:szCs w:val="21"/>
        </w:rPr>
      </w:pPr>
      <w:r>
        <w:rPr>
          <w:rFonts w:hint="eastAsia" w:hAnsi="Times New Roman" w:eastAsia="宋体"/>
          <w:sz w:val="21"/>
          <w:szCs w:val="21"/>
        </w:rPr>
        <w:t xml:space="preserve">1.补光灯检验：全景具备4个暖光灯，细节摄像机具备6个混光灯，其中4个红外灯、2个白光灯。有光警戒报警功能</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2.内置2个GPU芯片和2块加热玻璃，由全景摄像机和细节摄像机组成，可同时输出全景和细节两路视频图像。</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3.CMOS靶面尺寸均为1/1.8英寸．具有1个RJ45网络接口、1个音频输入接口，l个音频输出接口、7个报警输入接口、2个报警输出接口、1个RS485接口、1个复位按钮和1个SD卡槽．样机采用AC220V转DC36V电源适配器、PoE供电。</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4.</w:t>
      </w:r>
      <w:r>
        <w:rPr>
          <w:rFonts w:hint="eastAsia" w:hAnsi="Times New Roman" w:eastAsia="宋体"/>
        </w:rPr>
        <w:t xml:space="preserve">网口类型检验:样机的RJ45网络接口为10M/100M/1000M自适应网口。</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5. </w:t>
      </w:r>
      <w:r>
        <w:rPr>
          <w:rFonts w:hint="eastAsia" w:hAnsi="Times New Roman" w:eastAsia="宋体"/>
        </w:rPr>
        <w:t xml:space="preserve">定位联动功能检验:支持定位联动功能，可自动或手动标定全景视频图像与细节视频图像；通过客户端软件或IE浏览器在全景视频图像中点击或框选任意区域后，在细节视频图像旋转角度范围允许的条件下，可将该区域处于细节视频图像中央；单场景手动标定点数量不少于6个，且点击标定完成按钮后，系统提示标定完成的时间不大于1s。</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6.区域遮盖功能检验：可在监视画面上设置48块遮盖区域，可设置多边形、不同的颜色，每个场景最多可支持8块，支持6个场景，并且颜色、大小、位置可调。</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7.</w:t>
      </w:r>
      <w:r>
        <w:rPr>
          <w:rFonts w:hint="eastAsia" w:hAnsi="Times New Roman" w:eastAsia="宋体"/>
        </w:rPr>
        <w:t xml:space="preserve">图片合成功能检验:支持图片合成功能，违停抓拍、车牌识别触发后，样机可联动全景视频图像与细节视频图像进行抓图，并将两张报警抓拍图片合成。</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8.像素: 全景400万细节200万</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9.最大分辨率: 全景2560*1440细节1920×1080</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10.电子快门: 全景1/3s~1/100000s细节1/1s~1/30000s</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11.镜头光圈: 全景F1.6细节F1.6-F3.5</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12. </w:t>
      </w:r>
      <w:r>
        <w:rPr>
          <w:rFonts w:hint="eastAsia" w:hAnsi="Times New Roman" w:eastAsia="宋体"/>
        </w:rPr>
        <w:t xml:space="preserve">最大亮度鉴别等级检验:最大亮度鉴别等级应≥11级（RJ45输出）。</w:t>
      </w:r>
      <w:r>
        <w:rPr>
          <w:rFonts w:hAnsi="Times New Roman" w:eastAsia="宋体"/>
          <w:sz w:val="21"/>
          <w:szCs w:val="21"/>
        </w:rPr>
      </w:r>
      <w:r/>
    </w:p>
    <w:p>
      <w:pPr>
        <w:pStyle w:val="659"/>
        <w:rPr>
          <w:rFonts w:hAnsi="Times New Roman" w:eastAsia="宋体"/>
        </w:rPr>
      </w:pPr>
      <w:r>
        <w:rPr>
          <w:rFonts w:hAnsi="Times New Roman" w:eastAsia="宋体"/>
        </w:rPr>
      </w:r>
      <w:r/>
    </w:p>
    <w:p>
      <w:pPr>
        <w:pStyle w:val="659"/>
        <w:keepLines/>
        <w:keepNext/>
        <w:spacing w:before="160" w:after="160"/>
        <w:rPr>
          <w:rFonts w:hAnsi="宋体" w:eastAsia="宋体"/>
          <w:b/>
          <w:bCs/>
          <w:sz w:val="24"/>
          <w:szCs w:val="28"/>
        </w:rPr>
        <w:outlineLvl w:val="4"/>
      </w:pPr>
      <w:r>
        <w:rPr>
          <w:rFonts w:hAnsi="宋体" w:eastAsia="宋体"/>
          <w:b/>
          <w:bCs/>
          <w:sz w:val="24"/>
          <w:szCs w:val="28"/>
        </w:rPr>
        <w:t xml:space="preserve">4</w:t>
      </w:r>
      <w:r>
        <w:rPr>
          <w:rFonts w:hint="eastAsia" w:hAnsi="宋体" w:eastAsia="宋体"/>
          <w:b/>
          <w:bCs/>
          <w:sz w:val="24"/>
          <w:szCs w:val="28"/>
        </w:rPr>
        <w:t xml:space="preserve">、智能警戒视频服务</w:t>
      </w:r>
      <w:r>
        <w:rPr>
          <w:rFonts w:hAnsi="宋体" w:eastAsia="宋体"/>
          <w:b/>
          <w:bCs/>
          <w:sz w:val="24"/>
          <w:szCs w:val="28"/>
        </w:rPr>
      </w:r>
      <w:r/>
    </w:p>
    <w:p>
      <w:pPr>
        <w:pStyle w:val="659"/>
        <w:spacing w:line="360" w:lineRule="auto"/>
        <w:rPr>
          <w:rFonts w:hAnsi="Times New Roman" w:eastAsia="宋体"/>
          <w:sz w:val="21"/>
          <w:szCs w:val="21"/>
        </w:rPr>
      </w:pPr>
      <w:r>
        <w:rPr>
          <w:rFonts w:hint="eastAsia" w:hAnsi="Times New Roman" w:eastAsia="宋体"/>
          <w:sz w:val="21"/>
          <w:szCs w:val="21"/>
        </w:rPr>
        <w:t xml:space="preserve">1.具有宽动态自动切换功能，在环境亮度变化时，可自动进行关闭/开启切换</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2.可通过IE浏览器开启/关闭补光灯或使补光灯在低照度下自动开启红外灯和补光灯可独立双路控制，可设置为手动、自动及关闭</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3.可通过客户端软件或IE浏览器对音频文件进行管理，支持音频文件预览播放，内置语音文件21种，支持通过设备自带mic、客户端软件或IE浏览器进行自定义音频文件上传及下载，自定义音频支持PCM/G711A/G711/AAC4种编码格式的WAV/PCM/MP3三种文件格式</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4.摄像机内置靶面尺寸为1/1.8"。</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5.摄像机具有有1个内置麦克风、1个内置扬声器。</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6.同一静止场景相同图像质量下，设备在H.265编码方式时，开启智能编码功能和不开启智能编码相比，码流节约90%</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7.可同时向两个支持28181协议的设备进行注册</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8.彩色：≤0.0002lx（AGC ON、RJ45输出、应能分辨反射式视频矩阵测试卡中彩色色块）黑白：≤0.0001lx（AGC ON、RJ45输出、应能分辨反射式视频分辨率测试卡中圆形轮廓）</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9.样机表面不应有明显的凹痕、划伤、变形和污渍，表面色泽均匀，不应有气泡、龟裂、脱落和磨损现象，金属零部件不应有锈蚀，文字标识应清晰、完整，样机零部件应装配牢靠，连接可靠</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10.可通过IE浏览器显示监视画面中鼠标所选区域的像素值，内置GPU芯片，支持深度学习算法，有效提升检测准确率</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11.支持三种智能资源切换：通用行为分析、人脸检测、人数统计</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2</w:t>
      </w:r>
      <w:r>
        <w:rPr>
          <w:rFonts w:hint="eastAsia" w:hAnsi="Times New Roman" w:eastAsia="宋体"/>
          <w:sz w:val="21"/>
          <w:szCs w:val="21"/>
        </w:rPr>
        <w:t xml:space="preserve">.支持智能侦测：区域入侵，绊线入侵，快速移动（可人车分类及精准检测），物品遗留，物品搬移，徘徊检测，人员聚集，停车检测，热度图</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3</w:t>
      </w:r>
      <w:r>
        <w:rPr>
          <w:rFonts w:hint="eastAsia" w:hAnsi="Times New Roman" w:eastAsia="宋体"/>
          <w:sz w:val="21"/>
          <w:szCs w:val="21"/>
        </w:rPr>
        <w:t xml:space="preserve">.</w:t>
      </w:r>
      <w:r>
        <w:rPr>
          <w:rFonts w:hint="eastAsia" w:hAnsi="Times New Roman" w:eastAsia="宋体"/>
        </w:rPr>
        <w:t xml:space="preserve"> 带外包装，跌落高度1m，在任意四个面各自自由跌落1次。试验后样机应能正常工作。</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4</w:t>
      </w:r>
      <w:r>
        <w:rPr>
          <w:rFonts w:hint="eastAsia" w:hAnsi="Times New Roman" w:eastAsia="宋体"/>
          <w:sz w:val="21"/>
          <w:szCs w:val="21"/>
        </w:rPr>
        <w:t xml:space="preserve">.支持声光报警联动，当报警产生时，可触发联动声音警报和灯光闪烁</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5.</w:t>
      </w:r>
      <w:r>
        <w:rPr>
          <w:rFonts w:hint="eastAsia" w:hAnsi="Times New Roman" w:eastAsia="宋体"/>
        </w:rPr>
        <w:t xml:space="preserve"> 安全防范报警设备的电源插头或电源引入端与外壳裸露金属部件之间，应能承受GB16796-2009中表1规定的45Hz～65Hz交流电压的抗电强度试验，历时1min应无击穿和飞弧现象。</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6</w:t>
      </w:r>
      <w:r>
        <w:rPr>
          <w:rFonts w:hint="eastAsia" w:hAnsi="Times New Roman" w:eastAsia="宋体"/>
          <w:sz w:val="21"/>
          <w:szCs w:val="21"/>
        </w:rPr>
        <w:t xml:space="preserve">.最大可输出400万(2688×1520)@25fps</w:t>
      </w:r>
      <w:r>
        <w:rPr>
          <w:rFonts w:hAnsi="Times New Roman" w:eastAsia="宋体"/>
          <w:sz w:val="21"/>
          <w:szCs w:val="21"/>
        </w:rPr>
      </w:r>
      <w:r/>
    </w:p>
    <w:p>
      <w:pPr>
        <w:pStyle w:val="659"/>
        <w:rPr>
          <w:rFonts w:hAnsi="Times New Roman" w:eastAsia="宋体"/>
        </w:rPr>
      </w:pPr>
      <w:r>
        <w:rPr>
          <w:rFonts w:hAnsi="Times New Roman" w:eastAsia="宋体"/>
        </w:rPr>
      </w:r>
      <w:r/>
    </w:p>
    <w:p>
      <w:pPr>
        <w:pStyle w:val="659"/>
        <w:keepLines/>
        <w:keepNext/>
        <w:spacing w:before="160" w:after="160"/>
        <w:rPr>
          <w:rFonts w:hAnsi="宋体" w:eastAsia="宋体"/>
          <w:b/>
          <w:bCs/>
          <w:sz w:val="24"/>
          <w:szCs w:val="28"/>
        </w:rPr>
        <w:outlineLvl w:val="4"/>
      </w:pPr>
      <w:r>
        <w:rPr>
          <w:rFonts w:hAnsi="宋体" w:eastAsia="宋体"/>
          <w:b/>
          <w:bCs/>
          <w:sz w:val="24"/>
          <w:szCs w:val="28"/>
        </w:rPr>
        <w:t xml:space="preserve">5</w:t>
      </w:r>
      <w:r>
        <w:rPr>
          <w:rFonts w:hint="eastAsia" w:hAnsi="宋体" w:eastAsia="宋体"/>
          <w:b/>
          <w:bCs/>
          <w:sz w:val="24"/>
          <w:szCs w:val="28"/>
        </w:rPr>
        <w:t xml:space="preserve">、存储</w:t>
      </w:r>
      <w:r>
        <w:rPr>
          <w:rFonts w:hAnsi="宋体" w:eastAsia="宋体"/>
          <w:b/>
          <w:bCs/>
          <w:sz w:val="24"/>
          <w:szCs w:val="28"/>
        </w:rPr>
      </w:r>
      <w:r/>
    </w:p>
    <w:p>
      <w:pPr>
        <w:pStyle w:val="659"/>
        <w:spacing w:line="360" w:lineRule="auto"/>
        <w:rPr>
          <w:rFonts w:hAnsi="Times New Roman" w:eastAsia="宋体"/>
          <w:sz w:val="21"/>
          <w:szCs w:val="21"/>
        </w:rPr>
      </w:pPr>
      <w:r>
        <w:rPr>
          <w:rFonts w:hint="eastAsia" w:hAnsi="Times New Roman" w:eastAsia="宋体"/>
          <w:sz w:val="21"/>
          <w:szCs w:val="21"/>
        </w:rPr>
        <w:t xml:space="preserve">1.具有2个HDMI接口、2个VGA接口、2个RJ45千兆网络接口、2个USB2.0接口、2个USB3.0接口、1个RS232接口、1个RS485接口（可接入RS485键盘）；具有1路音频输入接口、2路音频输出接口，16路报警输入接口、4路报警输出接口；可内置16个SATA接口硬盘</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2.支持最大接入带宽384Mbps，最大存储带宽384Mbps，最大转发带宽256Mbps</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3.可接入 1T、2T、3T、4T、6T、8T、10T、12TB、14TB、16TB、20TB容量的 SATA接口硬盘；</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4.HDMI1和HDMI2支持最大单路8K（7680×4320）和1080P（1920×1080）异源输出。</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5.在专家模式下，支持高空抛物摄像机按视野进行区域划分，并支持轮巡预览。</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6.支持按楼层区域和按通道两种模式对高空抛物事件进行检索。并支持按楼层进行过滤检索，检索结果可以显示楼层信息。</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7.设备支持分组管理，支持将接入的视频通道按分组管理；支持以分组方式进行预览、回放和检索；自定义视图支持以分组方式拖动通道进行配置。</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8.支持网络广播音频设备</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9.支持网络广播绑定视频通道，支持以通道方式对绑定后的视频通道和网络广播进行对讲。</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10.切片回放功能，支持按月、日、小时维度进行切片展示，按月最大支持30个切片，按日最大支持24个切片，按时最大支持60个切片。</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11.支持预览时对实时视频流进行手动打标签，通过标签检索可以检索到相关的录像片段。</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12.支持预览的单窗口轮巡，设备支持在多画面的固定窗口上进行轮巡预览，其他预览窗口不轮巡。</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13.支持查看在线用户信息，包括用户名、用户类型、IP地址和用户最后操作时间等维护信息。</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14.支持音频设备与视频设备独立管理，支持网络拾音器的接入、校时；最大16路音频设备管理。</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15.支持音视频动态调整组合分配功能，可将任一路音频与任一路视频组合成复合流编码。</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16.支持前端IPC证书二次校验机制，未通过证书校验的IPC不允许添加到NVR。</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17.支持网络端口扫描行为预警，可自动封禁IP，并上报预警，支持远程下发IP拦截。</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18）支持自动跳转https功能，设备启用自动跳转https功能后不支持http协议访问，http访问入口连接会自动重定向到https入口</w:t>
      </w:r>
      <w:r>
        <w:rPr>
          <w:rFonts w:hAnsi="Times New Roman" w:eastAsia="宋体"/>
          <w:sz w:val="21"/>
          <w:szCs w:val="21"/>
        </w:rPr>
      </w:r>
      <w:r/>
    </w:p>
    <w:p>
      <w:pPr>
        <w:pStyle w:val="659"/>
        <w:rPr>
          <w:rFonts w:hAnsi="Times New Roman" w:eastAsia="宋体"/>
        </w:rPr>
      </w:pPr>
      <w:r>
        <w:rPr>
          <w:rFonts w:hAnsi="Times New Roman" w:eastAsia="宋体"/>
        </w:rPr>
      </w:r>
      <w:r/>
    </w:p>
    <w:p>
      <w:pPr>
        <w:pStyle w:val="659"/>
        <w:keepLines/>
        <w:keepNext/>
        <w:spacing w:before="160" w:after="160"/>
        <w:rPr>
          <w:rFonts w:hAnsi="宋体" w:eastAsia="宋体"/>
          <w:b/>
          <w:bCs/>
          <w:sz w:val="24"/>
          <w:szCs w:val="28"/>
        </w:rPr>
        <w:outlineLvl w:val="4"/>
      </w:pPr>
      <w:r>
        <w:rPr>
          <w:rFonts w:hint="eastAsia" w:hAnsi="宋体" w:eastAsia="宋体"/>
          <w:b/>
          <w:bCs/>
          <w:sz w:val="24"/>
          <w:szCs w:val="28"/>
        </w:rPr>
        <w:t xml:space="preserve">6、高空抛物检测视频服务</w:t>
      </w:r>
      <w:r>
        <w:rPr>
          <w:rFonts w:hAnsi="宋体" w:eastAsia="宋体"/>
          <w:b/>
          <w:bCs/>
          <w:sz w:val="24"/>
          <w:szCs w:val="28"/>
        </w:rPr>
      </w:r>
      <w:r/>
    </w:p>
    <w:p>
      <w:pPr>
        <w:pStyle w:val="659"/>
        <w:spacing w:line="360" w:lineRule="auto"/>
        <w:rPr>
          <w:rFonts w:hAnsi="Times New Roman" w:eastAsia="宋体"/>
          <w:sz w:val="21"/>
          <w:szCs w:val="21"/>
        </w:rPr>
      </w:pPr>
      <w:r>
        <w:rPr>
          <w:rFonts w:hint="eastAsia" w:hAnsi="Times New Roman" w:eastAsia="宋体"/>
          <w:sz w:val="21"/>
          <w:szCs w:val="21"/>
        </w:rPr>
        <w:t xml:space="preserve">1.传感器尺寸不小于1/1.8"，光圈大小不小于F1.0±5%。</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 内置GPU芯片。</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3. 最低照度彩色不大于0.0002 lx，黑白不大于0.0001 lx。</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4. 镜头前盖采用增强透光玻璃，透过率不小于96%。</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5</w:t>
      </w:r>
      <w:r>
        <w:rPr>
          <w:rFonts w:hint="eastAsia" w:hAnsi="Times New Roman" w:eastAsia="宋体"/>
          <w:sz w:val="21"/>
          <w:szCs w:val="21"/>
        </w:rPr>
        <w:t xml:space="preserve">. ★样机支持开启、关闭恢复出厂物理按键的控制功能。（采用检测依据为GA/T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6. 高空抛物检测误报率≤1%。</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7.支持高空抛物检测功能，可检测如垃圾袋、纸盒、矿泉水瓶等，可抓图并发出报警提示。</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8. ★样机支持大模型算法智能遮盖人员目标，包括马赛克、毛玻璃、火柴人3种遮盖模式。（采用检测依据为GA/T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9</w:t>
      </w:r>
      <w:r>
        <w:rPr>
          <w:rFonts w:hint="eastAsia" w:hAnsi="Times New Roman" w:eastAsia="宋体"/>
          <w:sz w:val="21"/>
          <w:szCs w:val="21"/>
        </w:rPr>
        <w:t xml:space="preserve">.</w:t>
      </w:r>
      <w:r>
        <w:rPr>
          <w:rFonts w:hint="eastAsia" w:hAnsi="Times New Roman" w:eastAsia="宋体"/>
        </w:rPr>
        <w:t xml:space="preserve"> </w:t>
      </w:r>
      <w:r>
        <w:rPr>
          <w:rFonts w:hint="eastAsia" w:hAnsi="Times New Roman" w:eastAsia="宋体"/>
          <w:sz w:val="21"/>
          <w:szCs w:val="21"/>
        </w:rPr>
        <w:t xml:space="preserve">★具有安全状态检测功能，包括基础安全扫描、账户安全扫描、配置安全扫描，支持一键扫描账户安全状态，统计问题和风险数量，并给出安全加固建议。（采用检测依据为GA/T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0</w:t>
      </w:r>
      <w:r>
        <w:rPr>
          <w:rFonts w:hint="eastAsia" w:hAnsi="Times New Roman" w:eastAsia="宋体"/>
          <w:sz w:val="21"/>
          <w:szCs w:val="21"/>
        </w:rPr>
        <w:t xml:space="preserve">.支持高空抛物检测功能，可检测如垃圾袋、纸盒、矿泉水瓶等，可抓图并发出报警提示。</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1.</w:t>
      </w:r>
      <w:r>
        <w:rPr>
          <w:rFonts w:hint="eastAsia" w:hAnsi="Times New Roman" w:eastAsia="宋体"/>
          <w:sz w:val="21"/>
          <w:szCs w:val="21"/>
        </w:rPr>
        <w:t xml:space="preserve">可同时检测出不低于128个下落物品。</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12.</w:t>
      </w:r>
      <w:r>
        <w:rPr>
          <w:rFonts w:hint="eastAsia" w:hAnsi="Times New Roman" w:eastAsia="宋体"/>
          <w:sz w:val="21"/>
          <w:szCs w:val="21"/>
        </w:rPr>
        <w:t xml:space="preserve">★样机内置容量为4GB的eMMC芯片，存储大模型算法及数据（采用检测依据为GA/T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13.</w:t>
      </w:r>
      <w:r>
        <w:rPr>
          <w:rFonts w:hint="eastAsia" w:hAnsi="Times New Roman" w:eastAsia="宋体"/>
          <w:sz w:val="21"/>
          <w:szCs w:val="21"/>
        </w:rPr>
        <w:t xml:space="preserve">★样机具有安全自检功能，可检测样机自身的配置安全、账户安全和系统安全（采用检测依据为GA/T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13.</w:t>
      </w:r>
      <w:r>
        <w:rPr>
          <w:rFonts w:hint="eastAsia" w:hAnsi="Times New Roman" w:eastAsia="宋体"/>
          <w:sz w:val="21"/>
          <w:szCs w:val="21"/>
        </w:rPr>
        <w:t xml:space="preserve">★样机具有入侵检测防御功能，包括网络传输协议防火墙、操作系统进程监控、网络攻击检测防御、病毒查杀，并可实时记录及上报安全日志（采用检测依据为GA/T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rPr>
          <w:rFonts w:hAnsi="Times New Roman" w:eastAsia="宋体"/>
        </w:rPr>
      </w:pPr>
      <w:r>
        <w:rPr>
          <w:rFonts w:hAnsi="Times New Roman" w:eastAsia="宋体"/>
        </w:rPr>
      </w:r>
      <w:r/>
    </w:p>
    <w:p>
      <w:pPr>
        <w:pStyle w:val="659"/>
        <w:keepLines/>
        <w:keepNext/>
        <w:spacing w:before="160" w:after="160"/>
        <w:rPr>
          <w:rFonts w:hAnsi="宋体" w:eastAsia="宋体"/>
          <w:b/>
          <w:bCs/>
          <w:sz w:val="24"/>
          <w:szCs w:val="28"/>
        </w:rPr>
        <w:outlineLvl w:val="4"/>
      </w:pPr>
      <w:r>
        <w:rPr>
          <w:rFonts w:hAnsi="宋体" w:eastAsia="宋体"/>
          <w:b/>
          <w:bCs/>
          <w:sz w:val="24"/>
          <w:szCs w:val="28"/>
        </w:rPr>
        <w:t xml:space="preserve">7</w:t>
      </w:r>
      <w:r>
        <w:rPr>
          <w:rFonts w:hint="eastAsia" w:hAnsi="宋体" w:eastAsia="宋体"/>
          <w:b/>
          <w:bCs/>
          <w:sz w:val="24"/>
          <w:szCs w:val="28"/>
        </w:rPr>
        <w:t xml:space="preserve">、室外通道占用视频服务</w:t>
      </w:r>
      <w:r>
        <w:rPr>
          <w:rFonts w:hAnsi="宋体" w:eastAsia="宋体"/>
          <w:b/>
          <w:bCs/>
          <w:sz w:val="24"/>
          <w:szCs w:val="28"/>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w:t>
      </w:r>
      <w:r>
        <w:rPr>
          <w:rFonts w:hint="eastAsia" w:hAnsi="Times New Roman" w:eastAsia="宋体"/>
          <w:sz w:val="21"/>
          <w:szCs w:val="21"/>
        </w:rPr>
        <w:t xml:space="preserve">摄像机具有有1个内置麦克风、1个内置扬声器。</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2.</w:t>
      </w:r>
      <w:r>
        <w:rPr>
          <w:rFonts w:hint="eastAsia" w:hAnsi="Times New Roman" w:eastAsia="宋体"/>
          <w:sz w:val="21"/>
          <w:szCs w:val="21"/>
        </w:rPr>
        <w:t xml:space="preserve">当发生绊线入侵、区域入侵和快速移动等行为时，样机可最多设置10组布防时间，在布防时间内开启智能行为分析功能，可对人、车、人和车进行检测；可对人员和机动车的正面、侧面、背面进行检测；可对轿车、客车、面包车、重中型货车、轻微型货车进行检测；可对打伞、拎包、骑车人员进行检测；可对目标大小（像素值）进行设置，使样机只对预设大小（像素值）范围内的人员及机动车辆进行栓测；</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3</w:t>
      </w:r>
      <w:r>
        <w:rPr>
          <w:rFonts w:hAnsi="Times New Roman" w:eastAsia="宋体"/>
          <w:sz w:val="21"/>
          <w:szCs w:val="21"/>
        </w:rPr>
        <w:t xml:space="preserve">.</w:t>
      </w:r>
      <w:r>
        <w:rPr>
          <w:rFonts w:hint="eastAsia" w:hAnsi="Times New Roman" w:eastAsia="宋体"/>
          <w:sz w:val="21"/>
          <w:szCs w:val="21"/>
        </w:rPr>
        <w:t xml:space="preserve">★红外补光灯开启后，可识别距离样机200m处的人体（1.7mx0.5m）轮廓（采用检测依据为GA/T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4</w:t>
      </w:r>
      <w:r>
        <w:rPr>
          <w:rFonts w:hAnsi="Times New Roman" w:eastAsia="宋体"/>
          <w:sz w:val="21"/>
          <w:szCs w:val="21"/>
        </w:rPr>
        <w:t xml:space="preserve">.</w:t>
      </w:r>
      <w:r>
        <w:rPr>
          <w:rFonts w:hint="eastAsia" w:hAnsi="Times New Roman" w:eastAsia="宋体"/>
          <w:sz w:val="21"/>
          <w:szCs w:val="21"/>
        </w:rPr>
        <w:t xml:space="preserve">采用单人及单辆机动车分别依次触发拌线入侵进行试验，试验环境照度不低于100lx,试验次数各100次，样机拌线入侵报警次数不小于99次.</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5</w:t>
      </w:r>
      <w:r>
        <w:rPr>
          <w:rFonts w:hAnsi="Times New Roman" w:eastAsia="宋体"/>
          <w:sz w:val="21"/>
          <w:szCs w:val="21"/>
        </w:rPr>
        <w:t xml:space="preserve">.</w:t>
      </w:r>
      <w:r>
        <w:rPr>
          <w:rFonts w:hint="eastAsia" w:hAnsi="Times New Roman" w:eastAsia="宋体"/>
          <w:sz w:val="21"/>
          <w:szCs w:val="21"/>
        </w:rPr>
        <w:t xml:space="preserve">在线升级：摄像机应支持固件在线升级。在升级过程中，如发生掉电、掉线等异常情况导致升级不成功时，能在掉电、掉线等异常情况解决后恢复到升级前的状态或能继续完成在线升级。</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6.</w:t>
      </w:r>
      <w:r>
        <w:rPr>
          <w:rFonts w:hint="eastAsia" w:hAnsi="Times New Roman" w:eastAsia="宋体"/>
          <w:sz w:val="21"/>
          <w:szCs w:val="21"/>
        </w:rPr>
        <w:t xml:space="preserve">支持补光灯集成白光灯和红外灯，分为白光模式和混合模式，白光模式只开启白光灯，混合模式下是开启红外,另外用白光做补偿.</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7</w:t>
      </w:r>
      <w:r>
        <w:rPr>
          <w:rFonts w:hAnsi="Times New Roman" w:eastAsia="宋体"/>
          <w:sz w:val="21"/>
          <w:szCs w:val="21"/>
        </w:rPr>
        <w:t xml:space="preserve">.</w:t>
      </w:r>
      <w:r>
        <w:rPr>
          <w:rFonts w:hint="eastAsia" w:hAnsi="Times New Roman" w:eastAsia="宋体"/>
          <w:sz w:val="21"/>
          <w:szCs w:val="21"/>
        </w:rPr>
        <w:t xml:space="preserve">恢复出厂设置和重启：摄像机应有恢复出厂设置和重新启动功能，设备掉电或重新启动后，应能保存掉电前或重启前的配置信息。</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8.</w:t>
      </w:r>
      <w:r>
        <w:rPr>
          <w:rFonts w:hint="eastAsia" w:hAnsi="Times New Roman" w:eastAsia="宋体"/>
          <w:sz w:val="21"/>
          <w:szCs w:val="21"/>
        </w:rPr>
        <w:t xml:space="preserve">★摄像机的图像耀光占图像面积比例应小于或等于3%。（采用检测依据为GA/T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9</w:t>
      </w:r>
      <w:r>
        <w:rPr>
          <w:rFonts w:hAnsi="Times New Roman" w:eastAsia="宋体"/>
          <w:sz w:val="21"/>
          <w:szCs w:val="21"/>
        </w:rPr>
        <w:t xml:space="preserve">.</w:t>
      </w:r>
      <w:r>
        <w:rPr>
          <w:rFonts w:hint="eastAsia" w:hAnsi="Times New Roman" w:eastAsia="宋体"/>
          <w:sz w:val="21"/>
          <w:szCs w:val="21"/>
        </w:rPr>
        <w:t xml:space="preserve"> ★监控场景在白天和夜晚场景变化过程中，具有补光功能的摄像机，日夜场景照度适应性比值K应大于或等于70%。（采用检测依据为GA/T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0.</w:t>
      </w:r>
      <w:r>
        <w:rPr>
          <w:rFonts w:hint="eastAsia" w:hAnsi="Times New Roman" w:eastAsia="宋体"/>
          <w:sz w:val="21"/>
          <w:szCs w:val="21"/>
        </w:rPr>
        <w:t xml:space="preserve">在WEB浏览器下，可设置手动白平衡、自动白平衡(宽)、自动白平衡(窄)、锁定白平衡、日光灯、白炽灯、暖光灯、自然光。</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1.</w:t>
      </w:r>
      <w:r>
        <w:rPr>
          <w:rFonts w:hint="eastAsia" w:hAnsi="Times New Roman" w:eastAsia="宋体"/>
          <w:sz w:val="21"/>
          <w:szCs w:val="21"/>
        </w:rPr>
        <w:t xml:space="preserve">★支持逆光补偿功能，并可通过IE浏览器或客户端预设逆光补偿的区域为上、下、左、右、中心、自定义、自动共7种补偿模式;当补偿模式为自定义时，支持在预览界面手动绘制背光补偿区域;当补偿模式为自动时，样机可根据不同逆光场景自动补偿逆光的区域。（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2.</w:t>
      </w:r>
      <w:r>
        <w:rPr>
          <w:rFonts w:hint="eastAsia" w:hAnsi="Times New Roman" w:eastAsia="宋体"/>
          <w:sz w:val="21"/>
          <w:szCs w:val="21"/>
        </w:rPr>
        <w:t xml:space="preserve">★样机可设置白天、夜晚、自动、定时切换4种模式；自动模式下，灵敏度1~7档可调；定时切换模式下可设置开始及结束时间。（采用检测依据为GA/T 1127-2025的CMA认证的检测机构提供的检测结果为:“符合”或“达标”或“通过”或“合格” 的检测报告并加盖受检单位或委托单位公章）</w:t>
      </w:r>
      <w:r>
        <w:rPr>
          <w:rFonts w:hAnsi="Times New Roman" w:eastAsia="宋体"/>
          <w:sz w:val="21"/>
          <w:szCs w:val="21"/>
        </w:rPr>
      </w:r>
      <w:r/>
    </w:p>
    <w:p>
      <w:pPr>
        <w:pStyle w:val="659"/>
        <w:rPr>
          <w:rFonts w:hAnsi="Times New Roman" w:eastAsia="宋体"/>
        </w:rPr>
      </w:pPr>
      <w:r>
        <w:rPr>
          <w:rFonts w:hAnsi="Times New Roman" w:eastAsia="宋体"/>
        </w:rPr>
      </w:r>
      <w:r/>
    </w:p>
    <w:p>
      <w:pPr>
        <w:pStyle w:val="659"/>
        <w:keepLines/>
        <w:keepNext/>
        <w:spacing w:before="160" w:after="160"/>
        <w:rPr>
          <w:rFonts w:hAnsi="宋体" w:eastAsia="宋体"/>
          <w:b/>
          <w:bCs/>
          <w:sz w:val="24"/>
          <w:szCs w:val="28"/>
        </w:rPr>
        <w:outlineLvl w:val="4"/>
      </w:pPr>
      <w:r>
        <w:rPr>
          <w:rFonts w:hAnsi="宋体" w:eastAsia="宋体"/>
          <w:b/>
          <w:bCs/>
          <w:sz w:val="24"/>
          <w:szCs w:val="28"/>
        </w:rPr>
        <w:t xml:space="preserve">8</w:t>
      </w:r>
      <w:r>
        <w:rPr>
          <w:rFonts w:hint="eastAsia" w:hAnsi="宋体" w:eastAsia="宋体"/>
          <w:b/>
          <w:bCs/>
          <w:sz w:val="24"/>
          <w:szCs w:val="28"/>
        </w:rPr>
        <w:t xml:space="preserve">、智能AI检测视频服务</w:t>
      </w:r>
      <w:r>
        <w:rPr>
          <w:rFonts w:hAnsi="宋体" w:eastAsia="宋体"/>
          <w:b/>
          <w:bCs/>
          <w:sz w:val="24"/>
          <w:szCs w:val="28"/>
        </w:rPr>
      </w:r>
      <w:r/>
    </w:p>
    <w:p>
      <w:pPr>
        <w:pStyle w:val="659"/>
        <w:spacing w:line="360" w:lineRule="auto"/>
        <w:rPr>
          <w:rFonts w:hAnsi="Times New Roman" w:eastAsia="宋体"/>
          <w:sz w:val="21"/>
          <w:szCs w:val="21"/>
        </w:rPr>
      </w:pPr>
      <w:r>
        <w:rPr>
          <w:rFonts w:hAnsi="Times New Roman" w:eastAsia="宋体"/>
          <w:sz w:val="21"/>
          <w:szCs w:val="21"/>
        </w:rPr>
        <w:t xml:space="preserve">1.</w:t>
      </w:r>
      <w:r>
        <w:rPr>
          <w:rFonts w:hint="eastAsia" w:hAnsi="Times New Roman" w:eastAsia="宋体"/>
          <w:sz w:val="21"/>
          <w:szCs w:val="21"/>
        </w:rPr>
        <w:t xml:space="preserve">400万星光级1/1.8” CMOS</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2.</w:t>
      </w:r>
      <w:r>
        <w:rPr>
          <w:rFonts w:hint="eastAsia" w:hAnsi="Times New Roman" w:eastAsia="宋体"/>
          <w:sz w:val="21"/>
          <w:szCs w:val="21"/>
        </w:rPr>
        <w:t xml:space="preserve">智能补光:补光灯集成白光灯和红外灯，分为白光模式和混合模式，白光模式只开启白光灯，混合模式下是开启红外，另外用白光做补偿。</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3</w:t>
      </w:r>
      <w:r>
        <w:rPr>
          <w:rFonts w:hAnsi="Times New Roman" w:eastAsia="宋体"/>
          <w:sz w:val="21"/>
          <w:szCs w:val="21"/>
        </w:rPr>
        <w:t xml:space="preserve">.</w:t>
      </w:r>
      <w:r>
        <w:rPr>
          <w:rFonts w:hint="eastAsia" w:hAnsi="Times New Roman" w:eastAsia="宋体"/>
          <w:sz w:val="21"/>
          <w:szCs w:val="21"/>
        </w:rPr>
        <w:t xml:space="preserve">最低照度:彩色: 0.0005Lux @ (F1.2, AGC ON)  黑白: 0.0001 Lux @ (F1.2, AGC ON), 0 Lux with IR</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4</w:t>
      </w:r>
      <w:r>
        <w:rPr>
          <w:rFonts w:hAnsi="Times New Roman" w:eastAsia="宋体"/>
          <w:sz w:val="21"/>
          <w:szCs w:val="21"/>
        </w:rPr>
        <w:t xml:space="preserve">.</w:t>
      </w:r>
      <w:r>
        <w:rPr>
          <w:rFonts w:hint="eastAsia" w:hAnsi="Times New Roman" w:eastAsia="宋体"/>
          <w:sz w:val="21"/>
          <w:szCs w:val="21"/>
        </w:rPr>
        <w:t xml:space="preserve">镜头:（8-32mm）@F1.6，水平视场角：37.7°~15.2°</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5</w:t>
      </w:r>
      <w:r>
        <w:rPr>
          <w:rFonts w:hAnsi="Times New Roman" w:eastAsia="宋体"/>
          <w:sz w:val="21"/>
          <w:szCs w:val="21"/>
        </w:rPr>
        <w:t xml:space="preserve">.</w:t>
      </w:r>
      <w:r>
        <w:rPr>
          <w:rFonts w:hint="eastAsia" w:hAnsi="Times New Roman" w:eastAsia="宋体"/>
          <w:sz w:val="21"/>
          <w:szCs w:val="21"/>
        </w:rPr>
        <w:t xml:space="preserve">宽动态:超宽动态范围达120dB，室内逆光环境下监控</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6</w:t>
      </w:r>
      <w:r>
        <w:rPr>
          <w:rFonts w:hAnsi="Times New Roman" w:eastAsia="宋体"/>
          <w:sz w:val="21"/>
          <w:szCs w:val="21"/>
        </w:rPr>
        <w:t xml:space="preserve">.</w:t>
      </w:r>
      <w:r>
        <w:rPr>
          <w:rFonts w:hint="eastAsia" w:hAnsi="Times New Roman" w:eastAsia="宋体"/>
          <w:sz w:val="21"/>
          <w:szCs w:val="21"/>
        </w:rPr>
        <w:t xml:space="preserve">视频压缩标准:H.265/H.264 / MJPEG</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7</w:t>
      </w:r>
      <w:r>
        <w:rPr>
          <w:rFonts w:hAnsi="Times New Roman" w:eastAsia="宋体"/>
          <w:sz w:val="21"/>
          <w:szCs w:val="21"/>
        </w:rPr>
        <w:t xml:space="preserve">.</w:t>
      </w:r>
      <w:r>
        <w:rPr>
          <w:rFonts w:hint="eastAsia" w:hAnsi="Times New Roman" w:eastAsia="宋体"/>
          <w:sz w:val="21"/>
          <w:szCs w:val="21"/>
        </w:rPr>
        <w:t xml:space="preserve">最大图像尺寸:2560 x 1440</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8</w:t>
      </w:r>
      <w:r>
        <w:rPr>
          <w:rFonts w:hAnsi="Times New Roman" w:eastAsia="宋体"/>
          <w:sz w:val="21"/>
          <w:szCs w:val="21"/>
        </w:rPr>
        <w:t xml:space="preserve">.</w:t>
      </w:r>
      <w:r>
        <w:rPr>
          <w:rFonts w:hint="eastAsia" w:hAnsi="Times New Roman" w:eastAsia="宋体"/>
          <w:sz w:val="21"/>
          <w:szCs w:val="21"/>
        </w:rPr>
        <w:t xml:space="preserve">存储功能:支持Micro SD(即TF卡)/Micro SDHC /Micro SDXC卡(128G)断网本地存储，NAS(NFS、SMB/CIFS均支持) </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9</w:t>
      </w:r>
      <w:r>
        <w:rPr>
          <w:rFonts w:hAnsi="Times New Roman" w:eastAsia="宋体"/>
          <w:sz w:val="21"/>
          <w:szCs w:val="21"/>
        </w:rPr>
        <w:t xml:space="preserve">.</w:t>
      </w:r>
      <w:r>
        <w:rPr>
          <w:rFonts w:hint="eastAsia" w:hAnsi="Times New Roman" w:eastAsia="宋体"/>
          <w:sz w:val="21"/>
          <w:szCs w:val="21"/>
        </w:rPr>
        <w:t xml:space="preserve">通讯接口:1 个RJ45 10M / 100M /1000M自适应以太网口 1个RS-485接口</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0.</w:t>
      </w:r>
      <w:r>
        <w:rPr>
          <w:rFonts w:hint="eastAsia" w:hAnsi="Times New Roman" w:eastAsia="宋体"/>
          <w:sz w:val="21"/>
          <w:szCs w:val="21"/>
        </w:rPr>
        <w:t xml:space="preserve">音频接口:1对音频输入(Line in )/输出接口</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1.</w:t>
      </w:r>
      <w:r>
        <w:rPr>
          <w:rFonts w:hint="eastAsia" w:hAnsi="Times New Roman" w:eastAsia="宋体"/>
          <w:sz w:val="21"/>
          <w:szCs w:val="21"/>
        </w:rPr>
        <w:t xml:space="preserve">报警接口:2对报警输入/输出接口(报警输出最大支持DC24V 1A或AC30V 500mA)</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2.</w:t>
      </w:r>
      <w:r>
        <w:rPr>
          <w:rFonts w:hint="eastAsia" w:hAnsi="Times New Roman" w:eastAsia="宋体"/>
          <w:sz w:val="21"/>
          <w:szCs w:val="21"/>
        </w:rPr>
        <w:t xml:space="preserve">防护等级:IP66</w:t>
      </w:r>
      <w:r>
        <w:rPr>
          <w:rFonts w:hAnsi="Times New Roman" w:eastAsia="宋体"/>
          <w:sz w:val="21"/>
          <w:szCs w:val="21"/>
        </w:rPr>
      </w:r>
      <w:r/>
    </w:p>
    <w:p>
      <w:pPr>
        <w:pStyle w:val="659"/>
        <w:rPr>
          <w:rFonts w:hAnsi="Times New Roman" w:eastAsia="宋体"/>
        </w:rPr>
      </w:pPr>
      <w:r>
        <w:rPr>
          <w:rFonts w:hAnsi="Times New Roman" w:eastAsia="宋体"/>
        </w:rPr>
      </w:r>
      <w:r/>
    </w:p>
    <w:p>
      <w:pPr>
        <w:pStyle w:val="659"/>
        <w:keepLines/>
        <w:keepNext/>
        <w:spacing w:before="160" w:after="160"/>
        <w:rPr>
          <w:rFonts w:hAnsi="宋体" w:eastAsia="宋体"/>
          <w:b/>
          <w:bCs/>
          <w:sz w:val="24"/>
          <w:szCs w:val="28"/>
        </w:rPr>
        <w:outlineLvl w:val="4"/>
      </w:pPr>
      <w:r>
        <w:rPr>
          <w:rFonts w:hAnsi="宋体" w:eastAsia="宋体"/>
          <w:b/>
          <w:bCs/>
          <w:sz w:val="24"/>
          <w:szCs w:val="28"/>
        </w:rPr>
        <w:t xml:space="preserve">9</w:t>
      </w:r>
      <w:r>
        <w:rPr>
          <w:rFonts w:hint="eastAsia" w:hAnsi="宋体" w:eastAsia="宋体"/>
          <w:b/>
          <w:bCs/>
          <w:sz w:val="24"/>
          <w:szCs w:val="28"/>
        </w:rPr>
        <w:t xml:space="preserve">、单元楼道视频监控服务</w:t>
      </w:r>
      <w:r>
        <w:rPr>
          <w:rFonts w:hAnsi="宋体" w:eastAsia="宋体"/>
          <w:b/>
          <w:bCs/>
          <w:sz w:val="24"/>
          <w:szCs w:val="28"/>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w:t>
      </w:r>
      <w:r>
        <w:rPr>
          <w:rFonts w:hint="eastAsia" w:hAnsi="Times New Roman" w:eastAsia="宋体"/>
          <w:sz w:val="21"/>
          <w:szCs w:val="21"/>
        </w:rPr>
        <w:t xml:space="preserve">最高分辨率可达2560 × 1440 @25 fps</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2</w:t>
      </w:r>
      <w:r>
        <w:rPr>
          <w:rFonts w:hAnsi="Times New Roman" w:eastAsia="宋体"/>
          <w:sz w:val="21"/>
          <w:szCs w:val="21"/>
        </w:rPr>
        <w:t xml:space="preserve">.</w:t>
      </w:r>
      <w:r>
        <w:rPr>
          <w:rFonts w:hint="eastAsia" w:hAnsi="Times New Roman" w:eastAsia="宋体"/>
          <w:sz w:val="21"/>
          <w:szCs w:val="21"/>
        </w:rPr>
        <w:t xml:space="preserve">支持用户登录锁定机制，及密码复杂度提示</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3</w:t>
      </w:r>
      <w:r>
        <w:rPr>
          <w:rFonts w:hAnsi="Times New Roman" w:eastAsia="宋体"/>
          <w:sz w:val="21"/>
          <w:szCs w:val="21"/>
        </w:rPr>
        <w:t xml:space="preserve">.</w:t>
      </w:r>
      <w:r>
        <w:rPr>
          <w:rFonts w:hint="eastAsia" w:hAnsi="Times New Roman" w:eastAsia="宋体"/>
          <w:sz w:val="21"/>
          <w:szCs w:val="21"/>
        </w:rPr>
        <w:t xml:space="preserve">支持SmartIR，防止夜间红外过曝</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4</w:t>
      </w:r>
      <w:r>
        <w:rPr>
          <w:rFonts w:hAnsi="Times New Roman" w:eastAsia="宋体"/>
          <w:sz w:val="21"/>
          <w:szCs w:val="21"/>
        </w:rPr>
        <w:t xml:space="preserve">.</w:t>
      </w:r>
      <w:r>
        <w:rPr>
          <w:rFonts w:hint="eastAsia" w:hAnsi="Times New Roman" w:eastAsia="宋体"/>
          <w:sz w:val="21"/>
          <w:szCs w:val="21"/>
        </w:rPr>
        <w:t xml:space="preserve">支持背光补偿，强光抑制，3D数字降噪，数字宽动态，适应不同环境</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5</w:t>
      </w:r>
      <w:r>
        <w:rPr>
          <w:rFonts w:hAnsi="Times New Roman" w:eastAsia="宋体"/>
          <w:sz w:val="21"/>
          <w:szCs w:val="21"/>
        </w:rPr>
        <w:t xml:space="preserve">.</w:t>
      </w:r>
      <w:r>
        <w:rPr>
          <w:rFonts w:hint="eastAsia" w:hAnsi="Times New Roman" w:eastAsia="宋体"/>
          <w:sz w:val="21"/>
          <w:szCs w:val="21"/>
        </w:rPr>
        <w:t xml:space="preserve">支持ROI感兴趣区域增强编码</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6</w:t>
      </w:r>
      <w:r>
        <w:rPr>
          <w:rFonts w:hAnsi="Times New Roman" w:eastAsia="宋体"/>
          <w:sz w:val="21"/>
          <w:szCs w:val="21"/>
        </w:rPr>
        <w:t xml:space="preserve">.</w:t>
      </w:r>
      <w:r>
        <w:rPr>
          <w:rFonts w:hint="eastAsia" w:hAnsi="Times New Roman" w:eastAsia="宋体"/>
          <w:sz w:val="21"/>
          <w:szCs w:val="21"/>
        </w:rPr>
        <w:t xml:space="preserve">支持开放型网络视频接口，ISAPI，SDK，GB28181协议</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7.</w:t>
      </w:r>
      <w:r>
        <w:rPr>
          <w:rFonts w:hint="eastAsia" w:hAnsi="Times New Roman" w:eastAsia="宋体"/>
          <w:sz w:val="21"/>
          <w:szCs w:val="21"/>
        </w:rPr>
        <w:t xml:space="preserve">1个内置麦克风</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8</w:t>
      </w:r>
      <w:r>
        <w:rPr>
          <w:rFonts w:hAnsi="Times New Roman" w:eastAsia="宋体"/>
          <w:sz w:val="21"/>
          <w:szCs w:val="21"/>
        </w:rPr>
        <w:t xml:space="preserve">.</w:t>
      </w:r>
      <w:r>
        <w:rPr>
          <w:rFonts w:hint="eastAsia" w:hAnsi="Times New Roman" w:eastAsia="宋体"/>
          <w:sz w:val="21"/>
          <w:szCs w:val="21"/>
        </w:rPr>
        <w:t xml:space="preserve">智能补光，支持白光/红外双补光，红外光最远可达30 m，暖光最远可达20 m</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9</w:t>
      </w:r>
      <w:r>
        <w:rPr>
          <w:rFonts w:hAnsi="Times New Roman" w:eastAsia="宋体"/>
          <w:sz w:val="21"/>
          <w:szCs w:val="21"/>
        </w:rPr>
        <w:t xml:space="preserve">.</w:t>
      </w:r>
      <w:r>
        <w:rPr>
          <w:rFonts w:hint="eastAsia" w:hAnsi="Times New Roman" w:eastAsia="宋体"/>
          <w:sz w:val="21"/>
          <w:szCs w:val="21"/>
        </w:rPr>
        <w:t xml:space="preserve">符合IP66防尘防水设计，可靠性高</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0.</w:t>
      </w:r>
      <w:r>
        <w:rPr>
          <w:rFonts w:hint="eastAsia" w:hAnsi="Times New Roman" w:eastAsia="宋体"/>
          <w:sz w:val="21"/>
          <w:szCs w:val="21"/>
        </w:rPr>
        <w:t xml:space="preserve">防补光过曝：支持</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11.</w:t>
      </w:r>
      <w:r>
        <w:rPr>
          <w:rFonts w:hint="eastAsia" w:hAnsi="Times New Roman" w:eastAsia="宋体"/>
          <w:sz w:val="21"/>
          <w:szCs w:val="21"/>
        </w:rPr>
        <w:t xml:space="preserve">补光灯类型：智能补光，可切换白光灯、红外灯</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12.</w:t>
      </w:r>
      <w:r>
        <w:rPr>
          <w:rFonts w:hint="eastAsia" w:hAnsi="Times New Roman" w:eastAsia="宋体"/>
          <w:sz w:val="21"/>
          <w:szCs w:val="21"/>
        </w:rPr>
        <w:t xml:space="preserve">补光距离：红外光最远可达30 m，白光最远可达20 m  </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3.</w:t>
      </w:r>
      <w:r>
        <w:rPr>
          <w:rFonts w:hint="eastAsia" w:hAnsi="Times New Roman" w:eastAsia="宋体"/>
          <w:sz w:val="21"/>
          <w:szCs w:val="21"/>
        </w:rPr>
        <w:t xml:space="preserve">视频压缩标准：主码流：H.265/H.264</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1</w:t>
      </w:r>
      <w:r>
        <w:rPr>
          <w:rFonts w:hAnsi="Times New Roman" w:eastAsia="宋体"/>
          <w:sz w:val="21"/>
          <w:szCs w:val="21"/>
        </w:rPr>
        <w:t xml:space="preserve">4.</w:t>
      </w:r>
      <w:r>
        <w:rPr>
          <w:rFonts w:hint="eastAsia" w:hAnsi="Times New Roman" w:eastAsia="宋体"/>
          <w:sz w:val="21"/>
          <w:szCs w:val="21"/>
        </w:rPr>
        <w:t xml:space="preserve">子码流：H.265/H.264/MJPEG</w:t>
      </w:r>
      <w:r>
        <w:rPr>
          <w:rFonts w:hAnsi="Times New Roman" w:eastAsia="宋体"/>
          <w:sz w:val="21"/>
          <w:szCs w:val="21"/>
        </w:rPr>
      </w:r>
      <w:r/>
    </w:p>
    <w:p>
      <w:pPr>
        <w:pStyle w:val="659"/>
        <w:rPr>
          <w:rFonts w:hAnsi="Times New Roman" w:eastAsia="宋体"/>
        </w:rPr>
      </w:pPr>
      <w:r>
        <w:rPr>
          <w:rFonts w:hAnsi="Times New Roman" w:eastAsia="宋体"/>
        </w:rPr>
      </w:r>
      <w:r/>
    </w:p>
    <w:p>
      <w:pPr>
        <w:pStyle w:val="659"/>
        <w:keepLines/>
        <w:keepNext/>
        <w:spacing w:before="160" w:after="160"/>
        <w:rPr>
          <w:rFonts w:hAnsi="宋体" w:eastAsia="宋体"/>
          <w:b/>
          <w:bCs/>
          <w:sz w:val="24"/>
          <w:szCs w:val="28"/>
        </w:rPr>
        <w:outlineLvl w:val="4"/>
      </w:pPr>
      <w:r>
        <w:rPr>
          <w:rFonts w:hint="eastAsia" w:hAnsi="宋体" w:eastAsia="宋体"/>
          <w:b/>
          <w:bCs/>
          <w:sz w:val="24"/>
          <w:szCs w:val="28"/>
        </w:rPr>
        <w:t xml:space="preserve">1</w:t>
      </w:r>
      <w:r>
        <w:rPr>
          <w:rFonts w:hAnsi="宋体" w:eastAsia="宋体"/>
          <w:b/>
          <w:bCs/>
          <w:sz w:val="24"/>
          <w:szCs w:val="28"/>
        </w:rPr>
        <w:t xml:space="preserve">0、</w:t>
      </w:r>
      <w:r>
        <w:rPr>
          <w:rFonts w:hint="eastAsia" w:hAnsi="宋体" w:eastAsia="宋体"/>
          <w:b/>
          <w:bCs/>
          <w:sz w:val="24"/>
          <w:szCs w:val="28"/>
        </w:rPr>
        <w:t xml:space="preserve">室外盲区视频监控服务</w:t>
      </w:r>
      <w:r>
        <w:rPr>
          <w:rFonts w:hAnsi="宋体" w:eastAsia="宋体"/>
          <w:b/>
          <w:bCs/>
          <w:sz w:val="24"/>
          <w:szCs w:val="28"/>
        </w:rPr>
      </w:r>
      <w:r/>
    </w:p>
    <w:p>
      <w:pPr>
        <w:pStyle w:val="659"/>
        <w:spacing w:line="360" w:lineRule="auto"/>
        <w:rPr>
          <w:rFonts w:hAnsi="Times New Roman" w:eastAsia="宋体"/>
          <w:sz w:val="21"/>
          <w:szCs w:val="21"/>
        </w:rPr>
      </w:pPr>
      <w:r>
        <w:rPr>
          <w:rFonts w:hAnsi="Times New Roman" w:eastAsia="宋体"/>
          <w:sz w:val="21"/>
          <w:szCs w:val="21"/>
        </w:rPr>
        <w:t xml:space="preserve">1.</w:t>
      </w:r>
      <w:r>
        <w:rPr>
          <w:rFonts w:hint="eastAsia" w:hAnsi="Times New Roman" w:eastAsia="宋体"/>
          <w:sz w:val="21"/>
          <w:szCs w:val="21"/>
        </w:rPr>
        <w:t xml:space="preserve">400万筒型网络摄像机</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2.</w:t>
      </w:r>
      <w:r>
        <w:rPr>
          <w:rFonts w:hint="eastAsia" w:hAnsi="Times New Roman" w:eastAsia="宋体"/>
          <w:sz w:val="21"/>
          <w:szCs w:val="21"/>
        </w:rPr>
        <w:t xml:space="preserve">最高分辨率可达2560 × 1440 @25 fps</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3.</w:t>
      </w:r>
      <w:r>
        <w:rPr>
          <w:rFonts w:hint="eastAsia" w:hAnsi="Times New Roman" w:eastAsia="宋体"/>
          <w:sz w:val="21"/>
          <w:szCs w:val="21"/>
        </w:rPr>
        <w:t xml:space="preserve">支持用户登录锁定机制，及密码复杂度提示 支持SmartIR，防止夜间红外过曝</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4.</w:t>
      </w:r>
      <w:r>
        <w:rPr>
          <w:rFonts w:hint="eastAsia" w:hAnsi="Times New Roman" w:eastAsia="宋体"/>
          <w:sz w:val="21"/>
          <w:szCs w:val="21"/>
        </w:rPr>
        <w:t xml:space="preserve">支持背光补偿，强光抑制，3D数字降噪，数字宽动态，适应不同环境 支持ROI感兴趣区域增强编码</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5.</w:t>
      </w:r>
      <w:r>
        <w:rPr>
          <w:rFonts w:hint="eastAsia" w:hAnsi="Times New Roman" w:eastAsia="宋体"/>
          <w:sz w:val="21"/>
          <w:szCs w:val="21"/>
        </w:rPr>
        <w:t xml:space="preserve">支持开放型网络视频接口，ISAPI，SDK，GB28181协议</w:t>
      </w:r>
      <w:r>
        <w:rPr>
          <w:rFonts w:hAnsi="Times New Roman" w:eastAsia="宋体"/>
          <w:sz w:val="21"/>
          <w:szCs w:val="21"/>
        </w:rPr>
      </w:r>
      <w:r/>
    </w:p>
    <w:p>
      <w:pPr>
        <w:pStyle w:val="659"/>
        <w:spacing w:line="360" w:lineRule="auto"/>
        <w:rPr>
          <w:rFonts w:hAnsi="Times New Roman" w:eastAsia="宋体"/>
          <w:sz w:val="21"/>
          <w:szCs w:val="21"/>
        </w:rPr>
      </w:pPr>
      <w:r>
        <w:rPr>
          <w:rFonts w:hint="eastAsia" w:hAnsi="Times New Roman" w:eastAsia="宋体"/>
          <w:sz w:val="21"/>
          <w:szCs w:val="21"/>
        </w:rPr>
        <w:t xml:space="preserve">6</w:t>
      </w:r>
      <w:r>
        <w:rPr>
          <w:rFonts w:hAnsi="Times New Roman" w:eastAsia="宋体"/>
          <w:sz w:val="21"/>
          <w:szCs w:val="21"/>
        </w:rPr>
        <w:t xml:space="preserve">.</w:t>
      </w:r>
      <w:r>
        <w:rPr>
          <w:rFonts w:hint="eastAsia" w:hAnsi="Times New Roman" w:eastAsia="宋体"/>
          <w:sz w:val="21"/>
          <w:szCs w:val="21"/>
        </w:rPr>
        <w:t xml:space="preserve">视频压缩标准：主码流：H.265/H.264 子码流：H.265/H.264/MJPEG </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7.</w:t>
      </w:r>
      <w:r>
        <w:rPr>
          <w:rFonts w:hint="eastAsia" w:hAnsi="Times New Roman" w:eastAsia="宋体"/>
          <w:sz w:val="21"/>
          <w:szCs w:val="21"/>
        </w:rPr>
        <w:t xml:space="preserve">音频：1个内置麦克风 </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8.</w:t>
      </w:r>
      <w:r>
        <w:rPr>
          <w:rFonts w:hint="eastAsia" w:hAnsi="Times New Roman" w:eastAsia="宋体"/>
          <w:sz w:val="21"/>
          <w:szCs w:val="21"/>
        </w:rPr>
        <w:t xml:space="preserve">网络：1个RJ45 10 M/100 M自适应以太网口</w:t>
      </w:r>
      <w:r>
        <w:rPr>
          <w:rFonts w:hAnsi="Times New Roman" w:eastAsia="宋体"/>
          <w:sz w:val="21"/>
          <w:szCs w:val="21"/>
        </w:rPr>
      </w:r>
      <w:r/>
    </w:p>
    <w:p>
      <w:pPr>
        <w:pStyle w:val="659"/>
        <w:spacing w:line="360" w:lineRule="auto"/>
        <w:rPr>
          <w:rFonts w:hAnsi="Times New Roman" w:eastAsia="宋体"/>
          <w:sz w:val="21"/>
          <w:szCs w:val="21"/>
        </w:rPr>
      </w:pPr>
      <w:r>
        <w:rPr>
          <w:rFonts w:hAnsi="Times New Roman" w:eastAsia="宋体"/>
          <w:sz w:val="21"/>
          <w:szCs w:val="21"/>
        </w:rPr>
        <w:t xml:space="preserve">9.</w:t>
      </w:r>
      <w:r>
        <w:rPr>
          <w:rFonts w:hint="eastAsia" w:hAnsi="Times New Roman" w:eastAsia="宋体"/>
          <w:sz w:val="21"/>
          <w:szCs w:val="21"/>
        </w:rPr>
        <w:t xml:space="preserve">供电方式：DC：12 V ± 25%，支持防反接保护 PoE：</w:t>
      </w:r>
      <w:r>
        <w:rPr>
          <w:rFonts w:hAnsi="Times New Roman" w:eastAsia="宋体"/>
          <w:sz w:val="21"/>
          <w:szCs w:val="21"/>
        </w:rPr>
      </w:r>
      <w:r/>
    </w:p>
    <w:p>
      <w:pPr>
        <w:pStyle w:val="659"/>
        <w:spacing w:line="360" w:lineRule="auto"/>
        <w:rPr>
          <w:rFonts w:hAnsi="Times New Roman" w:eastAsia="宋体"/>
          <w:highlight w:val="none"/>
        </w:rPr>
      </w:pPr>
      <w:r>
        <w:rPr>
          <w:rFonts w:hAnsi="Times New Roman" w:eastAsia="宋体"/>
          <w:sz w:val="21"/>
          <w:szCs w:val="21"/>
        </w:rPr>
        <w:t xml:space="preserve">10.</w:t>
      </w:r>
      <w:r>
        <w:rPr>
          <w:rFonts w:hint="eastAsia" w:hAnsi="Times New Roman" w:eastAsia="宋体"/>
          <w:sz w:val="21"/>
          <w:szCs w:val="21"/>
        </w:rPr>
        <w:t xml:space="preserve">防护：IP66</w:t>
      </w:r>
      <w:r>
        <w:rPr>
          <w:rFonts w:hAnsi="Times New Roman" w:eastAsia="宋体"/>
          <w:highlight w:val="none"/>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四、一般技术服务要求</w:t>
      </w:r>
      <w:r>
        <w:rPr>
          <w:rFonts w:hint="eastAsia" w:ascii="宋体" w:hAnsi="宋体" w:eastAsia="宋体" w:cs="宋体"/>
          <w:b/>
          <w:bCs/>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为保证项目质量，提供服务设备的稳定运行，投标单位选用产品应至少能满足具备较高的设备成熟度和行业认可程度，且不得低于技术要求，否则直接影响其评标结果。评标小组针对投标单位提供的服务产品情况有权认定其是否实质性响应招标文件要求。</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所有设备、附（配）件应具备该类产品的功能要求，无瑕疵和缺陷，质量为合格产品，同时有明确的生产厂商或制造厂商；投标单位明确提供设备的品牌、型号、规格和外形、尺寸、安装、重量及一些必须说明的技术参数，以及使用的材料的清单，同时明确生产厂家、型号规格等，并提供详细的技术参数及性能说明书。</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五、商务要求</w:t>
      </w:r>
      <w:r>
        <w:rPr>
          <w:rFonts w:hint="eastAsia" w:ascii="宋体" w:hAnsi="宋体" w:eastAsia="宋体" w:cs="宋体"/>
          <w:b/>
          <w:bCs/>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（一）项目实施要求</w:t>
      </w:r>
      <w:r>
        <w:rPr>
          <w:rFonts w:hint="eastAsia" w:ascii="宋体" w:hAnsi="宋体" w:eastAsia="宋体" w:cs="宋体"/>
          <w:b/>
          <w:bCs/>
          <w:color w:val="000000"/>
          <w:sz w:val="22"/>
          <w:szCs w:val="22"/>
          <w:highlight w:val="none"/>
          <w:lang w:val="en-US" w:eastAsia="zh-CN"/>
        </w:rPr>
      </w:r>
      <w:r/>
    </w:p>
    <w:p>
      <w:pPr>
        <w:pStyle w:val="659"/>
        <w:ind w:firstLine="442"/>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1、实施组织和人员要求</w:t>
      </w:r>
      <w:r>
        <w:rPr>
          <w:rFonts w:hint="eastAsia" w:ascii="宋体" w:hAnsi="宋体" w:eastAsia="宋体" w:cs="宋体"/>
          <w:b/>
          <w:bCs/>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（1）项目人员配备及岗位职责：</w:t>
      </w:r>
      <w:r>
        <w:rPr>
          <w:rFonts w:hint="eastAsia" w:ascii="宋体" w:hAnsi="宋体" w:eastAsia="宋体" w:cs="宋体"/>
          <w:b w:val="0"/>
          <w:bCs w:val="0"/>
          <w:color w:val="000000"/>
          <w:sz w:val="22"/>
          <w:szCs w:val="22"/>
          <w:highlight w:val="none"/>
          <w:lang w:val="en-US" w:eastAsia="zh-CN"/>
        </w:rPr>
      </w:r>
      <w:r/>
    </w:p>
    <w:tbl>
      <w:tblPr>
        <w:tblStyle w:val="766"/>
        <w:tblW w:w="514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8"/>
        <w:gridCol w:w="1066"/>
        <w:gridCol w:w="993"/>
        <w:gridCol w:w="6784"/>
      </w:tblGrid>
      <w:tr>
        <w:trPr>
          <w:cantSplit/>
        </w:trPr>
        <w:tc>
          <w:tcPr>
            <w:tcW w:w="609"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pacing w:val="6"/>
                <w:sz w:val="21"/>
                <w:szCs w:val="21"/>
                <w:highlight w:val="none"/>
                <w:lang w:eastAsia="en-US"/>
              </w:rPr>
              <w:t xml:space="preserve">序号</w:t>
            </w:r>
            <w:r>
              <w:rPr>
                <w:rFonts w:hint="eastAsia" w:ascii="宋体" w:hAnsi="宋体" w:eastAsia="宋体" w:cs="宋体"/>
                <w:bCs/>
                <w:color w:val="000000"/>
                <w:sz w:val="21"/>
                <w:szCs w:val="21"/>
                <w:highlight w:val="none"/>
                <w:lang w:eastAsia="en-US"/>
              </w:rPr>
            </w:r>
            <w:r/>
          </w:p>
        </w:tc>
        <w:tc>
          <w:tcPr>
            <w:tcW w:w="957"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pacing w:val="4"/>
                <w:sz w:val="21"/>
                <w:szCs w:val="21"/>
                <w:highlight w:val="none"/>
                <w:lang w:eastAsia="en-US"/>
              </w:rPr>
              <w:t xml:space="preserve">岗位</w:t>
            </w:r>
            <w:r>
              <w:rPr>
                <w:rFonts w:hint="eastAsia" w:ascii="宋体" w:hAnsi="宋体" w:eastAsia="宋体" w:cs="宋体"/>
                <w:bCs/>
                <w:color w:val="000000"/>
                <w:sz w:val="21"/>
                <w:szCs w:val="21"/>
                <w:highlight w:val="none"/>
                <w:lang w:eastAsia="en-US"/>
              </w:rPr>
            </w:r>
            <w:r/>
          </w:p>
        </w:tc>
        <w:tc>
          <w:tcPr>
            <w:tcW w:w="892"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pacing w:val="2"/>
                <w:sz w:val="21"/>
                <w:szCs w:val="21"/>
                <w:highlight w:val="none"/>
                <w:lang w:eastAsia="en-US"/>
              </w:rPr>
              <w:t xml:space="preserve">人数下限</w:t>
            </w:r>
            <w:r>
              <w:rPr>
                <w:rFonts w:hint="eastAsia" w:ascii="宋体" w:hAnsi="宋体" w:eastAsia="宋体" w:cs="宋体"/>
                <w:bCs/>
                <w:color w:val="000000"/>
                <w:sz w:val="21"/>
                <w:szCs w:val="21"/>
                <w:highlight w:val="none"/>
                <w:lang w:eastAsia="en-US"/>
              </w:rPr>
            </w:r>
            <w:r/>
          </w:p>
        </w:tc>
        <w:tc>
          <w:tcPr>
            <w:tcW w:w="6092"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pacing w:val="-2"/>
                <w:sz w:val="21"/>
                <w:szCs w:val="21"/>
                <w:highlight w:val="none"/>
                <w:lang w:eastAsia="en-US"/>
              </w:rPr>
              <w:t xml:space="preserve">基本要求</w:t>
            </w:r>
            <w:r>
              <w:rPr>
                <w:rFonts w:hint="eastAsia" w:ascii="宋体" w:hAnsi="宋体" w:eastAsia="宋体" w:cs="宋体"/>
                <w:bCs/>
                <w:color w:val="000000"/>
                <w:sz w:val="21"/>
                <w:szCs w:val="21"/>
                <w:highlight w:val="none"/>
                <w:lang w:eastAsia="en-US"/>
              </w:rPr>
            </w:r>
            <w:r/>
          </w:p>
        </w:tc>
      </w:tr>
      <w:tr>
        <w:trPr>
          <w:cantSplit/>
        </w:trPr>
        <w:tc>
          <w:tcPr>
            <w:tcW w:w="609"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1</w:t>
            </w:r>
            <w:r>
              <w:rPr>
                <w:rFonts w:hint="eastAsia" w:ascii="宋体" w:hAnsi="宋体" w:eastAsia="宋体" w:cs="宋体"/>
                <w:bCs/>
                <w:color w:val="000000"/>
                <w:sz w:val="21"/>
                <w:szCs w:val="21"/>
                <w:highlight w:val="none"/>
                <w:lang w:eastAsia="en-US"/>
              </w:rPr>
            </w:r>
            <w:r/>
          </w:p>
        </w:tc>
        <w:tc>
          <w:tcPr>
            <w:tcW w:w="957"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项目经理</w:t>
            </w:r>
            <w:r>
              <w:rPr>
                <w:rFonts w:hint="eastAsia" w:ascii="宋体" w:hAnsi="宋体" w:eastAsia="宋体" w:cs="宋体"/>
                <w:bCs/>
                <w:color w:val="000000"/>
                <w:sz w:val="21"/>
                <w:szCs w:val="21"/>
                <w:highlight w:val="none"/>
                <w:lang w:eastAsia="en-US"/>
              </w:rPr>
            </w:r>
            <w:r/>
          </w:p>
        </w:tc>
        <w:tc>
          <w:tcPr>
            <w:tcW w:w="892"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1</w:t>
            </w:r>
            <w:r>
              <w:rPr>
                <w:rFonts w:hint="eastAsia" w:ascii="宋体" w:hAnsi="宋体" w:eastAsia="宋体" w:cs="宋体"/>
                <w:bCs/>
                <w:color w:val="000000"/>
                <w:sz w:val="21"/>
                <w:szCs w:val="21"/>
                <w:highlight w:val="none"/>
                <w:lang w:eastAsia="en-US"/>
              </w:rPr>
            </w:r>
            <w:r/>
          </w:p>
        </w:tc>
        <w:tc>
          <w:tcPr>
            <w:tcW w:w="6092" w:type="dxa"/>
            <w:vAlign w:val="center"/>
            <w:textDirection w:val="lrTb"/>
            <w:noWrap w:val="false"/>
          </w:tcPr>
          <w:p>
            <w:pPr>
              <w:pStyle w:val="659"/>
              <w:jc w:val="left"/>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负责跟踪推进项目工作和问题的协调落实；要求具备项目管理、信息安全、电子信息、机电工程等方面的技术专业，具有相关机电、智能化系统工程项目管理经验，有丰富的技术管理工作实践经验，确保项目顺利进行和如期完成，保证施工质量。中标人应为服务人员缴纳社保。</w:t>
            </w:r>
            <w:r>
              <w:rPr>
                <w:rFonts w:hint="eastAsia" w:ascii="宋体" w:hAnsi="宋体" w:eastAsia="宋体" w:cs="宋体"/>
                <w:bCs/>
                <w:color w:val="000000"/>
                <w:sz w:val="21"/>
                <w:szCs w:val="21"/>
                <w:highlight w:val="none"/>
              </w:rPr>
            </w:r>
            <w:r/>
          </w:p>
        </w:tc>
      </w:tr>
      <w:tr>
        <w:trPr>
          <w:cantSplit/>
        </w:trPr>
        <w:tc>
          <w:tcPr>
            <w:tcW w:w="609"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2</w:t>
            </w:r>
            <w:r>
              <w:rPr>
                <w:rFonts w:hint="eastAsia" w:ascii="宋体" w:hAnsi="宋体" w:eastAsia="宋体" w:cs="宋体"/>
                <w:bCs/>
                <w:color w:val="000000"/>
                <w:sz w:val="21"/>
                <w:szCs w:val="21"/>
                <w:highlight w:val="none"/>
                <w:lang w:eastAsia="en-US"/>
              </w:rPr>
            </w:r>
            <w:r/>
          </w:p>
        </w:tc>
        <w:tc>
          <w:tcPr>
            <w:tcW w:w="957"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项目技术负责人</w:t>
            </w:r>
            <w:r>
              <w:rPr>
                <w:rFonts w:hint="eastAsia" w:ascii="宋体" w:hAnsi="宋体" w:eastAsia="宋体" w:cs="宋体"/>
                <w:bCs/>
                <w:color w:val="000000"/>
                <w:sz w:val="21"/>
                <w:szCs w:val="21"/>
                <w:highlight w:val="none"/>
                <w:lang w:eastAsia="en-US"/>
              </w:rPr>
            </w:r>
            <w:r/>
          </w:p>
        </w:tc>
        <w:tc>
          <w:tcPr>
            <w:tcW w:w="892"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1</w:t>
            </w:r>
            <w:r>
              <w:rPr>
                <w:rFonts w:hint="eastAsia" w:ascii="宋体" w:hAnsi="宋体" w:eastAsia="宋体" w:cs="宋体"/>
                <w:bCs/>
                <w:color w:val="000000"/>
                <w:sz w:val="21"/>
                <w:szCs w:val="21"/>
                <w:highlight w:val="none"/>
                <w:lang w:eastAsia="en-US"/>
              </w:rPr>
            </w:r>
            <w:r/>
          </w:p>
        </w:tc>
        <w:tc>
          <w:tcPr>
            <w:tcW w:w="6092" w:type="dxa"/>
            <w:vAlign w:val="center"/>
            <w:textDirection w:val="lrTb"/>
            <w:noWrap w:val="false"/>
          </w:tcPr>
          <w:p>
            <w:pPr>
              <w:pStyle w:val="659"/>
              <w:jc w:val="left"/>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具有与本项目服务内容相关的专业基础理论知识和专业技术知识，精通信息集成系统和网络、信息安全系统方面的专业知识，掌握项目现状和现代管理的发展趋势，同时具有解决项目实施过程或综合管理中本专业领域重要技术问题的能力，具有广泛的实践经验及解决各类项目问题的能力。</w:t>
            </w:r>
            <w:r>
              <w:rPr>
                <w:rFonts w:hint="eastAsia" w:ascii="宋体" w:hAnsi="宋体" w:eastAsia="宋体" w:cs="宋体"/>
                <w:bCs/>
                <w:color w:val="000000"/>
                <w:sz w:val="21"/>
                <w:szCs w:val="21"/>
                <w:highlight w:val="none"/>
                <w:lang w:eastAsia="zh-CN"/>
              </w:rPr>
              <w:t xml:space="preserve">中标人应为服务人员缴纳社保。</w:t>
            </w:r>
            <w:r>
              <w:rPr>
                <w:rFonts w:hint="eastAsia" w:ascii="宋体" w:hAnsi="宋体" w:eastAsia="宋体" w:cs="宋体"/>
                <w:bCs/>
                <w:color w:val="000000"/>
                <w:sz w:val="21"/>
                <w:szCs w:val="21"/>
                <w:highlight w:val="none"/>
              </w:rPr>
            </w:r>
            <w:r/>
          </w:p>
        </w:tc>
      </w:tr>
      <w:tr>
        <w:trPr>
          <w:cantSplit/>
        </w:trPr>
        <w:tc>
          <w:tcPr>
            <w:tcW w:w="609"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3</w:t>
            </w:r>
            <w:r>
              <w:rPr>
                <w:rFonts w:hint="eastAsia" w:ascii="宋体" w:hAnsi="宋体" w:eastAsia="宋体" w:cs="宋体"/>
                <w:bCs/>
                <w:color w:val="000000"/>
                <w:sz w:val="21"/>
                <w:szCs w:val="21"/>
                <w:highlight w:val="none"/>
                <w:lang w:eastAsia="en-US"/>
              </w:rPr>
            </w:r>
            <w:r/>
          </w:p>
        </w:tc>
        <w:tc>
          <w:tcPr>
            <w:tcW w:w="957"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项目团队人员</w:t>
            </w:r>
            <w:r>
              <w:rPr>
                <w:rFonts w:hint="eastAsia" w:ascii="宋体" w:hAnsi="宋体" w:eastAsia="宋体" w:cs="宋体"/>
                <w:bCs/>
                <w:color w:val="000000"/>
                <w:sz w:val="21"/>
                <w:szCs w:val="21"/>
                <w:highlight w:val="none"/>
                <w:lang w:eastAsia="en-US"/>
              </w:rPr>
            </w:r>
            <w:r/>
          </w:p>
        </w:tc>
        <w:tc>
          <w:tcPr>
            <w:tcW w:w="892" w:type="dxa"/>
            <w:vAlign w:val="center"/>
            <w:textDirection w:val="lrTb"/>
            <w:noWrap w:val="false"/>
          </w:tcPr>
          <w:p>
            <w:pPr>
              <w:pStyle w:val="659"/>
              <w:jc w:val="center"/>
              <w:keepLines w:val="0"/>
              <w:keepNext w:val="0"/>
              <w:pageBreakBefore w:val="0"/>
              <w:spacing w:line="360" w:lineRule="auto"/>
              <w:tabs>
                <w:tab w:val="decimal"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r>
            <w:r/>
          </w:p>
        </w:tc>
        <w:tc>
          <w:tcPr>
            <w:tcW w:w="6092" w:type="dxa"/>
            <w:vAlign w:val="center"/>
            <w:textDirection w:val="lrTb"/>
            <w:noWrap w:val="false"/>
          </w:tcPr>
          <w:p>
            <w:pPr>
              <w:pStyle w:val="659"/>
              <w:jc w:val="left"/>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团队人员应具备智能化、安防、通信、互联网等集成项目的综合能力和专业知识。满足智能化集成项目中涉及的系统管理、施工管理、用户服务的需求。确保项目团队具有配套的实施资质与相关操作技能，具备符合项目的安全施工要求及运维服务要求。</w:t>
            </w:r>
            <w:r>
              <w:rPr>
                <w:rFonts w:hint="eastAsia" w:ascii="宋体" w:hAnsi="宋体" w:eastAsia="宋体" w:cs="宋体"/>
                <w:bCs/>
                <w:color w:val="000000"/>
                <w:sz w:val="21"/>
                <w:szCs w:val="21"/>
                <w:highlight w:val="none"/>
                <w:lang w:eastAsia="zh-CN"/>
              </w:rPr>
              <w:t xml:space="preserve">中标人应为服务人员缴纳社保。</w:t>
            </w:r>
            <w:r>
              <w:rPr>
                <w:rFonts w:hint="eastAsia" w:ascii="宋体" w:hAnsi="宋体" w:eastAsia="宋体" w:cs="宋体"/>
                <w:bCs/>
                <w:color w:val="000000"/>
                <w:sz w:val="21"/>
                <w:szCs w:val="21"/>
                <w:highlight w:val="none"/>
              </w:rPr>
            </w:r>
            <w:r/>
          </w:p>
        </w:tc>
      </w:tr>
    </w:tbl>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（二）服务期限</w:t>
      </w:r>
      <w:r>
        <w:rPr>
          <w:rFonts w:hint="eastAsia" w:ascii="宋体" w:hAnsi="宋体" w:eastAsia="宋体" w:cs="宋体"/>
          <w:b/>
          <w:bCs/>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签订合同生效后60天内完成全部系统的调试、无故障运行且经采购人及相关使用人验收合格交付服务，服务期3年，从验收合格之日起算。</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（三）服务方案要求</w:t>
      </w:r>
      <w:r>
        <w:rPr>
          <w:rFonts w:hint="eastAsia" w:ascii="宋体" w:hAnsi="宋体" w:eastAsia="宋体" w:cs="宋体"/>
          <w:b/>
          <w:bCs/>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总体技术方案：（1）需求理解包含但不限于政策规范要求、安防场景服务需求、专网安全合规要求等；（2）设计方案包含但不限于前端感知服务点位布设、传输网络服务架构、分级存储服务架构、多系统联动服务集成等；（3）方案重点包含但不限于专网合规接入、智能检测效能优化、服务周期内系统稳定保障等。</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项目实施方案：（1）实施步骤及进度安排包含但不限于项目目标定位、服务实施原则、整体服务管控思路、关键节点管控等；（2）安全文明措施包含但不限于现场作业安全管控、作业防护、施工安全应急处置等；（3）维护安装调试内容包含但不限于点位部署、系统开通调试、全系统联调联测等</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质量保证方案：（1）对质量的控制及评定包含但不限于服务质量三级管控、分项验收标准、核心性能指标评定等；（2）质量保证措施包含但不限于服务资源标准化配置、标准化作业流程、服务质量全流程可追溯等；（3）质量保证的承诺包含但不限于服务指标达标、系统可用率保障、数据安全保障、故障问题限期整改等。</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售后服务方案：（1）快速响应机制包含但不限于7×24小时服务热线、分级响应标准、故障闭环管理等；（2）系统保障方案包含但不限于分级巡检、备用资源储备、系统效能优化、安全排查加固等；（3）质保期内的服务方案包含但不限于服务期故障免费处置、日常运维支持、定期运行报告等；（4）服务应急措施包含但不限于重大故障应急预案、重点时段值守、故障快速到场处置等。</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培训服务方案：（1）培训方式包含但不限于现场实操、远程指导、配套操作资料等；（2）培训计划包含但不限于分阶段培训安排、分岗位差异化培训、年度巩固复训等；（3）培训方案等内容包含但不限于平台操作、告警处置流程、运维要点等；（4）培训质量保证措施包含但不限于理论实操双考核、配套操作指南、培训效果回访、免费咨询补训服务等。</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（四）报价要求</w:t>
      </w:r>
      <w:r>
        <w:rPr>
          <w:rFonts w:hint="eastAsia" w:ascii="宋体" w:hAnsi="宋体" w:eastAsia="宋体" w:cs="宋体"/>
          <w:b/>
          <w:bCs/>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    </w:t>
      </w:r>
      <w:r>
        <w:rPr>
          <w:rFonts w:hint="eastAsia" w:ascii="宋体" w:hAnsi="宋体" w:eastAsia="宋体" w:cs="宋体"/>
          <w:b w:val="0"/>
          <w:bCs w:val="0"/>
          <w:color w:val="000000"/>
          <w:sz w:val="22"/>
          <w:szCs w:val="22"/>
          <w:highlight w:val="none"/>
          <w:lang w:val="en-US" w:eastAsia="zh-CN"/>
        </w:rPr>
        <w:t xml:space="preserve">1、投标报价一次报定，投标总价不高于采购预算金额的为有效投标报价，否则为无效投标报价。无效投标报价的投标文件不进行评审，也不得标。</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投标人应以人民币对全部采购项目进行报价，只对其中部分内容或出现选择性报价者，其报价将被拒绝。投标总价包括但不限于完成本项目所需的全部服务、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3、投标人报价已充分考虑项目完成的政策性调整、各种市场价格的浮动等因素造成的价格变动，项目完成期内的合同价格不作调整。</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（五）付款要求</w:t>
      </w:r>
      <w:r>
        <w:rPr>
          <w:rFonts w:hint="eastAsia" w:ascii="宋体" w:hAnsi="宋体" w:eastAsia="宋体" w:cs="宋体"/>
          <w:b/>
          <w:bCs/>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合同签订后，采购方向中标方支付合同金额10%的预付款，待服务完成交付合格后，按照实际交付确认的数量进入服务期，服务期共三年，由街道财政每一年根据4个季度的考核结果支付一次服务费用。</w:t>
      </w:r>
      <w:r>
        <w:rPr>
          <w:rFonts w:hint="eastAsia" w:ascii="宋体" w:hAnsi="宋体" w:eastAsia="宋体" w:cs="宋体"/>
          <w:b w:val="0"/>
          <w:bCs w:val="0"/>
          <w:color w:val="000000"/>
          <w:sz w:val="22"/>
          <w:szCs w:val="22"/>
          <w:highlight w:val="none"/>
          <w:lang w:val="en-US" w:eastAsia="zh-CN"/>
        </w:rPr>
        <w:t xml:space="preserve">采购方</w:t>
      </w:r>
      <w:r>
        <w:rPr>
          <w:rFonts w:hint="eastAsia" w:ascii="宋体" w:hAnsi="宋体" w:eastAsia="宋体" w:cs="宋体"/>
          <w:b w:val="0"/>
          <w:bCs w:val="0"/>
          <w:color w:val="000000"/>
          <w:sz w:val="22"/>
          <w:szCs w:val="22"/>
          <w:highlight w:val="none"/>
          <w:lang w:val="en-US" w:eastAsia="zh-CN"/>
        </w:rPr>
        <w:t xml:space="preserve">在第一期付款中扣除全部预付款，若第一期付款金额不足以全额扣回预付款，则差额部分从后续进度款中继续扣回，直至全部预付款扣清为止。</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注：如</w:t>
      </w:r>
      <w:r>
        <w:rPr>
          <w:rFonts w:hint="eastAsia" w:ascii="宋体" w:hAnsi="宋体" w:eastAsia="宋体" w:cs="宋体"/>
          <w:b w:val="0"/>
          <w:bCs w:val="0"/>
          <w:color w:val="000000"/>
          <w:sz w:val="22"/>
          <w:szCs w:val="22"/>
          <w:highlight w:val="none"/>
          <w:lang w:val="en-US" w:eastAsia="zh-CN"/>
        </w:rPr>
        <w:t xml:space="preserve">中标方</w:t>
      </w:r>
      <w:r>
        <w:rPr>
          <w:rFonts w:hint="eastAsia" w:ascii="宋体" w:hAnsi="宋体" w:eastAsia="宋体" w:cs="宋体"/>
          <w:b w:val="0"/>
          <w:bCs w:val="0"/>
          <w:color w:val="000000"/>
          <w:sz w:val="22"/>
          <w:szCs w:val="22"/>
          <w:highlight w:val="none"/>
          <w:lang w:val="en-US" w:eastAsia="zh-CN"/>
        </w:rPr>
        <w:t xml:space="preserve">明确无需预付款，</w:t>
      </w:r>
      <w:r>
        <w:rPr>
          <w:rFonts w:hint="eastAsia" w:ascii="宋体" w:hAnsi="宋体" w:eastAsia="宋体" w:cs="宋体"/>
          <w:b w:val="0"/>
          <w:bCs w:val="0"/>
          <w:color w:val="000000"/>
          <w:sz w:val="22"/>
          <w:szCs w:val="22"/>
          <w:highlight w:val="none"/>
          <w:lang w:val="en-US" w:eastAsia="zh-CN"/>
        </w:rPr>
        <w:t xml:space="preserve">中标方</w:t>
      </w:r>
      <w:r>
        <w:rPr>
          <w:rFonts w:hint="eastAsia" w:ascii="宋体" w:hAnsi="宋体" w:eastAsia="宋体" w:cs="宋体"/>
          <w:b w:val="0"/>
          <w:bCs w:val="0"/>
          <w:color w:val="000000"/>
          <w:sz w:val="22"/>
          <w:szCs w:val="22"/>
          <w:highlight w:val="none"/>
          <w:lang w:val="en-US" w:eastAsia="zh-CN"/>
        </w:rPr>
        <w:t xml:space="preserve">以书面形式提出。</w:t>
      </w:r>
      <w:r>
        <w:rPr>
          <w:rFonts w:hint="eastAsia" w:ascii="宋体" w:hAnsi="宋体" w:eastAsia="宋体" w:cs="宋体"/>
          <w:b w:val="0"/>
          <w:bCs w:val="0"/>
          <w:color w:val="000000"/>
          <w:sz w:val="22"/>
          <w:szCs w:val="22"/>
          <w:highlight w:val="none"/>
          <w:lang w:val="en-US" w:eastAsia="zh-CN"/>
        </w:rPr>
        <w:t xml:space="preserve">采购方</w:t>
      </w:r>
      <w:r>
        <w:rPr>
          <w:rFonts w:hint="eastAsia" w:ascii="宋体" w:hAnsi="宋体" w:eastAsia="宋体" w:cs="宋体"/>
          <w:b w:val="0"/>
          <w:bCs w:val="0"/>
          <w:color w:val="000000"/>
          <w:sz w:val="22"/>
          <w:szCs w:val="22"/>
          <w:highlight w:val="none"/>
          <w:lang w:val="en-US" w:eastAsia="zh-CN"/>
        </w:rPr>
        <w:t xml:space="preserve">将根据实际情况，使用数字人民币、转账等形式支付，并优先使用数字人民币支付。每次付款时需提供正式的发票。</w:t>
      </w:r>
      <w:r>
        <w:rPr>
          <w:rFonts w:hint="eastAsia" w:ascii="宋体" w:hAnsi="宋体" w:eastAsia="宋体" w:cs="宋体"/>
          <w:b/>
          <w:bCs/>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六、验收要求</w:t>
      </w:r>
      <w:r>
        <w:rPr>
          <w:rFonts w:hint="eastAsia" w:ascii="宋体" w:hAnsi="宋体" w:eastAsia="宋体" w:cs="宋体"/>
          <w:b/>
          <w:bCs/>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1、验收组织方式：本项目由采购人组织相关人员进行考核验收。</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2、履约验收时间：每个服务期过半（满6个月）验收一次，采购人向投标单位发出《政府采购履约验收通知单》（附件3），验收完成后形成《政府采购履约验收书》（附件2）。</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3、履约验收的内容及标准：根据采购文件、中标单位的投标文件、双方签订的合同文件及其附件、国家的相关规定。</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七、售后服务要求：</w:t>
      </w:r>
      <w:r>
        <w:rPr>
          <w:rFonts w:hint="eastAsia" w:ascii="宋体" w:hAnsi="宋体" w:eastAsia="宋体" w:cs="宋体"/>
          <w:b/>
          <w:bCs/>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投标人提供的图像服务应确保在采购人使用的三年内（具体自服务交付通过之日起开始计算）无条件更换或修复，保证服务能够正常顺利运行，在服务期内所有产品功能及其形成的系统性能如出现问题，投标人负责在招标文件规定时间内修复，由此导致的损失和责任一律由投标人承担。</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投标人应承诺30分钟内响应，2小时到达现场处理问题，24小时内无法修复的故障，投标人需提供备用设备，以保证用户正常使用系统功能。投标文件中提供具体的保障措施。投标人接到故障报告后，投标人应按承诺的服务水平和响应速度到达现场进行处理。</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投标人需提供现场技术培训，投标人应给出详尽的培训计划，确保采购人的工程技术人员在经过培训后能完全掌握系统的安装、调试和维护。提供现场技术培训，提供全项的培训资料，培训应包括系统的设计原理、系统设备维护、设计理论、相关软、硬件的使用和操作等。</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4、投标人在每次预防性维护后，应针对设备的隐患，准备备件，并立即进行更换。投标人应充分保证售后服务点主要硬件维修所需的备件供应。更换的备件的型号和规格应与被更换的完全一样或更优。</w:t>
      </w:r>
      <w:r>
        <w:rPr>
          <w:rFonts w:hint="eastAsia" w:ascii="宋体" w:hAnsi="宋体" w:eastAsia="宋体" w:cs="宋体"/>
          <w:b w:val="0"/>
          <w:bCs w:val="0"/>
          <w:color w:val="000000"/>
          <w:sz w:val="22"/>
          <w:szCs w:val="22"/>
          <w:highlight w:val="none"/>
          <w:lang w:val="en-US" w:eastAsia="zh-CN"/>
        </w:rPr>
      </w:r>
      <w:r/>
    </w:p>
    <w:p>
      <w:pPr>
        <w:pStyle w:val="659"/>
        <w:ind w:firstLine="440"/>
        <w:jc w:val="left"/>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投标人应当为采购人提供验收所需要的相关设备以便于采购人开展相关验收工作，在采购人认为有必要时投标人应当为采购人提供相应的服务人员驻点开展相关协助工作。设备包括但不限于便携式计算机、商用计算机、线路测试仪、打印机、对讲机等；人员包含项目负责人、专业技术服务人员、维护人员、巡线人员等。</w:t>
      </w:r>
      <w:r>
        <w:rPr>
          <w:rFonts w:hint="eastAsia" w:ascii="宋体" w:hAnsi="宋体" w:eastAsia="宋体" w:cs="宋体"/>
          <w:b w:val="0"/>
          <w:bCs w:val="0"/>
          <w:color w:val="000000"/>
          <w:sz w:val="22"/>
          <w:szCs w:val="22"/>
          <w:highlight w:val="none"/>
          <w:lang w:val="en-US" w:eastAsia="zh-CN"/>
        </w:rPr>
      </w:r>
      <w:r/>
    </w:p>
    <w:p>
      <w:pPr>
        <w:pStyle w:val="659"/>
        <w:jc w:val="left"/>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八、综合说明</w:t>
      </w:r>
      <w:r>
        <w:rPr>
          <w:rFonts w:hint="eastAsia" w:ascii="宋体" w:hAnsi="宋体" w:eastAsia="宋体" w:cs="宋体"/>
          <w:b/>
          <w:bCs/>
          <w:color w:val="000000"/>
          <w:sz w:val="22"/>
          <w:szCs w:val="22"/>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1、响应供应商须保证所提供的响应文件真实有效，如因投标响应单位的响应文件不实而造成的后果由各投标响应单位自行承担。有虚假应标行为经查实的响应文件，评标小组有权予以其废标。</w:t>
      </w:r>
      <w:r>
        <w:rPr>
          <w:rFonts w:hint="eastAsia" w:ascii="宋体" w:hAnsi="宋体" w:eastAsia="宋体" w:cs="宋体"/>
          <w:b w:val="0"/>
          <w:bCs w:val="0"/>
          <w:color w:val="000000"/>
          <w:sz w:val="22"/>
          <w:szCs w:val="22"/>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2、投标人应对所投项目的全部内容进行报价，只投其中部分内容者，其标书将被拒绝。</w:t>
      </w:r>
      <w:r>
        <w:rPr>
          <w:rFonts w:hint="eastAsia" w:ascii="宋体" w:hAnsi="宋体" w:eastAsia="宋体" w:cs="宋体"/>
          <w:b w:val="0"/>
          <w:bCs w:val="0"/>
          <w:color w:val="000000"/>
          <w:sz w:val="22"/>
          <w:szCs w:val="22"/>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3、中标供应商对货物缺陷不予更正，采购有权另请其他单位更正。</w:t>
      </w:r>
      <w:r>
        <w:rPr>
          <w:rFonts w:hint="eastAsia" w:ascii="宋体" w:hAnsi="宋体" w:eastAsia="宋体" w:cs="宋体"/>
          <w:b w:val="0"/>
          <w:bCs w:val="0"/>
          <w:color w:val="000000"/>
          <w:sz w:val="22"/>
          <w:szCs w:val="22"/>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4、中标供应商须按照本招标文件的要求对该招标项目进行工作。</w:t>
      </w:r>
      <w:r>
        <w:rPr>
          <w:rFonts w:hint="eastAsia" w:ascii="宋体" w:hAnsi="宋体" w:eastAsia="宋体" w:cs="宋体"/>
          <w:b w:val="0"/>
          <w:bCs w:val="0"/>
          <w:color w:val="000000"/>
          <w:sz w:val="22"/>
          <w:szCs w:val="22"/>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5、如遇采购范围内有大的调整情况，采购人将提前告知中标供应商。</w:t>
      </w:r>
      <w:r>
        <w:rPr>
          <w:rFonts w:hint="eastAsia" w:ascii="宋体" w:hAnsi="宋体" w:eastAsia="宋体" w:cs="宋体"/>
          <w:b w:val="0"/>
          <w:bCs w:val="0"/>
          <w:color w:val="000000"/>
          <w:sz w:val="22"/>
          <w:szCs w:val="22"/>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投标单位所提供的相关货物应符合根据国家标准和规范，并遵循招标文件的要求，其货物的质量和标准应达到或优于招标文件要求，并提供详细的说明。如其中某些条款不能完全满足时，应在投标文件中逐条列出。</w:t>
      </w:r>
      <w:r>
        <w:rPr>
          <w:rFonts w:hint="eastAsia" w:ascii="宋体" w:hAnsi="宋体" w:eastAsia="宋体" w:cs="宋体"/>
          <w:b w:val="0"/>
          <w:bCs w:val="0"/>
          <w:color w:val="000000"/>
          <w:sz w:val="22"/>
          <w:szCs w:val="22"/>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7、招标文件提出的是最低限度的产品要求，并未对一切细节做出规定，也未充分引述全部有关标准和规范的条文，投标人提供的所有货物内容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eastAsia="宋体" w:cs="宋体"/>
          <w:b w:val="0"/>
          <w:bCs w:val="0"/>
          <w:color w:val="000000"/>
          <w:sz w:val="22"/>
          <w:szCs w:val="22"/>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8、在安装调试过程中，应满足采购单位提出的合理要求。</w:t>
      </w:r>
      <w:r>
        <w:rPr>
          <w:rFonts w:hint="eastAsia" w:ascii="宋体" w:hAnsi="宋体" w:eastAsia="宋体" w:cs="宋体"/>
          <w:b w:val="0"/>
          <w:bCs w:val="0"/>
          <w:color w:val="000000"/>
          <w:sz w:val="22"/>
          <w:szCs w:val="22"/>
          <w:highlight w:val="none"/>
          <w:lang w:val="en-US" w:eastAsia="zh-CN"/>
        </w:rPr>
      </w:r>
      <w:r/>
    </w:p>
    <w:p>
      <w:pPr>
        <w:pStyle w:val="659"/>
        <w:ind w:firstLine="440"/>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宋体" w:hAnsi="宋体" w:eastAsia="宋体" w:cs="宋体"/>
          <w:b w:val="0"/>
          <w:bCs w:val="0"/>
          <w:color w:val="000000"/>
          <w:sz w:val="22"/>
          <w:szCs w:val="22"/>
          <w:highlight w:val="none"/>
          <w:lang w:val="en-US" w:eastAsia="zh-CN"/>
        </w:rPr>
        <w:t xml:space="preserve">9、凡涉及招标文件的补充说明和修改，均以江苏省政府采购网、苏州市政府采购网发布的内容为准。</w:t>
      </w: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bCs/>
          <w:color w:val="000000"/>
          <w:highlight w:val="none"/>
          <w:lang w:val="en-US" w:eastAsia="zh-CN"/>
        </w:rPr>
        <w:t xml:space="preserve">附件1：服务类项目履约验收方案</w:t>
      </w:r>
      <w:r>
        <w:rPr>
          <w:rFonts w:hint="eastAsia" w:ascii="宋体" w:hAnsi="宋体" w:eastAsia="宋体" w:cs="宋体"/>
          <w:b w:val="0"/>
          <w:bCs w:val="0"/>
          <w:color w:val="000000"/>
          <w:highlight w:val="none"/>
          <w:lang w:val="en-US" w:eastAsia="zh-CN"/>
        </w:rPr>
        <w:t xml:space="preserve">（模板，具体验收方案以本项目管理考核办法为准）</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一、项目概况</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项目编号：</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项目名称：</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供应商名称：</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合同金额：</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验收主体：</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二、验收目的</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三、验收依据</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四、验收责任主体</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五、验收准备</w:t>
      </w:r>
      <w:r>
        <w:rPr>
          <w:rFonts w:hint="eastAsia" w:ascii="宋体" w:hAnsi="宋体" w:eastAsia="宋体" w:cs="宋体"/>
          <w:b/>
          <w:bCs/>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5.1、验收准备</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5.1.1、政府采购合同约定的履约验收条件达到，采购人应当在5个工作 日内启动履约验收工作，并向供应商发出政府采购履约验收通知单。</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5.1.2、供应商应当配合采购人、采购代理机构做好项目验收工作，及时提供与项目验收相关的生产、技术、服务、数量、质量、安全、合格证明及验收所必须具备的其他材料。</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5.2、验收小组</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5.3、参与验收人员</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5.3.1、技术复杂或专业性强的政府采购项目，可以邀请有资质的第三方专业机构参加验收并出具专业意见。</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5.3.2、对于采购人和使用人分离的采购项目，采购人或其委托的采购代理机构应当邀请实际使用人参与验收。</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5.3.3、政府向社会公众提供的公共服务项目，验收时应当邀请服务对象进行公共服务项目满意度评价，评价结果作为履约验收的参考依据。</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六、验收方式(形式)</w:t>
      </w:r>
      <w:r>
        <w:rPr>
          <w:rFonts w:hint="eastAsia" w:ascii="宋体" w:hAnsi="宋体" w:eastAsia="宋体" w:cs="宋体"/>
          <w:b/>
          <w:bCs/>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6.1、日常考核、分段验收</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七、验收内容：</w:t>
      </w:r>
      <w:r>
        <w:rPr>
          <w:rFonts w:hint="eastAsia" w:ascii="宋体" w:hAnsi="宋体" w:eastAsia="宋体" w:cs="宋体"/>
          <w:b/>
          <w:bCs/>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7.1、验收内容</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7.1.2、项目验收范围应当完整，与采购合同一致，不得省略、遗漏和缺失，也不得擅自扩大范围。</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7.1.3、项目验收标准应包括所有客观、量化指标，符合采购合同约定，未进行相应约定的，应当符合法律法规、政策要求、国家标准、行业标准，地方标准或企业标准等有关标准。</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7.1.4、项目验收意见应当客观真实。验收小组成员意见不一致时，按照少数服从多数的原则作出验收意见。</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7.2、验收记录</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7.2.1、验收小组应当要求参与验收的供应商、专业机构、专家和服务对象等出具书面意见，作为验收书的重要组成部分。</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八、验收结果</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8.1采购人、供应商应当对验收小组出具的验收意见进行确认，并形成政府采购履约验收书。对验收意见存在异议的，采购人与供应商双方可以协商解决，或通过法律途径解决。</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8.2项目履约验收合格的，采购人应当根据政府采购合同约定及时向供应商支付采购资金、退还履约保证金，不得拖延、拖欠或非法扣留。</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8.3项目验收不合格的，采购人应当停止支付采购资金，并按照政府采购合同约定追究供应商违约责任。</w:t>
      </w:r>
      <w:r>
        <w:rPr>
          <w:rFonts w:hint="eastAsia" w:ascii="宋体" w:hAnsi="宋体" w:eastAsia="宋体" w:cs="宋体"/>
          <w:b w:val="0"/>
          <w:bCs w:val="0"/>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8.4涉及分期（分段）验收的项目，采购人应当开展阶段性验收，并出具阶段性验收意见，最后形成总验收意见。</w:t>
      </w:r>
      <w:r>
        <w:rPr>
          <w:rFonts w:hint="eastAsia" w:ascii="宋体" w:hAnsi="宋体" w:eastAsia="宋体" w:cs="宋体"/>
          <w:b w:val="0"/>
          <w:bCs w:val="0"/>
          <w:color w:val="000000"/>
          <w:highlight w:val="none"/>
          <w:lang w:val="en-US" w:eastAsia="zh-CN"/>
        </w:rPr>
      </w:r>
      <w:r/>
    </w:p>
    <w:p>
      <w:pPr>
        <w:pStyle w:val="659"/>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九、验收资料归档</w:t>
      </w:r>
      <w:r>
        <w:rPr>
          <w:rFonts w:hint="eastAsia" w:ascii="宋体" w:hAnsi="宋体" w:eastAsia="宋体" w:cs="宋体"/>
          <w:b/>
          <w:bCs/>
          <w:color w:val="000000"/>
          <w:highlight w:val="none"/>
          <w:lang w:val="en-US" w:eastAsia="zh-CN"/>
        </w:rPr>
      </w:r>
      <w:r/>
    </w:p>
    <w:p>
      <w:pPr>
        <w:pStyle w:val="659"/>
        <w:ind w:firstLine="44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项目履约验收完结后，采购人应当将验收小组名单、验收方案、验收原始记录、验收结果等资料作为采购项目档案 妥善保管，不得伪造、编造、隐匿或者违规销毁。</w:t>
      </w:r>
      <w:r>
        <w:rPr>
          <w:rFonts w:hint="eastAsia" w:ascii="宋体" w:hAnsi="宋体" w:eastAsia="宋体" w:cs="宋体"/>
          <w:b w:val="0"/>
          <w:bCs w:val="0"/>
          <w:color w:val="000000"/>
          <w:highlight w:val="none"/>
          <w:lang w:val="en-US" w:eastAsia="zh-CN"/>
        </w:rPr>
      </w:r>
      <w:r/>
    </w:p>
    <w:p>
      <w:pPr>
        <w:pStyle w:val="659"/>
        <w:ind w:firstLine="422"/>
        <w:jc w:val="both"/>
        <w:keepLines w:val="0"/>
        <w:keepNext w:val="0"/>
        <w:pageBreakBefore w:val="0"/>
        <w:spacing w:line="360" w:lineRule="auto"/>
        <w:widowControl w:val="off"/>
        <w:rPr>
          <w:rFonts w:hint="eastAsia" w:ascii="Times New Roman" w:hAnsi="Times New Roman" w:eastAsia="宋体" w:cs="Times New Roman"/>
          <w:b/>
          <w:bCs/>
          <w:color w:val="000000"/>
          <w:sz w:val="21"/>
          <w:szCs w:val="20"/>
          <w:highlight w:val="none"/>
          <w:lang w:val="en-US" w:eastAsia="zh-CN"/>
        </w:rPr>
      </w:pPr>
      <w:r>
        <w:rPr>
          <w:rFonts w:hint="eastAsia" w:ascii="Times New Roman" w:hAnsi="Times New Roman" w:eastAsia="宋体" w:cs="Times New Roman"/>
          <w:b/>
          <w:bCs/>
          <w:color w:val="000000"/>
          <w:sz w:val="21"/>
          <w:szCs w:val="2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bookmarkEnd w:id="18"/>
      <w:r/>
      <w:bookmarkStart w:id="20" w:name="OLE_LINK27"/>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附件2：政府采购履约验收书</w:t>
      </w:r>
      <w:r>
        <w:rPr>
          <w:rFonts w:hint="eastAsia" w:ascii="宋体" w:hAnsi="宋体" w:eastAsia="宋体" w:cs="宋体"/>
          <w:b/>
          <w:bCs/>
          <w:color w:val="000000"/>
          <w:highlight w:val="none"/>
          <w:lang w:val="en-US" w:eastAsia="zh-CN"/>
        </w:rPr>
      </w:r>
      <w:r/>
    </w:p>
    <w:p>
      <w:pPr>
        <w:pStyle w:val="659"/>
        <w:jc w:val="center"/>
        <w:spacing w:before="240" w:after="240" w:line="439" w:lineRule="atLeast"/>
        <w:widowControl/>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t xml:space="preserve">政府采购履约验收书(服务类）</w:t>
      </w:r>
      <w:r>
        <w:rPr>
          <w:rFonts w:ascii="宋体" w:hAnsi="宋体" w:eastAsia="宋体" w:cs="宋体"/>
          <w:b/>
          <w:sz w:val="44"/>
          <w:highlight w:val="none"/>
          <w:lang w:eastAsia="zh-CN"/>
        </w:rPr>
      </w:r>
      <w:r/>
    </w:p>
    <w:tbl>
      <w:tblPr>
        <w:tblW w:w="9497"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采购人</w:t>
            </w:r>
            <w:r>
              <w:rPr>
                <w:rFonts w:ascii="宋体" w:hAnsi="宋体" w:eastAsia="宋体" w:cs="宋体"/>
                <w:sz w:val="18"/>
                <w:szCs w:val="18"/>
                <w:highlight w:val="none"/>
                <w:lang w:eastAsia="en-US" w:bidi="ar"/>
              </w:rPr>
            </w:r>
            <w:r/>
          </w:p>
        </w:tc>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c>
          <w:tcPr>
            <w:tcW w:w="1275"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项目名称</w:t>
            </w:r>
            <w:r>
              <w:rPr>
                <w:rFonts w:ascii="宋体" w:hAnsi="宋体" w:eastAsia="宋体" w:cs="宋体"/>
                <w:sz w:val="18"/>
                <w:szCs w:val="18"/>
                <w:highlight w:val="none"/>
                <w:lang w:eastAsia="en-US" w:bidi="ar"/>
              </w:rPr>
            </w:r>
            <w:r/>
          </w:p>
        </w:tc>
        <w:tc>
          <w:tcPr>
            <w:tcW w:w="1418"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c>
          <w:tcPr>
            <w:gridSpan w:val="3"/>
            <w:tcW w:w="2410"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合同名称</w:t>
            </w:r>
            <w:r>
              <w:rPr>
                <w:rFonts w:ascii="宋体" w:hAnsi="宋体" w:eastAsia="宋体" w:cs="宋体"/>
                <w:sz w:val="18"/>
                <w:szCs w:val="18"/>
                <w:highlight w:val="none"/>
                <w:lang w:eastAsia="en-US" w:bidi="ar"/>
              </w:rPr>
            </w:r>
            <w:r/>
          </w:p>
        </w:tc>
        <w:tc>
          <w:tcPr>
            <w:tcW w:w="1842"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r>
      <w:tr>
        <w:trPr>
          <w:trHeight w:val="565"/>
        </w:trPr>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供应商</w:t>
            </w:r>
            <w:r>
              <w:rPr>
                <w:rFonts w:ascii="宋体" w:hAnsi="宋体" w:eastAsia="宋体" w:cs="宋体"/>
                <w:sz w:val="18"/>
                <w:szCs w:val="18"/>
                <w:highlight w:val="none"/>
                <w:lang w:eastAsia="en-US" w:bidi="ar"/>
              </w:rPr>
            </w:r>
            <w:r/>
          </w:p>
        </w:tc>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c>
          <w:tcPr>
            <w:tcW w:w="1275"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项目及合同编号</w:t>
            </w:r>
            <w:r>
              <w:rPr>
                <w:rFonts w:ascii="宋体" w:hAnsi="宋体" w:eastAsia="宋体" w:cs="宋体"/>
                <w:sz w:val="18"/>
                <w:szCs w:val="18"/>
                <w:highlight w:val="none"/>
                <w:lang w:eastAsia="en-US" w:bidi="ar"/>
              </w:rPr>
            </w:r>
            <w:r/>
          </w:p>
        </w:tc>
        <w:tc>
          <w:tcPr>
            <w:tcW w:w="1418"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c>
          <w:tcPr>
            <w:gridSpan w:val="3"/>
            <w:tcW w:w="2410"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合同金额</w:t>
            </w:r>
            <w:r>
              <w:rPr>
                <w:rFonts w:ascii="宋体" w:hAnsi="宋体" w:eastAsia="宋体" w:cs="宋体"/>
                <w:sz w:val="18"/>
                <w:szCs w:val="18"/>
                <w:highlight w:val="none"/>
                <w:lang w:eastAsia="en-US" w:bidi="ar"/>
              </w:rPr>
            </w:r>
            <w:r/>
          </w:p>
        </w:tc>
        <w:tc>
          <w:tcPr>
            <w:tcW w:w="1842"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r>
      <w:tr>
        <w:trPr>
          <w:trHeight w:val="410"/>
        </w:trPr>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分期（段）验收</w:t>
            </w:r>
            <w:r>
              <w:rPr>
                <w:rFonts w:ascii="宋体" w:hAnsi="宋体" w:eastAsia="宋体" w:cs="宋体"/>
                <w:sz w:val="18"/>
                <w:szCs w:val="18"/>
                <w:highlight w:val="none"/>
                <w:lang w:eastAsia="en-US" w:bidi="ar"/>
              </w:rPr>
            </w:r>
            <w:r/>
          </w:p>
        </w:tc>
        <w:tc>
          <w:tcPr>
            <w:tcW w:w="1276"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是□   否□</w:t>
            </w:r>
            <w:r>
              <w:rPr>
                <w:rFonts w:ascii="宋体" w:hAnsi="宋体" w:eastAsia="宋体" w:cs="宋体"/>
                <w:sz w:val="18"/>
                <w:szCs w:val="18"/>
                <w:highlight w:val="none"/>
                <w:lang w:eastAsia="en-US" w:bidi="ar"/>
              </w:rPr>
            </w:r>
            <w:r/>
          </w:p>
        </w:tc>
        <w:tc>
          <w:tcPr>
            <w:tcW w:w="1275"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分期（段）情况</w:t>
            </w:r>
            <w:r>
              <w:rPr>
                <w:rFonts w:ascii="宋体" w:hAnsi="宋体" w:eastAsia="宋体" w:cs="宋体"/>
                <w:sz w:val="18"/>
                <w:szCs w:val="18"/>
                <w:highlight w:val="none"/>
                <w:lang w:eastAsia="en-US" w:bidi="ar"/>
              </w:rPr>
            </w:r>
            <w:r/>
          </w:p>
        </w:tc>
        <w:tc>
          <w:tcPr>
            <w:gridSpan w:val="5"/>
            <w:tcW w:w="5670"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共分   期（段），此为第   期（段）验收</w:t>
            </w:r>
            <w:r>
              <w:rPr>
                <w:rFonts w:ascii="宋体" w:hAnsi="宋体" w:eastAsia="宋体" w:cs="宋体"/>
                <w:sz w:val="18"/>
                <w:szCs w:val="18"/>
                <w:highlight w:val="none"/>
                <w:lang w:eastAsia="zh-CN" w:bidi="ar"/>
              </w:rPr>
            </w:r>
            <w:r/>
          </w:p>
        </w:tc>
      </w:tr>
      <w:tr>
        <w:trPr>
          <w:trHeight w:val="889"/>
        </w:trPr>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验收时间</w:t>
            </w:r>
            <w:r>
              <w:rPr>
                <w:rFonts w:ascii="宋体" w:hAnsi="宋体" w:eastAsia="宋体" w:cs="宋体"/>
                <w:sz w:val="18"/>
                <w:szCs w:val="18"/>
                <w:highlight w:val="none"/>
                <w:lang w:eastAsia="en-US" w:bidi="ar"/>
              </w:rPr>
            </w:r>
            <w:r/>
          </w:p>
        </w:tc>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c>
          <w:tcPr>
            <w:tcW w:w="1275"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验收地点</w:t>
            </w:r>
            <w:r>
              <w:rPr>
                <w:rFonts w:ascii="宋体" w:hAnsi="宋体" w:eastAsia="宋体" w:cs="宋体"/>
                <w:sz w:val="18"/>
                <w:szCs w:val="18"/>
                <w:highlight w:val="none"/>
                <w:lang w:eastAsia="en-US" w:bidi="ar"/>
              </w:rPr>
            </w:r>
            <w:r/>
          </w:p>
        </w:tc>
        <w:tc>
          <w:tcPr>
            <w:tcW w:w="1418"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c>
          <w:tcPr>
            <w:gridSpan w:val="3"/>
            <w:tcW w:w="2410"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验收组织形式</w:t>
            </w:r>
            <w:r>
              <w:rPr>
                <w:rFonts w:ascii="宋体" w:hAnsi="宋体" w:eastAsia="宋体" w:cs="宋体"/>
                <w:sz w:val="18"/>
                <w:szCs w:val="18"/>
                <w:highlight w:val="none"/>
                <w:lang w:eastAsia="en-US" w:bidi="ar"/>
              </w:rPr>
            </w:r>
            <w:r/>
          </w:p>
        </w:tc>
        <w:tc>
          <w:tcPr>
            <w:tcW w:w="1842"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□自行简易验收</w:t>
            </w:r>
            <w:r>
              <w:rPr>
                <w:rFonts w:ascii="宋体" w:hAnsi="宋体" w:eastAsia="宋体" w:cs="宋体"/>
                <w:sz w:val="18"/>
                <w:szCs w:val="18"/>
                <w:highlight w:val="none"/>
                <w:lang w:eastAsia="zh-CN" w:bidi="ar"/>
              </w:rPr>
            </w:r>
            <w:r/>
          </w:p>
          <w:p>
            <w:pPr>
              <w:pStyle w:val="659"/>
              <w:spacing w:after="200" w:line="300" w:lineRule="exact"/>
              <w:widowControl/>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□验收小组验收</w:t>
            </w:r>
            <w:r>
              <w:rPr>
                <w:rFonts w:ascii="宋体" w:hAnsi="宋体" w:eastAsia="宋体" w:cs="宋体"/>
                <w:sz w:val="18"/>
                <w:szCs w:val="18"/>
                <w:highlight w:val="none"/>
                <w:lang w:eastAsia="zh-CN" w:bidi="ar"/>
              </w:rPr>
            </w:r>
            <w:r/>
          </w:p>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□采购代理机构验收</w:t>
            </w:r>
            <w:r>
              <w:rPr>
                <w:rFonts w:ascii="宋体" w:hAnsi="宋体" w:eastAsia="宋体" w:cs="宋体"/>
                <w:sz w:val="18"/>
                <w:szCs w:val="18"/>
                <w:highlight w:val="none"/>
                <w:lang w:eastAsia="en-US" w:bidi="ar"/>
              </w:rPr>
            </w:r>
            <w:r/>
          </w:p>
        </w:tc>
      </w:tr>
      <w:tr>
        <w:trPr>
          <w:trHeight w:val="395"/>
        </w:trPr>
        <w:tc>
          <w:tcPr>
            <w:tcW w:w="1276" w:type="dxa"/>
            <w:vAlign w:val="center"/>
            <w:vMerge w:val="restart"/>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验收内容</w:t>
            </w:r>
            <w:r>
              <w:rPr>
                <w:rFonts w:ascii="宋体" w:hAnsi="宋体" w:eastAsia="宋体" w:cs="宋体"/>
                <w:sz w:val="18"/>
                <w:szCs w:val="18"/>
                <w:highlight w:val="none"/>
                <w:lang w:eastAsia="en-US" w:bidi="ar"/>
              </w:rPr>
            </w:r>
            <w:r/>
          </w:p>
        </w:tc>
        <w:tc>
          <w:tcPr>
            <w:tcW w:w="1276"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服务质量</w:t>
            </w:r>
            <w:r>
              <w:rPr>
                <w:rFonts w:ascii="宋体" w:hAnsi="宋体" w:eastAsia="宋体" w:cs="宋体"/>
                <w:sz w:val="18"/>
                <w:szCs w:val="18"/>
                <w:highlight w:val="none"/>
                <w:lang w:eastAsia="en-US" w:bidi="ar"/>
              </w:rPr>
            </w:r>
            <w:r/>
          </w:p>
        </w:tc>
        <w:tc>
          <w:tcPr>
            <w:tcW w:w="1275"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服务进度</w:t>
            </w:r>
            <w:r>
              <w:rPr>
                <w:rFonts w:ascii="宋体" w:hAnsi="宋体" w:eastAsia="宋体" w:cs="宋体"/>
                <w:sz w:val="18"/>
                <w:szCs w:val="18"/>
                <w:highlight w:val="none"/>
                <w:lang w:eastAsia="en-US" w:bidi="ar"/>
              </w:rPr>
            </w:r>
            <w:r/>
          </w:p>
        </w:tc>
        <w:tc>
          <w:tcPr>
            <w:tcW w:w="1418"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人员、设备 配备情况</w:t>
            </w:r>
            <w:r>
              <w:rPr>
                <w:rFonts w:ascii="宋体" w:hAnsi="宋体" w:eastAsia="宋体" w:cs="宋体"/>
                <w:sz w:val="18"/>
                <w:szCs w:val="18"/>
                <w:highlight w:val="none"/>
                <w:lang w:eastAsia="en-US" w:bidi="ar"/>
              </w:rPr>
            </w:r>
            <w:r/>
          </w:p>
        </w:tc>
        <w:tc>
          <w:tcPr>
            <w:gridSpan w:val="2"/>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行业、安全标准</w:t>
            </w:r>
            <w:r>
              <w:rPr>
                <w:rFonts w:ascii="宋体" w:hAnsi="宋体" w:eastAsia="宋体" w:cs="宋体"/>
                <w:sz w:val="18"/>
                <w:szCs w:val="18"/>
                <w:highlight w:val="none"/>
                <w:lang w:eastAsia="en-US" w:bidi="ar"/>
              </w:rPr>
            </w:r>
            <w:r/>
          </w:p>
        </w:tc>
        <w:tc>
          <w:tcPr>
            <w:tcW w:w="1134"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项目需求、服务承诺</w:t>
            </w:r>
            <w:r>
              <w:rPr>
                <w:rFonts w:ascii="宋体" w:hAnsi="宋体" w:eastAsia="宋体" w:cs="宋体"/>
                <w:sz w:val="18"/>
                <w:szCs w:val="18"/>
                <w:highlight w:val="none"/>
                <w:lang w:eastAsia="en-US" w:bidi="ar"/>
              </w:rPr>
            </w:r>
            <w:r/>
          </w:p>
        </w:tc>
        <w:tc>
          <w:tcPr>
            <w:tcW w:w="1842"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合同履约时间、 地点、方式</w:t>
            </w:r>
            <w:r>
              <w:rPr>
                <w:rFonts w:ascii="宋体" w:hAnsi="宋体" w:eastAsia="宋体" w:cs="宋体"/>
                <w:sz w:val="18"/>
                <w:szCs w:val="18"/>
                <w:highlight w:val="none"/>
                <w:lang w:eastAsia="zh-CN" w:bidi="ar"/>
              </w:rPr>
            </w:r>
            <w:r/>
          </w:p>
        </w:tc>
      </w:tr>
      <w:tr>
        <w:trPr>
          <w:trHeight w:val="828"/>
        </w:trPr>
        <w:tc>
          <w:tcPr>
            <w:tcW w:w="1276" w:type="dxa"/>
            <w:vAlign w:val="center"/>
            <w:vMerge w:val="continue"/>
            <w:textDirection w:val="lrTb"/>
            <w:noWrap w:val="false"/>
          </w:tcPr>
          <w:p>
            <w:pPr>
              <w:pStyle w:val="659"/>
              <w:jc w:val="center"/>
              <w:spacing w:after="200" w:line="300" w:lineRule="exact"/>
              <w:widowControl/>
              <w:rPr>
                <w:rFonts w:ascii="宋体" w:hAnsi="宋体" w:eastAsia="宋体" w:cs="宋体"/>
                <w:sz w:val="18"/>
                <w:szCs w:val="18"/>
                <w:highlight w:val="none"/>
                <w:lang w:eastAsia="zh-CN" w:bidi="ar"/>
              </w:rPr>
            </w:pPr>
            <w:r>
              <w:rPr>
                <w:rFonts w:ascii="宋体" w:hAnsi="宋体" w:eastAsia="宋体" w:cs="宋体"/>
                <w:sz w:val="18"/>
                <w:szCs w:val="18"/>
                <w:highlight w:val="none"/>
                <w:lang w:eastAsia="zh-CN" w:bidi="ar"/>
              </w:rPr>
            </w:r>
            <w:r/>
          </w:p>
        </w:tc>
        <w:tc>
          <w:tcPr>
            <w:tcW w:w="1276"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rPr>
                <w:rFonts w:ascii="宋体" w:hAnsi="宋体" w:eastAsia="宋体" w:cs="宋体"/>
                <w:sz w:val="18"/>
                <w:szCs w:val="18"/>
                <w:highlight w:val="none"/>
                <w:lang w:eastAsia="en-US" w:bidi="ar"/>
              </w:rPr>
            </w:r>
            <w:r/>
          </w:p>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rPr>
                <w:rFonts w:ascii="宋体" w:hAnsi="宋体" w:eastAsia="宋体" w:cs="宋体"/>
                <w:sz w:val="18"/>
                <w:szCs w:val="18"/>
                <w:highlight w:val="none"/>
                <w:lang w:eastAsia="en-US" w:bidi="ar"/>
              </w:rPr>
            </w:r>
            <w:r/>
          </w:p>
        </w:tc>
        <w:tc>
          <w:tcPr>
            <w:tcW w:w="1275"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按  时□ </w:t>
            </w:r>
            <w:r>
              <w:rPr>
                <w:rFonts w:ascii="宋体" w:hAnsi="宋体" w:eastAsia="宋体" w:cs="宋体"/>
                <w:sz w:val="18"/>
                <w:szCs w:val="18"/>
                <w:highlight w:val="none"/>
                <w:lang w:eastAsia="en-US" w:bidi="ar"/>
              </w:rPr>
            </w:r>
            <w:r/>
          </w:p>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不按时□</w:t>
            </w:r>
            <w:r>
              <w:rPr>
                <w:rFonts w:ascii="宋体" w:hAnsi="宋体" w:eastAsia="宋体" w:cs="宋体"/>
                <w:sz w:val="18"/>
                <w:szCs w:val="18"/>
                <w:highlight w:val="none"/>
                <w:lang w:eastAsia="en-US" w:bidi="ar"/>
              </w:rPr>
            </w:r>
            <w:r/>
          </w:p>
        </w:tc>
        <w:tc>
          <w:tcPr>
            <w:tcW w:w="1418"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rPr>
                <w:rFonts w:ascii="宋体" w:hAnsi="宋体" w:eastAsia="宋体" w:cs="宋体"/>
                <w:sz w:val="18"/>
                <w:szCs w:val="18"/>
                <w:highlight w:val="none"/>
                <w:lang w:eastAsia="en-US" w:bidi="ar"/>
              </w:rPr>
            </w:r>
            <w:r/>
          </w:p>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rPr>
                <w:rFonts w:ascii="宋体" w:hAnsi="宋体" w:eastAsia="宋体" w:cs="宋体"/>
                <w:sz w:val="18"/>
                <w:szCs w:val="18"/>
                <w:highlight w:val="none"/>
                <w:lang w:eastAsia="en-US" w:bidi="ar"/>
              </w:rPr>
            </w:r>
            <w:r/>
          </w:p>
        </w:tc>
        <w:tc>
          <w:tcPr>
            <w:gridSpan w:val="2"/>
            <w:tcW w:w="1276"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rPr>
                <w:rFonts w:ascii="宋体" w:hAnsi="宋体" w:eastAsia="宋体" w:cs="宋体"/>
                <w:sz w:val="18"/>
                <w:szCs w:val="18"/>
                <w:highlight w:val="none"/>
                <w:lang w:eastAsia="en-US" w:bidi="ar"/>
              </w:rPr>
            </w:r>
            <w:r/>
          </w:p>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rPr>
                <w:rFonts w:ascii="宋体" w:hAnsi="宋体" w:eastAsia="宋体" w:cs="宋体"/>
                <w:sz w:val="18"/>
                <w:szCs w:val="18"/>
                <w:highlight w:val="none"/>
                <w:lang w:eastAsia="en-US" w:bidi="ar"/>
              </w:rPr>
            </w:r>
            <w:r/>
          </w:p>
        </w:tc>
        <w:tc>
          <w:tcPr>
            <w:tcW w:w="1134"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rPr>
                <w:rFonts w:ascii="宋体" w:hAnsi="宋体" w:eastAsia="宋体" w:cs="宋体"/>
                <w:sz w:val="18"/>
                <w:szCs w:val="18"/>
                <w:highlight w:val="none"/>
                <w:lang w:eastAsia="en-US" w:bidi="ar"/>
              </w:rPr>
            </w:r>
            <w:r/>
          </w:p>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rPr>
                <w:rFonts w:ascii="宋体" w:hAnsi="宋体" w:eastAsia="宋体" w:cs="宋体"/>
                <w:sz w:val="18"/>
                <w:szCs w:val="18"/>
                <w:highlight w:val="none"/>
                <w:lang w:eastAsia="en-US" w:bidi="ar"/>
              </w:rPr>
            </w:r>
            <w:r/>
          </w:p>
        </w:tc>
        <w:tc>
          <w:tcPr>
            <w:tcW w:w="1842"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rPr>
                <w:rFonts w:ascii="宋体" w:hAnsi="宋体" w:eastAsia="宋体" w:cs="宋体"/>
                <w:sz w:val="18"/>
                <w:szCs w:val="18"/>
                <w:highlight w:val="none"/>
                <w:lang w:eastAsia="en-US" w:bidi="ar"/>
              </w:rPr>
            </w:r>
            <w:r/>
          </w:p>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rPr>
                <w:rFonts w:ascii="宋体" w:hAnsi="宋体" w:eastAsia="宋体" w:cs="宋体"/>
                <w:sz w:val="18"/>
                <w:szCs w:val="18"/>
                <w:highlight w:val="none"/>
                <w:lang w:eastAsia="en-US" w:bidi="ar"/>
              </w:rPr>
            </w:r>
            <w:r/>
          </w:p>
        </w:tc>
      </w:tr>
      <w:tr>
        <w:trPr>
          <w:trHeight w:val="565"/>
        </w:trPr>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专业检测机构情况说明</w:t>
            </w:r>
            <w:r>
              <w:rPr>
                <w:rFonts w:ascii="宋体" w:hAnsi="宋体" w:eastAsia="宋体" w:cs="宋体"/>
                <w:sz w:val="18"/>
                <w:szCs w:val="18"/>
                <w:highlight w:val="none"/>
                <w:lang w:eastAsia="zh-CN" w:bidi="ar"/>
              </w:rPr>
            </w:r>
            <w:r/>
          </w:p>
        </w:tc>
        <w:tc>
          <w:tcPr>
            <w:gridSpan w:val="7"/>
            <w:tcW w:w="8221"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zh-CN" w:bidi="ar"/>
              </w:rPr>
            </w:pPr>
            <w:r>
              <w:rPr>
                <w:rFonts w:ascii="宋体" w:hAnsi="宋体" w:eastAsia="宋体" w:cs="宋体"/>
                <w:sz w:val="18"/>
                <w:szCs w:val="18"/>
                <w:highlight w:val="none"/>
                <w:lang w:eastAsia="zh-CN" w:bidi="ar"/>
              </w:rPr>
            </w:r>
            <w:r/>
          </w:p>
        </w:tc>
      </w:tr>
      <w:tr>
        <w:trPr>
          <w:trHeight w:val="565"/>
        </w:trPr>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存在问题</w:t>
            </w:r>
            <w:r>
              <w:rPr>
                <w:rFonts w:ascii="宋体" w:hAnsi="宋体" w:eastAsia="宋体" w:cs="宋体"/>
                <w:sz w:val="18"/>
                <w:szCs w:val="18"/>
                <w:highlight w:val="none"/>
                <w:lang w:eastAsia="en-US" w:bidi="ar"/>
              </w:rPr>
            </w:r>
            <w:r/>
          </w:p>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和改进意见</w:t>
            </w:r>
            <w:r>
              <w:rPr>
                <w:rFonts w:ascii="宋体" w:hAnsi="宋体" w:eastAsia="宋体" w:cs="宋体"/>
                <w:sz w:val="18"/>
                <w:szCs w:val="18"/>
                <w:highlight w:val="none"/>
                <w:lang w:eastAsia="en-US" w:bidi="ar"/>
              </w:rPr>
            </w:r>
            <w:r/>
          </w:p>
        </w:tc>
        <w:tc>
          <w:tcPr>
            <w:gridSpan w:val="7"/>
            <w:tcW w:w="8221"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r>
      <w:tr>
        <w:trPr>
          <w:trHeight w:val="686"/>
        </w:trPr>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最终结论</w:t>
            </w:r>
            <w:r>
              <w:rPr>
                <w:rFonts w:ascii="宋体" w:hAnsi="宋体" w:eastAsia="宋体" w:cs="宋体"/>
                <w:sz w:val="18"/>
                <w:szCs w:val="18"/>
                <w:highlight w:val="none"/>
                <w:lang w:eastAsia="en-US" w:bidi="ar"/>
              </w:rPr>
            </w:r>
            <w:r/>
          </w:p>
        </w:tc>
        <w:tc>
          <w:tcPr>
            <w:gridSpan w:val="7"/>
            <w:tcW w:w="8221"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不合格□</w:t>
            </w:r>
            <w:r>
              <w:rPr>
                <w:rFonts w:ascii="宋体" w:hAnsi="宋体" w:eastAsia="宋体" w:cs="宋体"/>
                <w:sz w:val="18"/>
                <w:szCs w:val="18"/>
                <w:highlight w:val="none"/>
                <w:lang w:eastAsia="en-US" w:bidi="ar"/>
              </w:rPr>
            </w:r>
            <w:r/>
          </w:p>
        </w:tc>
      </w:tr>
      <w:tr>
        <w:trPr>
          <w:trHeight w:val="565"/>
        </w:trPr>
        <w:tc>
          <w:tcPr>
            <w:tcW w:w="1276"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验收小组成员</w:t>
            </w:r>
            <w:r>
              <w:rPr>
                <w:rFonts w:ascii="宋体" w:hAnsi="宋体" w:eastAsia="宋体" w:cs="宋体"/>
                <w:sz w:val="18"/>
                <w:szCs w:val="18"/>
                <w:highlight w:val="none"/>
                <w:lang w:eastAsia="en-US" w:bidi="ar"/>
              </w:rPr>
            </w:r>
            <w:r/>
          </w:p>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签字</w:t>
            </w:r>
            <w:r>
              <w:rPr>
                <w:rFonts w:ascii="宋体" w:hAnsi="宋体" w:eastAsia="宋体" w:cs="宋体"/>
                <w:sz w:val="18"/>
                <w:szCs w:val="18"/>
                <w:highlight w:val="none"/>
                <w:lang w:eastAsia="en-US" w:bidi="ar"/>
              </w:rPr>
            </w:r>
            <w:r/>
          </w:p>
        </w:tc>
        <w:tc>
          <w:tcPr>
            <w:gridSpan w:val="7"/>
            <w:tcW w:w="8221"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ascii="宋体" w:hAnsi="宋体" w:eastAsia="宋体" w:cs="宋体"/>
                <w:sz w:val="18"/>
                <w:szCs w:val="18"/>
                <w:highlight w:val="none"/>
                <w:lang w:eastAsia="en-US" w:bidi="ar"/>
              </w:rPr>
            </w:r>
            <w:r/>
          </w:p>
        </w:tc>
      </w:tr>
      <w:tr>
        <w:trPr>
          <w:trHeight w:val="519"/>
        </w:trPr>
        <w:tc>
          <w:tcPr>
            <w:gridSpan w:val="5"/>
            <w:tcW w:w="5670" w:type="dxa"/>
            <w:vAlign w:val="center"/>
            <w:textDirection w:val="lrTb"/>
            <w:noWrap w:val="false"/>
          </w:tcPr>
          <w:p>
            <w:pPr>
              <w:pStyle w:val="659"/>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采购代理机构意见</w:t>
            </w:r>
            <w:r>
              <w:rPr>
                <w:rFonts w:ascii="宋体" w:hAnsi="宋体" w:eastAsia="宋体" w:cs="宋体"/>
                <w:sz w:val="18"/>
                <w:szCs w:val="18"/>
                <w:highlight w:val="none"/>
                <w:lang w:eastAsia="en-US" w:bidi="ar"/>
              </w:rPr>
            </w:r>
            <w:r/>
          </w:p>
        </w:tc>
        <w:tc>
          <w:tcPr>
            <w:gridSpan w:val="3"/>
            <w:tcW w:w="3827" w:type="dxa"/>
            <w:vAlign w:val="center"/>
            <w:textDirection w:val="lrTb"/>
            <w:noWrap w:val="false"/>
          </w:tcPr>
          <w:p>
            <w:pPr>
              <w:pStyle w:val="659"/>
              <w:jc w:val="center"/>
              <w:spacing w:after="200" w:line="300" w:lineRule="exact"/>
              <w:widowControl/>
              <w:rPr>
                <w:rFonts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采购人意见</w:t>
            </w:r>
            <w:r>
              <w:rPr>
                <w:rFonts w:ascii="宋体" w:hAnsi="宋体" w:eastAsia="宋体" w:cs="宋体"/>
                <w:sz w:val="18"/>
                <w:szCs w:val="18"/>
                <w:highlight w:val="none"/>
                <w:lang w:eastAsia="en-US" w:bidi="ar"/>
              </w:rPr>
            </w:r>
            <w:r/>
          </w:p>
        </w:tc>
      </w:tr>
      <w:tr>
        <w:trPr/>
        <w:tc>
          <w:tcPr>
            <w:gridSpan w:val="5"/>
            <w:tcW w:w="5670" w:type="dxa"/>
            <w:vAlign w:val="top"/>
            <w:textDirection w:val="lrTb"/>
            <w:noWrap w:val="false"/>
          </w:tcPr>
          <w:p>
            <w:pPr>
              <w:pStyle w:val="659"/>
              <w:spacing w:after="200" w:line="300" w:lineRule="exact"/>
              <w:widowControl/>
              <w:rPr>
                <w:rFonts w:ascii="宋体" w:hAnsi="宋体" w:eastAsia="宋体" w:cs="宋体"/>
                <w:sz w:val="18"/>
                <w:szCs w:val="18"/>
                <w:highlight w:val="none"/>
                <w:lang w:eastAsia="zh-CN" w:bidi="ar"/>
              </w:rPr>
            </w:pPr>
            <w:r>
              <w:rPr>
                <w:rFonts w:ascii="宋体" w:hAnsi="宋体" w:eastAsia="宋体" w:cs="宋体"/>
                <w:sz w:val="18"/>
                <w:szCs w:val="18"/>
                <w:highlight w:val="none"/>
                <w:lang w:eastAsia="zh-CN" w:bidi="ar"/>
              </w:rPr>
            </w:r>
            <w:r/>
          </w:p>
          <w:p>
            <w:pPr>
              <w:pStyle w:val="659"/>
              <w:spacing w:after="200" w:line="300" w:lineRule="exact"/>
              <w:widowControl/>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经办人：         负责人：     （采购代理机构公章）</w:t>
            </w:r>
            <w:r>
              <w:rPr>
                <w:rFonts w:ascii="宋体" w:hAnsi="宋体" w:eastAsia="宋体" w:cs="宋体"/>
                <w:sz w:val="18"/>
                <w:szCs w:val="18"/>
                <w:highlight w:val="none"/>
                <w:lang w:eastAsia="zh-CN" w:bidi="ar"/>
              </w:rPr>
            </w:r>
            <w:r/>
          </w:p>
        </w:tc>
        <w:tc>
          <w:tcPr>
            <w:gridSpan w:val="3"/>
            <w:tcW w:w="3827" w:type="dxa"/>
            <w:vAlign w:val="top"/>
            <w:textDirection w:val="lrTb"/>
            <w:noWrap w:val="false"/>
          </w:tcPr>
          <w:p>
            <w:pPr>
              <w:pStyle w:val="659"/>
              <w:spacing w:after="200" w:line="300" w:lineRule="exact"/>
              <w:widowControl/>
              <w:rPr>
                <w:rFonts w:ascii="宋体" w:hAnsi="宋体" w:eastAsia="宋体" w:cs="宋体"/>
                <w:sz w:val="18"/>
                <w:szCs w:val="18"/>
                <w:highlight w:val="none"/>
                <w:lang w:eastAsia="zh-CN" w:bidi="ar"/>
              </w:rPr>
            </w:pPr>
            <w:r>
              <w:rPr>
                <w:rFonts w:ascii="宋体" w:hAnsi="宋体" w:eastAsia="宋体" w:cs="宋体"/>
                <w:sz w:val="18"/>
                <w:szCs w:val="18"/>
                <w:highlight w:val="none"/>
                <w:lang w:eastAsia="zh-CN" w:bidi="ar"/>
              </w:rPr>
            </w:r>
            <w:r/>
          </w:p>
          <w:p>
            <w:pPr>
              <w:pStyle w:val="659"/>
              <w:spacing w:after="200" w:line="300" w:lineRule="exact"/>
              <w:widowControl/>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经办人：     负责人：    （采购人公章）</w:t>
            </w:r>
            <w:r>
              <w:rPr>
                <w:rFonts w:ascii="宋体" w:hAnsi="宋体" w:eastAsia="宋体" w:cs="宋体"/>
                <w:sz w:val="18"/>
                <w:szCs w:val="18"/>
                <w:highlight w:val="none"/>
                <w:lang w:eastAsia="zh-CN" w:bidi="ar"/>
              </w:rPr>
            </w:r>
            <w:r/>
          </w:p>
        </w:tc>
      </w:tr>
      <w:tr>
        <w:trPr/>
        <w:tc>
          <w:tcPr>
            <w:gridSpan w:val="8"/>
            <w:tcW w:w="9497" w:type="dxa"/>
            <w:vAlign w:val="top"/>
            <w:textDirection w:val="lrTb"/>
            <w:noWrap w:val="false"/>
          </w:tcPr>
          <w:p>
            <w:pPr>
              <w:pStyle w:val="659"/>
              <w:spacing w:after="200" w:line="300" w:lineRule="exact"/>
              <w:widowControl/>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供应商确认：</w:t>
            </w:r>
            <w:r>
              <w:rPr>
                <w:rFonts w:ascii="宋体" w:hAnsi="宋体" w:eastAsia="宋体" w:cs="宋体"/>
                <w:sz w:val="18"/>
                <w:szCs w:val="18"/>
                <w:highlight w:val="none"/>
                <w:lang w:eastAsia="zh-CN" w:bidi="ar"/>
              </w:rPr>
            </w:r>
            <w:r/>
          </w:p>
          <w:p>
            <w:pPr>
              <w:pStyle w:val="659"/>
              <w:spacing w:after="200" w:line="300" w:lineRule="exact"/>
              <w:widowControl/>
              <w:rPr>
                <w:rFonts w:ascii="宋体" w:hAnsi="宋体" w:eastAsia="宋体" w:cs="宋体"/>
                <w:sz w:val="18"/>
                <w:szCs w:val="18"/>
                <w:highlight w:val="none"/>
                <w:lang w:eastAsia="zh-CN" w:bidi="ar"/>
              </w:rPr>
            </w:pPr>
            <w:r>
              <w:rPr>
                <w:rFonts w:ascii="宋体" w:hAnsi="宋体" w:eastAsia="宋体" w:cs="宋体"/>
                <w:sz w:val="18"/>
                <w:szCs w:val="18"/>
                <w:highlight w:val="none"/>
                <w:lang w:eastAsia="zh-CN" w:bidi="ar"/>
              </w:rPr>
            </w:r>
            <w:r/>
          </w:p>
          <w:p>
            <w:pPr>
              <w:pStyle w:val="659"/>
              <w:spacing w:after="200" w:line="300" w:lineRule="exact"/>
              <w:widowControl/>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（单位公章或授权代表签字）</w:t>
            </w:r>
            <w:r>
              <w:rPr>
                <w:rFonts w:ascii="宋体" w:hAnsi="宋体" w:eastAsia="宋体" w:cs="宋体"/>
                <w:sz w:val="18"/>
                <w:szCs w:val="18"/>
                <w:highlight w:val="none"/>
                <w:lang w:eastAsia="zh-CN" w:bidi="ar"/>
              </w:rPr>
            </w:r>
            <w:r/>
          </w:p>
        </w:tc>
      </w:tr>
    </w:tbl>
    <w:p>
      <w:pPr>
        <w:pStyle w:val="659"/>
        <w:spacing w:after="200" w:line="276"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659"/>
        <w:jc w:val="both"/>
        <w:spacing w:before="240" w:after="240" w:line="439" w:lineRule="atLeast"/>
        <w:widowControl/>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附件3：政府采购履约验收通知单</w:t>
      </w:r>
      <w:r>
        <w:rPr>
          <w:rFonts w:hint="eastAsia" w:ascii="宋体" w:hAnsi="宋体" w:eastAsia="宋体" w:cs="宋体"/>
          <w:b/>
          <w:bCs/>
          <w:color w:val="000000"/>
          <w:highlight w:val="none"/>
          <w:lang w:val="en-US" w:eastAsia="zh-CN"/>
        </w:rPr>
      </w:r>
      <w:r/>
    </w:p>
    <w:tbl>
      <w:tblPr>
        <w:tblW w:w="4714" w:type="pct"/>
        <w:tblInd w:w="66" w:type="dxa"/>
        <w:tblLayout w:type="autofit"/>
        <w:tblCellMar>
          <w:left w:w="108" w:type="dxa"/>
          <w:top w:w="0" w:type="dxa"/>
          <w:right w:w="108" w:type="dxa"/>
          <w:bottom w:w="0" w:type="dxa"/>
        </w:tblCellMar>
        <w:tblLook w:val="04A0" w:firstRow="1" w:lastRow="0" w:firstColumn="1" w:lastColumn="0" w:noHBand="0" w:noVBand="1"/>
      </w:tblPr>
      <w:tblGrid>
        <w:gridCol w:w="3798"/>
        <w:gridCol w:w="742"/>
        <w:gridCol w:w="2623"/>
        <w:gridCol w:w="1753"/>
      </w:tblGrid>
      <w:tr>
        <w:trPr>
          <w:trHeight w:val="1180"/>
        </w:trPr>
        <w:tc>
          <w:tcPr>
            <w:gridSpan w:val="4"/>
            <w:tcBorders>
              <w:top w:val="none" w:color="000000" w:sz="4" w:space="0"/>
              <w:left w:val="none" w:color="000000" w:sz="4" w:space="0"/>
              <w:bottom w:val="none" w:color="000000" w:sz="4" w:space="0"/>
              <w:right w:val="none" w:color="000000" w:sz="4" w:space="0"/>
            </w:tcBorders>
            <w:tcW w:w="8916" w:type="dxa"/>
            <w:vAlign w:val="center"/>
            <w:textDirection w:val="lrTb"/>
            <w:noWrap/>
          </w:tcPr>
          <w:p>
            <w:pPr>
              <w:pStyle w:val="659"/>
              <w:jc w:val="center"/>
              <w:spacing w:after="200" w:line="276" w:lineRule="auto"/>
              <w:widowControl/>
              <w:rPr>
                <w:rFonts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 xml:space="preserve">政府采购履约验收通知单</w:t>
            </w:r>
            <w:r>
              <w:rPr>
                <w:rFonts w:ascii="宋体" w:hAnsi="宋体" w:eastAsia="宋体" w:cs="宋体"/>
                <w:sz w:val="40"/>
                <w:szCs w:val="40"/>
                <w:highlight w:val="none"/>
                <w:lang w:eastAsia="zh-CN"/>
              </w:rPr>
            </w:r>
            <w:r/>
          </w:p>
        </w:tc>
      </w:tr>
      <w:tr>
        <w:trPr>
          <w:trHeight w:val="600"/>
        </w:trPr>
        <w:tc>
          <w:tcPr>
            <w:tcBorders>
              <w:top w:val="none" w:color="000000" w:sz="4" w:space="0"/>
              <w:left w:val="none" w:color="000000" w:sz="4" w:space="0"/>
              <w:bottom w:val="none" w:color="000000" w:sz="4" w:space="0"/>
              <w:right w:val="none" w:color="000000" w:sz="4" w:space="0"/>
            </w:tcBorders>
            <w:tcW w:w="2130" w:type="dxa"/>
            <w:vAlign w:val="center"/>
            <w:textDirection w:val="lrTb"/>
            <w:noWrap/>
          </w:tcPr>
          <w:p>
            <w:pPr>
              <w:pStyle w:val="659"/>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供应商：</w:t>
            </w:r>
            <w:r>
              <w:rPr>
                <w:rFonts w:ascii="宋体" w:hAnsi="宋体" w:eastAsia="宋体" w:cs="宋体"/>
                <w:sz w:val="24"/>
                <w:szCs w:val="24"/>
                <w:highlight w:val="none"/>
                <w:lang w:eastAsia="en-US"/>
              </w:rPr>
            </w:r>
            <w:r/>
          </w:p>
        </w:tc>
        <w:tc>
          <w:tcPr>
            <w:tcBorders>
              <w:top w:val="none" w:color="000000" w:sz="4" w:space="0"/>
              <w:left w:val="none" w:color="000000" w:sz="4" w:space="0"/>
              <w:bottom w:val="none" w:color="000000" w:sz="4" w:space="0"/>
              <w:right w:val="none" w:color="000000" w:sz="4" w:space="0"/>
            </w:tcBorders>
            <w:tcW w:w="416"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tcBorders>
              <w:top w:val="none" w:color="000000" w:sz="4" w:space="0"/>
              <w:left w:val="none" w:color="000000" w:sz="4" w:space="0"/>
              <w:bottom w:val="none" w:color="000000" w:sz="4" w:space="0"/>
              <w:right w:val="none" w:color="000000" w:sz="4" w:space="0"/>
            </w:tcBorders>
            <w:tcW w:w="1471"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tcBorders>
              <w:top w:val="none" w:color="000000" w:sz="4" w:space="0"/>
              <w:left w:val="none" w:color="000000" w:sz="4" w:space="0"/>
              <w:bottom w:val="none" w:color="000000" w:sz="4" w:space="0"/>
              <w:right w:val="none" w:color="000000" w:sz="4" w:space="0"/>
            </w:tcBorders>
            <w:tcW w:w="981"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采购人</w:t>
            </w:r>
            <w:r>
              <w:rPr>
                <w:rFonts w:ascii="宋体" w:hAnsi="宋体" w:eastAsia="宋体" w:cs="宋体"/>
                <w:sz w:val="24"/>
                <w:szCs w:val="24"/>
                <w:highlight w:val="none"/>
                <w:lang w:eastAsia="en-US"/>
              </w:rPr>
            </w:r>
            <w:r/>
          </w:p>
        </w:tc>
        <w:tc>
          <w:tcPr>
            <w:gridSpan w:val="3"/>
            <w:tcBorders>
              <w:top w:val="single" w:color="000000" w:sz="4" w:space="0"/>
              <w:left w:val="single" w:color="000000" w:sz="4" w:space="0"/>
              <w:bottom w:val="single" w:color="000000" w:sz="4" w:space="0"/>
              <w:right w:val="single" w:color="000000" w:sz="4" w:space="0"/>
            </w:tcBorders>
            <w:tcW w:w="5118"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项目名称</w:t>
            </w:r>
            <w:r>
              <w:rPr>
                <w:rFonts w:ascii="宋体" w:hAnsi="宋体" w:eastAsia="宋体" w:cs="宋体"/>
                <w:sz w:val="24"/>
                <w:szCs w:val="24"/>
                <w:highlight w:val="none"/>
                <w:lang w:eastAsia="en-US"/>
              </w:rPr>
            </w:r>
            <w:r/>
          </w:p>
        </w:tc>
        <w:tc>
          <w:tcPr>
            <w:gridSpan w:val="3"/>
            <w:tcBorders>
              <w:top w:val="single" w:color="000000" w:sz="4" w:space="0"/>
              <w:left w:val="single" w:color="000000" w:sz="4" w:space="0"/>
              <w:bottom w:val="single" w:color="000000" w:sz="4" w:space="0"/>
              <w:right w:val="single" w:color="000000" w:sz="4" w:space="0"/>
            </w:tcBorders>
            <w:tcW w:w="5118"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合同名称</w:t>
            </w:r>
            <w:r>
              <w:rPr>
                <w:rFonts w:ascii="宋体" w:hAnsi="宋体" w:eastAsia="宋体" w:cs="宋体"/>
                <w:sz w:val="24"/>
                <w:szCs w:val="24"/>
                <w:highlight w:val="none"/>
                <w:lang w:eastAsia="en-US"/>
              </w:rPr>
            </w:r>
            <w:r/>
          </w:p>
        </w:tc>
        <w:tc>
          <w:tcPr>
            <w:gridSpan w:val="3"/>
            <w:tcBorders>
              <w:top w:val="single" w:color="000000" w:sz="4" w:space="0"/>
              <w:left w:val="single" w:color="000000" w:sz="4" w:space="0"/>
              <w:bottom w:val="single" w:color="000000" w:sz="4" w:space="0"/>
              <w:right w:val="single" w:color="000000" w:sz="4" w:space="0"/>
            </w:tcBorders>
            <w:tcW w:w="5118"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合同编号</w:t>
            </w:r>
            <w:r>
              <w:rPr>
                <w:rFonts w:ascii="宋体" w:hAnsi="宋体" w:eastAsia="宋体" w:cs="宋体"/>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合同金额</w:t>
            </w:r>
            <w:r>
              <w:rPr>
                <w:rFonts w:ascii="宋体" w:hAnsi="宋体" w:eastAsia="宋体" w:cs="宋体"/>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验收时间</w:t>
            </w:r>
            <w:r>
              <w:rPr>
                <w:rFonts w:ascii="宋体" w:hAnsi="宋体" w:eastAsia="宋体" w:cs="宋体"/>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验收地点</w:t>
            </w:r>
            <w:r>
              <w:rPr>
                <w:rFonts w:ascii="宋体" w:hAnsi="宋体" w:eastAsia="宋体" w:cs="宋体"/>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联系人</w:t>
            </w:r>
            <w:r>
              <w:rPr>
                <w:rFonts w:ascii="宋体" w:hAnsi="宋体" w:eastAsia="宋体" w:cs="宋体"/>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联系电话</w:t>
            </w:r>
            <w:r>
              <w:rPr>
                <w:rFonts w:ascii="宋体" w:hAnsi="宋体" w:eastAsia="宋体" w:cs="宋体"/>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916" w:type="dxa"/>
            <w:vAlign w:val="center"/>
            <w:textDirection w:val="lrTb"/>
            <w:noWrap/>
          </w:tcPr>
          <w:p>
            <w:pPr>
              <w:pStyle w:val="659"/>
              <w:jc w:val="center"/>
              <w:spacing w:after="200" w:line="276" w:lineRule="auto"/>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履约验收方案及工作要求</w:t>
            </w:r>
            <w:r>
              <w:rPr>
                <w:rFonts w:ascii="宋体" w:hAnsi="宋体" w:eastAsia="宋体" w:cs="宋体"/>
                <w:sz w:val="24"/>
                <w:szCs w:val="24"/>
                <w:highlight w:val="none"/>
                <w:lang w:eastAsia="zh-CN"/>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916" w:type="dxa"/>
            <w:vAlign w:val="center"/>
            <w:vMerge w:val="restart"/>
            <w:textDirection w:val="lrTb"/>
            <w:noWrap w:val="false"/>
          </w:tcPr>
          <w:p>
            <w:pPr>
              <w:pStyle w:val="659"/>
              <w:jc w:val="center"/>
              <w:spacing w:after="200" w:line="276" w:lineRule="auto"/>
              <w:widowControl/>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r>
              <w:rPr>
                <w:rFonts w:ascii="宋体" w:hAnsi="宋体" w:eastAsia="宋体" w:cs="宋体"/>
                <w:sz w:val="24"/>
                <w:szCs w:val="24"/>
                <w:highlight w:val="none"/>
                <w:lang w:eastAsia="zh-CN" w:bidi="ar"/>
              </w:rPr>
            </w:r>
            <w:r/>
          </w:p>
          <w:p>
            <w:pPr>
              <w:pStyle w:val="659"/>
              <w:jc w:val="center"/>
              <w:spacing w:after="200" w:line="276" w:lineRule="auto"/>
              <w:widowControl/>
              <w:rPr>
                <w:rFonts w:ascii="宋体" w:hAnsi="宋体" w:eastAsia="宋体" w:cs="宋体"/>
                <w:sz w:val="24"/>
                <w:szCs w:val="24"/>
                <w:highlight w:val="none"/>
                <w:lang w:eastAsia="zh-CN" w:bidi="ar"/>
              </w:rPr>
            </w:pPr>
            <w:r>
              <w:rPr>
                <w:rFonts w:ascii="宋体" w:hAnsi="宋体" w:eastAsia="宋体" w:cs="宋体"/>
                <w:sz w:val="24"/>
                <w:szCs w:val="24"/>
                <w:highlight w:val="none"/>
                <w:lang w:eastAsia="zh-CN" w:bidi="ar"/>
              </w:rPr>
            </w:r>
            <w:r/>
          </w:p>
          <w:p>
            <w:pPr>
              <w:pStyle w:val="659"/>
              <w:jc w:val="center"/>
              <w:spacing w:after="200" w:line="276" w:lineRule="auto"/>
              <w:widowControl/>
              <w:rPr>
                <w:rFonts w:ascii="宋体" w:hAnsi="宋体" w:eastAsia="宋体" w:cs="宋体"/>
                <w:sz w:val="24"/>
                <w:szCs w:val="24"/>
                <w:highlight w:val="none"/>
                <w:lang w:eastAsia="zh-CN" w:bidi="ar"/>
              </w:rPr>
            </w:pPr>
            <w:r>
              <w:rPr>
                <w:rFonts w:ascii="宋体" w:hAnsi="宋体" w:eastAsia="宋体" w:cs="宋体"/>
                <w:sz w:val="24"/>
                <w:szCs w:val="24"/>
                <w:highlight w:val="none"/>
                <w:lang w:eastAsia="zh-CN" w:bidi="ar"/>
              </w:rPr>
            </w:r>
            <w:r/>
          </w:p>
          <w:p>
            <w:pPr>
              <w:pStyle w:val="659"/>
              <w:jc w:val="center"/>
              <w:spacing w:after="200" w:line="276" w:lineRule="auto"/>
              <w:widowControl/>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r>
              <w:rPr>
                <w:rFonts w:ascii="宋体" w:hAnsi="宋体" w:eastAsia="宋体" w:cs="宋体"/>
                <w:sz w:val="24"/>
                <w:szCs w:val="24"/>
                <w:highlight w:val="none"/>
                <w:lang w:eastAsia="zh-CN" w:bidi="ar"/>
              </w:rPr>
            </w:r>
            <w:r/>
          </w:p>
          <w:p>
            <w:pPr>
              <w:pStyle w:val="659"/>
              <w:jc w:val="center"/>
              <w:spacing w:after="200" w:line="276" w:lineRule="auto"/>
              <w:widowControl/>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zh-CN" w:bidi="ar"/>
              </w:rPr>
              <w:t xml:space="preserve">         年 月 日</w:t>
            </w:r>
            <w:r>
              <w:rPr>
                <w:rFonts w:ascii="宋体" w:hAnsi="宋体" w:eastAsia="宋体" w:cs="宋体"/>
                <w:sz w:val="24"/>
                <w:szCs w:val="24"/>
                <w:highlight w:val="none"/>
                <w:lang w:eastAsia="en-US"/>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916" w:type="dxa"/>
            <w:vAlign w:val="center"/>
            <w:vMerge w:val="continue"/>
            <w:textDirection w:val="lrTb"/>
            <w:noWrap w:val="false"/>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916" w:type="dxa"/>
            <w:vAlign w:val="center"/>
            <w:vMerge w:val="continue"/>
            <w:textDirection w:val="lrTb"/>
            <w:noWrap w:val="false"/>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916" w:type="dxa"/>
            <w:vAlign w:val="center"/>
            <w:vMerge w:val="continue"/>
            <w:textDirection w:val="lrTb"/>
            <w:noWrap w:val="false"/>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916" w:type="dxa"/>
            <w:vAlign w:val="center"/>
            <w:vMerge w:val="continue"/>
            <w:textDirection w:val="lrTb"/>
            <w:noWrap w:val="false"/>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trHeight w:val="558"/>
        </w:trPr>
        <w:tc>
          <w:tcPr>
            <w:gridSpan w:val="4"/>
            <w:tcBorders>
              <w:top w:val="single" w:color="000000" w:sz="4" w:space="0"/>
              <w:left w:val="single" w:color="000000" w:sz="4" w:space="0"/>
              <w:bottom w:val="single" w:color="000000" w:sz="4" w:space="0"/>
              <w:right w:val="single" w:color="000000" w:sz="4" w:space="0"/>
            </w:tcBorders>
            <w:tcW w:w="8916" w:type="dxa"/>
            <w:vAlign w:val="center"/>
            <w:vMerge w:val="continue"/>
            <w:textDirection w:val="lrTb"/>
            <w:noWrap w:val="false"/>
          </w:tcPr>
          <w:p>
            <w:pPr>
              <w:pStyle w:val="659"/>
              <w:jc w:val="center"/>
              <w:spacing w:after="200" w:line="276"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bl>
    <w:p>
      <w:pPr>
        <w:pStyle w:val="659"/>
        <w:spacing w:after="200" w:line="276" w:lineRule="auto"/>
        <w:widowControl/>
        <w:rPr>
          <w:rFonts w:ascii="宋体" w:hAnsi="宋体" w:eastAsia="宋体" w:cs="宋体"/>
          <w:highlight w:val="none"/>
          <w:lang w:eastAsia="zh-CN"/>
        </w:rPr>
      </w:pPr>
      <w:r>
        <w:rPr>
          <w:rFonts w:ascii="宋体" w:hAnsi="宋体" w:eastAsia="宋体" w:cs="宋体"/>
          <w:highlight w:val="none"/>
          <w:lang w:eastAsia="zh-CN"/>
        </w:rPr>
      </w:r>
      <w:r/>
    </w:p>
    <w:p>
      <w:pPr>
        <w:pStyle w:val="659"/>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第四章 评分办法及评标标准</w:t>
      </w:r>
      <w:r>
        <w:rPr>
          <w:rFonts w:hint="eastAsia" w:ascii="宋体" w:hAnsi="宋体" w:eastAsia="宋体" w:cs="宋体"/>
          <w:b/>
          <w:bCs/>
          <w:color w:val="000000"/>
          <w:sz w:val="32"/>
          <w:szCs w:val="32"/>
          <w:highlight w:val="none"/>
        </w:rPr>
      </w:r>
      <w:r/>
    </w:p>
    <w:p>
      <w:pPr>
        <w:pStyle w:val="659"/>
        <w:jc w:val="left"/>
        <w:spacing w:line="360" w:lineRule="auto"/>
        <w:rPr>
          <w:rFonts w:ascii="宋体" w:hAnsi="宋体" w:eastAsia="宋体" w:cs="宋体"/>
          <w:b/>
          <w:color w:val="000000"/>
          <w:sz w:val="21"/>
          <w:szCs w:val="21"/>
          <w:highlight w:val="none"/>
        </w:rPr>
      </w:pPr>
      <w:r/>
      <w:bookmarkEnd w:id="20"/>
      <w:r>
        <w:rPr>
          <w:rFonts w:hint="eastAsia" w:ascii="宋体" w:hAnsi="宋体" w:eastAsia="宋体" w:cs="宋体"/>
          <w:b/>
          <w:color w:val="000000"/>
          <w:sz w:val="21"/>
          <w:szCs w:val="21"/>
          <w:highlight w:val="none"/>
        </w:rPr>
        <w:t xml:space="preserve">一、评标方法</w:t>
      </w:r>
      <w:r>
        <w:rPr>
          <w:rFonts w:ascii="宋体" w:hAnsi="宋体" w:eastAsia="宋体" w:cs="宋体"/>
          <w:b/>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4、如出现评审得分最高的投标人有两个或两个以上的，以投标报价较低者优先作为该标段中标候选人，如果投标报价也相同的，则由公证机构组织以抽签方式确定中标候选人。</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hAnsi="宋体" w:eastAsia="宋体" w:cs="宋体"/>
          <w:bCs/>
          <w:color w:val="000000"/>
          <w:sz w:val="21"/>
          <w:szCs w:val="21"/>
          <w:highlight w:val="none"/>
          <w:lang w:val="en-US" w:eastAsia="zh-CN"/>
        </w:rPr>
      </w:r>
      <w:r/>
    </w:p>
    <w:p>
      <w:pPr>
        <w:pStyle w:val="659"/>
        <w:ind w:firstLine="420"/>
        <w:jc w:val="left"/>
        <w:keepLines w:val="0"/>
        <w:keepNext w:val="0"/>
        <w:pageBreakBefore w:val="0"/>
        <w:spacing w:line="360" w:lineRule="auto"/>
        <w:widowControl w:val="off"/>
        <w:rPr>
          <w:rFonts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6、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rFonts w:hAnsi="宋体" w:eastAsia="宋体" w:cs="宋体"/>
          <w:bCs/>
          <w:color w:val="000000"/>
          <w:sz w:val="21"/>
          <w:szCs w:val="21"/>
          <w:highlight w:val="none"/>
          <w:lang w:val="en-US" w:eastAsia="zh-CN"/>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中小企业相关政策：</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bCs w:val="0"/>
          <w:color w:val="000000"/>
          <w:sz w:val="21"/>
          <w:szCs w:val="21"/>
          <w:highlight w:val="none"/>
        </w:rPr>
        <w:t xml:space="preserve">但与大企业的负责人为同一人，或者与大企业存在直接控股、管理关系的除外。</w:t>
      </w:r>
      <w:r>
        <w:rPr>
          <w:rFonts w:hint="eastAsia" w:ascii="宋体" w:hAnsi="宋体" w:eastAsia="宋体" w:cs="宋体"/>
          <w:bCs/>
          <w:color w:val="000000"/>
          <w:sz w:val="21"/>
          <w:szCs w:val="21"/>
          <w:highlight w:val="none"/>
        </w:rPr>
        <w:t xml:space="preserve">符合中小企业划分标准的个体工商户，在政府采购活动中视同中小企业：</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（1）在货物采购项目中，货物由小、微企业制造，即货物由小、微企业生产且使用该小、微企业商号或者注册商标。对其报价给予20%的扣除，扣除后的价格参与价格评审。</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（3）在货物采购项目中，供应商提供的货物既有小、微企业制造货物，也有中、大型企业制造货物的，不享受本办法规定的小、微企业价格扶持政策。</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（5）符合中小企业划分标准的个体工商户，在政府采购活动中视同中小企业。</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（6）残疾人福利性单位及监狱企业视同小型企业，享受评审中价格扣除等促进中小企业发展的政府采购政策。</w:t>
      </w:r>
      <w:r>
        <w:rPr>
          <w:rFonts w:hint="eastAsia" w:ascii="宋体" w:hAnsi="宋体" w:eastAsia="宋体" w:cs="宋体"/>
          <w:bCs/>
          <w:color w:val="000000"/>
          <w:sz w:val="21"/>
          <w:szCs w:val="21"/>
          <w:highlight w:val="none"/>
        </w:rPr>
      </w:r>
      <w:r/>
    </w:p>
    <w:p>
      <w:pPr>
        <w:pStyle w:val="659"/>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（7）供应商按照本办法规定提供声明函内容不实的，属于提供虚假材料谋取中标、 成交， 依照《中华人民共和国政府采购法》 等国家有关规定追究相应责任。</w:t>
      </w:r>
      <w:r>
        <w:rPr>
          <w:rFonts w:hint="eastAsia" w:ascii="宋体" w:hAnsi="宋体" w:eastAsia="宋体" w:cs="宋体"/>
          <w:bCs/>
          <w:color w:val="000000"/>
          <w:sz w:val="21"/>
          <w:szCs w:val="21"/>
          <w:highlight w:val="none"/>
        </w:rPr>
      </w:r>
      <w:r/>
    </w:p>
    <w:p>
      <w:pPr>
        <w:pStyle w:val="659"/>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659"/>
        <w:spacing w:line="360" w:lineRule="auto"/>
        <w:rPr>
          <w:rFonts w:hAnsi="宋体" w:eastAsia="宋体"/>
          <w:b/>
          <w:sz w:val="21"/>
          <w:szCs w:val="21"/>
        </w:rPr>
      </w:pPr>
      <w:r>
        <w:rPr>
          <w:rFonts w:hint="eastAsia" w:hAnsi="宋体" w:eastAsia="宋体"/>
          <w:b/>
          <w:sz w:val="21"/>
          <w:szCs w:val="21"/>
        </w:rPr>
        <w:t xml:space="preserve">二、评分标准</w:t>
      </w:r>
      <w:r>
        <w:rPr>
          <w:rFonts w:hAnsi="宋体" w:eastAsia="宋体"/>
          <w:b/>
          <w:sz w:val="21"/>
          <w:szCs w:val="21"/>
        </w:rPr>
      </w:r>
      <w:r/>
    </w:p>
    <w:p>
      <w:pPr>
        <w:pStyle w:val="659"/>
        <w:spacing w:line="360" w:lineRule="auto"/>
        <w:tabs>
          <w:tab w:val="left" w:pos="-3420" w:leader="none"/>
          <w:tab w:val="left" w:pos="1620" w:leader="none"/>
        </w:tabs>
        <w:rPr>
          <w:rFonts w:hAnsi="宋体" w:eastAsia="宋体" w:cs="Times New Roman"/>
          <w:b/>
          <w:sz w:val="21"/>
          <w:szCs w:val="21"/>
        </w:rPr>
      </w:pPr>
      <w:r>
        <w:rPr>
          <w:rFonts w:hAnsi="宋体" w:eastAsia="宋体" w:cs="Times New Roman"/>
          <w:b/>
          <w:sz w:val="21"/>
          <w:szCs w:val="21"/>
        </w:rPr>
        <w:t xml:space="preserve">（一）价格分（</w:t>
      </w:r>
      <w:r>
        <w:rPr>
          <w:rFonts w:hint="eastAsia" w:hAnsi="宋体" w:eastAsia="宋体" w:cs="Times New Roman"/>
          <w:b/>
          <w:sz w:val="21"/>
          <w:szCs w:val="21"/>
        </w:rPr>
        <w:t xml:space="preserve">2</w:t>
      </w:r>
      <w:r>
        <w:rPr>
          <w:rFonts w:hAnsi="宋体" w:eastAsia="宋体" w:cs="Times New Roman"/>
          <w:b/>
          <w:sz w:val="21"/>
          <w:szCs w:val="21"/>
        </w:rPr>
        <w:t xml:space="preserve">0分）</w:t>
      </w:r>
      <w:r>
        <w:rPr>
          <w:rFonts w:hAnsi="宋体" w:eastAsia="宋体" w:cs="Times New Roman"/>
          <w:b/>
          <w:sz w:val="21"/>
          <w:szCs w:val="21"/>
        </w:rPr>
      </w:r>
      <w:r/>
    </w:p>
    <w:p>
      <w:pPr>
        <w:pStyle w:val="659"/>
        <w:ind w:firstLine="482"/>
        <w:spacing w:line="360" w:lineRule="auto"/>
        <w:tabs>
          <w:tab w:val="left" w:pos="-3420" w:leader="none"/>
          <w:tab w:val="left" w:pos="1620" w:leader="none"/>
        </w:tabs>
        <w:rPr>
          <w:rFonts w:hAnsi="宋体" w:eastAsia="宋体" w:cs="Times New Roman"/>
          <w:sz w:val="21"/>
          <w:szCs w:val="21"/>
        </w:rPr>
      </w:pPr>
      <w:r>
        <w:rPr>
          <w:rFonts w:hAnsi="宋体" w:eastAsia="宋体" w:cs="Times New Roman"/>
          <w:sz w:val="21"/>
          <w:szCs w:val="21"/>
        </w:rPr>
        <w:t xml:space="preserve">第一步：投标报价低于或等于财政预算价格的为有效投标报价。超财政预算的投标报价或招标文件规定的报价为无效投标报价。无效投标报价的投标文件不进行评审，也不得标。</w:t>
      </w:r>
      <w:r>
        <w:rPr>
          <w:rFonts w:hAnsi="宋体" w:eastAsia="宋体" w:cs="Times New Roman"/>
          <w:sz w:val="21"/>
          <w:szCs w:val="21"/>
        </w:rPr>
      </w:r>
      <w:r/>
    </w:p>
    <w:p>
      <w:pPr>
        <w:pStyle w:val="659"/>
        <w:ind w:firstLine="482"/>
        <w:spacing w:line="360" w:lineRule="auto"/>
        <w:tabs>
          <w:tab w:val="left" w:pos="-3420" w:leader="none"/>
          <w:tab w:val="left" w:pos="1620" w:leader="none"/>
        </w:tabs>
        <w:rPr>
          <w:rFonts w:hAnsi="宋体" w:eastAsia="宋体" w:cs="Times New Roman"/>
          <w:sz w:val="21"/>
          <w:szCs w:val="21"/>
        </w:rPr>
      </w:pPr>
      <w:r>
        <w:rPr>
          <w:rFonts w:hAnsi="宋体" w:eastAsia="宋体" w:cs="Times New Roman"/>
          <w:sz w:val="21"/>
          <w:szCs w:val="21"/>
        </w:rPr>
        <w:t xml:space="preserve">第二步：在所有有效投标报价中满足招标文件要求，且投标价格最低的投标报价为评标基准价，其价格分为20分，其他投标人的价格分按照下列公式计算（计算结果四舍五入保留两位小数）。</w:t>
      </w:r>
      <w:r>
        <w:rPr>
          <w:rFonts w:hAnsi="宋体" w:eastAsia="宋体" w:cs="Times New Roman"/>
          <w:sz w:val="21"/>
          <w:szCs w:val="21"/>
        </w:rPr>
      </w:r>
      <w:r/>
    </w:p>
    <w:p>
      <w:pPr>
        <w:pStyle w:val="659"/>
        <w:ind w:firstLine="482"/>
        <w:spacing w:line="360" w:lineRule="auto"/>
        <w:tabs>
          <w:tab w:val="left" w:pos="-3420" w:leader="none"/>
          <w:tab w:val="left" w:pos="1620" w:leader="none"/>
        </w:tabs>
        <w:rPr>
          <w:rFonts w:hAnsi="宋体" w:eastAsia="宋体" w:cs="Times New Roman"/>
          <w:sz w:val="21"/>
          <w:szCs w:val="21"/>
        </w:rPr>
      </w:pPr>
      <w:r>
        <w:rPr>
          <w:rFonts w:hAnsi="宋体" w:eastAsia="宋体" w:cs="Times New Roman"/>
          <w:sz w:val="21"/>
          <w:szCs w:val="21"/>
        </w:rPr>
        <w:t xml:space="preserve">投标报价得分＝（评标基准价/投标报价）×20％×100</w:t>
      </w:r>
      <w:r>
        <w:rPr>
          <w:rFonts w:hAnsi="宋体" w:eastAsia="宋体" w:cs="Times New Roman"/>
          <w:sz w:val="21"/>
          <w:szCs w:val="21"/>
        </w:rPr>
      </w:r>
      <w:r/>
    </w:p>
    <w:p>
      <w:pPr>
        <w:pStyle w:val="659"/>
        <w:spacing w:line="360" w:lineRule="auto"/>
        <w:tabs>
          <w:tab w:val="left" w:pos="-3420" w:leader="none"/>
          <w:tab w:val="left" w:pos="1620" w:leader="none"/>
        </w:tabs>
        <w:rPr>
          <w:rFonts w:hAnsi="宋体" w:eastAsia="宋体" w:cs="Times New Roman"/>
          <w:b/>
          <w:sz w:val="21"/>
          <w:szCs w:val="21"/>
        </w:rPr>
      </w:pPr>
      <w:r>
        <w:rPr>
          <w:rFonts w:hint="eastAsia" w:hAnsi="宋体" w:eastAsia="宋体" w:cs="Times New Roman"/>
          <w:b/>
          <w:sz w:val="21"/>
          <w:szCs w:val="21"/>
        </w:rPr>
        <w:t xml:space="preserve">（二）技术部分(2</w:t>
      </w:r>
      <w:r>
        <w:rPr>
          <w:rFonts w:hAnsi="宋体" w:eastAsia="宋体" w:cs="Times New Roman"/>
          <w:b/>
          <w:sz w:val="21"/>
          <w:szCs w:val="21"/>
        </w:rPr>
        <w:t xml:space="preserve">2</w:t>
      </w:r>
      <w:r>
        <w:rPr>
          <w:rFonts w:hint="eastAsia" w:hAnsi="宋体" w:eastAsia="宋体" w:cs="Times New Roman"/>
          <w:b/>
          <w:sz w:val="21"/>
          <w:szCs w:val="21"/>
        </w:rPr>
        <w:t xml:space="preserve">分)</w:t>
      </w:r>
      <w:r>
        <w:rPr>
          <w:rFonts w:hAnsi="宋体" w:eastAsia="宋体" w:cs="Times New Roman"/>
          <w:b/>
          <w:sz w:val="21"/>
          <w:szCs w:val="21"/>
        </w:rPr>
      </w:r>
      <w:r/>
    </w:p>
    <w:p>
      <w:pPr>
        <w:pStyle w:val="659"/>
        <w:ind w:firstLine="420"/>
        <w:spacing w:line="360" w:lineRule="auto"/>
        <w:rPr>
          <w:rFonts w:hAnsi="宋体" w:eastAsia="宋体"/>
          <w:sz w:val="21"/>
          <w:szCs w:val="21"/>
        </w:rPr>
      </w:pPr>
      <w:r>
        <w:rPr>
          <w:rFonts w:hint="eastAsia" w:hAnsi="宋体" w:eastAsia="宋体"/>
          <w:sz w:val="21"/>
          <w:szCs w:val="21"/>
        </w:rPr>
        <w:t xml:space="preserve">评委根据招标文件第四章-招标书-技术参数要求</w:t>
      </w:r>
      <w:r>
        <w:rPr>
          <w:rFonts w:hAnsi="宋体" w:eastAsia="宋体" w:cs="Arial"/>
          <w:sz w:val="21"/>
          <w:szCs w:val="21"/>
        </w:rPr>
        <w:t xml:space="preserve">，</w:t>
      </w:r>
      <w:r>
        <w:rPr>
          <w:rFonts w:hint="eastAsia" w:hAnsi="宋体" w:eastAsia="宋体"/>
          <w:sz w:val="21"/>
          <w:szCs w:val="21"/>
        </w:rPr>
        <w:t xml:space="preserve">对投标产品的基本功能、技术指标（主要技术参数等），是否能够满足招标文件要求，是否体现一定先进性、可靠性、成熟性、易维护性、可扩展性等进行综合评比</w:t>
      </w:r>
      <w:r>
        <w:rPr>
          <w:rFonts w:hAnsi="宋体" w:eastAsia="宋体" w:cs="Arial"/>
          <w:sz w:val="21"/>
          <w:szCs w:val="21"/>
        </w:rPr>
        <w:t xml:space="preserve">：</w:t>
      </w:r>
      <w:r>
        <w:rPr>
          <w:rFonts w:hAnsi="宋体" w:eastAsia="宋体"/>
          <w:sz w:val="21"/>
          <w:szCs w:val="21"/>
        </w:rPr>
      </w:r>
      <w:r/>
    </w:p>
    <w:p>
      <w:pPr>
        <w:pStyle w:val="659"/>
        <w:ind w:firstLine="420"/>
        <w:spacing w:line="360" w:lineRule="auto"/>
        <w:rPr>
          <w:rFonts w:hAnsi="宋体" w:eastAsia="宋体"/>
          <w:sz w:val="21"/>
          <w:szCs w:val="21"/>
        </w:rPr>
      </w:pPr>
      <w:r>
        <w:rPr>
          <w:rFonts w:hAnsi="宋体" w:eastAsia="宋体" w:cs="Arial"/>
          <w:sz w:val="21"/>
          <w:szCs w:val="21"/>
        </w:rPr>
        <w:t xml:space="preserve">技术参数全部满足或高于招标文件要求的得</w:t>
      </w:r>
      <w:r>
        <w:rPr>
          <w:rFonts w:hint="eastAsia" w:hAnsi="宋体" w:eastAsia="宋体"/>
          <w:sz w:val="21"/>
          <w:szCs w:val="21"/>
        </w:rPr>
        <w:t xml:space="preserve">2</w:t>
      </w:r>
      <w:r>
        <w:rPr>
          <w:rFonts w:hAnsi="宋体" w:eastAsia="宋体"/>
          <w:sz w:val="21"/>
          <w:szCs w:val="21"/>
        </w:rPr>
        <w:t xml:space="preserve">2</w:t>
      </w:r>
      <w:r>
        <w:rPr>
          <w:rFonts w:hAnsi="宋体" w:eastAsia="宋体" w:cs="Arial"/>
          <w:sz w:val="21"/>
          <w:szCs w:val="21"/>
        </w:rPr>
        <w:t xml:space="preserve">分；每满足</w:t>
      </w:r>
      <w:r>
        <w:rPr>
          <w:rFonts w:hAnsi="宋体" w:eastAsia="宋体"/>
          <w:sz w:val="21"/>
          <w:szCs w:val="21"/>
        </w:rPr>
        <w:t xml:space="preserve">1</w:t>
      </w:r>
      <w:r>
        <w:rPr>
          <w:rFonts w:hAnsi="宋体" w:eastAsia="宋体" w:cs="Arial"/>
          <w:sz w:val="21"/>
          <w:szCs w:val="21"/>
        </w:rPr>
        <w:t xml:space="preserve">项得</w:t>
      </w:r>
      <w:r>
        <w:rPr>
          <w:rFonts w:hAnsi="宋体" w:eastAsia="宋体"/>
          <w:sz w:val="21"/>
          <w:szCs w:val="21"/>
        </w:rPr>
        <w:t xml:space="preserve">1</w:t>
      </w:r>
      <w:r>
        <w:rPr>
          <w:rFonts w:hAnsi="宋体" w:eastAsia="宋体" w:cs="Arial"/>
          <w:sz w:val="21"/>
          <w:szCs w:val="21"/>
        </w:rPr>
        <w:t xml:space="preserve">分，打“★”的技术指标（共</w:t>
      </w:r>
      <w:r>
        <w:rPr>
          <w:rFonts w:hint="eastAsia" w:hAnsi="宋体" w:eastAsia="宋体"/>
          <w:sz w:val="21"/>
          <w:szCs w:val="21"/>
        </w:rPr>
        <w:t xml:space="preserve">25</w:t>
      </w:r>
      <w:r>
        <w:rPr>
          <w:rFonts w:hAnsi="宋体" w:eastAsia="宋体" w:cs="Arial"/>
          <w:sz w:val="21"/>
          <w:szCs w:val="21"/>
        </w:rPr>
        <w:t xml:space="preserve">项）。</w:t>
      </w:r>
      <w:r>
        <w:rPr>
          <w:rFonts w:hAnsi="宋体" w:eastAsia="宋体"/>
          <w:sz w:val="21"/>
          <w:szCs w:val="21"/>
        </w:rPr>
      </w:r>
      <w:r/>
    </w:p>
    <w:p>
      <w:pPr>
        <w:pStyle w:val="659"/>
        <w:ind w:firstLine="420"/>
        <w:spacing w:line="360" w:lineRule="auto"/>
        <w:rPr>
          <w:rFonts w:hAnsi="宋体" w:eastAsia="宋体"/>
          <w:sz w:val="21"/>
          <w:szCs w:val="21"/>
        </w:rPr>
      </w:pPr>
      <w:r>
        <w:rPr>
          <w:rFonts w:hint="eastAsia" w:hAnsi="宋体" w:eastAsia="宋体"/>
          <w:sz w:val="21"/>
          <w:szCs w:val="21"/>
        </w:rPr>
        <w:t xml:space="preserve">注：①带“★”号的技术指标参数，应在《重要要求参数响应偏离表》“证明材料位置”一栏填写带“★”号技术参数证明材料在投标文件中的位置，并以明显方式标明，以便于评标委员会正确评判。带“★”号的技术参数投标人虽然在《重要要求参数响应偏离表》里列明无偏离，但未能按招标文件要求提供相应证明材料的仍视为负偏离。</w:t>
      </w:r>
      <w:r>
        <w:rPr>
          <w:rFonts w:hAnsi="宋体" w:eastAsia="宋体"/>
          <w:sz w:val="21"/>
          <w:szCs w:val="21"/>
        </w:rPr>
      </w:r>
      <w:r/>
    </w:p>
    <w:p>
      <w:pPr>
        <w:pStyle w:val="659"/>
        <w:ind w:firstLine="420"/>
        <w:spacing w:line="360" w:lineRule="auto"/>
        <w:rPr>
          <w:rFonts w:hAnsi="宋体" w:eastAsia="宋体"/>
          <w:sz w:val="21"/>
          <w:szCs w:val="21"/>
        </w:rPr>
      </w:pPr>
      <w:r>
        <w:rPr>
          <w:rFonts w:hint="eastAsia" w:hAnsi="宋体" w:eastAsia="宋体"/>
          <w:sz w:val="21"/>
          <w:szCs w:val="21"/>
        </w:rPr>
        <w:t xml:space="preserve">②非带“★”号的一般性指标技术参数由投标供应商自行在《一般性要求参数响应偏离表》中予以响应是否偏离，无需提供佐证材料。</w:t>
      </w:r>
      <w:r>
        <w:rPr>
          <w:rFonts w:hAnsi="宋体" w:eastAsia="宋体"/>
          <w:sz w:val="21"/>
          <w:szCs w:val="21"/>
        </w:rPr>
      </w:r>
      <w:r/>
    </w:p>
    <w:p>
      <w:pPr>
        <w:pStyle w:val="659"/>
        <w:ind w:firstLine="420"/>
        <w:spacing w:line="360" w:lineRule="auto"/>
        <w:rPr>
          <w:rFonts w:hAnsi="宋体" w:eastAsia="宋体"/>
          <w:sz w:val="21"/>
          <w:szCs w:val="21"/>
        </w:rPr>
      </w:pPr>
      <w:r>
        <w:rPr>
          <w:rFonts w:hint="eastAsia" w:hAnsi="宋体" w:eastAsia="宋体"/>
          <w:sz w:val="21"/>
          <w:szCs w:val="21"/>
        </w:rPr>
        <w:t xml:space="preserve">③检测报告必须是国家认可的法定质监检测机构出具；按照需求中检测方式及要求提供检测报告；检测报告复印件必须提供完整的检测报告内容及封面，必须复印完整，局部复印视为无效。投标供应商</w:t>
      </w:r>
      <w:r>
        <w:rPr>
          <w:rFonts w:hint="eastAsia" w:hAnsi="宋体" w:eastAsia="宋体"/>
          <w:sz w:val="21"/>
          <w:szCs w:val="21"/>
          <w:lang w:val="en-US" w:eastAsia="zh-CN"/>
        </w:rPr>
        <w:t xml:space="preserve">自行</w:t>
      </w:r>
      <w:r>
        <w:rPr>
          <w:rFonts w:hint="eastAsia" w:hAnsi="宋体" w:eastAsia="宋体"/>
          <w:sz w:val="21"/>
          <w:szCs w:val="21"/>
        </w:rPr>
        <w:t xml:space="preserve">对</w:t>
      </w:r>
      <w:r>
        <w:rPr>
          <w:rFonts w:hint="eastAsia" w:hAnsi="宋体" w:eastAsia="宋体"/>
          <w:sz w:val="21"/>
          <w:szCs w:val="21"/>
          <w:lang w:val="en-US" w:eastAsia="zh-CN"/>
        </w:rPr>
        <w:t xml:space="preserve">投标文件的</w:t>
      </w:r>
      <w:r>
        <w:rPr>
          <w:rFonts w:hint="eastAsia" w:hAnsi="宋体" w:eastAsia="宋体"/>
          <w:sz w:val="21"/>
          <w:szCs w:val="21"/>
        </w:rPr>
        <w:t xml:space="preserve">检测报告真实性负责。所提供的证明资料必须真实有效，若提供虚假资料，一经查实采购方有权取消其中标资格。</w:t>
      </w:r>
      <w:r>
        <w:rPr>
          <w:rFonts w:hAnsi="宋体" w:eastAsia="宋体"/>
          <w:sz w:val="21"/>
          <w:szCs w:val="21"/>
        </w:rPr>
      </w:r>
      <w:r/>
    </w:p>
    <w:p>
      <w:pPr>
        <w:pStyle w:val="659"/>
        <w:ind w:firstLine="422"/>
        <w:spacing w:line="360" w:lineRule="auto"/>
        <w:rPr>
          <w:rFonts w:hAnsi="宋体" w:eastAsia="宋体"/>
          <w:b/>
          <w:bCs/>
          <w:sz w:val="21"/>
          <w:szCs w:val="21"/>
        </w:rPr>
      </w:pPr>
      <w:r>
        <w:rPr>
          <w:rFonts w:hAnsi="宋体" w:eastAsia="宋体" w:cs="Arial"/>
          <w:b/>
          <w:bCs/>
          <w:sz w:val="21"/>
          <w:szCs w:val="21"/>
        </w:rPr>
        <w:t xml:space="preserve">三、服务方案：</w:t>
      </w:r>
      <w:r>
        <w:rPr>
          <w:rFonts w:hAnsi="宋体" w:eastAsia="宋体"/>
          <w:b/>
          <w:bCs/>
          <w:sz w:val="21"/>
          <w:szCs w:val="21"/>
        </w:rPr>
        <w:t xml:space="preserve">3</w:t>
      </w:r>
      <w:r>
        <w:rPr>
          <w:rFonts w:hint="eastAsia" w:hAnsi="宋体" w:eastAsia="宋体"/>
          <w:b/>
          <w:bCs/>
          <w:sz w:val="21"/>
          <w:szCs w:val="21"/>
        </w:rPr>
        <w:t xml:space="preserve">4</w:t>
      </w:r>
      <w:r>
        <w:rPr>
          <w:rFonts w:hAnsi="宋体" w:eastAsia="宋体" w:cs="Arial"/>
          <w:b/>
          <w:bCs/>
          <w:sz w:val="21"/>
          <w:szCs w:val="21"/>
        </w:rPr>
        <w:t xml:space="preserve">分</w:t>
      </w:r>
      <w:r>
        <w:rPr>
          <w:rFonts w:hAnsi="宋体" w:eastAsia="宋体"/>
          <w:b/>
          <w:bCs/>
          <w:sz w:val="21"/>
          <w:szCs w:val="21"/>
        </w:rPr>
      </w:r>
      <w:r/>
    </w:p>
    <w:p>
      <w:pPr>
        <w:pStyle w:val="659"/>
        <w:ind w:firstLine="422"/>
        <w:spacing w:line="360" w:lineRule="auto"/>
        <w:rPr>
          <w:rFonts w:hAnsi="宋体" w:eastAsia="宋体" w:cs="MS Gothic"/>
          <w:b/>
          <w:sz w:val="21"/>
          <w:szCs w:val="21"/>
        </w:rPr>
      </w:pPr>
      <w:r>
        <w:rPr>
          <w:rFonts w:hAnsi="宋体" w:eastAsia="宋体" w:cs="MS Gothic"/>
          <w:b/>
          <w:sz w:val="21"/>
          <w:szCs w:val="21"/>
        </w:rPr>
        <w:t xml:space="preserve">1</w:t>
      </w:r>
      <w:r>
        <w:rPr>
          <w:rFonts w:hAnsi="宋体" w:eastAsia="宋体" w:cs="Arial"/>
          <w:b/>
          <w:sz w:val="21"/>
          <w:szCs w:val="21"/>
        </w:rPr>
        <w:t xml:space="preserve">、总体技术方案（</w:t>
      </w:r>
      <w:r>
        <w:rPr>
          <w:rFonts w:hAnsi="宋体" w:eastAsia="宋体" w:cs="MS Gothic"/>
          <w:b/>
          <w:sz w:val="21"/>
          <w:szCs w:val="21"/>
        </w:rPr>
        <w:t xml:space="preserve">6</w:t>
      </w:r>
      <w:r>
        <w:rPr>
          <w:rFonts w:hAnsi="宋体" w:eastAsia="宋体" w:cs="Arial"/>
          <w:b/>
          <w:sz w:val="21"/>
          <w:szCs w:val="21"/>
        </w:rPr>
        <w:t xml:space="preserve">分）</w:t>
      </w:r>
      <w:r>
        <w:rPr>
          <w:rFonts w:hAnsi="宋体" w:eastAsia="宋体" w:cs="MS Gothic"/>
          <w:b/>
          <w:sz w:val="21"/>
          <w:szCs w:val="21"/>
        </w:rPr>
      </w:r>
      <w:r/>
    </w:p>
    <w:p>
      <w:pPr>
        <w:pStyle w:val="659"/>
        <w:ind w:firstLine="420"/>
        <w:spacing w:line="360" w:lineRule="auto"/>
        <w:rPr>
          <w:rFonts w:hAnsi="宋体" w:eastAsia="宋体" w:cs="MS Gothic"/>
          <w:sz w:val="21"/>
          <w:szCs w:val="21"/>
        </w:rPr>
      </w:pPr>
      <w:r>
        <w:rPr>
          <w:rFonts w:hAnsi="宋体" w:eastAsia="宋体" w:cs="Arial"/>
          <w:sz w:val="21"/>
          <w:szCs w:val="21"/>
        </w:rPr>
        <w:t xml:space="preserve">根据投标人针对本项目需求提供的项目整体技术设计方案进行评分，方案内容包括①项目需求理解；②设计方案；③方案重点等。</w:t>
      </w:r>
      <w:r>
        <w:rPr>
          <w:rFonts w:hAnsi="宋体" w:eastAsia="宋体" w:cs="MS Gothic"/>
          <w:sz w:val="21"/>
          <w:szCs w:val="21"/>
        </w:rPr>
      </w:r>
      <w:r/>
    </w:p>
    <w:p>
      <w:pPr>
        <w:pStyle w:val="659"/>
        <w:ind w:firstLine="420"/>
        <w:spacing w:line="360" w:lineRule="auto"/>
        <w:rPr>
          <w:rFonts w:hAnsi="宋体" w:eastAsia="宋体" w:cs="Arial"/>
          <w:sz w:val="21"/>
          <w:szCs w:val="21"/>
        </w:rPr>
      </w:pPr>
      <w:r>
        <w:rPr>
          <w:rFonts w:hint="eastAsia" w:hAnsi="宋体" w:eastAsia="宋体"/>
          <w:sz w:val="21"/>
          <w:szCs w:val="21"/>
        </w:rPr>
        <w:t xml:space="preserve">方案内容针对本项目且符合本项目实际需求的，每满足一项</w:t>
      </w:r>
      <w:r>
        <w:rPr>
          <w:rFonts w:hAnsi="宋体" w:eastAsia="宋体" w:cs="Arial"/>
          <w:sz w:val="21"/>
          <w:szCs w:val="21"/>
        </w:rPr>
        <w:t xml:space="preserve">得</w:t>
      </w:r>
      <w:r>
        <w:rPr>
          <w:rFonts w:hAnsi="宋体" w:eastAsia="宋体" w:cs="MS Gothic"/>
          <w:sz w:val="21"/>
          <w:szCs w:val="21"/>
        </w:rPr>
        <w:t xml:space="preserve">2</w:t>
      </w:r>
      <w:r>
        <w:rPr>
          <w:rFonts w:hAnsi="宋体" w:eastAsia="宋体" w:cs="Arial"/>
          <w:sz w:val="21"/>
          <w:szCs w:val="21"/>
        </w:rPr>
        <w:t xml:space="preserve">分，</w:t>
      </w:r>
      <w:r>
        <w:rPr>
          <w:rFonts w:hint="eastAsia" w:hAnsi="宋体" w:eastAsia="宋体" w:cs="Arial"/>
          <w:sz w:val="21"/>
          <w:szCs w:val="21"/>
        </w:rPr>
        <w:t xml:space="preserve">本项</w:t>
      </w:r>
      <w:r>
        <w:rPr>
          <w:rFonts w:hAnsi="宋体" w:eastAsia="宋体" w:cs="Arial"/>
          <w:sz w:val="21"/>
          <w:szCs w:val="21"/>
        </w:rPr>
        <w:t xml:space="preserve">满分</w:t>
      </w:r>
      <w:r>
        <w:rPr>
          <w:rFonts w:hAnsi="宋体" w:eastAsia="宋体" w:cs="MS Gothic"/>
          <w:sz w:val="21"/>
          <w:szCs w:val="21"/>
        </w:rPr>
        <w:t xml:space="preserve">6</w:t>
      </w:r>
      <w:r>
        <w:rPr>
          <w:rFonts w:hAnsi="宋体" w:eastAsia="宋体" w:cs="Arial"/>
          <w:sz w:val="21"/>
          <w:szCs w:val="21"/>
        </w:rPr>
        <w:t xml:space="preserve">分。</w:t>
      </w:r>
      <w:r>
        <w:rPr>
          <w:rFonts w:hAnsi="宋体" w:eastAsia="宋体" w:cs="Arial"/>
          <w:sz w:val="21"/>
          <w:szCs w:val="21"/>
        </w:rPr>
      </w:r>
      <w:r/>
    </w:p>
    <w:p>
      <w:pPr>
        <w:pStyle w:val="659"/>
        <w:ind w:firstLine="422"/>
        <w:spacing w:line="360" w:lineRule="auto"/>
        <w:rPr>
          <w:rFonts w:hAnsi="宋体" w:eastAsia="宋体" w:cs="MS Gothic"/>
          <w:b/>
          <w:sz w:val="21"/>
          <w:szCs w:val="21"/>
        </w:rPr>
      </w:pPr>
      <w:r>
        <w:rPr>
          <w:rFonts w:hint="eastAsia" w:hAnsi="宋体" w:eastAsia="宋体" w:cs="MS Gothic"/>
          <w:b/>
          <w:sz w:val="21"/>
          <w:szCs w:val="21"/>
        </w:rPr>
        <w:t xml:space="preserve">2</w:t>
      </w:r>
      <w:r>
        <w:rPr>
          <w:rFonts w:hAnsi="宋体" w:eastAsia="宋体" w:cs="Arial"/>
          <w:b/>
          <w:sz w:val="21"/>
          <w:szCs w:val="21"/>
        </w:rPr>
        <w:t xml:space="preserve">、项目实施方案及进度保障措施（6分）</w:t>
      </w:r>
      <w:r>
        <w:rPr>
          <w:rFonts w:hAnsi="宋体" w:eastAsia="宋体" w:cs="MS Gothic"/>
          <w:b/>
          <w:sz w:val="21"/>
          <w:szCs w:val="21"/>
        </w:rPr>
      </w:r>
      <w:r/>
    </w:p>
    <w:p>
      <w:pPr>
        <w:pStyle w:val="659"/>
        <w:ind w:firstLine="420"/>
        <w:spacing w:line="360" w:lineRule="auto"/>
        <w:rPr>
          <w:rFonts w:hAnsi="宋体" w:eastAsia="宋体" w:cs="MS Gothic"/>
          <w:sz w:val="21"/>
          <w:szCs w:val="21"/>
        </w:rPr>
      </w:pPr>
      <w:r>
        <w:rPr>
          <w:rFonts w:hAnsi="宋体" w:eastAsia="宋体" w:cs="Arial"/>
          <w:sz w:val="21"/>
          <w:szCs w:val="21"/>
        </w:rPr>
        <w:t xml:space="preserve">根据投标人针对本项目需求提供的实施方案及进度保障措施内容进行评分，方案内容包括①实施步骤及进度安排；②安全文明措施；③维护安装调试内容</w:t>
      </w:r>
      <w:r>
        <w:rPr>
          <w:rFonts w:hint="eastAsia" w:hAnsi="宋体" w:eastAsia="宋体"/>
          <w:sz w:val="21"/>
          <w:szCs w:val="21"/>
        </w:rPr>
        <w:t xml:space="preserve">等。</w:t>
      </w:r>
      <w:r>
        <w:rPr>
          <w:rFonts w:hAnsi="宋体" w:eastAsia="宋体" w:cs="MS Gothic"/>
          <w:sz w:val="21"/>
          <w:szCs w:val="21"/>
        </w:rPr>
      </w:r>
      <w:r/>
    </w:p>
    <w:p>
      <w:pPr>
        <w:pStyle w:val="659"/>
        <w:ind w:firstLine="420"/>
        <w:spacing w:line="360" w:lineRule="auto"/>
        <w:rPr>
          <w:rFonts w:hAnsi="宋体" w:eastAsia="宋体"/>
          <w:sz w:val="21"/>
          <w:szCs w:val="21"/>
        </w:rPr>
      </w:pPr>
      <w:r>
        <w:rPr>
          <w:rFonts w:hint="eastAsia" w:hAnsi="宋体" w:eastAsia="宋体"/>
          <w:sz w:val="21"/>
          <w:szCs w:val="21"/>
        </w:rPr>
        <w:t xml:space="preserve">方案内容针对本项目且符合本项目实际需求的，每满足一项</w:t>
      </w:r>
      <w:r>
        <w:rPr>
          <w:rFonts w:hAnsi="宋体" w:eastAsia="宋体" w:cs="Arial"/>
          <w:sz w:val="21"/>
          <w:szCs w:val="21"/>
        </w:rPr>
        <w:t xml:space="preserve">得</w:t>
      </w:r>
      <w:r>
        <w:rPr>
          <w:rFonts w:hAnsi="宋体" w:eastAsia="宋体" w:cs="MS Gothic"/>
          <w:sz w:val="21"/>
          <w:szCs w:val="21"/>
        </w:rPr>
        <w:t xml:space="preserve">2</w:t>
      </w:r>
      <w:r>
        <w:rPr>
          <w:rFonts w:hAnsi="宋体" w:eastAsia="宋体" w:cs="Arial"/>
          <w:sz w:val="21"/>
          <w:szCs w:val="21"/>
        </w:rPr>
        <w:t xml:space="preserve">分，</w:t>
      </w:r>
      <w:r>
        <w:rPr>
          <w:rFonts w:hint="eastAsia" w:hAnsi="宋体" w:eastAsia="宋体" w:cs="Arial"/>
          <w:sz w:val="21"/>
          <w:szCs w:val="21"/>
        </w:rPr>
        <w:t xml:space="preserve">本项</w:t>
      </w:r>
      <w:r>
        <w:rPr>
          <w:rFonts w:hAnsi="宋体" w:eastAsia="宋体" w:cs="Arial"/>
          <w:sz w:val="21"/>
          <w:szCs w:val="21"/>
        </w:rPr>
        <w:t xml:space="preserve">满分</w:t>
      </w:r>
      <w:r>
        <w:rPr>
          <w:rFonts w:hAnsi="宋体" w:eastAsia="宋体" w:cs="MS Gothic"/>
          <w:sz w:val="21"/>
          <w:szCs w:val="21"/>
        </w:rPr>
        <w:t xml:space="preserve">6</w:t>
      </w:r>
      <w:r>
        <w:rPr>
          <w:rFonts w:hAnsi="宋体" w:eastAsia="宋体" w:cs="Arial"/>
          <w:sz w:val="21"/>
          <w:szCs w:val="21"/>
        </w:rPr>
        <w:t xml:space="preserve">分。</w:t>
      </w:r>
      <w:r>
        <w:rPr>
          <w:rFonts w:hAnsi="宋体" w:eastAsia="宋体"/>
          <w:sz w:val="21"/>
          <w:szCs w:val="21"/>
        </w:rPr>
      </w:r>
      <w:r/>
    </w:p>
    <w:p>
      <w:pPr>
        <w:pStyle w:val="659"/>
        <w:ind w:firstLine="422"/>
        <w:spacing w:line="360" w:lineRule="auto"/>
        <w:rPr>
          <w:rFonts w:hAnsi="宋体" w:eastAsia="宋体" w:cs="Arial"/>
          <w:b/>
          <w:sz w:val="21"/>
          <w:szCs w:val="21"/>
        </w:rPr>
      </w:pPr>
      <w:r>
        <w:rPr>
          <w:rFonts w:hAnsi="宋体" w:eastAsia="宋体" w:cs="Arial"/>
          <w:b/>
          <w:sz w:val="21"/>
          <w:szCs w:val="21"/>
        </w:rPr>
        <w:t xml:space="preserve">3、质量保证措施及承诺（6分）</w:t>
      </w:r>
      <w:r>
        <w:rPr>
          <w:rFonts w:hAnsi="宋体" w:eastAsia="宋体" w:cs="Arial"/>
          <w:b/>
          <w:sz w:val="21"/>
          <w:szCs w:val="21"/>
        </w:rPr>
      </w:r>
      <w:r/>
    </w:p>
    <w:p>
      <w:pPr>
        <w:pStyle w:val="659"/>
        <w:ind w:firstLine="420"/>
        <w:spacing w:line="360" w:lineRule="auto"/>
        <w:rPr>
          <w:rFonts w:hAnsi="宋体" w:eastAsia="宋体" w:cs="Arial"/>
          <w:sz w:val="21"/>
          <w:szCs w:val="21"/>
        </w:rPr>
      </w:pPr>
      <w:r>
        <w:rPr>
          <w:rFonts w:hAnsi="宋体" w:eastAsia="宋体" w:cs="Arial"/>
          <w:sz w:val="21"/>
          <w:szCs w:val="21"/>
        </w:rPr>
        <w:t xml:space="preserve">根据投标人针对本项目的质量保证内容进行评分，内容包括①对质量的控制及评定；②质量保证措施；③质量保证的承诺</w:t>
      </w:r>
      <w:r>
        <w:rPr>
          <w:rFonts w:hint="eastAsia" w:hAnsi="宋体" w:eastAsia="宋体"/>
          <w:sz w:val="21"/>
          <w:szCs w:val="21"/>
        </w:rPr>
        <w:t xml:space="preserve">等。</w:t>
      </w:r>
      <w:r>
        <w:rPr>
          <w:rFonts w:hAnsi="宋体" w:eastAsia="宋体" w:cs="Arial"/>
          <w:sz w:val="21"/>
          <w:szCs w:val="21"/>
        </w:rPr>
      </w:r>
      <w:r/>
    </w:p>
    <w:p>
      <w:pPr>
        <w:pStyle w:val="659"/>
        <w:ind w:firstLine="420"/>
        <w:spacing w:line="360" w:lineRule="auto"/>
        <w:rPr>
          <w:rFonts w:hAnsi="宋体" w:eastAsia="宋体" w:cs="微软雅黑"/>
          <w:sz w:val="21"/>
          <w:szCs w:val="21"/>
        </w:rPr>
      </w:pPr>
      <w:r>
        <w:rPr>
          <w:rFonts w:hint="eastAsia" w:hAnsi="宋体" w:eastAsia="宋体"/>
          <w:sz w:val="21"/>
          <w:szCs w:val="21"/>
        </w:rPr>
        <w:t xml:space="preserve">方案内容针对本项目且符合本项目实际需求的，每满足一项</w:t>
      </w:r>
      <w:r>
        <w:rPr>
          <w:rFonts w:hAnsi="宋体" w:eastAsia="宋体" w:cs="Arial"/>
          <w:sz w:val="21"/>
          <w:szCs w:val="21"/>
        </w:rPr>
        <w:t xml:space="preserve">得</w:t>
      </w:r>
      <w:r>
        <w:rPr>
          <w:rFonts w:hAnsi="宋体" w:eastAsia="宋体" w:cs="MS Gothic"/>
          <w:sz w:val="21"/>
          <w:szCs w:val="21"/>
        </w:rPr>
        <w:t xml:space="preserve">2</w:t>
      </w:r>
      <w:r>
        <w:rPr>
          <w:rFonts w:hAnsi="宋体" w:eastAsia="宋体" w:cs="Arial"/>
          <w:sz w:val="21"/>
          <w:szCs w:val="21"/>
        </w:rPr>
        <w:t xml:space="preserve">分，</w:t>
      </w:r>
      <w:r>
        <w:rPr>
          <w:rFonts w:hint="eastAsia" w:hAnsi="宋体" w:eastAsia="宋体" w:cs="Arial"/>
          <w:sz w:val="21"/>
          <w:szCs w:val="21"/>
        </w:rPr>
        <w:t xml:space="preserve">本项</w:t>
      </w:r>
      <w:r>
        <w:rPr>
          <w:rFonts w:hAnsi="宋体" w:eastAsia="宋体" w:cs="Arial"/>
          <w:sz w:val="21"/>
          <w:szCs w:val="21"/>
        </w:rPr>
        <w:t xml:space="preserve">满分</w:t>
      </w:r>
      <w:r>
        <w:rPr>
          <w:rFonts w:hAnsi="宋体" w:eastAsia="宋体" w:cs="MS Gothic"/>
          <w:sz w:val="21"/>
          <w:szCs w:val="21"/>
        </w:rPr>
        <w:t xml:space="preserve">6</w:t>
      </w:r>
      <w:r>
        <w:rPr>
          <w:rFonts w:hAnsi="宋体" w:eastAsia="宋体" w:cs="Arial"/>
          <w:sz w:val="21"/>
          <w:szCs w:val="21"/>
        </w:rPr>
        <w:t xml:space="preserve">分。</w:t>
      </w:r>
      <w:r>
        <w:rPr>
          <w:rFonts w:hAnsi="宋体" w:eastAsia="宋体" w:cs="微软雅黑"/>
          <w:sz w:val="21"/>
          <w:szCs w:val="21"/>
        </w:rPr>
      </w:r>
      <w:r/>
    </w:p>
    <w:p>
      <w:pPr>
        <w:pStyle w:val="659"/>
        <w:ind w:firstLine="422"/>
        <w:spacing w:line="360" w:lineRule="auto"/>
        <w:rPr>
          <w:rFonts w:hAnsi="宋体" w:eastAsia="宋体" w:cs="Arial"/>
          <w:b/>
          <w:sz w:val="21"/>
          <w:szCs w:val="21"/>
        </w:rPr>
      </w:pPr>
      <w:r>
        <w:rPr>
          <w:rFonts w:hAnsi="宋体" w:eastAsia="宋体" w:cs="Arial"/>
          <w:b/>
          <w:sz w:val="21"/>
          <w:szCs w:val="21"/>
        </w:rPr>
        <w:t xml:space="preserve">4、售后服务方案（</w:t>
      </w:r>
      <w:r>
        <w:rPr>
          <w:rFonts w:hint="eastAsia" w:hAnsi="宋体" w:eastAsia="宋体" w:cs="Arial"/>
          <w:b/>
          <w:sz w:val="21"/>
          <w:szCs w:val="21"/>
        </w:rPr>
        <w:t xml:space="preserve">8</w:t>
      </w:r>
      <w:r>
        <w:rPr>
          <w:rFonts w:hAnsi="宋体" w:eastAsia="宋体" w:cs="Arial"/>
          <w:b/>
          <w:sz w:val="21"/>
          <w:szCs w:val="21"/>
        </w:rPr>
        <w:t xml:space="preserve">分）</w:t>
      </w:r>
      <w:r>
        <w:rPr>
          <w:rFonts w:hAnsi="宋体" w:eastAsia="宋体" w:cs="Arial"/>
          <w:b/>
          <w:sz w:val="21"/>
          <w:szCs w:val="21"/>
        </w:rPr>
      </w:r>
      <w:r/>
    </w:p>
    <w:p>
      <w:pPr>
        <w:pStyle w:val="659"/>
        <w:ind w:firstLine="420"/>
        <w:spacing w:line="360" w:lineRule="auto"/>
        <w:rPr>
          <w:rFonts w:hAnsi="宋体" w:eastAsia="宋体" w:cs="Arial"/>
          <w:sz w:val="21"/>
          <w:szCs w:val="21"/>
        </w:rPr>
      </w:pPr>
      <w:r>
        <w:rPr>
          <w:rFonts w:hAnsi="宋体" w:eastAsia="宋体" w:cs="Arial"/>
          <w:sz w:val="21"/>
          <w:szCs w:val="21"/>
        </w:rPr>
        <w:t xml:space="preserve">根据投标人针对本项目的售后服务进行评分，内容包括①快速响应机制；②系统保障方案；③质保期内的服务方案；④服务应急措施</w:t>
      </w:r>
      <w:r>
        <w:rPr>
          <w:rFonts w:hint="eastAsia" w:hAnsi="宋体" w:eastAsia="宋体"/>
          <w:sz w:val="21"/>
          <w:szCs w:val="21"/>
        </w:rPr>
        <w:t xml:space="preserve">等。</w:t>
      </w:r>
      <w:r>
        <w:rPr>
          <w:rFonts w:hAnsi="宋体" w:eastAsia="宋体" w:cs="Arial"/>
          <w:sz w:val="21"/>
          <w:szCs w:val="21"/>
        </w:rPr>
      </w:r>
      <w:r/>
    </w:p>
    <w:p>
      <w:pPr>
        <w:pStyle w:val="659"/>
        <w:ind w:firstLine="420"/>
        <w:spacing w:line="360" w:lineRule="auto"/>
        <w:rPr>
          <w:rFonts w:hAnsi="宋体" w:eastAsia="宋体" w:cs="Arial"/>
          <w:sz w:val="21"/>
          <w:szCs w:val="21"/>
        </w:rPr>
      </w:pPr>
      <w:r>
        <w:rPr>
          <w:rFonts w:hint="eastAsia" w:hAnsi="宋体" w:eastAsia="宋体"/>
          <w:sz w:val="21"/>
          <w:szCs w:val="21"/>
        </w:rPr>
        <w:t xml:space="preserve">方案内容针对本项目且符合本项目实际需求的，每满足一项</w:t>
      </w:r>
      <w:r>
        <w:rPr>
          <w:rFonts w:hAnsi="宋体" w:eastAsia="宋体" w:cs="Arial"/>
          <w:sz w:val="21"/>
          <w:szCs w:val="21"/>
        </w:rPr>
        <w:t xml:space="preserve">得</w:t>
      </w:r>
      <w:r>
        <w:rPr>
          <w:rFonts w:hint="eastAsia" w:hAnsi="宋体" w:eastAsia="宋体" w:cs="微软雅黑"/>
          <w:sz w:val="21"/>
          <w:szCs w:val="21"/>
        </w:rPr>
        <w:t xml:space="preserve">2</w:t>
      </w:r>
      <w:r>
        <w:rPr>
          <w:rFonts w:hAnsi="宋体" w:eastAsia="宋体" w:cs="Arial"/>
          <w:sz w:val="21"/>
          <w:szCs w:val="21"/>
        </w:rPr>
        <w:t xml:space="preserve">分，</w:t>
      </w:r>
      <w:r>
        <w:rPr>
          <w:rFonts w:hint="eastAsia" w:hAnsi="宋体" w:eastAsia="宋体" w:cs="Arial"/>
          <w:sz w:val="21"/>
          <w:szCs w:val="21"/>
        </w:rPr>
        <w:t xml:space="preserve">本项</w:t>
      </w:r>
      <w:r>
        <w:rPr>
          <w:rFonts w:hAnsi="宋体" w:eastAsia="宋体" w:cs="Arial"/>
          <w:sz w:val="21"/>
          <w:szCs w:val="21"/>
        </w:rPr>
        <w:t xml:space="preserve">满分</w:t>
      </w:r>
      <w:r>
        <w:rPr>
          <w:rFonts w:hint="eastAsia" w:hAnsi="宋体" w:eastAsia="宋体" w:cs="微软雅黑"/>
          <w:sz w:val="21"/>
          <w:szCs w:val="21"/>
        </w:rPr>
        <w:t xml:space="preserve">8</w:t>
      </w:r>
      <w:r>
        <w:rPr>
          <w:rFonts w:hAnsi="宋体" w:eastAsia="宋体" w:cs="Arial"/>
          <w:sz w:val="21"/>
          <w:szCs w:val="21"/>
        </w:rPr>
        <w:t xml:space="preserve">分。</w:t>
      </w:r>
      <w:r>
        <w:rPr>
          <w:rFonts w:hAnsi="宋体" w:eastAsia="宋体" w:cs="Arial"/>
          <w:sz w:val="21"/>
          <w:szCs w:val="21"/>
        </w:rPr>
      </w:r>
      <w:r/>
    </w:p>
    <w:p>
      <w:pPr>
        <w:pStyle w:val="659"/>
        <w:ind w:firstLine="422"/>
        <w:spacing w:line="360" w:lineRule="auto"/>
        <w:rPr>
          <w:rFonts w:hAnsi="宋体" w:eastAsia="宋体" w:cs="Arial"/>
          <w:b/>
          <w:sz w:val="21"/>
          <w:szCs w:val="21"/>
        </w:rPr>
      </w:pPr>
      <w:r>
        <w:rPr>
          <w:rFonts w:hAnsi="宋体" w:eastAsia="宋体" w:cs="Arial"/>
          <w:b/>
          <w:sz w:val="21"/>
          <w:szCs w:val="21"/>
        </w:rPr>
        <w:t xml:space="preserve">5、培训服务方案（</w:t>
      </w:r>
      <w:r>
        <w:rPr>
          <w:rFonts w:hint="eastAsia" w:hAnsi="宋体" w:eastAsia="宋体" w:cs="Arial"/>
          <w:b/>
          <w:sz w:val="21"/>
          <w:szCs w:val="21"/>
        </w:rPr>
        <w:t xml:space="preserve">8</w:t>
      </w:r>
      <w:r>
        <w:rPr>
          <w:rFonts w:hAnsi="宋体" w:eastAsia="宋体" w:cs="Arial"/>
          <w:b/>
          <w:sz w:val="21"/>
          <w:szCs w:val="21"/>
        </w:rPr>
        <w:t xml:space="preserve">分）</w:t>
      </w:r>
      <w:r>
        <w:rPr>
          <w:rFonts w:hAnsi="宋体" w:eastAsia="宋体" w:cs="Arial"/>
          <w:b/>
          <w:sz w:val="21"/>
          <w:szCs w:val="21"/>
        </w:rPr>
      </w:r>
      <w:r/>
    </w:p>
    <w:p>
      <w:pPr>
        <w:pStyle w:val="659"/>
        <w:ind w:firstLine="420"/>
        <w:spacing w:line="360" w:lineRule="auto"/>
        <w:rPr>
          <w:rFonts w:hAnsi="宋体" w:eastAsia="宋体" w:cs="Arial"/>
          <w:sz w:val="21"/>
          <w:szCs w:val="21"/>
        </w:rPr>
      </w:pPr>
      <w:r>
        <w:rPr>
          <w:rFonts w:hAnsi="宋体" w:eastAsia="宋体" w:cs="Arial"/>
          <w:sz w:val="21"/>
          <w:szCs w:val="21"/>
        </w:rPr>
        <w:t xml:space="preserve">根据投标人针对本项目的培训服务方案进行评分，内容包括①培训方式；②培训计划；③培训方案等内容；④培训质量保证措施</w:t>
      </w:r>
      <w:r>
        <w:rPr>
          <w:rFonts w:hint="eastAsia" w:hAnsi="宋体" w:eastAsia="宋体"/>
          <w:sz w:val="21"/>
          <w:szCs w:val="21"/>
        </w:rPr>
        <w:t xml:space="preserve">等。</w:t>
      </w:r>
      <w:r>
        <w:rPr>
          <w:rFonts w:hAnsi="宋体" w:eastAsia="宋体" w:cs="Arial"/>
          <w:sz w:val="21"/>
          <w:szCs w:val="21"/>
        </w:rPr>
      </w:r>
      <w:r/>
    </w:p>
    <w:p>
      <w:pPr>
        <w:pStyle w:val="659"/>
        <w:ind w:firstLine="420"/>
        <w:spacing w:line="360" w:lineRule="auto"/>
        <w:rPr>
          <w:rFonts w:hAnsi="宋体" w:eastAsia="宋体" w:cs="Arial"/>
          <w:sz w:val="21"/>
          <w:szCs w:val="21"/>
        </w:rPr>
      </w:pPr>
      <w:r>
        <w:rPr>
          <w:rFonts w:hint="eastAsia" w:hAnsi="宋体" w:eastAsia="宋体"/>
          <w:sz w:val="21"/>
          <w:szCs w:val="21"/>
        </w:rPr>
        <w:t xml:space="preserve">方案内容针对本项目且符合本项目实际需求的，每满足一项</w:t>
      </w:r>
      <w:r>
        <w:rPr>
          <w:rFonts w:hAnsi="宋体" w:eastAsia="宋体" w:cs="Arial"/>
          <w:sz w:val="21"/>
          <w:szCs w:val="21"/>
        </w:rPr>
        <w:t xml:space="preserve">得</w:t>
      </w:r>
      <w:r>
        <w:rPr>
          <w:rFonts w:hint="eastAsia" w:hAnsi="宋体" w:eastAsia="宋体" w:cs="微软雅黑"/>
          <w:sz w:val="21"/>
          <w:szCs w:val="21"/>
        </w:rPr>
        <w:t xml:space="preserve">2</w:t>
      </w:r>
      <w:r>
        <w:rPr>
          <w:rFonts w:hAnsi="宋体" w:eastAsia="宋体" w:cs="Arial"/>
          <w:sz w:val="21"/>
          <w:szCs w:val="21"/>
        </w:rPr>
        <w:t xml:space="preserve">分，</w:t>
      </w:r>
      <w:r>
        <w:rPr>
          <w:rFonts w:hint="eastAsia" w:hAnsi="宋体" w:eastAsia="宋体" w:cs="Arial"/>
          <w:sz w:val="21"/>
          <w:szCs w:val="21"/>
        </w:rPr>
        <w:t xml:space="preserve">本项</w:t>
      </w:r>
      <w:r>
        <w:rPr>
          <w:rFonts w:hAnsi="宋体" w:eastAsia="宋体" w:cs="Arial"/>
          <w:sz w:val="21"/>
          <w:szCs w:val="21"/>
        </w:rPr>
        <w:t xml:space="preserve">满分</w:t>
      </w:r>
      <w:r>
        <w:rPr>
          <w:rFonts w:hint="eastAsia" w:hAnsi="宋体" w:eastAsia="宋体" w:cs="微软雅黑"/>
          <w:sz w:val="21"/>
          <w:szCs w:val="21"/>
        </w:rPr>
        <w:t xml:space="preserve">8</w:t>
      </w:r>
      <w:r>
        <w:rPr>
          <w:rFonts w:hAnsi="宋体" w:eastAsia="宋体" w:cs="Arial"/>
          <w:sz w:val="21"/>
          <w:szCs w:val="21"/>
        </w:rPr>
        <w:t xml:space="preserve">分。</w:t>
      </w:r>
      <w:r>
        <w:rPr>
          <w:rFonts w:hAnsi="宋体" w:eastAsia="宋体" w:cs="Arial"/>
          <w:sz w:val="21"/>
          <w:szCs w:val="21"/>
        </w:rPr>
      </w:r>
      <w:r/>
    </w:p>
    <w:p>
      <w:pPr>
        <w:pStyle w:val="659"/>
        <w:ind w:firstLine="422"/>
        <w:spacing w:line="360" w:lineRule="auto"/>
        <w:rPr>
          <w:rFonts w:hAnsi="宋体" w:eastAsia="宋体"/>
          <w:b/>
          <w:bCs/>
          <w:sz w:val="21"/>
          <w:szCs w:val="21"/>
        </w:rPr>
      </w:pPr>
      <w:r>
        <w:rPr>
          <w:rFonts w:hAnsi="宋体" w:eastAsia="宋体" w:cs="Arial"/>
          <w:b/>
          <w:bCs/>
          <w:sz w:val="21"/>
          <w:szCs w:val="21"/>
        </w:rPr>
        <w:t xml:space="preserve">四、人员配置：</w:t>
      </w:r>
      <w:r>
        <w:rPr>
          <w:rFonts w:hAnsi="宋体" w:eastAsia="宋体"/>
          <w:b/>
          <w:bCs/>
          <w:sz w:val="21"/>
          <w:szCs w:val="21"/>
        </w:rPr>
        <w:t xml:space="preserve">18</w:t>
      </w:r>
      <w:r>
        <w:rPr>
          <w:rFonts w:hAnsi="宋体" w:eastAsia="宋体" w:cs="Arial"/>
          <w:b/>
          <w:bCs/>
          <w:sz w:val="21"/>
          <w:szCs w:val="21"/>
        </w:rPr>
        <w:t xml:space="preserve">分</w:t>
      </w:r>
      <w:r>
        <w:rPr>
          <w:rFonts w:hAnsi="宋体" w:eastAsia="宋体"/>
          <w:b/>
          <w:bCs/>
          <w:sz w:val="21"/>
          <w:szCs w:val="21"/>
        </w:rPr>
      </w:r>
      <w:r/>
    </w:p>
    <w:p>
      <w:pPr>
        <w:pStyle w:val="659"/>
        <w:ind w:firstLine="420"/>
        <w:spacing w:line="360" w:lineRule="auto"/>
        <w:rPr>
          <w:rFonts w:hAnsi="宋体" w:eastAsia="宋体" w:cs="微软雅黑"/>
          <w:sz w:val="21"/>
          <w:szCs w:val="21"/>
        </w:rPr>
      </w:pPr>
      <w:r>
        <w:rPr>
          <w:rFonts w:hAnsi="宋体" w:eastAsia="宋体" w:cs="微软雅黑"/>
          <w:sz w:val="21"/>
          <w:szCs w:val="21"/>
        </w:rPr>
        <w:t xml:space="preserve">1</w:t>
      </w:r>
      <w:r>
        <w:rPr>
          <w:rFonts w:hAnsi="宋体" w:eastAsia="宋体" w:cs="Arial"/>
          <w:sz w:val="21"/>
          <w:szCs w:val="21"/>
        </w:rPr>
        <w:t xml:space="preserve">、项目负责人：具有高级工程师</w:t>
      </w:r>
      <w:r>
        <w:rPr>
          <w:rFonts w:hint="eastAsia" w:hAnsi="宋体" w:eastAsia="宋体" w:cs="Arial"/>
          <w:sz w:val="21"/>
          <w:szCs w:val="21"/>
        </w:rPr>
        <w:t xml:space="preserve">（</w:t>
      </w:r>
      <w:r>
        <w:rPr>
          <w:rFonts w:hAnsi="宋体" w:eastAsia="宋体" w:cs="Arial"/>
          <w:sz w:val="21"/>
          <w:szCs w:val="21"/>
        </w:rPr>
        <w:t xml:space="preserve">电子信息工程专业</w:t>
      </w:r>
      <w:r>
        <w:rPr>
          <w:rFonts w:hint="eastAsia" w:hAnsi="宋体" w:eastAsia="宋体" w:cs="Arial"/>
          <w:sz w:val="21"/>
          <w:szCs w:val="21"/>
        </w:rPr>
        <w:t xml:space="preserve">）</w:t>
      </w:r>
      <w:r>
        <w:rPr>
          <w:rFonts w:hAnsi="宋体" w:eastAsia="宋体" w:cs="Arial"/>
          <w:sz w:val="21"/>
          <w:szCs w:val="21"/>
        </w:rPr>
        <w:t xml:space="preserve">（</w:t>
      </w:r>
      <w:r>
        <w:rPr>
          <w:rFonts w:hint="eastAsia" w:hAnsi="宋体" w:eastAsia="宋体"/>
          <w:sz w:val="21"/>
          <w:szCs w:val="21"/>
        </w:rPr>
        <w:t xml:space="preserve">人力资源和社会保障部门颁发</w:t>
      </w:r>
      <w:r>
        <w:rPr>
          <w:rFonts w:hAnsi="宋体" w:eastAsia="宋体" w:cs="Arial"/>
          <w:sz w:val="21"/>
          <w:szCs w:val="21"/>
        </w:rPr>
        <w:t xml:space="preserve">）、</w:t>
      </w:r>
      <w:r>
        <w:rPr>
          <w:rFonts w:hint="eastAsia" w:hAnsi="宋体" w:eastAsia="宋体"/>
          <w:sz w:val="21"/>
          <w:szCs w:val="21"/>
        </w:rPr>
        <w:t xml:space="preserve">注册信息安全专业人员证书（中国信息安全测评中心颁发）</w:t>
      </w:r>
      <w:r>
        <w:rPr>
          <w:rFonts w:hAnsi="宋体" w:eastAsia="宋体" w:cs="Arial"/>
          <w:sz w:val="21"/>
          <w:szCs w:val="21"/>
        </w:rPr>
        <w:t xml:space="preserve">、系统集成项目管理工程师（</w:t>
      </w:r>
      <w:r>
        <w:rPr>
          <w:rFonts w:hint="eastAsia" w:hAnsi="宋体" w:eastAsia="宋体"/>
          <w:sz w:val="21"/>
          <w:szCs w:val="21"/>
        </w:rPr>
        <w:t xml:space="preserve">人力资源和社会保障部门颁发</w:t>
      </w:r>
      <w:r>
        <w:rPr>
          <w:rFonts w:hAnsi="宋体" w:eastAsia="宋体" w:cs="Arial"/>
          <w:sz w:val="21"/>
          <w:szCs w:val="21"/>
        </w:rPr>
        <w:t xml:space="preserve">）、信息系统项目管理师（</w:t>
      </w:r>
      <w:r>
        <w:rPr>
          <w:rFonts w:hint="eastAsia" w:hAnsi="宋体" w:eastAsia="宋体"/>
          <w:sz w:val="21"/>
          <w:szCs w:val="21"/>
        </w:rPr>
        <w:t xml:space="preserve">人力资源和社会保障部门颁发</w:t>
      </w:r>
      <w:r>
        <w:rPr>
          <w:rFonts w:hAnsi="宋体" w:eastAsia="宋体" w:cs="Arial"/>
          <w:sz w:val="21"/>
          <w:szCs w:val="21"/>
        </w:rPr>
        <w:t xml:space="preserve">），每证得</w:t>
      </w:r>
      <w:r>
        <w:rPr>
          <w:rFonts w:hAnsi="宋体" w:eastAsia="宋体" w:cs="微软雅黑"/>
          <w:sz w:val="21"/>
          <w:szCs w:val="21"/>
        </w:rPr>
        <w:t xml:space="preserve">1.5</w:t>
      </w:r>
      <w:r>
        <w:rPr>
          <w:rFonts w:hAnsi="宋体" w:eastAsia="宋体" w:cs="Arial"/>
          <w:sz w:val="21"/>
          <w:szCs w:val="21"/>
        </w:rPr>
        <w:t xml:space="preserve">分，仅限一人，单证不重复得分，最多得</w:t>
      </w:r>
      <w:r>
        <w:rPr>
          <w:rFonts w:hAnsi="宋体" w:eastAsia="宋体" w:cs="微软雅黑"/>
          <w:sz w:val="21"/>
          <w:szCs w:val="21"/>
        </w:rPr>
        <w:t xml:space="preserve">6</w:t>
      </w:r>
      <w:r>
        <w:rPr>
          <w:rFonts w:hAnsi="宋体" w:eastAsia="宋体" w:cs="Arial"/>
          <w:sz w:val="21"/>
          <w:szCs w:val="21"/>
        </w:rPr>
        <w:t xml:space="preserve">分。</w:t>
      </w:r>
      <w:r>
        <w:rPr>
          <w:rFonts w:hAnsi="宋体" w:eastAsia="宋体" w:cs="微软雅黑"/>
          <w:sz w:val="21"/>
          <w:szCs w:val="21"/>
        </w:rPr>
      </w:r>
      <w:r/>
    </w:p>
    <w:p>
      <w:pPr>
        <w:pStyle w:val="659"/>
        <w:ind w:firstLine="420"/>
        <w:spacing w:line="360" w:lineRule="auto"/>
        <w:rPr>
          <w:rFonts w:hAnsi="宋体" w:eastAsia="宋体" w:cs="Arial"/>
          <w:sz w:val="21"/>
          <w:szCs w:val="21"/>
        </w:rPr>
      </w:pPr>
      <w:r>
        <w:rPr>
          <w:rFonts w:hAnsi="宋体" w:eastAsia="宋体" w:cs="微软雅黑"/>
          <w:sz w:val="21"/>
          <w:szCs w:val="21"/>
        </w:rPr>
        <w:t xml:space="preserve">2</w:t>
      </w:r>
      <w:r>
        <w:rPr>
          <w:rFonts w:hAnsi="宋体" w:eastAsia="宋体" w:cs="Arial"/>
          <w:sz w:val="21"/>
          <w:szCs w:val="21"/>
        </w:rPr>
        <w:t xml:space="preserve">、项目技术负责人：具有</w:t>
      </w:r>
      <w:r>
        <w:rPr>
          <w:rFonts w:hint="eastAsia" w:hAnsi="宋体" w:eastAsia="宋体" w:cs="Arial"/>
          <w:sz w:val="21"/>
          <w:szCs w:val="21"/>
        </w:rPr>
        <w:t xml:space="preserve">中级</w:t>
      </w:r>
      <w:r>
        <w:rPr>
          <w:rFonts w:hAnsi="宋体" w:eastAsia="宋体" w:cs="Arial"/>
          <w:sz w:val="21"/>
          <w:szCs w:val="21"/>
        </w:rPr>
        <w:t xml:space="preserve">工程师</w:t>
      </w:r>
      <w:r>
        <w:rPr>
          <w:rFonts w:hint="eastAsia" w:hAnsi="宋体" w:eastAsia="宋体" w:cs="Arial"/>
          <w:sz w:val="21"/>
          <w:szCs w:val="21"/>
        </w:rPr>
        <w:t xml:space="preserve">（互联网技术</w:t>
      </w:r>
      <w:r>
        <w:rPr>
          <w:rFonts w:hAnsi="宋体" w:eastAsia="宋体" w:cs="Arial"/>
          <w:sz w:val="21"/>
          <w:szCs w:val="21"/>
        </w:rPr>
        <w:t xml:space="preserve">专业</w:t>
      </w:r>
      <w:r>
        <w:rPr>
          <w:rFonts w:hint="eastAsia" w:hAnsi="宋体" w:eastAsia="宋体" w:cs="Arial"/>
          <w:sz w:val="21"/>
          <w:szCs w:val="21"/>
        </w:rPr>
        <w:t xml:space="preserve">）</w:t>
      </w:r>
      <w:r>
        <w:rPr>
          <w:rFonts w:hAnsi="宋体" w:eastAsia="宋体" w:cs="Arial"/>
          <w:sz w:val="21"/>
          <w:szCs w:val="21"/>
        </w:rPr>
        <w:t xml:space="preserve">（</w:t>
      </w:r>
      <w:r>
        <w:rPr>
          <w:rFonts w:hint="eastAsia" w:hAnsi="宋体" w:eastAsia="宋体"/>
          <w:sz w:val="21"/>
          <w:szCs w:val="21"/>
        </w:rPr>
        <w:t xml:space="preserve">人力资源和社会保障部门颁发</w:t>
      </w:r>
      <w:r>
        <w:rPr>
          <w:rFonts w:hAnsi="宋体" w:eastAsia="宋体" w:cs="Arial"/>
          <w:sz w:val="21"/>
          <w:szCs w:val="21"/>
        </w:rPr>
        <w:t xml:space="preserve">）、信息系统项目管理师（</w:t>
      </w:r>
      <w:r>
        <w:rPr>
          <w:rFonts w:hint="eastAsia" w:hAnsi="宋体" w:eastAsia="宋体"/>
          <w:sz w:val="21"/>
          <w:szCs w:val="21"/>
        </w:rPr>
        <w:t xml:space="preserve">人力资源和社会保障部门颁发</w:t>
      </w:r>
      <w:r>
        <w:rPr>
          <w:rFonts w:hAnsi="宋体" w:eastAsia="宋体" w:cs="Arial"/>
          <w:sz w:val="21"/>
          <w:szCs w:val="21"/>
        </w:rPr>
        <w:t xml:space="preserve">）、网络规划设计师（</w:t>
      </w:r>
      <w:r>
        <w:rPr>
          <w:rFonts w:hint="eastAsia" w:hAnsi="宋体" w:eastAsia="宋体"/>
          <w:sz w:val="21"/>
          <w:szCs w:val="21"/>
        </w:rPr>
        <w:t xml:space="preserve">人力资源和社会保障部门颁发</w:t>
      </w:r>
      <w:r>
        <w:rPr>
          <w:rFonts w:hAnsi="宋体" w:eastAsia="宋体" w:cs="Arial"/>
          <w:sz w:val="21"/>
          <w:szCs w:val="21"/>
        </w:rPr>
        <w:t xml:space="preserve">）、系统集成项目管理工程师（</w:t>
      </w:r>
      <w:r>
        <w:rPr>
          <w:rFonts w:hint="eastAsia" w:hAnsi="宋体" w:eastAsia="宋体"/>
          <w:sz w:val="21"/>
          <w:szCs w:val="21"/>
        </w:rPr>
        <w:t xml:space="preserve">人力资源和社会保障部门颁发</w:t>
      </w:r>
      <w:r>
        <w:rPr>
          <w:rFonts w:hAnsi="宋体" w:eastAsia="宋体" w:cs="Arial"/>
          <w:sz w:val="21"/>
          <w:szCs w:val="21"/>
        </w:rPr>
        <w:t xml:space="preserve">），每证得</w:t>
      </w:r>
      <w:r>
        <w:rPr>
          <w:rFonts w:hAnsi="宋体" w:eastAsia="宋体" w:cs="微软雅黑"/>
          <w:sz w:val="21"/>
          <w:szCs w:val="21"/>
        </w:rPr>
        <w:t xml:space="preserve">1.5</w:t>
      </w:r>
      <w:r>
        <w:rPr>
          <w:rFonts w:hAnsi="宋体" w:eastAsia="宋体" w:cs="Arial"/>
          <w:sz w:val="21"/>
          <w:szCs w:val="21"/>
        </w:rPr>
        <w:t xml:space="preserve">分，仅限一人，单证不重复得分，最多得</w:t>
      </w:r>
      <w:r>
        <w:rPr>
          <w:rFonts w:hAnsi="宋体" w:eastAsia="宋体" w:cs="微软雅黑"/>
          <w:sz w:val="21"/>
          <w:szCs w:val="21"/>
        </w:rPr>
        <w:t xml:space="preserve">6</w:t>
      </w:r>
      <w:r>
        <w:rPr>
          <w:rFonts w:hAnsi="宋体" w:eastAsia="宋体" w:cs="Arial"/>
          <w:sz w:val="21"/>
          <w:szCs w:val="21"/>
        </w:rPr>
        <w:t xml:space="preserve">分。</w:t>
      </w:r>
      <w:r>
        <w:rPr>
          <w:rFonts w:hAnsi="宋体" w:eastAsia="宋体" w:cs="Arial"/>
          <w:sz w:val="21"/>
          <w:szCs w:val="21"/>
        </w:rPr>
      </w:r>
      <w:r/>
    </w:p>
    <w:p>
      <w:pPr>
        <w:pStyle w:val="659"/>
        <w:ind w:firstLine="420"/>
        <w:spacing w:line="360" w:lineRule="auto"/>
        <w:rPr>
          <w:rFonts w:hAnsi="宋体" w:eastAsia="宋体" w:cs="微软雅黑"/>
          <w:sz w:val="21"/>
          <w:szCs w:val="21"/>
        </w:rPr>
      </w:pPr>
      <w:r>
        <w:rPr>
          <w:rFonts w:hAnsi="宋体" w:eastAsia="宋体" w:cs="微软雅黑"/>
          <w:sz w:val="21"/>
          <w:szCs w:val="21"/>
        </w:rPr>
        <w:t xml:space="preserve">3</w:t>
      </w:r>
      <w:r>
        <w:rPr>
          <w:rFonts w:hAnsi="宋体" w:eastAsia="宋体" w:cs="Arial"/>
          <w:sz w:val="21"/>
          <w:szCs w:val="21"/>
        </w:rPr>
        <w:t xml:space="preserve">、项目团队人员：具有系统架构设计师（工业和信息化部教育与考试中心</w:t>
      </w:r>
      <w:r>
        <w:rPr>
          <w:rFonts w:hint="eastAsia" w:hAnsi="宋体" w:eastAsia="宋体"/>
          <w:sz w:val="21"/>
          <w:szCs w:val="21"/>
        </w:rPr>
        <w:t xml:space="preserve">颁发</w:t>
      </w:r>
      <w:r>
        <w:rPr>
          <w:rFonts w:hAnsi="宋体" w:eastAsia="宋体" w:cs="Arial"/>
          <w:sz w:val="21"/>
          <w:szCs w:val="21"/>
        </w:rPr>
        <w:t xml:space="preserve">）</w:t>
      </w:r>
      <w:r>
        <w:rPr>
          <w:rFonts w:hint="eastAsia" w:hAnsi="宋体" w:eastAsia="宋体" w:cs="Arial"/>
          <w:sz w:val="21"/>
          <w:szCs w:val="21"/>
        </w:rPr>
        <w:t xml:space="preserve">、</w:t>
      </w:r>
      <w:r>
        <w:rPr>
          <w:rFonts w:hAnsi="宋体" w:eastAsia="宋体" w:cs="Arial"/>
          <w:sz w:val="21"/>
          <w:szCs w:val="21"/>
        </w:rPr>
        <w:t xml:space="preserve">用户研究工程师（工业和信息化部教育与考试中心</w:t>
      </w:r>
      <w:r>
        <w:rPr>
          <w:rFonts w:hint="eastAsia" w:hAnsi="宋体" w:eastAsia="宋体"/>
          <w:sz w:val="21"/>
          <w:szCs w:val="21"/>
        </w:rPr>
        <w:t xml:space="preserve">颁发</w:t>
      </w:r>
      <w:r>
        <w:rPr>
          <w:rFonts w:hAnsi="宋体" w:eastAsia="宋体" w:cs="Arial"/>
          <w:sz w:val="21"/>
          <w:szCs w:val="21"/>
        </w:rPr>
        <w:t xml:space="preserve">）、智能化系统工程师（高级）（工业和信息化部教育与考试中心</w:t>
      </w:r>
      <w:r>
        <w:rPr>
          <w:rFonts w:hint="eastAsia" w:hAnsi="宋体" w:eastAsia="宋体"/>
          <w:sz w:val="21"/>
          <w:szCs w:val="21"/>
        </w:rPr>
        <w:t xml:space="preserve">颁发</w:t>
      </w:r>
      <w:r>
        <w:rPr>
          <w:rFonts w:hAnsi="宋体" w:eastAsia="宋体" w:cs="Arial"/>
          <w:sz w:val="21"/>
          <w:szCs w:val="21"/>
        </w:rPr>
        <w:t xml:space="preserve">），每证得</w:t>
      </w:r>
      <w:r>
        <w:rPr>
          <w:rFonts w:hint="eastAsia" w:hAnsi="宋体" w:eastAsia="宋体" w:cs="微软雅黑"/>
          <w:sz w:val="21"/>
          <w:szCs w:val="21"/>
        </w:rPr>
        <w:t xml:space="preserve">2</w:t>
      </w:r>
      <w:r>
        <w:rPr>
          <w:rFonts w:hAnsi="宋体" w:eastAsia="宋体" w:cs="Arial"/>
          <w:sz w:val="21"/>
          <w:szCs w:val="21"/>
        </w:rPr>
        <w:t xml:space="preserve">分，单证不重复得分，最多得</w:t>
      </w:r>
      <w:r>
        <w:rPr>
          <w:rFonts w:hAnsi="宋体" w:eastAsia="宋体" w:cs="微软雅黑"/>
          <w:sz w:val="21"/>
          <w:szCs w:val="21"/>
        </w:rPr>
        <w:t xml:space="preserve">6</w:t>
      </w:r>
      <w:r>
        <w:rPr>
          <w:rFonts w:hAnsi="宋体" w:eastAsia="宋体" w:cs="Arial"/>
          <w:sz w:val="21"/>
          <w:szCs w:val="21"/>
        </w:rPr>
        <w:t xml:space="preserve">分。</w:t>
      </w:r>
      <w:r>
        <w:rPr>
          <w:rFonts w:hAnsi="宋体" w:eastAsia="宋体" w:cs="微软雅黑"/>
          <w:sz w:val="21"/>
          <w:szCs w:val="21"/>
        </w:rPr>
      </w:r>
      <w:r/>
    </w:p>
    <w:p>
      <w:pPr>
        <w:pStyle w:val="659"/>
        <w:ind w:firstLine="420"/>
        <w:spacing w:line="360" w:lineRule="auto"/>
        <w:rPr>
          <w:rFonts w:hAnsi="宋体" w:eastAsia="宋体" w:cs="微软雅黑"/>
          <w:sz w:val="21"/>
          <w:szCs w:val="21"/>
        </w:rPr>
      </w:pPr>
      <w:r>
        <w:rPr>
          <w:rFonts w:hAnsi="宋体" w:eastAsia="宋体" w:cs="Arial"/>
          <w:sz w:val="21"/>
          <w:szCs w:val="21"/>
        </w:rPr>
        <w:t xml:space="preserve">注：投标文件中项目团队人员不得与项目</w:t>
      </w:r>
      <w:r>
        <w:rPr>
          <w:rFonts w:hint="eastAsia" w:hAnsi="宋体" w:eastAsia="宋体" w:cs="Arial"/>
          <w:sz w:val="21"/>
          <w:szCs w:val="21"/>
        </w:rPr>
        <w:t xml:space="preserve">负责人</w:t>
      </w:r>
      <w:r>
        <w:rPr>
          <w:rFonts w:hAnsi="宋体" w:eastAsia="宋体" w:cs="Arial"/>
          <w:sz w:val="21"/>
          <w:szCs w:val="21"/>
        </w:rPr>
        <w:t xml:space="preserve">、技术负责人为同一人，且同一人不重复计算得分。</w:t>
      </w:r>
      <w:r>
        <w:rPr>
          <w:rFonts w:hAnsi="宋体" w:eastAsia="宋体" w:cs="微软雅黑"/>
          <w:sz w:val="21"/>
          <w:szCs w:val="21"/>
        </w:rPr>
      </w:r>
      <w:r/>
    </w:p>
    <w:p>
      <w:pPr>
        <w:pStyle w:val="659"/>
        <w:spacing w:line="360" w:lineRule="auto"/>
        <w:rPr>
          <w:rFonts w:hAnsi="宋体" w:eastAsia="宋体"/>
          <w:b/>
          <w:bCs/>
          <w:sz w:val="21"/>
          <w:szCs w:val="21"/>
        </w:rPr>
      </w:pPr>
      <w:r>
        <w:rPr>
          <w:rFonts w:hint="eastAsia" w:hAnsi="宋体" w:eastAsia="宋体" w:cs="Arial"/>
          <w:b/>
          <w:bCs/>
          <w:sz w:val="21"/>
          <w:szCs w:val="21"/>
        </w:rPr>
        <w:t xml:space="preserve">（五）</w:t>
      </w:r>
      <w:r>
        <w:rPr>
          <w:rFonts w:hAnsi="宋体" w:eastAsia="宋体" w:cs="Arial"/>
          <w:b/>
          <w:bCs/>
          <w:sz w:val="21"/>
          <w:szCs w:val="21"/>
        </w:rPr>
        <w:t xml:space="preserve">类似业绩：</w:t>
      </w:r>
      <w:r>
        <w:rPr>
          <w:rFonts w:hAnsi="宋体" w:eastAsia="宋体"/>
          <w:b/>
          <w:bCs/>
          <w:sz w:val="21"/>
          <w:szCs w:val="21"/>
        </w:rPr>
        <w:t xml:space="preserve">6</w:t>
      </w:r>
      <w:r>
        <w:rPr>
          <w:rFonts w:hAnsi="宋体" w:eastAsia="宋体" w:cs="Arial"/>
          <w:b/>
          <w:bCs/>
          <w:sz w:val="21"/>
          <w:szCs w:val="21"/>
        </w:rPr>
        <w:t xml:space="preserve">分</w:t>
      </w:r>
      <w:r>
        <w:rPr>
          <w:rFonts w:hAnsi="宋体" w:eastAsia="宋体"/>
          <w:b/>
          <w:bCs/>
          <w:sz w:val="21"/>
          <w:szCs w:val="21"/>
        </w:rPr>
      </w:r>
      <w:r/>
    </w:p>
    <w:p>
      <w:pPr>
        <w:pStyle w:val="659"/>
        <w:ind w:firstLine="420"/>
        <w:spacing w:line="360" w:lineRule="auto"/>
        <w:rPr>
          <w:rFonts w:hAnsi="宋体" w:eastAsia="宋体"/>
          <w:sz w:val="21"/>
          <w:szCs w:val="21"/>
        </w:rPr>
      </w:pPr>
      <w:r>
        <w:rPr>
          <w:rFonts w:hAnsi="宋体" w:eastAsia="宋体" w:cs="Arial"/>
          <w:sz w:val="21"/>
          <w:szCs w:val="21"/>
        </w:rPr>
        <w:t xml:space="preserve">提供</w:t>
      </w:r>
      <w:r>
        <w:rPr>
          <w:rFonts w:hAnsi="宋体" w:eastAsia="宋体"/>
          <w:sz w:val="21"/>
          <w:szCs w:val="21"/>
        </w:rPr>
        <w:t xml:space="preserve">2023</w:t>
      </w:r>
      <w:r>
        <w:rPr>
          <w:rFonts w:hAnsi="宋体" w:eastAsia="宋体" w:cs="Arial"/>
          <w:sz w:val="21"/>
          <w:szCs w:val="21"/>
        </w:rPr>
        <w:t xml:space="preserve">年</w:t>
      </w:r>
      <w:r>
        <w:rPr>
          <w:rFonts w:hint="eastAsia" w:hAnsi="宋体" w:eastAsia="宋体"/>
          <w:sz w:val="21"/>
          <w:szCs w:val="21"/>
        </w:rPr>
        <w:t xml:space="preserve">8</w:t>
      </w:r>
      <w:r>
        <w:rPr>
          <w:rFonts w:hAnsi="宋体" w:eastAsia="宋体" w:cs="Arial"/>
          <w:sz w:val="21"/>
          <w:szCs w:val="21"/>
        </w:rPr>
        <w:t xml:space="preserve">月</w:t>
      </w:r>
      <w:r>
        <w:rPr>
          <w:rFonts w:hAnsi="宋体" w:eastAsia="宋体"/>
          <w:sz w:val="21"/>
          <w:szCs w:val="21"/>
        </w:rPr>
        <w:t xml:space="preserve">1</w:t>
      </w:r>
      <w:r>
        <w:rPr>
          <w:rFonts w:hAnsi="宋体" w:eastAsia="宋体" w:cs="Arial"/>
          <w:sz w:val="21"/>
          <w:szCs w:val="21"/>
        </w:rPr>
        <w:t xml:space="preserve">日起至今（以合同签订日期为准）类似项目业绩，每提供一个得</w:t>
      </w:r>
      <w:r>
        <w:rPr>
          <w:rFonts w:hAnsi="宋体" w:eastAsia="宋体"/>
          <w:sz w:val="21"/>
          <w:szCs w:val="21"/>
        </w:rPr>
        <w:t xml:space="preserve">1</w:t>
      </w:r>
      <w:r>
        <w:rPr>
          <w:rFonts w:hAnsi="宋体" w:eastAsia="宋体" w:cs="Arial"/>
          <w:sz w:val="21"/>
          <w:szCs w:val="21"/>
        </w:rPr>
        <w:t xml:space="preserve">分，最高得</w:t>
      </w:r>
      <w:r>
        <w:rPr>
          <w:rFonts w:hAnsi="宋体" w:eastAsia="宋体"/>
          <w:sz w:val="21"/>
          <w:szCs w:val="21"/>
        </w:rPr>
        <w:t xml:space="preserve">6</w:t>
      </w:r>
      <w:r>
        <w:rPr>
          <w:rFonts w:hAnsi="宋体" w:eastAsia="宋体" w:cs="Arial"/>
          <w:sz w:val="21"/>
          <w:szCs w:val="21"/>
        </w:rPr>
        <w:t xml:space="preserve">分。（投标文件中须提供完整的合同复印件并加盖投标人公章，提供不全或未提供不得分）</w:t>
      </w:r>
      <w:r>
        <w:rPr>
          <w:rFonts w:hAnsi="宋体" w:eastAsia="宋体"/>
          <w:sz w:val="21"/>
          <w:szCs w:val="21"/>
        </w:rPr>
      </w:r>
      <w:r/>
    </w:p>
    <w:p>
      <w:pPr>
        <w:pStyle w:val="659"/>
        <w:ind w:firstLine="420"/>
        <w:spacing w:line="360" w:lineRule="auto"/>
        <w:rPr>
          <w:rFonts w:hAnsi="宋体" w:eastAsia="宋体"/>
          <w:sz w:val="21"/>
          <w:szCs w:val="21"/>
          <w:highlight w:val="none"/>
        </w:rPr>
      </w:pPr>
      <w:r>
        <w:rPr>
          <w:rFonts w:hAnsi="宋体" w:eastAsia="宋体"/>
          <w:sz w:val="21"/>
          <w:szCs w:val="21"/>
          <w:highlight w:val="none"/>
        </w:rPr>
      </w:r>
      <w:r/>
    </w:p>
    <w:p>
      <w:pPr>
        <w:pStyle w:val="684"/>
        <w:ind w:left="0"/>
        <w:jc w:val="both"/>
        <w:spacing w:before="0" w:line="360" w:lineRule="auto"/>
        <w:rPr>
          <w:rFonts w:hint="eastAsia" w:hAnsi="宋体" w:eastAsia="宋体"/>
          <w:b w:val="0"/>
          <w:bCs w:val="0"/>
          <w:sz w:val="21"/>
          <w:szCs w:val="21"/>
          <w:highlight w:val="none"/>
        </w:rPr>
      </w:pPr>
      <w:r>
        <w:rPr>
          <w:rFonts w:hint="eastAsia" w:hAnsi="宋体" w:eastAsia="宋体"/>
          <w:b/>
          <w:bCs/>
          <w:sz w:val="21"/>
          <w:szCs w:val="21"/>
          <w:highlight w:val="none"/>
        </w:rPr>
        <w:t xml:space="preserve">注：</w:t>
      </w:r>
      <w:r>
        <w:rPr>
          <w:rFonts w:hint="eastAsia" w:hAnsi="宋体" w:eastAsia="宋体"/>
          <w:b w:val="0"/>
          <w:bCs w:val="0"/>
          <w:sz w:val="21"/>
          <w:szCs w:val="21"/>
          <w:highlight w:val="none"/>
        </w:rPr>
        <w:t xml:space="preserve"> 1、报价超过采购预算的为无效投标。</w:t>
      </w:r>
      <w:r>
        <w:rPr>
          <w:rFonts w:hint="eastAsia" w:hAnsi="宋体" w:eastAsia="宋体"/>
          <w:b w:val="0"/>
          <w:bCs w:val="0"/>
          <w:sz w:val="21"/>
          <w:szCs w:val="21"/>
          <w:highlight w:val="none"/>
        </w:rPr>
      </w:r>
      <w:r/>
    </w:p>
    <w:p>
      <w:pPr>
        <w:pStyle w:val="684"/>
        <w:ind w:left="0"/>
        <w:jc w:val="both"/>
        <w:spacing w:before="0" w:line="360" w:lineRule="auto"/>
        <w:rPr>
          <w:rFonts w:hint="eastAsia" w:hAnsi="宋体" w:eastAsia="宋体"/>
          <w:b w:val="0"/>
          <w:bCs w:val="0"/>
          <w:sz w:val="21"/>
          <w:szCs w:val="21"/>
          <w:highlight w:val="none"/>
        </w:rPr>
      </w:pPr>
      <w:r>
        <w:rPr>
          <w:rFonts w:hint="eastAsia" w:hAnsi="宋体" w:eastAsia="宋体"/>
          <w:b w:val="0"/>
          <w:bCs w:val="0"/>
          <w:sz w:val="21"/>
          <w:szCs w:val="21"/>
          <w:highlight w:val="none"/>
        </w:rPr>
        <w:t xml:space="preserve">2、针对评分标准中评分的每一条，投标人均应提供相关电子证明资料并作出相应说明供评委评判，不提供相关电子证明资料的视为不具备该项得分的条件。</w:t>
      </w:r>
      <w:r>
        <w:rPr>
          <w:rFonts w:hint="eastAsia" w:hAnsi="宋体" w:eastAsia="宋体"/>
          <w:b w:val="0"/>
          <w:bCs w:val="0"/>
          <w:sz w:val="21"/>
          <w:szCs w:val="21"/>
          <w:highlight w:val="none"/>
        </w:rPr>
      </w:r>
      <w:r/>
    </w:p>
    <w:p>
      <w:pPr>
        <w:pStyle w:val="684"/>
        <w:ind w:left="0"/>
        <w:jc w:val="both"/>
        <w:spacing w:before="0" w:line="360" w:lineRule="auto"/>
        <w:rPr>
          <w:rFonts w:hint="eastAsia" w:ascii="宋体" w:hAnsi="宋体" w:eastAsia="宋体" w:cs="宋体"/>
          <w:b w:val="0"/>
          <w:bCs w:val="0"/>
          <w:color w:val="000000"/>
          <w:sz w:val="32"/>
          <w:szCs w:val="32"/>
          <w:highlight w:val="none"/>
        </w:rPr>
      </w:pPr>
      <w:r>
        <w:rPr>
          <w:rFonts w:hint="eastAsia" w:hAnsi="宋体" w:eastAsia="宋体"/>
          <w:b w:val="0"/>
          <w:bCs w:val="0"/>
          <w:sz w:val="21"/>
          <w:szCs w:val="21"/>
          <w:highlight w:val="none"/>
        </w:rPr>
        <w:t xml:space="preserve">3、所有复印件字迹须复印清晰可见,复印不全或字迹不清晰的，视为未提供。</w:t>
      </w:r>
      <w:r>
        <w:rPr>
          <w:rFonts w:hint="eastAsia" w:ascii="宋体" w:hAnsi="宋体" w:eastAsia="宋体" w:cs="宋体"/>
          <w:b w:val="0"/>
          <w:bCs w:val="0"/>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第五章：投标文件格式</w:t>
      </w: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9"/>
        <w:spacing w:after="0" w:line="85" w:lineRule="atLeas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说明：</w:t>
      </w:r>
      <w:r>
        <w:rPr>
          <w:rFonts w:ascii="宋体" w:hAnsi="宋体" w:eastAsia="宋体" w:cs="宋体"/>
          <w:highlight w:val="none"/>
          <w:lang w:eastAsia="zh-CN"/>
        </w:rPr>
      </w:r>
      <w:r/>
    </w:p>
    <w:p>
      <w:pPr>
        <w:pStyle w:val="659"/>
        <w:ind w:firstLine="480"/>
        <w:spacing w:after="0" w:line="85" w:lineRule="atLeas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对本章所有的投标书格式，投标方可根据自身情况进行补充和修改，但补充和修改不得造成与本格式内容有实质性的违背。</w:t>
      </w:r>
      <w:r>
        <w:rPr>
          <w:rFonts w:ascii="宋体" w:hAnsi="宋体" w:eastAsia="宋体" w:cs="宋体"/>
          <w:highlight w:val="none"/>
          <w:lang w:eastAsia="zh-CN"/>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0"/>
        <w:jc w:val="both"/>
        <w:spacing w:before="0"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32"/>
          <w:szCs w:val="32"/>
          <w:highlight w:val="none"/>
        </w:rPr>
        <w:t xml:space="preserve">封 面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rPr>
          <w:rFonts w:hint="eastAsia"/>
          <w:color w:val="000000"/>
          <w:highlight w:val="none"/>
        </w:rPr>
      </w:pPr>
      <w:r>
        <w:rPr>
          <w:rFonts w:hint="eastAsia"/>
          <w:color w:val="000000"/>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center"/>
        <w:spacing w:before="0"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投标文件</w:t>
      </w:r>
      <w:r>
        <w:rPr>
          <w:rFonts w:hint="eastAsia" w:ascii="宋体" w:hAnsi="宋体" w:eastAsia="宋体" w:cs="宋体"/>
          <w:b/>
          <w:bCs/>
          <w:color w:val="000000"/>
          <w:sz w:val="72"/>
          <w:szCs w:val="72"/>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62"/>
        <w:ind w:left="0"/>
        <w:jc w:val="both"/>
        <w:spacing w:before="0" w:line="360" w:lineRule="auto"/>
        <w:rPr>
          <w:rFonts w:hint="eastAsia" w:ascii="宋体" w:hAnsi="宋体" w:eastAsia="宋体" w:cs="宋体"/>
          <w:b w:val="0"/>
          <w:bCs w:val="0"/>
          <w:color w:val="000000"/>
          <w:sz w:val="32"/>
          <w:szCs w:val="32"/>
          <w:highlight w:val="none"/>
          <w:lang w:eastAsia="zh-CN"/>
        </w:rPr>
      </w:pPr>
      <w:r>
        <w:rPr>
          <w:rFonts w:hint="eastAsia" w:ascii="宋体" w:hAnsi="宋体" w:eastAsia="宋体" w:cs="宋体"/>
          <w:color w:val="000000"/>
          <w:highlight w:val="none"/>
        </w:rPr>
        <w:t xml:space="preserve">采购单位：</w:t>
      </w:r>
      <w:r>
        <w:rPr>
          <w:rFonts w:hint="eastAsia" w:hAnsi="宋体" w:eastAsia="宋体" w:cs="宋体"/>
          <w:b w:val="0"/>
          <w:bCs w:val="0"/>
          <w:color w:val="000000"/>
          <w:sz w:val="32"/>
          <w:szCs w:val="32"/>
          <w:highlight w:val="none"/>
          <w:lang w:eastAsia="zh-CN"/>
        </w:rPr>
        <w:t xml:space="preserve">太仓市人民政府陆渡街道办事处</w:t>
      </w:r>
      <w:r>
        <w:rPr>
          <w:rFonts w:hint="eastAsia" w:ascii="宋体" w:hAnsi="宋体" w:eastAsia="宋体" w:cs="宋体"/>
          <w:b w:val="0"/>
          <w:bCs w:val="0"/>
          <w:color w:val="000000"/>
          <w:sz w:val="32"/>
          <w:szCs w:val="32"/>
          <w:highlight w:val="none"/>
          <w:lang w:eastAsia="zh-CN"/>
        </w:rPr>
      </w:r>
      <w:r/>
    </w:p>
    <w:p>
      <w:pPr>
        <w:pStyle w:val="684"/>
        <w:ind w:left="0"/>
        <w:jc w:val="both"/>
        <w:spacing w:before="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项目名称：</w:t>
      </w:r>
      <w:r>
        <w:rPr>
          <w:rFonts w:hint="eastAsia" w:hAnsi="宋体" w:eastAsia="宋体" w:cs="宋体"/>
          <w:color w:val="000000"/>
          <w:sz w:val="32"/>
          <w:szCs w:val="32"/>
          <w:highlight w:val="none"/>
          <w:lang w:eastAsia="zh-CN"/>
        </w:rPr>
        <w:t xml:space="preserve">东城三园等智慧技防小区（二期）租赁服务</w:t>
      </w:r>
      <w:r>
        <w:rPr>
          <w:rFonts w:hint="eastAsia" w:ascii="宋体" w:hAnsi="宋体" w:eastAsia="宋体" w:cs="宋体"/>
          <w:b/>
          <w:bCs/>
          <w:color w:val="000000"/>
          <w:sz w:val="36"/>
          <w:szCs w:val="36"/>
          <w:highlight w:val="none"/>
        </w:rPr>
      </w:r>
      <w:r/>
    </w:p>
    <w:p>
      <w:pPr>
        <w:pStyle w:val="684"/>
        <w:ind w:left="0"/>
        <w:jc w:val="both"/>
        <w:spacing w:before="0" w:line="360" w:lineRule="auto"/>
        <w:rPr>
          <w:rFonts w:hint="eastAsia" w:ascii="宋体" w:hAnsi="宋体" w:eastAsia="宋体" w:cs="宋体"/>
          <w:color w:val="000000"/>
          <w:sz w:val="32"/>
          <w:szCs w:val="32"/>
          <w:highlight w:val="none"/>
          <w:lang w:eastAsia="zh-CN"/>
        </w:rPr>
      </w:pPr>
      <w:r>
        <w:rPr>
          <w:rFonts w:hint="eastAsia" w:ascii="宋体" w:hAnsi="宋体" w:eastAsia="宋体" w:cs="宋体"/>
          <w:b/>
          <w:bCs/>
          <w:color w:val="000000"/>
          <w:sz w:val="36"/>
          <w:szCs w:val="36"/>
          <w:highlight w:val="none"/>
        </w:rPr>
        <w:t xml:space="preserve">项目编号：</w:t>
      </w:r>
      <w:r>
        <w:rPr>
          <w:rFonts w:hint="eastAsia" w:hAnsi="宋体" w:eastAsia="宋体" w:cs="宋体"/>
          <w:color w:val="000000"/>
          <w:sz w:val="32"/>
          <w:szCs w:val="32"/>
          <w:highlight w:val="none"/>
          <w:lang w:eastAsia="zh-CN"/>
        </w:rPr>
        <w:t xml:space="preserve">JSZC-320585-SZSK-G2026-0003</w:t>
      </w:r>
      <w:r>
        <w:rPr>
          <w:rFonts w:hint="eastAsia" w:ascii="宋体" w:hAnsi="宋体" w:eastAsia="宋体" w:cs="宋体"/>
          <w:color w:val="000000"/>
          <w:sz w:val="32"/>
          <w:szCs w:val="32"/>
          <w:highlight w:val="none"/>
          <w:lang w:eastAsia="zh-CN"/>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rPr>
        <w:t xml:space="preserve">投标人</w:t>
      </w:r>
      <w:r>
        <w:rPr>
          <w:rFonts w:hint="eastAsia" w:ascii="宋体" w:hAnsi="宋体" w:eastAsia="宋体" w:cs="宋体"/>
          <w:color w:val="000000"/>
          <w:sz w:val="24"/>
          <w:szCs w:val="24"/>
          <w:highlight w:val="none"/>
        </w:rPr>
        <w:t xml:space="preserve">(盖章)</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u w:val="single"/>
        </w:rPr>
      </w:r>
      <w:r/>
    </w:p>
    <w:p>
      <w:pPr>
        <w:pStyle w:val="684"/>
        <w:ind w:left="0"/>
        <w:jc w:val="both"/>
        <w:spacing w:before="0" w:line="360" w:lineRule="auto"/>
        <w:rPr>
          <w:rFonts w:hint="eastAsia" w:ascii="宋体" w:hAnsi="宋体" w:eastAsia="宋体" w:cs="宋体"/>
          <w:color w:val="000000"/>
          <w:sz w:val="32"/>
          <w:szCs w:val="32"/>
          <w:highlight w:val="none"/>
        </w:rPr>
      </w:pPr>
      <w:r>
        <w:rPr>
          <w:rFonts w:hint="eastAsia" w:ascii="宋体" w:hAnsi="宋体" w:eastAsia="宋体" w:cs="宋体"/>
          <w:b/>
          <w:bCs/>
          <w:color w:val="000000"/>
          <w:spacing w:val="-3"/>
          <w:sz w:val="36"/>
          <w:szCs w:val="36"/>
          <w:highlight w:val="none"/>
        </w:rPr>
        <w:t xml:space="preserve">法定代表人或其委托代理人</w:t>
      </w:r>
      <w:r>
        <w:rPr>
          <w:rFonts w:hint="eastAsia" w:ascii="宋体" w:hAnsi="宋体" w:eastAsia="宋体" w:cs="宋体"/>
          <w:color w:val="000000"/>
          <w:sz w:val="24"/>
          <w:szCs w:val="24"/>
          <w:highlight w:val="none"/>
        </w:rPr>
        <w:t xml:space="preserve">(签字或盖章)</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pacing w:val="101"/>
          <w:sz w:val="36"/>
          <w:szCs w:val="36"/>
          <w:highlight w:val="none"/>
          <w:u w:val="single"/>
        </w:rPr>
        <w:t xml:space="preserve">    </w:t>
      </w:r>
      <w:r>
        <w:rPr>
          <w:rFonts w:hint="eastAsia" w:ascii="宋体" w:hAnsi="宋体" w:eastAsia="宋体" w:cs="宋体"/>
          <w:color w:val="000000"/>
          <w:sz w:val="32"/>
          <w:szCs w:val="32"/>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日期：     年    月</w:t>
      </w:r>
      <w:r>
        <w:rPr>
          <w:rFonts w:hint="eastAsia" w:ascii="宋体" w:hAnsi="宋体" w:eastAsia="宋体" w:cs="宋体"/>
          <w:b/>
          <w:bCs/>
          <w:color w:val="000000"/>
          <w:sz w:val="36"/>
          <w:szCs w:val="36"/>
          <w:highlight w:val="none"/>
        </w:rPr>
        <w:t xml:space="preserve">    日</w:t>
      </w:r>
      <w:r>
        <w:rPr>
          <w:rFonts w:hint="eastAsia" w:ascii="宋体" w:hAnsi="宋体" w:eastAsia="宋体" w:cs="宋体"/>
          <w:b/>
          <w:bCs/>
          <w:color w:val="000000"/>
          <w:sz w:val="36"/>
          <w:szCs w:val="36"/>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spacing w:line="360" w:lineRule="auto"/>
        <w:rPr>
          <w:rFonts w:hint="eastAsia" w:ascii="宋体" w:hAnsi="宋体" w:eastAsia="宋体" w:cs="宋体"/>
          <w:b/>
          <w:bCs/>
          <w:color w:val="000000"/>
          <w:sz w:val="21"/>
          <w:szCs w:val="21"/>
          <w:highlight w:val="none"/>
          <w:lang w:val="en-US" w:eastAsia="zh-CN"/>
        </w:rPr>
      </w:pPr>
      <w:r/>
      <w:bookmarkStart w:id="21" w:name="_Toc322442932"/>
      <w:r/>
      <w:bookmarkStart w:id="22" w:name="_Toc467507044"/>
      <w:r/>
      <w:bookmarkStart w:id="23" w:name="_Toc405288080"/>
      <w:r/>
      <w:bookmarkStart w:id="24" w:name="_Toc430265233"/>
      <w:r/>
      <w:bookmarkStart w:id="25" w:name="_Toc467507054"/>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rPr>
      </w:pPr>
      <w:r/>
      <w:bookmarkStart w:id="26" w:name="_Hlk150944067"/>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bCs/>
          <w:color w:val="000000"/>
          <w:sz w:val="21"/>
          <w:szCs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开标一览表</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tbl>
      <w:tblPr>
        <w:tblW w:w="90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trHeight w:val="1130"/>
        </w:trPr>
        <w:tc>
          <w:tcPr>
            <w:tcW w:w="2613" w:type="dxa"/>
            <w:vAlign w:val="center"/>
            <w:textDirection w:val="lrTb"/>
            <w:noWrap w:val="false"/>
          </w:tcPr>
          <w:p>
            <w:pPr>
              <w:pStyle w:val="6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W w:w="6463" w:type="dxa"/>
            <w:vAlign w:val="center"/>
            <w:textDirection w:val="lrTb"/>
            <w:noWrap w:val="false"/>
          </w:tcPr>
          <w:p>
            <w:pPr>
              <w:pStyle w:val="6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东城三园等智慧技防小区（二期）租赁服务</w:t>
            </w:r>
            <w:r>
              <w:rPr>
                <w:rFonts w:hint="eastAsia" w:ascii="宋体" w:hAnsi="宋体" w:eastAsia="宋体" w:cs="宋体"/>
                <w:color w:val="000000"/>
                <w:sz w:val="24"/>
                <w:szCs w:val="24"/>
                <w:highlight w:val="none"/>
              </w:rPr>
            </w:r>
            <w:r/>
          </w:p>
        </w:tc>
      </w:tr>
      <w:tr>
        <w:trPr>
          <w:cantSplit/>
          <w:trHeight w:val="1463"/>
        </w:trPr>
        <w:tc>
          <w:tcPr>
            <w:tcW w:w="2613" w:type="dxa"/>
            <w:vAlign w:val="center"/>
            <w:textDirection w:val="lrTb"/>
            <w:noWrap w:val="false"/>
          </w:tcPr>
          <w:p>
            <w:pPr>
              <w:pStyle w:val="6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投标报价（元）</w:t>
            </w:r>
            <w:r>
              <w:rPr>
                <w:rFonts w:hint="eastAsia" w:ascii="宋体" w:hAnsi="宋体" w:eastAsia="宋体" w:cs="宋体"/>
                <w:b/>
                <w:bCs/>
                <w:color w:val="000000"/>
                <w:sz w:val="24"/>
                <w:szCs w:val="24"/>
                <w:highlight w:val="none"/>
              </w:rPr>
            </w:r>
            <w:r/>
          </w:p>
        </w:tc>
        <w:tc>
          <w:tcPr>
            <w:tcW w:w="6463" w:type="dxa"/>
            <w:vAlign w:val="center"/>
            <w:textDirection w:val="lrTb"/>
            <w:noWrap w:val="false"/>
          </w:tcPr>
          <w:p>
            <w:pPr>
              <w:pStyle w:val="659"/>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小写：</w:t>
            </w:r>
            <w:r>
              <w:rPr>
                <w:rFonts w:ascii="宋体" w:hAnsi="宋体" w:eastAsia="宋体" w:cs="宋体"/>
                <w:color w:val="000000"/>
                <w:sz w:val="24"/>
                <w:szCs w:val="24"/>
                <w:highlight w:val="none"/>
                <w:lang w:val="en-US" w:eastAsia="zh-CN"/>
              </w:rPr>
            </w:r>
            <w:r/>
          </w:p>
          <w:p>
            <w:pPr>
              <w:pStyle w:val="659"/>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bl>
    <w:p>
      <w:pPr>
        <w:pStyle w:val="659"/>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659"/>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投标人：（公章）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法定代表人或代理人：（签字或盖章）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b/>
          <w:bCs/>
          <w:color w:val="000000"/>
          <w:sz w:val="21"/>
          <w:szCs w:val="21"/>
          <w:highlight w:val="none"/>
          <w:lang w:val="en-US" w:eastAsia="en-US"/>
        </w:rPr>
      </w:pPr>
      <w:r/>
      <w:bookmarkEnd w:id="26"/>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en-US"/>
        </w:rPr>
        <w:t xml:space="preserve">、投标报价明细表</w:t>
      </w:r>
      <w:r>
        <w:rPr>
          <w:rFonts w:hint="eastAsia" w:ascii="宋体" w:hAnsi="宋体" w:eastAsia="宋体" w:cs="宋体"/>
          <w:b/>
          <w:bCs/>
          <w:color w:val="000000"/>
          <w:sz w:val="21"/>
          <w:szCs w:val="21"/>
          <w:highlight w:val="none"/>
          <w:lang w:val="en-US" w:eastAsia="en-US"/>
        </w:rPr>
      </w:r>
      <w:r/>
    </w:p>
    <w:p>
      <w:pPr>
        <w:pStyle w:val="659"/>
        <w:spacing w:line="360" w:lineRule="auto"/>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 </w:t>
      </w:r>
      <w:r>
        <w:rPr>
          <w:rFonts w:hint="eastAsia" w:ascii="宋体" w:hAnsi="宋体" w:eastAsia="宋体" w:cs="宋体"/>
          <w:b/>
          <w:bCs/>
          <w:color w:val="000000"/>
          <w:sz w:val="21"/>
          <w:szCs w:val="21"/>
          <w:highlight w:val="none"/>
          <w:lang w:val="en-US" w:eastAsia="en-US"/>
        </w:rPr>
      </w:r>
      <w:r/>
    </w:p>
    <w:p>
      <w:pPr>
        <w:pStyle w:val="659"/>
        <w:jc w:val="center"/>
        <w:spacing w:line="360" w:lineRule="auto"/>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color w:val="000000"/>
          <w:sz w:val="21"/>
          <w:szCs w:val="21"/>
          <w:highlight w:val="none"/>
          <w:lang w:val="en-US" w:eastAsia="en-US"/>
        </w:rPr>
        <w:t xml:space="preserve">（一）投标报价明细表</w:t>
      </w:r>
      <w:r>
        <w:rPr>
          <w:rFonts w:hint="eastAsia" w:ascii="宋体" w:hAnsi="宋体" w:eastAsia="宋体" w:cs="宋体"/>
          <w:b/>
          <w:bCs/>
          <w:color w:val="000000"/>
          <w:sz w:val="21"/>
          <w:szCs w:val="21"/>
          <w:highlight w:val="none"/>
          <w:lang w:val="en-US" w:eastAsia="en-US"/>
        </w:rPr>
      </w:r>
      <w:r/>
    </w:p>
    <w:p>
      <w:pPr>
        <w:pStyle w:val="659"/>
        <w:ind w:firstLine="3012"/>
        <w:jc w:val="both"/>
        <w:spacing w:after="0" w:line="276" w:lineRule="auto"/>
        <w:widowControl/>
        <w:rPr>
          <w:rFonts w:ascii="宋体" w:hAnsi="宋体" w:eastAsia="宋体" w:cs="宋体"/>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en-US"/>
        </w:rPr>
        <w:t xml:space="preserve"> </w:t>
      </w:r>
      <w:r>
        <w:rPr>
          <w:rFonts w:ascii="宋体" w:hAnsi="宋体" w:eastAsia="宋体" w:cs="宋体"/>
          <w:highlight w:val="none"/>
          <w:lang w:eastAsia="en-US"/>
        </w:rPr>
      </w:r>
      <w:r/>
    </w:p>
    <w:tbl>
      <w:tblPr>
        <w:tblW w:w="917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trHeight w:val="566"/>
        </w:trPr>
        <w:tc>
          <w:tcPr>
            <w:tcW w:w="705"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序号</w:t>
            </w:r>
            <w:r>
              <w:rPr>
                <w:rFonts w:ascii="宋体" w:hAnsi="宋体" w:eastAsia="宋体" w:cs="宋体"/>
                <w:bCs/>
                <w:sz w:val="21"/>
                <w:szCs w:val="21"/>
                <w:highlight w:val="none"/>
                <w:lang w:eastAsia="en-US"/>
              </w:rPr>
            </w:r>
            <w:r/>
          </w:p>
        </w:tc>
        <w:tc>
          <w:tcPr>
            <w:tcW w:w="1414"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标的物名称</w:t>
            </w:r>
            <w:r>
              <w:rPr>
                <w:rFonts w:ascii="宋体" w:hAnsi="宋体" w:eastAsia="宋体" w:cs="宋体"/>
                <w:bCs/>
                <w:sz w:val="21"/>
                <w:szCs w:val="21"/>
                <w:highlight w:val="none"/>
                <w:lang w:eastAsia="en-US"/>
              </w:rPr>
            </w:r>
            <w:r/>
          </w:p>
        </w:tc>
        <w:tc>
          <w:tcPr>
            <w:tcW w:w="205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品牌、规格、型号/服务说明</w:t>
            </w:r>
            <w:r>
              <w:rPr>
                <w:rFonts w:ascii="宋体" w:hAnsi="宋体" w:eastAsia="宋体" w:cs="宋体"/>
                <w:bCs/>
                <w:sz w:val="21"/>
                <w:szCs w:val="21"/>
                <w:highlight w:val="none"/>
                <w:lang w:eastAsia="zh-CN"/>
              </w:rPr>
            </w:r>
            <w:r/>
          </w:p>
        </w:tc>
        <w:tc>
          <w:tcPr>
            <w:tcW w:w="125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生产厂家</w:t>
            </w:r>
            <w:r>
              <w:rPr>
                <w:rFonts w:ascii="宋体" w:hAnsi="宋体" w:eastAsia="宋体" w:cs="宋体"/>
                <w:bCs/>
                <w:sz w:val="21"/>
                <w:szCs w:val="21"/>
                <w:highlight w:val="none"/>
                <w:lang w:eastAsia="en-US"/>
              </w:rPr>
            </w:r>
            <w:r/>
          </w:p>
        </w:tc>
        <w:tc>
          <w:tcPr>
            <w:gridSpan w:val="2"/>
            <w:tcW w:w="720"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单位</w:t>
            </w:r>
            <w:r>
              <w:rPr>
                <w:rFonts w:ascii="宋体" w:hAnsi="宋体" w:eastAsia="宋体" w:cs="宋体"/>
                <w:bCs/>
                <w:sz w:val="21"/>
                <w:szCs w:val="21"/>
                <w:highlight w:val="none"/>
                <w:lang w:eastAsia="en-US"/>
              </w:rPr>
            </w:r>
            <w:r/>
          </w:p>
        </w:tc>
        <w:tc>
          <w:tcPr>
            <w:tcW w:w="720"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数量</w:t>
            </w:r>
            <w:r>
              <w:rPr>
                <w:rFonts w:ascii="宋体" w:hAnsi="宋体" w:eastAsia="宋体" w:cs="宋体"/>
                <w:bCs/>
                <w:sz w:val="21"/>
                <w:szCs w:val="21"/>
                <w:highlight w:val="none"/>
                <w:lang w:eastAsia="en-US"/>
              </w:rPr>
            </w:r>
            <w:r/>
          </w:p>
        </w:tc>
        <w:tc>
          <w:tcPr>
            <w:tcW w:w="720"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单价</w:t>
            </w:r>
            <w:r>
              <w:rPr>
                <w:rFonts w:ascii="宋体" w:hAnsi="宋体" w:eastAsia="宋体" w:cs="宋体"/>
                <w:bCs/>
                <w:sz w:val="21"/>
                <w:szCs w:val="21"/>
                <w:highlight w:val="none"/>
                <w:lang w:eastAsia="en-US"/>
              </w:rPr>
            </w:r>
            <w:r/>
          </w:p>
        </w:tc>
        <w:tc>
          <w:tcPr>
            <w:tcW w:w="71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w:t>
            </w:r>
            <w:r>
              <w:rPr>
                <w:rFonts w:ascii="宋体" w:hAnsi="宋体" w:eastAsia="宋体" w:cs="宋体"/>
                <w:bCs/>
                <w:sz w:val="21"/>
                <w:szCs w:val="21"/>
                <w:highlight w:val="none"/>
                <w:lang w:eastAsia="en-US"/>
              </w:rPr>
            </w:r>
            <w:r/>
          </w:p>
        </w:tc>
        <w:tc>
          <w:tcPr>
            <w:tcW w:w="88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备注</w:t>
            </w:r>
            <w:r>
              <w:rPr>
                <w:rFonts w:ascii="宋体" w:hAnsi="宋体" w:eastAsia="宋体" w:cs="宋体"/>
                <w:bCs/>
                <w:sz w:val="21"/>
                <w:szCs w:val="21"/>
                <w:highlight w:val="none"/>
                <w:lang w:eastAsia="en-US"/>
              </w:rPr>
            </w:r>
            <w:r/>
          </w:p>
        </w:tc>
      </w:tr>
      <w:tr>
        <w:trPr>
          <w:trHeight w:val="480"/>
        </w:trPr>
        <w:tc>
          <w:tcPr>
            <w:tcW w:w="705"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414" w:type="dxa"/>
            <w:vAlign w:val="center"/>
            <w:textDirection w:val="lrTb"/>
            <w:noWrap w:val="false"/>
          </w:tcPr>
          <w:p>
            <w:pPr>
              <w:pStyle w:val="659"/>
              <w:ind w:right="-20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205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25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gridSpan w:val="2"/>
            <w:tcW w:w="729"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20"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88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r>
      <w:tr>
        <w:trPr>
          <w:trHeight w:val="480"/>
        </w:trPr>
        <w:tc>
          <w:tcPr>
            <w:tcW w:w="705"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414"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205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25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gridSpan w:val="2"/>
            <w:tcW w:w="729"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20"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88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r>
      <w:tr>
        <w:trPr>
          <w:trHeight w:val="480"/>
        </w:trPr>
        <w:tc>
          <w:tcPr>
            <w:tcW w:w="705"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414"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205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25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gridSpan w:val="2"/>
            <w:tcW w:w="729"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20"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88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r>
      <w:tr>
        <w:trPr>
          <w:trHeight w:val="480"/>
        </w:trPr>
        <w:tc>
          <w:tcPr>
            <w:tcW w:w="705"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414"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205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25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gridSpan w:val="2"/>
            <w:tcW w:w="729"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20"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88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r>
      <w:tr>
        <w:trPr>
          <w:trHeight w:val="480"/>
        </w:trPr>
        <w:tc>
          <w:tcPr>
            <w:tcW w:w="705"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414"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205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125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gridSpan w:val="2"/>
            <w:tcW w:w="729"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20"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712"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c>
          <w:tcPr>
            <w:tcW w:w="881" w:type="dxa"/>
            <w:vAlign w:val="center"/>
            <w:textDirection w:val="lrTb"/>
            <w:noWrap w:val="false"/>
          </w:tcPr>
          <w:p>
            <w:pPr>
              <w:pStyle w:val="659"/>
              <w:jc w:val="center"/>
              <w:spacing w:after="200" w:line="276" w:lineRule="auto"/>
              <w:widowControl/>
              <w:rPr>
                <w:rFonts w:ascii="宋体" w:hAnsi="宋体" w:eastAsia="宋体" w:cs="宋体"/>
                <w:bCs/>
                <w:sz w:val="21"/>
                <w:szCs w:val="21"/>
                <w:highlight w:val="none"/>
                <w:lang w:eastAsia="en-US"/>
              </w:rPr>
            </w:pPr>
            <w:r>
              <w:rPr>
                <w:rFonts w:ascii="宋体" w:hAnsi="宋体" w:eastAsia="宋体" w:cs="宋体"/>
                <w:bCs/>
                <w:sz w:val="21"/>
                <w:szCs w:val="21"/>
                <w:highlight w:val="none"/>
                <w:lang w:eastAsia="en-US"/>
              </w:rPr>
            </w:r>
            <w:r/>
          </w:p>
        </w:tc>
      </w:tr>
      <w:tr>
        <w:trPr>
          <w:trHeight w:val="561"/>
        </w:trPr>
        <w:tc>
          <w:tcPr>
            <w:gridSpan w:val="2"/>
            <w:tcW w:w="2119" w:type="dxa"/>
            <w:vAlign w:val="center"/>
            <w:textDirection w:val="lrTb"/>
            <w:noWrap w:val="false"/>
          </w:tcPr>
          <w:p>
            <w:pPr>
              <w:pStyle w:val="659"/>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投标总报价：</w:t>
            </w:r>
            <w:r>
              <w:rPr>
                <w:rFonts w:ascii="宋体" w:hAnsi="宋体" w:eastAsia="宋体" w:cs="宋体"/>
                <w:bCs/>
                <w:sz w:val="21"/>
                <w:szCs w:val="21"/>
                <w:highlight w:val="none"/>
                <w:lang w:eastAsia="en-US"/>
              </w:rPr>
            </w:r>
            <w:r/>
          </w:p>
        </w:tc>
        <w:tc>
          <w:tcPr>
            <w:gridSpan w:val="8"/>
            <w:tcW w:w="7056" w:type="dxa"/>
            <w:vAlign w:val="center"/>
            <w:textDirection w:val="lrTb"/>
            <w:noWrap w:val="false"/>
          </w:tcPr>
          <w:p>
            <w:pPr>
              <w:pStyle w:val="659"/>
              <w:spacing w:after="200" w:line="276" w:lineRule="auto"/>
              <w:widowControl/>
              <w:rPr>
                <w:rFonts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大写：元； 小写：               元</w:t>
            </w:r>
            <w:r>
              <w:rPr>
                <w:rFonts w:ascii="宋体" w:hAnsi="宋体" w:eastAsia="宋体" w:cs="宋体"/>
                <w:bCs/>
                <w:sz w:val="21"/>
                <w:szCs w:val="21"/>
                <w:highlight w:val="none"/>
                <w:lang w:eastAsia="en-US"/>
              </w:rPr>
            </w:r>
            <w:r/>
          </w:p>
        </w:tc>
      </w:tr>
    </w:tbl>
    <w:p>
      <w:pPr>
        <w:pStyle w:val="659"/>
        <w:jc w:val="both"/>
        <w:spacing w:after="0" w:line="499" w:lineRule="atLeast"/>
        <w:widowControl/>
        <w:rPr>
          <w:rFonts w:ascii="宋体" w:hAnsi="宋体" w:eastAsia="宋体" w:cs="宋体"/>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 </w:t>
      </w:r>
      <w:r>
        <w:rPr>
          <w:rFonts w:ascii="宋体" w:hAnsi="宋体" w:eastAsia="宋体" w:cs="宋体"/>
          <w:highlight w:val="none"/>
          <w:lang w:eastAsia="en-US"/>
        </w:rPr>
      </w:r>
      <w:r/>
    </w:p>
    <w:p>
      <w:pPr>
        <w:pStyle w:val="659"/>
        <w:jc w:val="both"/>
        <w:spacing w:after="0" w:line="499" w:lineRule="atLeast"/>
        <w:widowControl/>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注：1、本表报价的合计金额应与开标一览表报价一致</w:t>
      </w:r>
      <w:r>
        <w:rPr>
          <w:rFonts w:ascii="宋体" w:hAnsi="宋体" w:eastAsia="宋体" w:cs="宋体"/>
          <w:sz w:val="21"/>
          <w:szCs w:val="21"/>
          <w:highlight w:val="none"/>
          <w:lang w:eastAsia="zh-CN"/>
        </w:rPr>
      </w:r>
      <w:r/>
    </w:p>
    <w:p>
      <w:pPr>
        <w:pStyle w:val="659"/>
        <w:spacing w:after="0" w:line="499" w:lineRule="atLeast"/>
        <w:widowControl/>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r>
      <w:r/>
    </w:p>
    <w:p>
      <w:pPr>
        <w:pStyle w:val="659"/>
        <w:spacing w:after="0" w:line="499" w:lineRule="atLeast"/>
        <w:widowControl/>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投标单位：（公章）</w:t>
      </w:r>
      <w:r>
        <w:rPr>
          <w:rFonts w:ascii="宋体" w:hAnsi="宋体" w:eastAsia="宋体" w:cs="宋体"/>
          <w:sz w:val="21"/>
          <w:szCs w:val="21"/>
          <w:highlight w:val="none"/>
          <w:lang w:eastAsia="zh-CN"/>
        </w:rPr>
      </w:r>
      <w:r/>
    </w:p>
    <w:p>
      <w:pPr>
        <w:pStyle w:val="659"/>
        <w:spacing w:after="0" w:line="499" w:lineRule="atLeast"/>
        <w:widowControl/>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法定代表人或委托代理人（签字或盖章）： </w:t>
      </w:r>
      <w:r>
        <w:rPr>
          <w:rFonts w:ascii="宋体" w:hAnsi="宋体" w:eastAsia="宋体" w:cs="宋体"/>
          <w:color w:val="000000"/>
          <w:sz w:val="21"/>
          <w:szCs w:val="21"/>
          <w:highlight w:val="none"/>
          <w:lang w:eastAsia="zh-CN"/>
        </w:rPr>
      </w:r>
      <w:r/>
    </w:p>
    <w:p>
      <w:pPr>
        <w:pStyle w:val="659"/>
        <w:spacing w:after="0" w:line="499" w:lineRule="atLeast"/>
        <w:widowControl/>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日期： 年 月 日</w:t>
      </w:r>
      <w:r>
        <w:rPr>
          <w:rFonts w:ascii="宋体" w:hAnsi="宋体" w:eastAsia="宋体" w:cs="宋体"/>
          <w:sz w:val="21"/>
          <w:szCs w:val="21"/>
          <w:highlight w:val="none"/>
          <w:lang w:eastAsia="zh-CN"/>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jc w:val="center"/>
        <w:spacing w:after="200" w:line="276" w:lineRule="auto"/>
        <w:widowControl/>
        <w:rPr>
          <w:rFonts w:ascii="宋体" w:hAnsi="宋体" w:eastAsia="宋体" w:cs="宋体"/>
          <w:b/>
          <w:bCs/>
          <w:sz w:val="21"/>
          <w:szCs w:val="21"/>
          <w:highlight w:val="none"/>
          <w:lang w:eastAsia="zh-CN"/>
        </w:rPr>
      </w:pPr>
      <w:r>
        <w:rPr>
          <w:rFonts w:hint="eastAsia" w:ascii="宋体" w:hAnsi="宋体" w:eastAsia="宋体" w:cs="宋体"/>
          <w:b/>
          <w:sz w:val="21"/>
          <w:szCs w:val="21"/>
          <w:highlight w:val="none"/>
          <w:lang w:eastAsia="zh-CN"/>
        </w:rPr>
        <w:t xml:space="preserve">（二）投标报价合理性说明（如有）</w:t>
      </w:r>
      <w:r>
        <w:rPr>
          <w:rFonts w:ascii="宋体" w:hAnsi="宋体" w:eastAsia="宋体" w:cs="宋体"/>
          <w:b/>
          <w:bCs/>
          <w:sz w:val="21"/>
          <w:szCs w:val="21"/>
          <w:highlight w:val="none"/>
          <w:lang w:eastAsia="zh-CN"/>
        </w:rPr>
      </w:r>
      <w:r/>
    </w:p>
    <w:p>
      <w:pPr>
        <w:pStyle w:val="659"/>
        <w:spacing w:after="200" w:line="420" w:lineRule="exact"/>
        <w:widowControl/>
        <w:rPr>
          <w:rFonts w:ascii="宋体" w:hAnsi="宋体" w:eastAsia="宋体" w:cs="宋体"/>
          <w:b/>
          <w:sz w:val="21"/>
          <w:szCs w:val="21"/>
          <w:highlight w:val="none"/>
          <w:lang w:eastAsia="zh-CN"/>
        </w:rPr>
      </w:pPr>
      <w:r>
        <w:rPr>
          <w:rFonts w:ascii="宋体" w:hAnsi="宋体" w:eastAsia="宋体" w:cs="宋体"/>
          <w:b/>
          <w:sz w:val="21"/>
          <w:szCs w:val="21"/>
          <w:highlight w:val="none"/>
          <w:lang w:eastAsia="zh-CN"/>
        </w:rPr>
      </w:r>
      <w:r/>
    </w:p>
    <w:p>
      <w:pPr>
        <w:pStyle w:val="659"/>
        <w:spacing w:after="200" w:line="420" w:lineRule="exact"/>
        <w:widowControl/>
        <w:rPr>
          <w:rFonts w:ascii="宋体" w:hAnsi="宋体" w:eastAsia="Arial" w:cs="Times New Roman"/>
          <w:b/>
          <w:sz w:val="21"/>
          <w:szCs w:val="21"/>
          <w:highlight w:val="none"/>
          <w:lang w:eastAsia="zh-CN"/>
        </w:rPr>
      </w:pPr>
      <w:r>
        <w:rPr>
          <w:rFonts w:ascii="宋体" w:hAnsi="宋体" w:eastAsia="Arial" w:cs="Times New Roman"/>
          <w:b/>
          <w:sz w:val="21"/>
          <w:szCs w:val="21"/>
          <w:highlight w:val="none"/>
          <w:lang w:eastAsia="zh-CN"/>
        </w:rPr>
      </w:r>
      <w:r/>
    </w:p>
    <w:p>
      <w:pPr>
        <w:pStyle w:val="659"/>
        <w:ind w:firstLine="420"/>
        <w:spacing w:after="200" w:line="420" w:lineRule="exact"/>
        <w:widowControl/>
        <w:rPr>
          <w:rFonts w:ascii="宋体" w:hAnsi="宋体" w:eastAsia="Arial" w:cs="宋体"/>
          <w:b/>
          <w:sz w:val="21"/>
          <w:szCs w:val="21"/>
          <w:highlight w:val="none"/>
          <w:lang w:eastAsia="zh-CN"/>
        </w:rPr>
      </w:pPr>
      <w:r>
        <w:rPr>
          <w:rFonts w:hint="eastAsia" w:ascii="宋体" w:hAnsi="宋体" w:eastAsia="Arial" w:cs="宋体"/>
          <w:b/>
          <w:sz w:val="21"/>
          <w:szCs w:val="21"/>
          <w:highlight w:val="none"/>
          <w:lang w:eastAsia="zh-CN"/>
        </w:rPr>
        <w:t xml:space="preserve">注：根据</w:t>
      </w:r>
      <w:r>
        <w:rPr>
          <w:rFonts w:hint="eastAsia" w:ascii="宋体" w:hAnsi="宋体" w:eastAsia="宋体" w:cs="微软雅黑"/>
          <w:b/>
          <w:sz w:val="21"/>
          <w:szCs w:val="21"/>
          <w:highlight w:val="none"/>
          <w:lang w:eastAsia="zh-CN"/>
        </w:rPr>
        <w:t xml:space="preserve">财政部《关于推动解决政府采购异常低价问题的通知》（财库〔</w:t>
      </w:r>
      <w:r>
        <w:rPr>
          <w:rFonts w:ascii="宋体" w:hAnsi="宋体" w:eastAsia="宋体" w:cs="Times New Roman"/>
          <w:b/>
          <w:sz w:val="21"/>
          <w:szCs w:val="21"/>
          <w:highlight w:val="none"/>
          <w:lang w:eastAsia="zh-CN"/>
        </w:rPr>
        <w:t xml:space="preserve">2026</w:t>
      </w:r>
      <w:r>
        <w:rPr>
          <w:rFonts w:hint="eastAsia" w:ascii="宋体" w:hAnsi="宋体" w:eastAsia="宋体" w:cs="微软雅黑"/>
          <w:b/>
          <w:sz w:val="21"/>
          <w:szCs w:val="21"/>
          <w:highlight w:val="none"/>
          <w:lang w:eastAsia="zh-CN"/>
        </w:rPr>
        <w:t xml:space="preserve">〕</w:t>
      </w:r>
      <w:r>
        <w:rPr>
          <w:rFonts w:hint="eastAsia" w:ascii="宋体" w:hAnsi="宋体" w:eastAsia="宋体" w:cs="Times New Roman"/>
          <w:b/>
          <w:sz w:val="21"/>
          <w:szCs w:val="21"/>
          <w:highlight w:val="none"/>
          <w:lang w:eastAsia="zh-CN"/>
        </w:rPr>
        <w:t xml:space="preserve">2号</w:t>
      </w:r>
      <w:r>
        <w:rPr>
          <w:rFonts w:hint="eastAsia" w:ascii="宋体" w:hAnsi="宋体" w:eastAsia="宋体" w:cs="微软雅黑"/>
          <w:b/>
          <w:sz w:val="21"/>
          <w:szCs w:val="21"/>
          <w:highlight w:val="none"/>
          <w:lang w:eastAsia="zh-CN"/>
        </w:rPr>
        <w:t xml:space="preserve">）</w:t>
      </w:r>
      <w:r>
        <w:rPr>
          <w:rFonts w:hint="eastAsia" w:ascii="宋体" w:hAnsi="宋体" w:eastAsia="Arial" w:cs="宋体"/>
          <w:b/>
          <w:sz w:val="21"/>
          <w:szCs w:val="21"/>
          <w:highlight w:val="none"/>
          <w:lang w:eastAsia="zh-CN"/>
        </w:rPr>
        <w:t xml:space="preserve"> ，若投标人的投标（响应）报价满足以下任一条件：</w:t>
      </w:r>
      <w:r>
        <w:rPr>
          <w:rFonts w:ascii="宋体" w:hAnsi="宋体" w:eastAsia="Arial" w:cs="宋体"/>
          <w:b/>
          <w:sz w:val="21"/>
          <w:szCs w:val="21"/>
          <w:highlight w:val="none"/>
          <w:lang w:eastAsia="zh-CN"/>
        </w:rPr>
      </w:r>
      <w:r/>
    </w:p>
    <w:p>
      <w:pPr>
        <w:pStyle w:val="659"/>
        <w:ind w:firstLine="420"/>
        <w:spacing w:after="200" w:line="420" w:lineRule="exact"/>
        <w:widowControl/>
        <w:rPr>
          <w:rFonts w:ascii="宋体" w:hAnsi="宋体" w:eastAsia="Arial" w:cs="宋体"/>
          <w:b/>
          <w:sz w:val="21"/>
          <w:szCs w:val="21"/>
          <w:highlight w:val="none"/>
          <w:lang w:eastAsia="zh-CN"/>
        </w:rPr>
      </w:pPr>
      <w:r>
        <w:rPr>
          <w:rFonts w:hint="eastAsia" w:ascii="宋体" w:hAnsi="宋体" w:eastAsia="Arial" w:cs="宋体"/>
          <w:b/>
          <w:sz w:val="21"/>
          <w:szCs w:val="21"/>
          <w:highlight w:val="none"/>
          <w:lang w:eastAsia="zh-CN"/>
        </w:rPr>
        <w:t xml:space="preserve">1）</w:t>
      </w:r>
      <w:r>
        <w:rPr>
          <w:rFonts w:ascii="宋体" w:hAnsi="宋体" w:eastAsia="宋体" w:cs="宋体"/>
          <w:b/>
          <w:bCs/>
          <w:sz w:val="21"/>
          <w:szCs w:val="21"/>
          <w:highlight w:val="none"/>
          <w:lang w:eastAsia="zh-CN"/>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b/>
          <w:bCs/>
          <w:sz w:val="21"/>
          <w:szCs w:val="21"/>
          <w:highlight w:val="none"/>
          <w:lang w:eastAsia="zh-CN"/>
        </w:rPr>
        <w:br w:type="textWrapping" w:clear="all"/>
      </w:r>
      <w:r>
        <w:rPr>
          <w:rFonts w:hint="eastAsia" w:ascii="宋体" w:hAnsi="宋体" w:eastAsia="Arial" w:cs="宋体"/>
          <w:b/>
          <w:sz w:val="21"/>
          <w:szCs w:val="21"/>
          <w:highlight w:val="none"/>
          <w:lang w:eastAsia="zh-CN"/>
        </w:rPr>
        <w:t xml:space="preserve">；</w:t>
      </w:r>
      <w:r>
        <w:rPr>
          <w:rFonts w:ascii="宋体" w:hAnsi="宋体" w:eastAsia="Arial" w:cs="宋体"/>
          <w:b/>
          <w:sz w:val="21"/>
          <w:szCs w:val="21"/>
          <w:highlight w:val="none"/>
          <w:lang w:eastAsia="zh-CN"/>
        </w:rPr>
      </w:r>
      <w:r/>
    </w:p>
    <w:p>
      <w:pPr>
        <w:pStyle w:val="659"/>
        <w:ind w:firstLine="420"/>
        <w:spacing w:after="200" w:line="420" w:lineRule="exact"/>
        <w:widowControl/>
        <w:rPr>
          <w:rFonts w:ascii="宋体" w:hAnsi="宋体" w:eastAsia="宋体" w:cs="宋体"/>
          <w:b/>
          <w:sz w:val="21"/>
          <w:szCs w:val="21"/>
          <w:highlight w:val="none"/>
          <w:lang w:eastAsia="zh-CN"/>
        </w:rPr>
      </w:pPr>
      <w:r>
        <w:rPr>
          <w:rFonts w:hint="eastAsia" w:ascii="宋体" w:hAnsi="宋体" w:eastAsia="Arial" w:cs="宋体"/>
          <w:b/>
          <w:sz w:val="21"/>
          <w:szCs w:val="21"/>
          <w:highlight w:val="none"/>
          <w:lang w:eastAsia="zh-CN"/>
        </w:rPr>
        <w:t xml:space="preserve">2）</w:t>
      </w:r>
      <w:r>
        <w:rPr>
          <w:rFonts w:ascii="宋体" w:hAnsi="宋体" w:eastAsia="宋体" w:cs="宋体"/>
          <w:b/>
          <w:bCs/>
          <w:sz w:val="21"/>
          <w:szCs w:val="21"/>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Arial" w:cs="宋体"/>
          <w:b/>
          <w:sz w:val="21"/>
          <w:szCs w:val="21"/>
          <w:highlight w:val="none"/>
          <w:lang w:eastAsia="zh-CN"/>
        </w:rPr>
        <w:t xml:space="preserve">；</w:t>
      </w:r>
      <w:r>
        <w:rPr>
          <w:rFonts w:ascii="宋体" w:hAnsi="宋体" w:eastAsia="宋体" w:cs="宋体"/>
          <w:b/>
          <w:sz w:val="21"/>
          <w:szCs w:val="21"/>
          <w:highlight w:val="none"/>
          <w:lang w:eastAsia="zh-CN"/>
        </w:rPr>
      </w:r>
      <w:r/>
    </w:p>
    <w:p>
      <w:pPr>
        <w:pStyle w:val="659"/>
        <w:ind w:firstLine="420"/>
        <w:spacing w:after="200" w:line="420" w:lineRule="exact"/>
        <w:widowControl/>
        <w:rPr>
          <w:rFonts w:ascii="宋体" w:hAnsi="宋体" w:eastAsia="Arial" w:cs="宋体"/>
          <w:b/>
          <w:sz w:val="24"/>
          <w:highlight w:val="none"/>
          <w:lang w:eastAsia="zh-CN"/>
        </w:rPr>
      </w:pPr>
      <w:r>
        <w:rPr>
          <w:rFonts w:hint="eastAsia" w:ascii="宋体" w:hAnsi="宋体" w:eastAsia="Arial" w:cs="宋体"/>
          <w:b/>
          <w:bCs/>
          <w:sz w:val="21"/>
          <w:szCs w:val="21"/>
          <w:highlight w:val="none"/>
          <w:lang w:eastAsia="zh-CN"/>
        </w:rPr>
        <w:t xml:space="preserve">3）</w:t>
      </w:r>
      <w:r>
        <w:rPr>
          <w:rFonts w:ascii="宋体" w:hAnsi="宋体" w:eastAsia="宋体" w:cs="宋体"/>
          <w:b/>
          <w:bCs/>
          <w:sz w:val="21"/>
          <w:szCs w:val="21"/>
          <w:highlight w:val="none"/>
          <w:lang w:eastAsia="zh-CN"/>
        </w:rPr>
        <w:t xml:space="preserve">投标（响应）报价低于采购项目最高限价45%的，即投标（响应）报价&lt;采购项目最高限价×45%；</w:t>
      </w:r>
      <w:r>
        <w:rPr>
          <w:rFonts w:ascii="宋体" w:hAnsi="宋体" w:eastAsia="宋体" w:cs="宋体"/>
          <w:b/>
          <w:bCs/>
          <w:sz w:val="21"/>
          <w:szCs w:val="21"/>
          <w:highlight w:val="none"/>
          <w:lang w:eastAsia="zh-CN"/>
        </w:rPr>
        <w:br w:type="textWrapping" w:clear="all"/>
      </w:r>
      <w:r>
        <w:rPr>
          <w:rFonts w:hint="eastAsia" w:ascii="宋体" w:hAnsi="宋体" w:eastAsia="宋体" w:cs="宋体"/>
          <w:b/>
          <w:bCs/>
          <w:sz w:val="21"/>
          <w:szCs w:val="21"/>
          <w:highlight w:val="none"/>
          <w:lang w:eastAsia="zh-CN"/>
        </w:rPr>
        <w:t xml:space="preserve">   </w:t>
      </w:r>
      <w:r>
        <w:rPr>
          <w:rFonts w:hint="eastAsia" w:ascii="宋体" w:hAnsi="宋体" w:eastAsia="Arial" w:cs="宋体"/>
          <w:b/>
          <w:bCs/>
          <w:sz w:val="21"/>
          <w:szCs w:val="21"/>
          <w:highlight w:val="none"/>
          <w:lang w:eastAsia="zh-CN"/>
        </w:rPr>
        <w:t xml:space="preserve">4）</w:t>
      </w:r>
      <w:r>
        <w:rPr>
          <w:rFonts w:ascii="宋体" w:hAnsi="宋体" w:eastAsia="宋体" w:cs="宋体"/>
          <w:b/>
          <w:bCs/>
          <w:sz w:val="21"/>
          <w:szCs w:val="21"/>
          <w:highlight w:val="none"/>
          <w:lang w:eastAsia="zh-CN"/>
        </w:rPr>
        <w:t xml:space="preserve">评审委员会基于专业判断，认为供应商报价过低，有可能影响产品质量或者不能诚信履约的其他情形。</w:t>
      </w:r>
      <w:r>
        <w:rPr>
          <w:rFonts w:ascii="宋体" w:hAnsi="宋体" w:eastAsia="宋体" w:cs="宋体"/>
          <w:b/>
          <w:bCs/>
          <w:sz w:val="21"/>
          <w:szCs w:val="21"/>
          <w:highlight w:val="none"/>
          <w:lang w:eastAsia="zh-CN"/>
        </w:rPr>
        <w:br w:type="textWrapping" w:clear="all"/>
      </w:r>
      <w:r>
        <w:rPr>
          <w:rFonts w:hint="eastAsia" w:ascii="宋体" w:hAnsi="宋体" w:eastAsia="Arial" w:cs="宋体"/>
          <w:b/>
          <w:bCs/>
          <w:sz w:val="21"/>
          <w:szCs w:val="21"/>
          <w:highlight w:val="none"/>
          <w:lang w:eastAsia="zh-CN"/>
        </w:rPr>
        <w:t xml:space="preserve">    </w:t>
      </w:r>
      <w:r>
        <w:rPr>
          <w:rFonts w:ascii="宋体" w:hAnsi="宋体" w:eastAsia="宋体" w:cs="宋体"/>
          <w:b/>
          <w:bCs/>
          <w:sz w:val="21"/>
          <w:szCs w:val="21"/>
          <w:highlight w:val="none"/>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1"/>
          <w:szCs w:val="21"/>
          <w:highlight w:val="none"/>
          <w:lang w:eastAsia="zh-CN"/>
        </w:rPr>
        <w:br w:type="textWrapping" w:clear="all"/>
      </w:r>
      <w:r>
        <w:rPr>
          <w:rFonts w:ascii="宋体" w:hAnsi="宋体" w:eastAsia="Arial" w:cs="宋体"/>
          <w:b/>
          <w:sz w:val="24"/>
          <w:highlight w:val="none"/>
          <w:lang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numPr>
          <w:ilvl w:val="0"/>
          <w:numId w:val="0"/>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关于资格文件的声明函</w:t>
      </w:r>
      <w:r>
        <w:rPr>
          <w:rFonts w:hint="eastAsia" w:ascii="宋体" w:hAnsi="宋体" w:eastAsia="宋体" w:cs="宋体"/>
          <w:b/>
          <w:bCs/>
          <w:color w:val="000000"/>
          <w:sz w:val="21"/>
          <w:szCs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关于资格文件的声明函</w:t>
      </w:r>
      <w:r>
        <w:rPr>
          <w:rFonts w:hint="eastAsia" w:ascii="宋体" w:hAnsi="宋体" w:eastAsia="宋体" w:cs="宋体"/>
          <w:b/>
          <w:bCs/>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苏州时凯项目管理咨询有限公司：</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本公司愿就由贵单位组织实施的编号为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投标日期：     年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val="en-US" w:eastAsia="zh-CN"/>
        </w:rPr>
        <w:t xml:space="preserve">承诺</w:t>
      </w:r>
      <w:r>
        <w:rPr>
          <w:rFonts w:hint="eastAsia" w:ascii="宋体" w:hAnsi="宋体" w:eastAsia="宋体" w:cs="宋体"/>
          <w:b/>
          <w:bCs/>
          <w:color w:val="000000"/>
          <w:sz w:val="21"/>
          <w:szCs w:val="21"/>
          <w:highlight w:val="none"/>
        </w:rPr>
        <w:t xml:space="preserve">函</w:t>
      </w:r>
      <w:r>
        <w:rPr>
          <w:rFonts w:hint="eastAsia" w:ascii="宋体" w:hAnsi="宋体" w:eastAsia="宋体" w:cs="宋体"/>
          <w:b/>
          <w:bCs/>
          <w:color w:val="000000"/>
          <w:sz w:val="21"/>
          <w:szCs w:val="21"/>
          <w:highlight w:val="none"/>
        </w:rPr>
      </w:r>
      <w:r/>
    </w:p>
    <w:p>
      <w:pPr>
        <w:pStyle w:val="6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苏州时凯项目管理咨询有限公司：</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我们收到贵单位</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 w:val="24"/>
          <w:szCs w:val="24"/>
          <w:highlight w:val="none"/>
        </w:rPr>
        <w:t xml:space="preserve">招标文件（项目编号：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），经仔细阅读和研究，我们决定参加投标。</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1、我们愿意按照招标文件的一切要求，提供包括完成该项目全部内容的设备、材料及人工、机械、保险、劳保、各种税费以及质保期间的一切费用。</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2、如果我们的投标书被接受，我们将严格履行招标文件中规定的每一项要求，按期、按质、按量履行合同的义务。</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3、我们同意按招标文件中的规定，本投标书的有效期限为开标后</w:t>
      </w:r>
      <w:r>
        <w:rPr>
          <w:rFonts w:hint="eastAsia" w:ascii="宋体" w:hAnsi="宋体" w:eastAsia="宋体" w:cs="宋体"/>
          <w:color w:val="000000"/>
          <w:sz w:val="24"/>
          <w:szCs w:val="24"/>
          <w:highlight w:val="none"/>
          <w:u w:val="single"/>
        </w:rPr>
        <w:t xml:space="preserve"> 90 </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4、我们愿意提供招标方在招标文件中要求的所有资料。</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5、我们认为你们有权决定中标者，还认为你们有权接受或拒绝所有的投标者。</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6、我们完全理解贵方不一定要接受最低报价的投标或收到的任何投标。</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7、我们承诺该项投标在开标后的全过程中保持有效，不作任何更改和变动。</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8、如果中标，我们同意并知晓中标通知书发出方式及发出时间，遵守招标文件和中标通知书规定，在指定时间和地点和采购人签订合同。</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9、综合说明：</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（3）对招标文件有不同意见的偏离说明；</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（4）其它说明。</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所有有关标书的函电，请按下列地址联系：</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法定代表人或授权代理人（签字或盖章）</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投标日期：年     月     日</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、参加政府采购活动前三年内，在经营活动中没有重大违法记录声明</w:t>
      </w:r>
      <w:r>
        <w:rPr>
          <w:rFonts w:hint="eastAsia" w:ascii="宋体" w:hAnsi="宋体" w:eastAsia="宋体" w:cs="宋体"/>
          <w:b/>
          <w:bCs/>
          <w:color w:val="000000"/>
          <w:sz w:val="21"/>
          <w:szCs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参加政府采购活动前三年内，在经营活动中没有重大违法记录声明</w:t>
      </w:r>
      <w:r>
        <w:rPr>
          <w:rFonts w:hint="eastAsia" w:ascii="宋体" w:hAnsi="宋体" w:eastAsia="宋体" w:cs="宋体"/>
          <w:b/>
          <w:bCs/>
          <w:color w:val="000000"/>
          <w:sz w:val="28"/>
          <w:szCs w:val="28"/>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致：苏州时凯项目管理咨询有限公司：</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color w:val="000000"/>
          <w:sz w:val="24"/>
          <w:szCs w:val="24"/>
          <w:highlight w:val="none"/>
        </w:rPr>
        <w:t xml:space="preserve">在参加政府采购活动前三年内，没有重大违法记录，特此声明。</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若采购代理机构在本项目采购过程中发现我单位近三年内在经营活动中有重大违法记录，我单位将无条件退出本项目的招标，并承担因此引起的一切后果。</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   </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投标日期：  年   月   日  </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投标单位情况表</w:t>
      </w:r>
      <w:r>
        <w:rPr>
          <w:rFonts w:hint="eastAsia" w:ascii="宋体" w:hAnsi="宋体" w:eastAsia="宋体" w:cs="宋体"/>
          <w:b/>
          <w:bCs/>
          <w:color w:val="000000"/>
          <w:sz w:val="21"/>
          <w:szCs w:val="21"/>
          <w:highlight w:val="none"/>
        </w:rPr>
      </w:r>
      <w:r/>
    </w:p>
    <w:p>
      <w:pPr>
        <w:pStyle w:val="6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投标单位情况表</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rPr>
      </w:r>
      <w:r/>
    </w:p>
    <w:tbl>
      <w:tblPr>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2552"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119"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2552"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119"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708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2552"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11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2552"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119"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2552" w:type="dxa"/>
            <w:vAlign w:val="center"/>
            <w:textDirection w:val="lrTb"/>
            <w:noWrap w:val="false"/>
          </w:tcPr>
          <w:p>
            <w:pPr>
              <w:pStyle w:val="659"/>
              <w:ind w:firstLine="84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119"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tcW w:w="2552"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119"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2552"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平方米</w:t>
            </w:r>
            <w:r>
              <w:rPr>
                <w:rFonts w:hint="eastAsia" w:ascii="宋体" w:hAnsi="宋体" w:eastAsia="宋体" w:cs="宋体"/>
                <w:color w:val="000000"/>
                <w:sz w:val="21"/>
                <w:szCs w:val="21"/>
                <w:highlight w:val="none"/>
              </w:rPr>
            </w:r>
            <w:r/>
          </w:p>
        </w:tc>
        <w:tc>
          <w:tcPr>
            <w:tcW w:w="1417"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119"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tc>
        <w:tc>
          <w:tcPr>
            <w:gridSpan w:val="4"/>
            <w:tcW w:w="708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tc>
        <w:tc>
          <w:tcPr>
            <w:gridSpan w:val="4"/>
            <w:tcW w:w="708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近两年来完成或正在履行的重大合同情况</w:t>
            </w:r>
            <w:r>
              <w:rPr>
                <w:rFonts w:hint="eastAsia" w:ascii="宋体" w:hAnsi="宋体" w:eastAsia="宋体" w:cs="宋体"/>
                <w:color w:val="000000"/>
                <w:sz w:val="21"/>
                <w:szCs w:val="21"/>
                <w:highlight w:val="none"/>
              </w:rPr>
            </w:r>
            <w:r/>
          </w:p>
        </w:tc>
        <w:tc>
          <w:tcPr>
            <w:gridSpan w:val="4"/>
            <w:tcW w:w="708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最近2年内在经营过程中受到何种奖励或处分（包括情况和结果）</w:t>
            </w:r>
            <w:r>
              <w:rPr>
                <w:rFonts w:hint="eastAsia" w:ascii="宋体" w:hAnsi="宋体" w:eastAsia="宋体" w:cs="宋体"/>
                <w:color w:val="000000"/>
                <w:sz w:val="21"/>
                <w:szCs w:val="21"/>
                <w:highlight w:val="none"/>
              </w:rPr>
            </w:r>
            <w:r/>
          </w:p>
        </w:tc>
        <w:tc>
          <w:tcPr>
            <w:gridSpan w:val="4"/>
            <w:tcW w:w="708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最近3年内有无因售假、售劣或是其他原因被消费者投诉或起诉的情况及说明（包括解决方式和结果）</w:t>
            </w:r>
            <w:r>
              <w:rPr>
                <w:rFonts w:hint="eastAsia" w:ascii="宋体" w:hAnsi="宋体" w:eastAsia="宋体" w:cs="宋体"/>
                <w:color w:val="000000"/>
                <w:sz w:val="21"/>
                <w:szCs w:val="21"/>
                <w:highlight w:val="none"/>
              </w:rPr>
            </w:r>
            <w:r/>
          </w:p>
        </w:tc>
        <w:tc>
          <w:tcPr>
            <w:gridSpan w:val="4"/>
            <w:tcW w:w="708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708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708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24"/>
        </w:trPr>
        <w:tc>
          <w:tcPr>
            <w:tcW w:w="226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7088"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、授权委托书 （如有</w:t>
      </w:r>
      <w:r>
        <w:rPr>
          <w:rFonts w:hint="eastAsia" w:ascii="宋体" w:hAnsi="宋体" w:eastAsia="宋体" w:cs="宋体"/>
          <w:b/>
          <w:bCs/>
          <w:color w:val="000000"/>
          <w:sz w:val="21"/>
          <w:szCs w:val="21"/>
          <w:highlight w:val="none"/>
          <w:lang w:val="en-US" w:eastAsia="zh-CN"/>
        </w:rPr>
        <w:t xml:space="preserve">授权</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（姓名）为我公司代理人，以本公司的名义参加苏州时凯项目管理咨询有限公司组织实施的编号为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号的招标活动。代理人在开标、评标、合同谈判过程中所签署的一切文件和处理与这有关的一切事务，我均予以承认。</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授权代理人：（签字或盖章）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投标日期：年   月   日</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widowControl/>
        <w:rPr>
          <w:rFonts w:hint="eastAsia" w:ascii="宋体" w:hAnsi="宋体" w:eastAsia="宋体" w:cs="宋体"/>
          <w:b/>
          <w:color w:val="000000"/>
          <w:sz w:val="24"/>
          <w:szCs w:val="24"/>
          <w:highlight w:val="none"/>
          <w:lang w:val="en-US" w:eastAsia="zh-CN"/>
        </w:rPr>
      </w:pPr>
      <w:r/>
      <w:bookmarkStart w:id="27" w:name="_Toc25556"/>
      <w:r/>
      <w:bookmarkStart w:id="28" w:name="_Toc30046"/>
      <w:r/>
      <w:bookmarkStart w:id="29" w:name="_Toc25055"/>
      <w:r/>
      <w:bookmarkStart w:id="30" w:name="_Toc11973"/>
      <w:r/>
      <w:bookmarkStart w:id="31" w:name="_Toc7351"/>
      <w:r/>
      <w:bookmarkStart w:id="32" w:name="_Toc4786"/>
      <w:r/>
      <w:bookmarkStart w:id="33" w:name="_Toc6794"/>
      <w:r/>
      <w:bookmarkStart w:id="34" w:name="_Toc11337"/>
      <w:r/>
      <w:bookmarkStart w:id="35" w:name="_Toc18588"/>
      <w:r>
        <w:rPr>
          <w:rFonts w:hint="eastAsia" w:ascii="宋体" w:hAnsi="宋体" w:eastAsia="宋体" w:cs="宋体"/>
          <w:b/>
          <w:color w:val="000000"/>
          <w:sz w:val="24"/>
          <w:szCs w:val="24"/>
          <w:highlight w:val="none"/>
        </w:rPr>
        <w:t xml:space="preserve">附：法定代表人身份证复印件</w:t>
      </w:r>
      <w:bookmarkEnd w:id="27"/>
      <w:r/>
      <w:bookmarkEnd w:id="28"/>
      <w:r/>
      <w:bookmarkEnd w:id="29"/>
      <w:r/>
      <w:bookmarkEnd w:id="30"/>
      <w:r/>
      <w:bookmarkEnd w:id="31"/>
      <w:r/>
      <w:bookmarkEnd w:id="32"/>
      <w:r/>
      <w:bookmarkEnd w:id="33"/>
      <w:r/>
      <w:bookmarkEnd w:id="34"/>
      <w:r/>
      <w:bookmarkEnd w:id="35"/>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r>
      <w:r/>
    </w:p>
    <w:p>
      <w:pPr>
        <w:pStyle w:val="659"/>
        <w:ind w:firstLine="0"/>
        <w:spacing w:line="360" w:lineRule="auto"/>
        <w:widowControl w:val="off"/>
        <w:rPr>
          <w:rFonts w:hint="eastAsia" w:ascii="宋体" w:hAnsi="宋体" w:eastAsia="宋体" w:cs="宋体"/>
          <w:b/>
          <w:color w:val="000000"/>
          <w:sz w:val="24"/>
          <w:szCs w:val="24"/>
          <w:highlight w:val="none"/>
          <w:lang w:val="en-US" w:eastAsia="zh-CN" w:bidi="ar-SA"/>
        </w:rPr>
        <w:outlineLvl w:val="0"/>
      </w:pPr>
      <w:r>
        <w:rPr>
          <w:rFonts w:hint="eastAsia" w:ascii="宋体" w:hAnsi="宋体" w:eastAsia="宋体" w:cs="宋体"/>
          <w:b/>
          <w:color w:val="000000"/>
          <w:sz w:val="24"/>
          <w:szCs w:val="24"/>
          <w:highlight w:val="none"/>
          <w:lang w:val="en-US" w:eastAsia="zh-CN" w:bidi="ar-SA"/>
        </w:rPr>
      </w:r>
      <w:r/>
    </w:p>
    <w:p>
      <w:pPr>
        <w:pStyle w:val="659"/>
        <w:ind w:firstLine="0"/>
        <w:spacing w:line="360" w:lineRule="auto"/>
        <w:widowControl w:val="off"/>
        <w:rPr>
          <w:rFonts w:hint="eastAsia" w:ascii="宋体" w:hAnsi="宋体" w:eastAsia="宋体" w:cs="宋体"/>
          <w:b/>
          <w:color w:val="000000"/>
          <w:sz w:val="24"/>
          <w:szCs w:val="24"/>
          <w:highlight w:val="none"/>
          <w:lang w:val="en-US" w:eastAsia="zh-CN" w:bidi="ar-SA"/>
        </w:rPr>
        <w:outlineLvl w:val="0"/>
      </w:pPr>
      <w:r>
        <w:rPr>
          <w:rFonts w:hint="eastAsia" w:ascii="宋体" w:hAnsi="宋体" w:eastAsia="宋体" w:cs="宋体"/>
          <w:b/>
          <w:color w:val="000000"/>
          <w:sz w:val="24"/>
          <w:szCs w:val="24"/>
          <w:highlight w:val="none"/>
          <w:lang w:val="en-US" w:eastAsia="zh-CN" w:bidi="ar-SA"/>
        </w:rPr>
      </w:r>
      <w:r/>
    </w:p>
    <w:p>
      <w:pPr>
        <w:pStyle w:val="659"/>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b/>
          <w:color w:val="000000"/>
          <w:sz w:val="24"/>
          <w:szCs w:val="24"/>
          <w:highlight w:val="none"/>
        </w:rPr>
        <w:t xml:space="preserve">附：代理人身份证复印件</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如有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1"/>
          <w:szCs w:val="21"/>
          <w:highlight w:val="none"/>
          <w:lang w:val="zh-CN" w:eastAsia="zh-CN"/>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、服务要求偏离表</w:t>
      </w:r>
      <w:r>
        <w:rPr>
          <w:rFonts w:hint="eastAsia" w:ascii="宋体" w:hAnsi="宋体" w:eastAsia="宋体" w:cs="宋体"/>
          <w:b/>
          <w:bCs/>
          <w:color w:val="000000"/>
          <w:sz w:val="21"/>
          <w:szCs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服务要求偏离表</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内容</w:t>
            </w: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w:t>
            </w:r>
            <w:r>
              <w:rPr>
                <w:rFonts w:hint="eastAsia" w:ascii="宋体" w:hAnsi="宋体" w:eastAsia="宋体" w:cs="宋体"/>
                <w:color w:val="000000"/>
                <w:highlight w:val="none"/>
              </w:rPr>
            </w:r>
            <w:r/>
          </w:p>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技术要求</w:t>
            </w: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投标文件</w:t>
            </w:r>
            <w:r>
              <w:rPr>
                <w:rFonts w:hint="eastAsia" w:ascii="宋体" w:hAnsi="宋体" w:eastAsia="宋体" w:cs="宋体"/>
                <w:color w:val="000000"/>
                <w:highlight w:val="none"/>
              </w:rPr>
            </w:r>
            <w:r/>
          </w:p>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响应要求</w:t>
            </w: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偏离情况</w:t>
            </w: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1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注：1.投标人应在本表中对照招标文件技术要求与实际投标技术要求逐项对应列出，并在“偏离说明”项下填写以下内容：优于的，填写“正偏离”；符合的，填写“无偏离”；低于的，填写“负偏离”。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2、对有具体参数要求的指标，投标单位必须提供所投产品的具体参数值，而不应以“全部符合”等字样来响应，否则将承担其投标被拒绝的风险。</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4"/>
          <w:szCs w:val="24"/>
          <w:highlight w:val="none"/>
        </w:rPr>
        <w:t xml:space="preserve">3.若事项较多，投标人可根据投标内容的实际情况另纸说明，不列出视为完全响应。</w:t>
      </w:r>
      <w:r>
        <w:rPr>
          <w:rFonts w:hint="eastAsia" w:ascii="宋体" w:hAnsi="宋体" w:eastAsia="宋体" w:cs="宋体"/>
          <w:color w:val="000000"/>
          <w:sz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投标单位：（公章）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、商务偏离表</w:t>
      </w:r>
      <w:r>
        <w:rPr>
          <w:rFonts w:hint="eastAsia" w:ascii="宋体" w:hAnsi="宋体" w:eastAsia="宋体" w:cs="宋体"/>
          <w:b/>
          <w:bCs/>
          <w:color w:val="000000"/>
          <w:sz w:val="21"/>
          <w:szCs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内容</w:t>
            </w: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招标文件的商务条款</w:t>
            </w: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投标文件的商务条款</w:t>
            </w: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偏离说明</w:t>
            </w: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cantSplit/>
          <w:trHeight w:val="567"/>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服务期限</w:t>
            </w:r>
            <w:r>
              <w:rPr>
                <w:rFonts w:hint="eastAsia" w:ascii="宋体" w:hAnsi="宋体" w:eastAsia="宋体" w:cs="宋体"/>
                <w:color w:val="000000"/>
                <w:highlight w:val="none"/>
                <w:lang w:val="zh-CN"/>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67"/>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服务地点</w:t>
            </w:r>
            <w:r>
              <w:rPr>
                <w:rFonts w:hint="eastAsia" w:ascii="宋体" w:hAnsi="宋体" w:eastAsia="宋体" w:cs="宋体"/>
                <w:color w:val="000000"/>
                <w:highlight w:val="none"/>
                <w:lang w:val="zh-CN"/>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67"/>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付款方式</w:t>
            </w:r>
            <w:r>
              <w:rPr>
                <w:rFonts w:hint="eastAsia" w:ascii="宋体" w:hAnsi="宋体" w:eastAsia="宋体" w:cs="宋体"/>
                <w:color w:val="000000"/>
                <w:highlight w:val="none"/>
                <w:lang w:val="zh-CN"/>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67"/>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其他商务要求</w:t>
            </w: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67"/>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67"/>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67"/>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67"/>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67"/>
        </w:trPr>
        <w:tc>
          <w:tcPr>
            <w:tcW w:w="73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13" w:type="dxa"/>
            <w:vAlign w:val="center"/>
            <w:textDirection w:val="lrTb"/>
            <w:noWrap w:val="false"/>
          </w:tcPr>
          <w:p>
            <w:pPr>
              <w:pStyle w:val="659"/>
              <w:jc w:val="center"/>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c>
        <w:tc>
          <w:tcPr>
            <w:tcW w:w="195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4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78"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1.投标人提交的投标文件中与招标文件的技术、商务部分的要求有不同时，应在本表中把招标文件要求与投标实际响应内容逐项对应列出，优于的，填写“正偏离”；低于的，填写“负偏离”。</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2.若事项较多，投标人可根据投标内容的实际情况另纸说明，不列出视为完全响应。</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投标单位：（公章）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投标日期:  年  月   日</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10、总体技术方案</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投标人根据项目需求编写针对本项目的总体技术方案</w:t>
      </w:r>
      <w:r>
        <w:rPr>
          <w:rFonts w:hint="eastAsia" w:ascii="宋体" w:hAnsi="宋体" w:eastAsia="宋体" w:cs="宋体"/>
          <w:b w:val="0"/>
          <w:bCs w:val="0"/>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11、项目实施方案及进度保障措施</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rPr>
      </w:r>
      <w:r/>
    </w:p>
    <w:p>
      <w:pPr>
        <w:pStyle w:val="659"/>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投标人根据项目需求编写针对本项目的项目实施方案及进度保障措施</w:t>
      </w:r>
      <w:r>
        <w:rPr>
          <w:rFonts w:hint="eastAsia" w:ascii="宋体" w:hAnsi="宋体" w:eastAsia="宋体" w:cs="宋体"/>
          <w:b w:val="0"/>
          <w:bCs w:val="0"/>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12、质量保证措施及承诺</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投标人根据项目需求编写针对本项目的质量保证措施及承诺</w:t>
      </w:r>
      <w:r>
        <w:rPr>
          <w:rFonts w:hint="eastAsia" w:ascii="宋体" w:hAnsi="宋体" w:eastAsia="宋体" w:cs="宋体"/>
          <w:b w:val="0"/>
          <w:bCs w:val="0"/>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13、售后服务方案</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投标人根据项目需求编写针对本项目的售后服务方案</w:t>
      </w:r>
      <w:r>
        <w:rPr>
          <w:rFonts w:hint="eastAsia" w:ascii="宋体" w:hAnsi="宋体" w:eastAsia="宋体" w:cs="宋体"/>
          <w:b w:val="0"/>
          <w:bCs w:val="0"/>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9"/>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14、培训服务方案</w:t>
      </w:r>
      <w:r>
        <w:rPr>
          <w:rFonts w:ascii="宋体" w:hAnsi="宋体" w:eastAsia="宋体" w:cs="宋体"/>
          <w:b/>
          <w:bCs/>
          <w:color w:val="000000"/>
          <w:sz w:val="21"/>
          <w:szCs w:val="21"/>
          <w:highlight w:val="none"/>
          <w:lang w:val="en-US" w:eastAsia="zh-CN"/>
        </w:rPr>
      </w:r>
      <w:r/>
    </w:p>
    <w:p>
      <w:pPr>
        <w:pStyle w:val="659"/>
        <w:spacing w:line="360" w:lineRule="auto"/>
        <w:rPr>
          <w:rFonts w:hint="eastAsia"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投标人根据项目需求编写针对本项目的培训服务方案</w:t>
      </w:r>
      <w:r>
        <w:rPr>
          <w:rFonts w:hint="eastAsia" w:ascii="宋体" w:hAnsi="宋体" w:eastAsia="宋体" w:cs="宋体"/>
          <w:b w:val="0"/>
          <w:bCs w:val="0"/>
          <w:color w:val="000000"/>
          <w:sz w:val="21"/>
          <w:szCs w:val="21"/>
          <w:highlight w:val="none"/>
          <w:lang w:val="en-US" w:eastAsia="zh-CN"/>
        </w:rPr>
      </w:r>
      <w:r/>
    </w:p>
    <w:p>
      <w:pPr>
        <w:pStyle w:val="659"/>
        <w:spacing w:line="360" w:lineRule="auto"/>
        <w:rPr>
          <w:rFonts w:hint="eastAsia"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lang w:val="en-US" w:eastAsia="zh-CN"/>
        </w:rPr>
      </w:r>
      <w:r/>
    </w:p>
    <w:p>
      <w:pPr>
        <w:pStyle w:val="659"/>
        <w:spacing w:line="360" w:lineRule="auto"/>
        <w:rPr>
          <w:rFonts w:hint="eastAsia"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lang w:val="en-US" w:eastAsia="zh-CN"/>
        </w:rPr>
      </w:r>
      <w:r/>
    </w:p>
    <w:p>
      <w:pPr>
        <w:pStyle w:val="659"/>
        <w:spacing w:line="360" w:lineRule="auto"/>
        <w:rPr>
          <w:rFonts w:hint="eastAsia"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lang w:val="en-US" w:eastAsia="zh-CN"/>
        </w:rPr>
      </w:r>
      <w:r/>
    </w:p>
    <w:p>
      <w:pPr>
        <w:pStyle w:val="678"/>
        <w:ind w:right="960"/>
        <w:jc w:val="left"/>
        <w:spacing w:line="360" w:lineRule="auto"/>
        <w:rPr>
          <w:rFonts w:hint="eastAsia" w:ascii="宋体" w:hAnsi="宋体" w:eastAsia="宋体" w:cs="宋体"/>
          <w:b/>
          <w:color w:val="000000"/>
          <w:szCs w:val="24"/>
          <w:highlight w:val="none"/>
        </w:rPr>
      </w:pPr>
      <w:r>
        <w:rPr>
          <w:rFonts w:hint="eastAsia" w:hAnsi="宋体" w:eastAsia="宋体" w:cs="宋体"/>
          <w:b/>
          <w:bCs/>
          <w:color w:val="000000"/>
          <w:sz w:val="21"/>
          <w:szCs w:val="21"/>
          <w:highlight w:val="none"/>
          <w:lang w:val="en-US" w:eastAsia="zh-CN"/>
        </w:rPr>
        <w:t xml:space="preserve">15</w:t>
      </w:r>
      <w:r>
        <w:rPr>
          <w:rFonts w:hint="eastAsia" w:ascii="宋体" w:hAnsi="宋体" w:eastAsia="宋体" w:cs="宋体"/>
          <w:b/>
          <w:color w:val="000000"/>
          <w:sz w:val="21"/>
          <w:szCs w:val="21"/>
          <w:highlight w:val="none"/>
        </w:rPr>
        <w:t xml:space="preserve">、企业类似业绩一览表</w:t>
      </w:r>
      <w:r>
        <w:rPr>
          <w:rFonts w:hint="eastAsia" w:ascii="宋体" w:hAnsi="宋体" w:eastAsia="宋体" w:cs="宋体"/>
          <w:b/>
          <w:color w:val="000000"/>
          <w:szCs w:val="24"/>
          <w:highlight w:val="none"/>
        </w:rPr>
      </w:r>
      <w:r/>
    </w:p>
    <w:p>
      <w:pPr>
        <w:pStyle w:val="659"/>
        <w:ind w:firstLine="480"/>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9"/>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企业类似业绩一览表</w:t>
      </w:r>
      <w:r>
        <w:rPr>
          <w:rFonts w:hint="eastAsia" w:ascii="宋体" w:hAnsi="宋体" w:eastAsia="宋体" w:cs="宋体"/>
          <w:b/>
          <w:color w:val="000000"/>
          <w:sz w:val="32"/>
          <w:szCs w:val="32"/>
          <w:highlight w:val="none"/>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462"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项目时间</w:t>
            </w:r>
            <w:r>
              <w:rPr>
                <w:rFonts w:hint="eastAsia" w:ascii="宋体" w:hAnsi="宋体" w:eastAsia="宋体" w:cs="宋体"/>
                <w:color w:val="000000"/>
                <w:sz w:val="21"/>
                <w:szCs w:val="21"/>
                <w:highlight w:val="none"/>
              </w:rPr>
            </w:r>
            <w:r/>
          </w:p>
        </w:tc>
        <w:tc>
          <w:tcPr>
            <w:tcW w:w="1485"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W w:w="1923"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688"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2" w:type="dxa"/>
            <w:vAlign w:val="top"/>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5"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3"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88"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2" w:type="dxa"/>
            <w:vAlign w:val="top"/>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5"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3"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88"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2" w:type="dxa"/>
            <w:vAlign w:val="top"/>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5"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3"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88"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2" w:type="dxa"/>
            <w:vAlign w:val="top"/>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5"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3"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88"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2" w:type="dxa"/>
            <w:vAlign w:val="top"/>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5"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3"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88" w:type="dxa"/>
            <w:vAlign w:val="center"/>
            <w:textDirection w:val="lrTb"/>
            <w:noWrap w:val="false"/>
          </w:tcPr>
          <w:p>
            <w:pPr>
              <w:pStyle w:val="763"/>
              <w:jc w:val="center"/>
              <w:rPr>
                <w:rFonts w:hint="eastAsia" w:ascii="宋体"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530"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2" w:type="dxa"/>
            <w:vAlign w:val="top"/>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5"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3"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88"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2" w:type="dxa"/>
            <w:vAlign w:val="top"/>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5"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3"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88"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2" w:type="dxa"/>
            <w:vAlign w:val="top"/>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5"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3" w:type="dxa"/>
            <w:vAlign w:val="center"/>
            <w:textDirection w:val="lrTb"/>
            <w:noWrap w:val="false"/>
          </w:tcPr>
          <w:p>
            <w:pPr>
              <w:pStyle w:val="7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5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附：1.根据招标文件及评分标书填写，并附相关证明文件；</w:t>
      </w:r>
      <w:r>
        <w:rPr>
          <w:rFonts w:hint="eastAsia" w:ascii="宋体" w:hAnsi="宋体" w:eastAsia="宋体" w:cs="宋体"/>
          <w:color w:val="000000"/>
          <w:sz w:val="24"/>
          <w:highlight w:val="none"/>
        </w:rPr>
      </w:r>
      <w:r/>
    </w:p>
    <w:p>
      <w:pPr>
        <w:pStyle w:val="659"/>
        <w:numPr>
          <w:ilvl w:val="0"/>
          <w:numId w:val="1"/>
        </w:numPr>
        <w:ind w:left="420" w:firstLine="42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表格不够填写可添加。</w:t>
      </w: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ind w:firstLine="4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投标单位（单位盖章）： </w:t>
      </w:r>
      <w:r>
        <w:rPr>
          <w:rFonts w:hint="eastAsia" w:ascii="宋体" w:hAnsi="宋体" w:eastAsia="宋体" w:cs="宋体"/>
          <w:color w:val="000000"/>
          <w:sz w:val="24"/>
          <w:highlight w:val="none"/>
        </w:rPr>
      </w:r>
      <w:r/>
    </w:p>
    <w:p>
      <w:pPr>
        <w:pStyle w:val="659"/>
        <w:ind w:firstLine="4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659"/>
        <w:ind w:firstLine="4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9"/>
        <w:spacing w:line="360" w:lineRule="auto"/>
        <w:rPr>
          <w:rFonts w:hint="eastAsia" w:ascii="宋体" w:hAnsi="宋体" w:eastAsia="宋体" w:cs="宋体"/>
          <w:b/>
          <w:bCs/>
          <w:color w:val="000000"/>
          <w:sz w:val="21"/>
          <w:szCs w:val="21"/>
          <w:highlight w:val="none"/>
        </w:rPr>
      </w:pPr>
      <w:r>
        <w:rPr>
          <w:rFonts w:hint="eastAsia" w:hAnsi="宋体" w:eastAsia="宋体" w:cs="宋体"/>
          <w:b/>
          <w:bCs/>
          <w:color w:val="000000"/>
          <w:sz w:val="21"/>
          <w:szCs w:val="21"/>
          <w:highlight w:val="none"/>
          <w:lang w:val="en-US" w:eastAsia="zh-CN"/>
        </w:rPr>
        <w:t xml:space="preserve">1</w:t>
      </w:r>
      <w:r>
        <w:rPr>
          <w:rFonts w:hint="eastAsia"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、拟投入本项目的专业技术（服务）人员情况一览表</w:t>
      </w:r>
      <w:r>
        <w:rPr>
          <w:rFonts w:hint="eastAsia" w:ascii="宋体" w:hAnsi="宋体" w:eastAsia="宋体" w:cs="宋体"/>
          <w:b/>
          <w:bCs/>
          <w:color w:val="000000"/>
          <w:sz w:val="21"/>
          <w:szCs w:val="21"/>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拟投入本项目的专业技术（服务）人员情况一览表</w:t>
      </w:r>
      <w:r>
        <w:rPr>
          <w:rFonts w:hint="eastAsia" w:ascii="宋体" w:hAnsi="宋体" w:eastAsia="宋体" w:cs="宋体"/>
          <w:color w:val="000000"/>
          <w:highlight w:val="none"/>
        </w:rPr>
      </w:r>
      <w:r/>
    </w:p>
    <w:tbl>
      <w:tblPr>
        <w:tblW w:w="9362"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4"/>
        <w:gridCol w:w="1276"/>
        <w:gridCol w:w="850"/>
        <w:gridCol w:w="851"/>
        <w:gridCol w:w="992"/>
        <w:gridCol w:w="1963"/>
        <w:gridCol w:w="1439"/>
      </w:tblGrid>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岗位</w:t>
            </w: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专业技术职称</w:t>
            </w: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培训证书</w:t>
            </w: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lang w:eastAsia="zh-CN"/>
              </w:rPr>
            </w:pPr>
            <w:r>
              <w:rPr>
                <w:rFonts w:hint="eastAsia"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647"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44"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6"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1"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63"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9" w:type="dxa"/>
            <w:vAlign w:val="center"/>
            <w:textDirection w:val="lrTb"/>
            <w:noWrap w:val="false"/>
          </w:tcPr>
          <w:p>
            <w:pPr>
              <w:pStyle w:val="65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659"/>
        <w:ind w:firstLine="480"/>
        <w:jc w:val="both"/>
        <w:spacing w:line="360" w:lineRule="auto"/>
        <w:rPr>
          <w:rFonts w:ascii="宋体" w:hAnsi="宋体" w:eastAsia="宋体" w:cs="Times New Roman"/>
          <w:color w:val="000000"/>
          <w:sz w:val="24"/>
          <w:szCs w:val="20"/>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Times New Roman"/>
          <w:color w:val="000000"/>
          <w:sz w:val="24"/>
          <w:szCs w:val="20"/>
          <w:highlight w:val="none"/>
        </w:rPr>
        <w:t xml:space="preserve">1.根据招标文件及评分标准相关要求填写，并提供相关的证明材料；</w:t>
      </w:r>
      <w:r>
        <w:rPr>
          <w:rFonts w:ascii="宋体" w:hAnsi="宋体" w:eastAsia="宋体" w:cs="Times New Roman"/>
          <w:color w:val="000000"/>
          <w:sz w:val="24"/>
          <w:szCs w:val="20"/>
          <w:highlight w:val="none"/>
        </w:rPr>
      </w:r>
      <w:r/>
    </w:p>
    <w:p>
      <w:pPr>
        <w:pStyle w:val="659"/>
        <w:numPr>
          <w:ilvl w:val="0"/>
          <w:numId w:val="2"/>
        </w:numPr>
        <w:ind w:firstLine="960"/>
        <w:jc w:val="both"/>
        <w:spacing w:line="360" w:lineRule="auto"/>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表格不够填写可添加；</w:t>
      </w:r>
      <w:r>
        <w:rPr>
          <w:rFonts w:ascii="宋体" w:hAnsi="宋体" w:eastAsia="宋体" w:cs="Times New Roman"/>
          <w:color w:val="000000"/>
          <w:sz w:val="24"/>
          <w:szCs w:val="20"/>
          <w:highlight w:val="none"/>
        </w:rPr>
      </w:r>
      <w:r/>
    </w:p>
    <w:p>
      <w:pPr>
        <w:pStyle w:val="659"/>
        <w:numPr>
          <w:ilvl w:val="0"/>
          <w:numId w:val="2"/>
        </w:numPr>
        <w:ind w:firstLine="960"/>
        <w:jc w:val="both"/>
        <w:spacing w:line="360" w:lineRule="auto"/>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以上人员工资、社保须根据劳动法和太仓市相关要求缴纳；</w:t>
      </w:r>
      <w:r>
        <w:rPr>
          <w:rFonts w:ascii="宋体" w:hAnsi="宋体" w:eastAsia="宋体" w:cs="Times New Roman"/>
          <w:color w:val="000000"/>
          <w:sz w:val="24"/>
          <w:szCs w:val="20"/>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 </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84"/>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4"/>
        <w:ind w:left="0"/>
        <w:jc w:val="both"/>
        <w:spacing w:before="0"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、中小企业声明函</w:t>
      </w:r>
      <w:r>
        <w:rPr>
          <w:rFonts w:ascii="宋体" w:hAnsi="宋体" w:eastAsia="宋体" w:cs="宋体"/>
          <w:b/>
          <w:bCs/>
          <w:color w:val="000000"/>
          <w:sz w:val="21"/>
          <w:szCs w:val="21"/>
          <w:highlight w:val="none"/>
          <w:lang w:val="en-US" w:eastAsia="zh-CN"/>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367"/>
        <w:jc w:val="center"/>
        <w:spacing w:before="132" w:line="360" w:lineRule="auto"/>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中小企业声明函</w:t>
      </w:r>
      <w:r>
        <w:rPr>
          <w:rFonts w:hint="eastAsia" w:ascii="宋体" w:hAnsi="宋体" w:eastAsia="宋体" w:cs="宋体"/>
          <w:color w:val="000000"/>
          <w:sz w:val="24"/>
          <w:szCs w:val="21"/>
          <w:highlight w:val="none"/>
          <w:lang w:val="en-US" w:eastAsia="zh-CN" w:bidi="ar-SA"/>
        </w:rPr>
        <w:t xml:space="preserve">（服务）</w:t>
      </w:r>
      <w:r>
        <w:rPr>
          <w:rFonts w:hint="eastAsia" w:ascii="宋体" w:hAnsi="宋体" w:eastAsia="宋体" w:cs="宋体"/>
          <w:b/>
          <w:bCs/>
          <w:color w:val="000000"/>
          <w:sz w:val="32"/>
          <w:szCs w:val="32"/>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firstLine="66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 （联合体）参加</w:t>
      </w:r>
      <w:r>
        <w:rPr>
          <w:rFonts w:hint="eastAsia" w:hAnsi="宋体" w:eastAsia="宋体" w:cs="宋体"/>
          <w:color w:val="000000"/>
          <w:szCs w:val="21"/>
          <w:highlight w:val="none"/>
          <w:lang w:val="en-US" w:eastAsia="zh-CN"/>
        </w:rPr>
        <w:t xml:space="preserve"> </w:t>
      </w:r>
      <w:r>
        <w:rPr>
          <w:rFonts w:hint="eastAsia"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（项目名称）</w:t>
      </w:r>
      <w:r>
        <w:rPr>
          <w:rFonts w:hint="eastAsia" w:hAnsi="宋体" w:eastAsia="宋体" w:cs="宋体"/>
          <w:color w:val="000000"/>
          <w:szCs w:val="21"/>
          <w:highlight w:val="none"/>
          <w:u w:val="none"/>
          <w:lang w:val="en-US" w:eastAsia="zh-CN"/>
        </w:rPr>
        <w:t xml:space="preserve">编号</w:t>
      </w:r>
      <w:r>
        <w:rPr>
          <w:rFonts w:hint="eastAsia" w:hAnsi="宋体" w:eastAsia="宋体" w:cs="宋体"/>
          <w:color w:val="000000"/>
          <w:szCs w:val="21"/>
          <w:highlight w:val="none"/>
          <w:u w:val="single"/>
          <w:lang w:val="en-US" w:eastAsia="zh-CN"/>
        </w:rPr>
        <w:t xml:space="preserve">            号</w:t>
      </w:r>
      <w:r>
        <w:rPr>
          <w:rFonts w:hint="eastAsia" w:ascii="宋体" w:hAnsi="宋体" w:eastAsia="宋体" w:cs="宋体"/>
          <w:color w:val="000000"/>
          <w:szCs w:val="21"/>
          <w:highlight w:val="none"/>
        </w:rPr>
        <w:t xml:space="preserve">采购活动，服务全部由符合政策要求的中小企业承接。相关企业的具体情况如下：</w:t>
      </w:r>
      <w:r>
        <w:rPr>
          <w:rFonts w:hint="eastAsia" w:ascii="宋体" w:hAnsi="宋体" w:eastAsia="宋体" w:cs="宋体"/>
          <w:color w:val="000000"/>
          <w:szCs w:val="21"/>
          <w:highlight w:val="none"/>
        </w:rPr>
      </w:r>
      <w:r/>
    </w:p>
    <w:p>
      <w:pPr>
        <w:pStyle w:val="659"/>
        <w:ind w:firstLine="44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行业；承接企业为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人，从业收入为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 ¹，属于</w:t>
      </w:r>
      <w:r>
        <w:rPr>
          <w:rFonts w:hint="eastAsia" w:ascii="宋体" w:hAnsi="宋体" w:eastAsia="宋体" w:cs="宋体"/>
          <w:color w:val="000000"/>
          <w:szCs w:val="21"/>
          <w:highlight w:val="none"/>
          <w:u w:val="single"/>
        </w:rPr>
        <w:t xml:space="preserve">（中型企业、 小型企业、微型企业</w:t>
      </w:r>
      <w:r>
        <w:rPr>
          <w:rFonts w:hint="eastAsia" w:hAnsi="宋体" w:eastAsia="宋体" w:cs="宋体"/>
          <w:color w:val="000000"/>
          <w:szCs w:val="21"/>
          <w:highlight w:val="none"/>
          <w:u w:val="single"/>
          <w:lang w:eastAsia="zh-CN"/>
        </w:rPr>
        <w:t xml:space="preserve">，</w:t>
      </w:r>
      <w:r>
        <w:rPr>
          <w:rFonts w:hint="eastAsia" w:hAnsi="宋体" w:eastAsia="宋体" w:cs="宋体"/>
          <w:b/>
          <w:bCs/>
          <w:color w:val="000000"/>
          <w:szCs w:val="21"/>
          <w:highlight w:val="none"/>
          <w:u w:val="single"/>
          <w:lang w:eastAsia="zh-CN"/>
        </w:rPr>
        <w:t xml:space="preserve">三者选一填写</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44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44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Cs w:val="21"/>
          <w:highlight w:val="none"/>
        </w:rPr>
      </w:r>
      <w:r/>
    </w:p>
    <w:p>
      <w:pPr>
        <w:pStyle w:val="659"/>
        <w:ind w:firstLine="44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rPr>
          <w:rFonts w:hint="eastAsia" w:ascii="宋体" w:hAnsi="宋体" w:eastAsia="宋体" w:cs="宋体"/>
          <w:color w:val="000000"/>
          <w:szCs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firstLine="58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企业名称（盖章）：</w:t>
      </w:r>
      <w:r>
        <w:rPr>
          <w:rFonts w:hint="eastAsia" w:ascii="宋体" w:hAnsi="宋体" w:eastAsia="宋体" w:cs="宋体"/>
          <w:color w:val="000000"/>
          <w:szCs w:val="21"/>
          <w:highlight w:val="none"/>
        </w:rPr>
      </w:r>
      <w:r/>
    </w:p>
    <w:p>
      <w:pPr>
        <w:pStyle w:val="659"/>
        <w:ind w:firstLine="58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从业人员、营业收入、资产总额填报上一年度数据，无上一年度数据的新成立企业可不填报。</w:t>
      </w:r>
      <w:r>
        <w:rPr>
          <w:rFonts w:hint="eastAsia" w:ascii="宋体" w:hAnsi="宋体" w:eastAsia="宋体" w:cs="宋体"/>
          <w:color w:val="000000"/>
          <w:szCs w:val="21"/>
          <w:highlight w:val="none"/>
          <w:lang w:eastAsia="zh-CN"/>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备注：</w:t>
      </w:r>
      <w:r>
        <w:rPr>
          <w:rFonts w:hint="eastAsia" w:ascii="宋体" w:hAnsi="宋体" w:eastAsia="宋体" w:cs="宋体"/>
          <w:color w:val="000000"/>
          <w:szCs w:val="21"/>
          <w:highlight w:val="none"/>
          <w:lang w:eastAsia="zh-CN"/>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1、中小企业参加政府采购活动，应当出具《中小企业声明函》，否则不得享受相关中小企业扶持政策。</w:t>
      </w:r>
      <w:r>
        <w:rPr>
          <w:rFonts w:hint="eastAsia" w:ascii="宋体" w:hAnsi="宋体" w:eastAsia="宋体" w:cs="宋体"/>
          <w:color w:val="000000"/>
          <w:szCs w:val="21"/>
          <w:highlight w:val="none"/>
          <w:lang w:eastAsia="zh-CN"/>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2、在货物采购项目中，供应商提供的货物既有小、微企业制造货物，也有中、大型企业制造货物的，不享受小、微企业的价格扶持政策。</w:t>
      </w:r>
      <w:r>
        <w:rPr>
          <w:rFonts w:hint="eastAsia" w:ascii="宋体" w:hAnsi="宋体" w:eastAsia="宋体" w:cs="宋体"/>
          <w:color w:val="000000"/>
          <w:szCs w:val="21"/>
          <w:highlight w:val="none"/>
          <w:lang w:eastAsia="zh-CN"/>
        </w:rPr>
      </w:r>
      <w:r/>
    </w:p>
    <w:p>
      <w:pPr>
        <w:pStyle w:val="659"/>
        <w:ind w:firstLine="44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3、供应商提供声明函内容不实的，属于提供虚假材料谋取中标、 成交，依照《中华人民共和国政府采购法》 等国家有关规定追究相应责任。</w:t>
      </w:r>
      <w:r>
        <w:rPr>
          <w:rFonts w:hint="eastAsia" w:ascii="宋体" w:hAnsi="宋体" w:eastAsia="宋体" w:cs="宋体"/>
          <w:color w:val="000000"/>
          <w:szCs w:val="21"/>
          <w:highlight w:val="none"/>
          <w:lang w:eastAsia="zh-CN"/>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、残疾人福利性单位声明函（如有）</w:t>
      </w:r>
      <w:r>
        <w:rPr>
          <w:rFonts w:hint="eastAsia" w:ascii="宋体" w:hAnsi="宋体" w:eastAsia="宋体" w:cs="宋体"/>
          <w:b/>
          <w:bCs/>
          <w:color w:val="000000"/>
          <w:sz w:val="21"/>
          <w:szCs w:val="21"/>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6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eastAsia="zh-CN"/>
        </w:rPr>
        <w:t xml:space="preserve">、监狱企业证明文件（如有）</w:t>
      </w:r>
      <w:r>
        <w:rPr>
          <w:rFonts w:hint="eastAsia" w:ascii="宋体" w:hAnsi="宋体" w:eastAsia="宋体" w:cs="宋体"/>
          <w:b/>
          <w:bCs/>
          <w:color w:val="000000"/>
          <w:sz w:val="21"/>
          <w:szCs w:val="21"/>
          <w:highlight w:val="none"/>
          <w:lang w:eastAsia="zh-CN"/>
        </w:rPr>
      </w:r>
      <w:r/>
    </w:p>
    <w:p>
      <w:pPr>
        <w:pStyle w:val="659"/>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659"/>
        <w:jc w:val="both"/>
        <w:spacing w:after="0" w:line="360" w:lineRule="auto"/>
        <w:widowControl/>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p>
    <w:p>
      <w:pPr>
        <w:pStyle w:val="659"/>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8"/>
          <w:szCs w:val="28"/>
          <w:highlight w:val="none"/>
          <w:lang w:eastAsia="zh-CN"/>
        </w:rPr>
        <w:t xml:space="preserve"> 监狱企业证明文件</w:t>
      </w:r>
      <w:r>
        <w:rPr>
          <w:rFonts w:hint="eastAsia" w:ascii="宋体" w:hAnsi="宋体" w:eastAsia="宋体" w:cs="宋体"/>
          <w:color w:val="000000"/>
          <w:sz w:val="28"/>
          <w:szCs w:val="28"/>
          <w:highlight w:val="none"/>
          <w:lang w:eastAsia="zh-CN"/>
        </w:rPr>
        <w:br w:type="textWrapping" w:clear="all"/>
      </w:r>
      <w:r>
        <w:rPr>
          <w:rFonts w:hint="eastAsia" w:ascii="宋体" w:hAnsi="宋体" w:eastAsia="宋体" w:cs="宋体"/>
          <w:color w:val="000000"/>
          <w:sz w:val="24"/>
          <w:szCs w:val="24"/>
          <w:highlight w:val="none"/>
          <w:lang w:eastAsia="zh-CN"/>
        </w:rPr>
        <w:br w:type="textWrapping" w:clear="all"/>
      </w:r>
      <w:r>
        <w:rPr>
          <w:rFonts w:hint="eastAsia" w:ascii="宋体" w:hAnsi="宋体" w:eastAsia="宋体" w:cs="宋体"/>
          <w:color w:val="000000"/>
          <w:sz w:val="24"/>
          <w:szCs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rPr>
          <w:rFonts w:hint="eastAsia" w:ascii="宋体" w:hAnsi="宋体" w:eastAsia="宋体" w:cs="宋体"/>
          <w:color w:val="000000"/>
          <w:sz w:val="24"/>
          <w:szCs w:val="24"/>
          <w:highlight w:val="none"/>
          <w:lang w:eastAsia="zh-CN"/>
        </w:rPr>
      </w:r>
      <w:r/>
    </w:p>
    <w:p>
      <w:pPr>
        <w:pStyle w:val="65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9"/>
        <w:jc w:val="center"/>
        <w:rPr>
          <w:rFonts w:hint="eastAsia" w:ascii="宋体" w:hAnsi="宋体" w:eastAsia="宋体" w:cs="宋体"/>
          <w:b/>
          <w:color w:val="000000"/>
          <w:sz w:val="21"/>
          <w:szCs w:val="21"/>
          <w:highlight w:val="none"/>
        </w:rPr>
      </w:pPr>
      <w:r/>
      <w:bookmarkEnd w:id="21"/>
      <w:r/>
      <w:bookmarkEnd w:id="22"/>
      <w:r/>
      <w:bookmarkEnd w:id="23"/>
      <w:r/>
      <w:bookmarkEnd w:id="24"/>
      <w:r/>
      <w:bookmarkEnd w:id="25"/>
      <w:r>
        <w:rPr>
          <w:rFonts w:hint="eastAsia" w:ascii="宋体" w:hAnsi="宋体" w:eastAsia="宋体" w:cs="宋体"/>
          <w:b/>
          <w:bCs/>
          <w:color w:val="000000"/>
          <w:sz w:val="32"/>
          <w:szCs w:val="32"/>
          <w:highlight w:val="none"/>
        </w:rPr>
        <w:t xml:space="preserve">第六章  合同主要条款</w:t>
      </w:r>
      <w:r>
        <w:rPr>
          <w:rFonts w:hint="eastAsia" w:ascii="宋体" w:hAnsi="宋体" w:eastAsia="宋体" w:cs="宋体"/>
          <w:b/>
          <w:color w:val="000000"/>
          <w:sz w:val="21"/>
          <w:szCs w:val="21"/>
          <w:highlight w:val="none"/>
        </w:rPr>
      </w:r>
      <w:r/>
    </w:p>
    <w:p>
      <w:pPr>
        <w:pStyle w:val="659"/>
        <w:spacing w:line="460" w:lineRule="atLeas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采购人</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（以下称甲方）</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供应商：（以下称乙方）</w:t>
      </w:r>
      <w:r>
        <w:rPr>
          <w:rFonts w:hint="eastAsia" w:ascii="宋体" w:hAnsi="宋体" w:eastAsia="宋体" w:cs="宋体"/>
          <w:color w:val="000000"/>
          <w:sz w:val="21"/>
          <w:szCs w:val="21"/>
          <w:highlight w:val="none"/>
        </w:rPr>
      </w:r>
      <w:r/>
    </w:p>
    <w:p>
      <w:pPr>
        <w:pStyle w:val="659"/>
        <w:spacing w:line="460" w:lineRule="atLeas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659"/>
        <w:spacing w:line="460" w:lineRule="atLeas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659"/>
        <w:ind w:firstLine="480"/>
        <w:jc w:val="left"/>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根据《中华人民共和国民法典》、《中华人民共和国政府采购法》等法律法规的规定，甲、乙双方按照</w:t>
      </w:r>
      <w:r>
        <w:rPr>
          <w:rFonts w:hint="eastAsia" w:hAnsi="宋体" w:eastAsia="宋体" w:cs="宋体"/>
          <w:color w:val="000000"/>
          <w:sz w:val="21"/>
          <w:szCs w:val="21"/>
          <w:highlight w:val="none"/>
          <w:lang w:val="en-US" w:eastAsia="zh-CN"/>
        </w:rPr>
        <w:t xml:space="preserve">苏州时凯项目管理咨询有限公司</w:t>
      </w:r>
      <w:r>
        <w:rPr>
          <w:rFonts w:hint="eastAsia" w:ascii="宋体" w:hAnsi="宋体" w:eastAsia="宋体" w:cs="宋体"/>
          <w:color w:val="000000"/>
          <w:sz w:val="21"/>
          <w:szCs w:val="21"/>
          <w:highlight w:val="none"/>
        </w:rPr>
        <w:t xml:space="preserve">组织的关于</w:t>
      </w:r>
      <w:r>
        <w:rPr>
          <w:rFonts w:hint="eastAsia" w:ascii="宋体" w:hAnsi="宋体" w:eastAsia="宋体" w:cs="宋体"/>
          <w:b/>
          <w:color w:val="000000"/>
          <w:sz w:val="21"/>
          <w:szCs w:val="21"/>
          <w:highlight w:val="none"/>
          <w:u w:val="single"/>
        </w:rPr>
        <w:t xml:space="preserve">    </w:t>
      </w:r>
      <w:r>
        <w:rPr>
          <w:rFonts w:hint="eastAsia"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b/>
          <w:color w:val="000000"/>
          <w:sz w:val="21"/>
          <w:szCs w:val="21"/>
          <w:highlight w:val="none"/>
        </w:rPr>
        <w:t xml:space="preserve">编号  </w:t>
      </w:r>
      <w:r>
        <w:rPr>
          <w:rFonts w:hint="eastAsia"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）的招标结果，签订本合同。</w:t>
      </w:r>
      <w:r>
        <w:rPr>
          <w:rFonts w:hint="eastAsia" w:ascii="宋体" w:hAnsi="宋体" w:eastAsia="宋体" w:cs="宋体"/>
          <w:color w:val="000000"/>
          <w:sz w:val="21"/>
          <w:szCs w:val="21"/>
          <w:highlight w:val="none"/>
        </w:rPr>
      </w:r>
      <w:r/>
    </w:p>
    <w:p>
      <w:pPr>
        <w:pStyle w:val="659"/>
        <w:ind w:firstLine="47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第一条 服务范围</w:t>
      </w:r>
      <w:r>
        <w:rPr>
          <w:rFonts w:hint="eastAsia" w:ascii="宋体" w:hAnsi="宋体" w:eastAsia="宋体" w:cs="宋体"/>
          <w:color w:val="000000"/>
          <w:sz w:val="21"/>
          <w:szCs w:val="21"/>
          <w:highlight w:val="none"/>
        </w:rPr>
      </w:r>
      <w:r/>
    </w:p>
    <w:p>
      <w:pPr>
        <w:pStyle w:val="659"/>
        <w:ind w:left="42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甲方聘请乙方提供以下服务：</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（1）本合同项下的服务指：</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（2）服务内容：</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（3）服务标准：</w:t>
      </w:r>
      <w:r>
        <w:rPr>
          <w:rFonts w:hint="eastAsia" w:hAnsi="宋体" w:eastAsia="宋体" w:cs="宋体"/>
          <w:color w:val="000000"/>
          <w:sz w:val="21"/>
          <w:szCs w:val="21"/>
          <w:highlight w:val="none"/>
          <w:lang w:val="en-US" w:eastAsia="zh-CN"/>
        </w:rPr>
        <w:t xml:space="preserve">按招标文件要求。</w:t>
      </w:r>
      <w:r>
        <w:rPr>
          <w:rFonts w:ascii="宋体" w:hAnsi="宋体" w:eastAsia="宋体" w:cs="宋体"/>
          <w:color w:val="000000"/>
          <w:sz w:val="21"/>
          <w:szCs w:val="21"/>
          <w:highlight w:val="none"/>
          <w:lang w:val="en-US" w:eastAsia="zh-CN"/>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（4）交付时间、地点：</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第二条 组成本合同的有关文件 </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659"/>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招标采购文件（</w:t>
      </w:r>
      <w:r>
        <w:rPr>
          <w:rFonts w:hint="eastAsia" w:ascii="宋体" w:hAnsi="宋体" w:eastAsia="宋体" w:cs="宋体"/>
          <w:b/>
          <w:color w:val="000000"/>
          <w:sz w:val="21"/>
          <w:szCs w:val="21"/>
          <w:highlight w:val="none"/>
        </w:rPr>
        <w:t xml:space="preserve">编号：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9"/>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乙方提供的投标文件和投标报价表；</w:t>
      </w:r>
      <w:r>
        <w:rPr>
          <w:rFonts w:hint="eastAsia" w:ascii="宋体" w:hAnsi="宋体" w:eastAsia="宋体" w:cs="宋体"/>
          <w:color w:val="000000"/>
          <w:sz w:val="21"/>
          <w:szCs w:val="21"/>
          <w:highlight w:val="none"/>
        </w:rPr>
      </w:r>
      <w:r/>
    </w:p>
    <w:p>
      <w:pPr>
        <w:pStyle w:val="659"/>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乙方在投标过程中所作的其他承诺、声明、书面澄清等；</w:t>
      </w:r>
      <w:r>
        <w:rPr>
          <w:rFonts w:hint="eastAsia" w:ascii="宋体" w:hAnsi="宋体" w:eastAsia="宋体" w:cs="宋体"/>
          <w:color w:val="000000"/>
          <w:sz w:val="21"/>
          <w:szCs w:val="21"/>
          <w:highlight w:val="none"/>
        </w:rPr>
      </w:r>
      <w:r/>
    </w:p>
    <w:p>
      <w:pPr>
        <w:pStyle w:val="659"/>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en-US"/>
        </w:rPr>
        <w:t xml:space="preserve">中标通知书；</w:t>
      </w:r>
      <w:r>
        <w:rPr>
          <w:rFonts w:hint="eastAsia" w:ascii="宋体" w:hAnsi="宋体" w:eastAsia="宋体" w:cs="宋体"/>
          <w:color w:val="000000"/>
          <w:sz w:val="21"/>
          <w:szCs w:val="21"/>
          <w:highlight w:val="none"/>
          <w:lang w:eastAsia="en-US"/>
        </w:rPr>
      </w:r>
      <w:r/>
    </w:p>
    <w:p>
      <w:pPr>
        <w:pStyle w:val="659"/>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甲乙双方商定的其他文件等。</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第三条 合同总价款 </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合同价格按此次成交价格执行，合同总金额为人民币___________（大写）人民币，小写：（￥：）元整。</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除非合同条款中另有规定，本合同执行期间合同总价款不变。</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第四条 合同款支付</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1、本合同项下所有款项均以人民币支付。</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2、本合同项下的采购资金由甲方自行支付，乙方向甲方开具发票。</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3、根据现行税法对乙方征收的与本合同有关的一切税费均由乙方承担。</w:t>
      </w:r>
      <w:r>
        <w:rPr>
          <w:rFonts w:hint="eastAsia" w:ascii="宋体" w:hAnsi="宋体" w:eastAsia="宋体" w:cs="宋体"/>
          <w:color w:val="000000"/>
          <w:sz w:val="21"/>
          <w:szCs w:val="21"/>
          <w:highlight w:val="none"/>
        </w:rPr>
      </w:r>
      <w:r/>
    </w:p>
    <w:p>
      <w:pPr>
        <w:pStyle w:val="659"/>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4、付款</w:t>
      </w:r>
      <w:r>
        <w:rPr>
          <w:rFonts w:hint="eastAsia" w:hAnsi="宋体"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：合同签订后，</w:t>
      </w:r>
      <w:r>
        <w:rPr>
          <w:rFonts w:hint="eastAsia"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向</w:t>
      </w:r>
      <w:r>
        <w:rPr>
          <w:rFonts w:hint="eastAsia"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支付合同金额10%的预付款，待服务完成交付合格后，按照实际交付确认的数量进入服务期，服务期共三年，由街道财政每一年根据4个季度的考核结果支付一次服务费用。</w:t>
      </w:r>
      <w:r>
        <w:rPr>
          <w:rFonts w:hint="eastAsia"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在第一期付款中扣除全部预付款，若第一期付款金额不足以全额扣回预付款，则差额部分从后续进度款中继续扣回，直至全部预付款扣清为止。</w:t>
      </w:r>
      <w:r>
        <w:rPr>
          <w:rFonts w:hint="eastAsia" w:ascii="宋体" w:hAnsi="宋体" w:eastAsia="宋体" w:cs="宋体"/>
          <w:color w:val="000000"/>
          <w:sz w:val="21"/>
          <w:szCs w:val="21"/>
          <w:highlight w:val="none"/>
        </w:rPr>
      </w:r>
      <w:r/>
    </w:p>
    <w:p>
      <w:pPr>
        <w:pStyle w:val="659"/>
        <w:numPr>
          <w:ilvl w:val="0"/>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注：如乙方明确无需预付款，乙方以书面形式提出。甲方将根据实际情况，使用数字人民币、转账等形式支付，并优先使用数字人民币支付。每次付款时需提供正式的发票。</w:t>
      </w:r>
      <w:r>
        <w:rPr>
          <w:rFonts w:hint="eastAsia" w:ascii="宋体" w:hAnsi="宋体" w:eastAsia="宋体" w:cs="宋体"/>
          <w:color w:val="000000"/>
          <w:sz w:val="21"/>
          <w:szCs w:val="21"/>
          <w:highlight w:val="none"/>
        </w:rPr>
      </w:r>
      <w:r/>
    </w:p>
    <w:p>
      <w:pPr>
        <w:pStyle w:val="659"/>
        <w:numPr>
          <w:ilvl w:val="0"/>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甲方将根据实际情况，使用数字人民币、转账等形式支付，并优先使用数字人民币支付。每次付款时需提供正式的发票。</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第五条 服务质量、成果要求</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1、项目完成后甲方将组织专业人员进行项目的验收工作，如存在问题，乙方应进行改进，直至验收合格为止；</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2、验收标准: 按采购文件要求、乙方的投标承诺或国家相关标准。</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3、售后服务：</w:t>
      </w:r>
      <w:r>
        <w:rPr>
          <w:rFonts w:hint="eastAsia" w:ascii="宋体" w:hAnsi="宋体" w:eastAsia="宋体" w:cs="宋体"/>
          <w:color w:val="000000"/>
          <w:sz w:val="21"/>
          <w:szCs w:val="21"/>
          <w:highlight w:val="none"/>
        </w:rPr>
        <w:t xml:space="preserve">按采购文件要求</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乙方的投标承诺。</w:t>
      </w:r>
      <w:r>
        <w:rPr>
          <w:rFonts w:ascii="宋体" w:hAnsi="宋体" w:eastAsia="宋体" w:cs="宋体"/>
          <w:color w:val="000000"/>
          <w:sz w:val="21"/>
          <w:szCs w:val="21"/>
          <w:highlight w:val="none"/>
          <w:lang w:val="en-US" w:eastAsia="zh-CN"/>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第六条 甲、乙双方权利义务</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1、甲方应当为保证项目服务的完成，给予乙方积极支持，为乙方提供项目实施的必要条件；</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2、甲方应当按照本合同约定按时支付合同金额。</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3、乙方提交的服务成果未经甲方书面许可，不得向任何第三方泄露。</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4、乙方提供必要的技术培训，协助甲方完成其他需要中标单位配合的服务。</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5、乙方根据国家标准、行业标准和规范要求及标书规定的服务质量标准和有关要求，保质保量地完成服务工作。</w:t>
      </w:r>
      <w:r>
        <w:rPr>
          <w:rFonts w:hint="eastAsia" w:ascii="宋体" w:hAnsi="宋体" w:eastAsia="宋体" w:cs="宋体"/>
          <w:color w:val="000000"/>
          <w:sz w:val="21"/>
          <w:szCs w:val="21"/>
          <w:highlight w:val="none"/>
        </w:rPr>
      </w:r>
      <w:r/>
    </w:p>
    <w:p>
      <w:pPr>
        <w:pStyle w:val="659"/>
        <w:ind w:firstLine="420"/>
        <w:keepLines w:val="0"/>
        <w:keepNext w:val="0"/>
        <w:pageBreakBefore w:val="0"/>
        <w:spacing w:after="20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bCs/>
          <w:color w:val="000000"/>
          <w:sz w:val="21"/>
          <w:szCs w:val="21"/>
          <w:highlight w:val="none"/>
        </w:rPr>
        <w:t xml:space="preserve">服务期内，乙方应承诺免费提供二次移机服务。</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第七条 知识产权</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1、在合同履行过程中，由甲方向乙方提供的资料－－包括但不限于程序、文件、报告、说明、图表等均归甲方所有。</w:t>
      </w:r>
      <w:r>
        <w:rPr>
          <w:rFonts w:hint="eastAsia" w:ascii="宋体" w:hAnsi="宋体" w:eastAsia="宋体" w:cs="宋体"/>
          <w:color w:val="000000"/>
          <w:sz w:val="21"/>
          <w:szCs w:val="21"/>
          <w:highlight w:val="none"/>
        </w:rPr>
      </w:r>
      <w:r/>
    </w:p>
    <w:p>
      <w:pPr>
        <w:pStyle w:val="659"/>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2、在合同履行完毕后，乙方依据本合同及本合同附件向甲方提供的任何程序、文件、报告、说明、图表等的知识产权均归甲方所有（但属于乙方或第三方的除外），乙方不得以任何形式使用或向第三方透露。</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第八条 保密条款</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第九条 风险责任</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第十条 履约保证金</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第十一条 合同的变更和终止</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1、本合同一经签订，甲乙双方不得擅自变更、中止或终止合同。</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strike/>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2、除发生法律规定的不能预见、不能避免并不能克服的客观情况外，甲乙双方不得放弃或拒绝履行合同。</w:t>
      </w:r>
      <w:r>
        <w:rPr>
          <w:rFonts w:hint="eastAsia" w:ascii="宋体" w:hAnsi="宋体" w:eastAsia="宋体" w:cs="宋体"/>
          <w:strike/>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第十二条 合同的转让</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1、乙方不得擅自部分或全部转让其应履行的合同义务。    </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2、乙方在履行合同过程中，不得将服务项目委托给第三方。</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第十三条 违约责任</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2、甲方逾期付款的，应按照逾期付款金额的每天万分之四支付逾期付款违约金。</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4、乙方项目组成员须按招标文件承诺人员配备，未经甲方同意不得擅自更换；如更换需向甲方支付赔偿金。</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6、其他未尽事宜，以《民法典》和《政府采购法》等有关法律法规规定为准，无相关规定的，双方协商解决。</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第十四条 不可抗力</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因合同一方迟延履行后发生不可抗力的，不能免除责任。</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第十五条 索赔</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如在项目服务提供、使用过程中，甲方发现项目质量与合同内容有不符或不满足国家标准或行业标准，有权向乙方提出索赔，乙方在收到甲方索赔通知后（</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第十六条 争议的解决</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2、因履行本合同引起的或与本合同有关的争议，甲、乙双方应首先通过友好协商解决，如果协商不能解决争议，则向甲方所在地有管辖权的人民法院提起诉讼；</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3、在法院审理和仲裁期间，除有争议部分外，本合同其他部分应继续履行。</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第十七条 诚实信用 </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1"/>
          <w:szCs w:val="21"/>
          <w:highlight w:val="none"/>
        </w:rPr>
      </w:r>
      <w:r/>
    </w:p>
    <w:p>
      <w:pPr>
        <w:pStyle w:val="659"/>
        <w:ind w:firstLine="482"/>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第十八条 合同生效及其他</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1、本合同自经甲乙双方授权代表签订并加盖公章后，自签订之日起生效。</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2、本合同一式</w:t>
      </w:r>
      <w:r>
        <w:rPr>
          <w:rFonts w:hint="eastAsia" w:hAnsi="宋体" w:eastAsia="宋体"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rPr>
        <w:t xml:space="preserve">份，甲乙双方各执贰份</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代理机构执壹份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3、本合同应按照中华人民共和国的现行法律进行解释。</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甲方（采购人）：（盖章）                     乙方（供应商）：（盖章）</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代表人：                   代表人：</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                    电话：</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开户银行：                                   开户银行：</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帐号：                                       帐号：</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日期： 年 月  日                             日期：    年  月   日</w:t>
      </w:r>
      <w:r>
        <w:rPr>
          <w:rFonts w:hint="eastAsia" w:ascii="宋体" w:hAnsi="宋体" w:eastAsia="宋体" w:cs="宋体"/>
          <w:color w:val="000000"/>
          <w:sz w:val="21"/>
          <w:szCs w:val="21"/>
          <w:highlight w:val="none"/>
        </w:rPr>
      </w:r>
      <w:r/>
    </w:p>
    <w:p>
      <w:pPr>
        <w:pStyle w:val="659"/>
        <w:ind w:firstLine="48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659"/>
        <w:ind w:firstLine="480"/>
        <w:jc w:val="right"/>
        <w:keepLines w:val="0"/>
        <w:keepNext w:val="0"/>
        <w:pageBreakBefore w:val="0"/>
        <w:spacing w:line="360" w:lineRule="auto"/>
        <w:widowControl/>
        <w:rPr>
          <w:rFonts w:hint="eastAsia"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全文完</w:t>
      </w:r>
      <w:r>
        <w:rPr>
          <w:rFonts w:hint="eastAsia" w:hAnsi="宋体" w:eastAsia="宋体" w:cs="宋体"/>
          <w:color w:val="000000"/>
          <w:sz w:val="21"/>
          <w:szCs w:val="21"/>
          <w:highlight w:val="none"/>
          <w:lang w:eastAsia="zh-CN"/>
        </w:rPr>
        <w:t xml:space="preserve">）</w:t>
      </w:r>
      <w:r/>
    </w:p>
    <w:sectPr>
      <w:headerReference w:type="default" r:id="rId9"/>
      <w:footerReference w:type="default" r:id="rId10"/>
      <w:footnotePr/>
      <w:endnotePr/>
      <w:type w:val="nextPage"/>
      <w:pgSz w:w="11906" w:h="16838" w:orient="portrait"/>
      <w:pgMar w:top="1361" w:right="1304" w:bottom="1304"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等线">
    <w:panose1 w:val="02010600030101010101"/>
  </w:font>
  <w:font w:name="宋体ラ...">
    <w:panose1 w:val="02010600030101010101"/>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Helvetica Neue">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spacing w:line="14" w:lineRule="auto"/>
      <w:tabs>
        <w:tab w:val="center" w:pos="7086" w:leader="none"/>
      </w:tabs>
      <w:rPr>
        <w:rFonts w:hAnsi="宋体"/>
        <w:sz w:val="20"/>
        <w:szCs w:val="18"/>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0"/>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6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0"/>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659"/>
                    </w:pPr>
                    <w:r/>
                    <w:r/>
                  </w:p>
                </w:txbxContent>
              </v:textbox>
            </v:shape>
          </w:pict>
        </mc:Fallback>
      </mc:AlternateContent>
    </w:r>
    <w:r>
      <w:rPr>
        <w:rFonts w:hint="eastAsia" w:hAnsi="宋体"/>
        <w:sz w:val="20"/>
        <w:szCs w:val="18"/>
      </w:rPr>
      <w:tab/>
    </w:r>
    <w:r>
      <w:rPr>
        <w:rFonts w:hAnsi="宋体"/>
        <w:sz w:val="20"/>
        <w:szCs w:val="18"/>
        <w:lang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left"/>
      <w:tabs>
        <w:tab w:val="center" w:pos="4153" w:leader="none"/>
        <w:tab w:val="right" w:pos="8306" w:leader="none"/>
      </w:tabs>
      <w:rPr>
        <w:rFonts w:hAnsi="宋体"/>
        <w:color w:val="808080"/>
        <w:spacing w:val="6"/>
        <w:sz w:val="21"/>
      </w:rPr>
      <w:pBdr>
        <w:bottom w:val="none" w:color="000000" w:sz="0" w:space="0"/>
      </w:pBdr>
    </w:pPr>
    <w:r>
      <w:rPr>
        <w:rFonts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59"/>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9"/>
    <w:next w:val="6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9"/>
    <w:next w:val="6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9"/>
    <w:next w:val="6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59"/>
    <w:link w:val="659"/>
    <w:uiPriority w:val="1"/>
    <w:qFormat/>
    <w:pPr>
      <w:widowControl w:val="off"/>
    </w:pPr>
    <w:rPr>
      <w:rFonts w:ascii="宋体" w:cs="宋体"/>
      <w:sz w:val="22"/>
      <w:szCs w:val="22"/>
      <w:lang w:val="en-US" w:eastAsia="zh-CN" w:bidi="ar-SA"/>
    </w:rPr>
  </w:style>
  <w:style w:type="paragraph" w:styleId="660">
    <w:name w:val="标题 1"/>
    <w:basedOn w:val="659"/>
    <w:next w:val="659"/>
    <w:link w:val="668"/>
    <w:uiPriority w:val="1"/>
    <w:qFormat/>
    <w:pPr>
      <w:ind w:right="406"/>
      <w:jc w:val="center"/>
      <w:outlineLvl w:val="0"/>
    </w:pPr>
    <w:rPr>
      <w:rFonts w:cs="Times New Roman"/>
      <w:b/>
      <w:bCs/>
      <w:sz w:val="72"/>
      <w:szCs w:val="72"/>
    </w:rPr>
  </w:style>
  <w:style w:type="paragraph" w:styleId="661">
    <w:name w:val="标题 2"/>
    <w:basedOn w:val="659"/>
    <w:next w:val="659"/>
    <w:link w:val="669"/>
    <w:uiPriority w:val="1"/>
    <w:qFormat/>
    <w:pPr>
      <w:ind w:left="2791"/>
      <w:spacing w:before="26"/>
      <w:outlineLvl w:val="1"/>
    </w:pPr>
    <w:rPr>
      <w:rFonts w:cs="Times New Roman"/>
      <w:b/>
      <w:bCs/>
      <w:sz w:val="44"/>
      <w:szCs w:val="44"/>
    </w:rPr>
  </w:style>
  <w:style w:type="paragraph" w:styleId="662">
    <w:name w:val="标题 3"/>
    <w:basedOn w:val="659"/>
    <w:next w:val="659"/>
    <w:link w:val="670"/>
    <w:uiPriority w:val="1"/>
    <w:qFormat/>
    <w:pPr>
      <w:ind w:left="909"/>
      <w:spacing w:before="1"/>
      <w:outlineLvl w:val="2"/>
    </w:pPr>
    <w:rPr>
      <w:rFonts w:cs="Times New Roman"/>
      <w:b/>
      <w:bCs/>
      <w:sz w:val="36"/>
      <w:szCs w:val="36"/>
    </w:rPr>
  </w:style>
  <w:style w:type="paragraph" w:styleId="663">
    <w:name w:val="标题 4"/>
    <w:basedOn w:val="659"/>
    <w:next w:val="659"/>
    <w:link w:val="671"/>
    <w:uiPriority w:val="1"/>
    <w:qFormat/>
    <w:pPr>
      <w:outlineLvl w:val="3"/>
    </w:pPr>
    <w:rPr>
      <w:rFonts w:cs="Times New Roman"/>
      <w:b/>
      <w:bCs/>
      <w:sz w:val="32"/>
      <w:szCs w:val="32"/>
    </w:rPr>
  </w:style>
  <w:style w:type="paragraph" w:styleId="664">
    <w:name w:val="标题 5"/>
    <w:basedOn w:val="659"/>
    <w:next w:val="659"/>
    <w:link w:val="672"/>
    <w:uiPriority w:val="1"/>
    <w:qFormat/>
    <w:pPr>
      <w:ind w:left="847"/>
      <w:outlineLvl w:val="4"/>
    </w:pPr>
    <w:rPr>
      <w:rFonts w:cs="Times New Roman"/>
      <w:sz w:val="24"/>
      <w:szCs w:val="24"/>
    </w:rPr>
  </w:style>
  <w:style w:type="paragraph" w:styleId="665">
    <w:name w:val="标题 6"/>
    <w:basedOn w:val="659"/>
    <w:next w:val="659"/>
    <w:link w:val="673"/>
    <w:uiPriority w:val="1"/>
    <w:qFormat/>
    <w:pPr>
      <w:ind w:left="367"/>
      <w:outlineLvl w:val="5"/>
    </w:pPr>
    <w:rPr>
      <w:rFonts w:cs="Times New Roman"/>
      <w:b/>
      <w:bCs/>
      <w:sz w:val="20"/>
      <w:szCs w:val="21"/>
    </w:rPr>
  </w:style>
  <w:style w:type="character" w:styleId="666">
    <w:name w:val="默认段落字体"/>
    <w:next w:val="666"/>
    <w:link w:val="659"/>
    <w:uiPriority w:val="1"/>
    <w:unhideWhenUsed/>
  </w:style>
  <w:style w:type="table" w:styleId="667">
    <w:name w:val="普通表格"/>
    <w:next w:val="667"/>
    <w:link w:val="659"/>
    <w:uiPriority w:val="99"/>
    <w:unhideWhenUsed/>
    <w:tblPr/>
  </w:style>
  <w:style w:type="character" w:styleId="668">
    <w:name w:val="标题 1 Char"/>
    <w:next w:val="668"/>
    <w:link w:val="660"/>
    <w:uiPriority w:val="1"/>
    <w:qFormat/>
    <w:rPr>
      <w:rFonts w:ascii="宋体" w:hAnsi="Times New Roman" w:eastAsia="宋体" w:cs="宋体"/>
      <w:b/>
      <w:bCs/>
      <w:sz w:val="72"/>
      <w:szCs w:val="72"/>
    </w:rPr>
  </w:style>
  <w:style w:type="character" w:styleId="669">
    <w:name w:val="标题 2 Char"/>
    <w:next w:val="669"/>
    <w:link w:val="661"/>
    <w:rPr>
      <w:rFonts w:ascii="宋体" w:hAnsi="Times New Roman" w:eastAsia="宋体" w:cs="宋体"/>
      <w:b/>
      <w:bCs/>
      <w:sz w:val="44"/>
      <w:szCs w:val="44"/>
    </w:rPr>
  </w:style>
  <w:style w:type="character" w:styleId="670">
    <w:name w:val="标题 3 Char"/>
    <w:next w:val="670"/>
    <w:link w:val="662"/>
    <w:uiPriority w:val="1"/>
    <w:rPr>
      <w:rFonts w:ascii="宋体" w:hAnsi="Times New Roman" w:eastAsia="宋体" w:cs="宋体"/>
      <w:b/>
      <w:bCs/>
      <w:sz w:val="36"/>
      <w:szCs w:val="36"/>
    </w:rPr>
  </w:style>
  <w:style w:type="character" w:styleId="671">
    <w:name w:val="标题 4 Char1"/>
    <w:next w:val="671"/>
    <w:link w:val="663"/>
    <w:uiPriority w:val="1"/>
    <w:rPr>
      <w:rFonts w:ascii="宋体" w:hAnsi="Times New Roman" w:eastAsia="宋体" w:cs="宋体"/>
      <w:b/>
      <w:bCs/>
      <w:sz w:val="32"/>
      <w:szCs w:val="32"/>
    </w:rPr>
  </w:style>
  <w:style w:type="character" w:styleId="672">
    <w:name w:val="标题 5 Char"/>
    <w:next w:val="672"/>
    <w:link w:val="664"/>
    <w:uiPriority w:val="1"/>
    <w:rPr>
      <w:rFonts w:ascii="宋体" w:hAnsi="Times New Roman" w:eastAsia="宋体" w:cs="宋体"/>
      <w:sz w:val="24"/>
      <w:szCs w:val="24"/>
    </w:rPr>
  </w:style>
  <w:style w:type="character" w:styleId="673">
    <w:name w:val="标题 6 Char"/>
    <w:next w:val="673"/>
    <w:link w:val="665"/>
    <w:uiPriority w:val="1"/>
    <w:rPr>
      <w:rFonts w:ascii="宋体" w:hAnsi="Times New Roman" w:eastAsia="宋体" w:cs="宋体"/>
      <w:b/>
      <w:bCs/>
      <w:szCs w:val="21"/>
    </w:rPr>
  </w:style>
  <w:style w:type="paragraph" w:styleId="674">
    <w:name w:val="正文缩进"/>
    <w:basedOn w:val="659"/>
    <w:next w:val="674"/>
    <w:link w:val="675"/>
    <w:qFormat/>
    <w:pPr>
      <w:ind w:firstLine="420"/>
    </w:pPr>
    <w:rPr>
      <w:rFonts w:ascii="Times New Roman" w:eastAsia="楷体_GB2312" w:cs="Times New Roman"/>
      <w:sz w:val="21"/>
      <w:szCs w:val="20"/>
    </w:rPr>
  </w:style>
  <w:style w:type="character" w:styleId="675">
    <w:name w:val="正文缩进 Char1"/>
    <w:next w:val="675"/>
    <w:link w:val="674"/>
    <w:qFormat/>
    <w:rPr>
      <w:rFonts w:ascii="Times New Roman" w:hAnsi="Times New Roman" w:eastAsia="楷体_GB2312"/>
      <w:sz w:val="21"/>
    </w:rPr>
  </w:style>
  <w:style w:type="paragraph" w:styleId="676">
    <w:name w:val="文档结构图"/>
    <w:basedOn w:val="659"/>
    <w:next w:val="678"/>
    <w:link w:val="677"/>
    <w:uiPriority w:val="99"/>
    <w:qFormat/>
    <w:pPr>
      <w:widowControl/>
      <w:framePr w:wrap="around" w:vAnchor="margin" w:hAnchor="text" w:y="1"/>
    </w:pPr>
    <w:rPr>
      <w:rFonts w:eastAsia="Arial Unicode MS" w:cs="Times New Roman"/>
      <w:sz w:val="18"/>
      <w:szCs w:val="18"/>
      <w:lang w:eastAsia="en-US"/>
    </w:rPr>
  </w:style>
  <w:style w:type="character" w:styleId="677">
    <w:name w:val="文档结构图 Char"/>
    <w:next w:val="677"/>
    <w:link w:val="676"/>
    <w:uiPriority w:val="99"/>
    <w:rPr>
      <w:rFonts w:ascii="宋体" w:hAnsi="Times New Roman" w:eastAsia="Arial Unicode MS"/>
      <w:sz w:val="18"/>
      <w:szCs w:val="18"/>
      <w:lang w:eastAsia="en-US"/>
    </w:rPr>
  </w:style>
  <w:style w:type="paragraph" w:styleId="678">
    <w:name w:val="纯文本"/>
    <w:basedOn w:val="659"/>
    <w:next w:val="680"/>
    <w:link w:val="679"/>
    <w:qFormat/>
    <w:pPr>
      <w:jc w:val="both"/>
    </w:pPr>
    <w:rPr>
      <w:rFonts w:hAnsi="Courier New" w:eastAsia="楷体_GB2312" w:cs="Times New Roman"/>
      <w:sz w:val="26"/>
      <w:szCs w:val="20"/>
    </w:rPr>
  </w:style>
  <w:style w:type="character" w:styleId="679">
    <w:name w:val="纯文本 Char1"/>
    <w:next w:val="679"/>
    <w:link w:val="678"/>
    <w:qFormat/>
    <w:rPr>
      <w:rFonts w:ascii="宋体" w:hAnsi="Courier New" w:eastAsia="楷体_GB2312"/>
      <w:sz w:val="26"/>
    </w:rPr>
  </w:style>
  <w:style w:type="paragraph" w:styleId="680">
    <w:name w:val="页眉"/>
    <w:basedOn w:val="659"/>
    <w:next w:val="659"/>
    <w:link w:val="68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681">
    <w:name w:val="页眉 Char"/>
    <w:next w:val="681"/>
    <w:link w:val="680"/>
    <w:uiPriority w:val="99"/>
    <w:rPr>
      <w:rFonts w:ascii="宋体" w:hAnsi="Times New Roman" w:eastAsia="宋体" w:cs="宋体"/>
      <w:sz w:val="18"/>
      <w:szCs w:val="18"/>
    </w:rPr>
  </w:style>
  <w:style w:type="paragraph" w:styleId="682">
    <w:name w:val="批注文字"/>
    <w:basedOn w:val="659"/>
    <w:next w:val="682"/>
    <w:link w:val="683"/>
    <w:qFormat/>
    <w:rPr>
      <w:rFonts w:ascii="Calibri" w:hAnsi="Calibri" w:cs="Times New Roman"/>
      <w:sz w:val="20"/>
      <w:szCs w:val="20"/>
    </w:rPr>
  </w:style>
  <w:style w:type="character" w:styleId="683">
    <w:name w:val="批注文字 Char"/>
    <w:next w:val="683"/>
    <w:link w:val="682"/>
    <w:qFormat/>
    <w:rPr>
      <w:rFonts w:ascii="Calibri" w:hAnsi="Calibri" w:eastAsia="宋体" w:cs="宋体"/>
    </w:rPr>
  </w:style>
  <w:style w:type="paragraph" w:styleId="684">
    <w:name w:val="正文文本"/>
    <w:basedOn w:val="659"/>
    <w:next w:val="659"/>
    <w:link w:val="685"/>
    <w:uiPriority w:val="99"/>
    <w:qFormat/>
    <w:pPr>
      <w:ind w:left="367"/>
      <w:spacing w:before="132"/>
    </w:pPr>
    <w:rPr>
      <w:rFonts w:cs="Times New Roman"/>
      <w:sz w:val="20"/>
      <w:szCs w:val="21"/>
    </w:rPr>
  </w:style>
  <w:style w:type="character" w:styleId="685">
    <w:name w:val="正文文本 Char1"/>
    <w:next w:val="685"/>
    <w:link w:val="684"/>
    <w:uiPriority w:val="99"/>
    <w:rPr>
      <w:rFonts w:ascii="宋体" w:hAnsi="Times New Roman" w:eastAsia="宋体" w:cs="宋体"/>
      <w:szCs w:val="21"/>
    </w:rPr>
  </w:style>
  <w:style w:type="paragraph" w:styleId="686">
    <w:name w:val="正文文本缩进"/>
    <w:basedOn w:val="659"/>
    <w:next w:val="684"/>
    <w:link w:val="687"/>
    <w:uiPriority w:val="99"/>
    <w:unhideWhenUsed/>
    <w:qFormat/>
    <w:pPr>
      <w:ind w:left="420"/>
      <w:spacing w:after="120"/>
    </w:pPr>
    <w:rPr>
      <w:rFonts w:cs="Times New Roman"/>
      <w:szCs w:val="20"/>
    </w:rPr>
  </w:style>
  <w:style w:type="character" w:styleId="687">
    <w:name w:val="正文文本缩进 Char"/>
    <w:next w:val="687"/>
    <w:link w:val="686"/>
    <w:uiPriority w:val="99"/>
    <w:rPr>
      <w:rFonts w:ascii="宋体" w:hAnsi="Times New Roman" w:eastAsia="宋体" w:cs="宋体"/>
      <w:sz w:val="22"/>
    </w:rPr>
  </w:style>
  <w:style w:type="paragraph" w:styleId="688">
    <w:name w:val="日期"/>
    <w:basedOn w:val="659"/>
    <w:next w:val="659"/>
    <w:link w:val="689"/>
    <w:uiPriority w:val="99"/>
    <w:unhideWhenUsed/>
    <w:pPr>
      <w:ind w:left="100"/>
    </w:pPr>
    <w:rPr>
      <w:rFonts w:cs="Times New Roman"/>
    </w:rPr>
  </w:style>
  <w:style w:type="character" w:styleId="689">
    <w:name w:val="日期 Char"/>
    <w:next w:val="689"/>
    <w:link w:val="688"/>
    <w:uiPriority w:val="99"/>
    <w:semiHidden/>
    <w:rPr>
      <w:rFonts w:ascii="宋体" w:hAnsi="Times New Roman" w:eastAsia="宋体" w:cs="宋体"/>
      <w:sz w:val="22"/>
      <w:szCs w:val="22"/>
    </w:rPr>
  </w:style>
  <w:style w:type="paragraph" w:styleId="690">
    <w:name w:val="页脚"/>
    <w:basedOn w:val="659"/>
    <w:next w:val="690"/>
    <w:link w:val="691"/>
    <w:uiPriority w:val="99"/>
    <w:unhideWhenUsed/>
    <w:qFormat/>
    <w:pPr>
      <w:tabs>
        <w:tab w:val="center" w:pos="4153" w:leader="none"/>
        <w:tab w:val="right" w:pos="8306" w:leader="none"/>
      </w:tabs>
    </w:pPr>
    <w:rPr>
      <w:rFonts w:cs="Times New Roman"/>
      <w:sz w:val="18"/>
      <w:szCs w:val="18"/>
    </w:rPr>
  </w:style>
  <w:style w:type="character" w:styleId="691">
    <w:name w:val="页脚 Char"/>
    <w:next w:val="691"/>
    <w:link w:val="690"/>
    <w:uiPriority w:val="99"/>
    <w:rPr>
      <w:rFonts w:ascii="宋体" w:hAnsi="Times New Roman" w:eastAsia="宋体" w:cs="宋体"/>
      <w:sz w:val="18"/>
      <w:szCs w:val="18"/>
    </w:rPr>
  </w:style>
  <w:style w:type="paragraph" w:styleId="692">
    <w:name w:val="目录 1"/>
    <w:basedOn w:val="659"/>
    <w:next w:val="659"/>
    <w:link w:val="659"/>
    <w:uiPriority w:val="39"/>
    <w:qFormat/>
    <w:pPr>
      <w:ind w:left="210"/>
      <w:jc w:val="both"/>
      <w:spacing w:before="100" w:beforeAutospacing="1" w:after="100" w:afterAutospacing="1" w:line="360" w:lineRule="exact"/>
      <w:tabs>
        <w:tab w:val="right" w:pos="9450" w:leader="dot"/>
      </w:tabs>
    </w:pPr>
    <w:rPr>
      <w:rFonts w:ascii="Calibri" w:hAnsi="Calibri" w:eastAsia="宋体" w:cs="Times New Roman"/>
      <w:b/>
      <w:bCs/>
      <w:caps/>
      <w:sz w:val="28"/>
      <w:szCs w:val="36"/>
    </w:rPr>
  </w:style>
  <w:style w:type="paragraph" w:styleId="693">
    <w:name w:val="正文文本缩进 3"/>
    <w:basedOn w:val="659"/>
    <w:next w:val="693"/>
    <w:link w:val="694"/>
    <w:uiPriority w:val="99"/>
    <w:unhideWhenUsed/>
    <w:pPr>
      <w:ind w:left="420"/>
      <w:spacing w:after="120"/>
    </w:pPr>
    <w:rPr>
      <w:rFonts w:cs="Times New Roman"/>
      <w:sz w:val="16"/>
      <w:szCs w:val="16"/>
    </w:rPr>
  </w:style>
  <w:style w:type="character" w:styleId="694">
    <w:name w:val="正文文本缩进 3 Char"/>
    <w:next w:val="694"/>
    <w:link w:val="693"/>
    <w:uiPriority w:val="99"/>
    <w:rPr>
      <w:rFonts w:ascii="宋体" w:hAnsi="Times New Roman" w:eastAsia="宋体" w:cs="宋体"/>
      <w:sz w:val="16"/>
      <w:szCs w:val="16"/>
    </w:rPr>
  </w:style>
  <w:style w:type="paragraph" w:styleId="695">
    <w:name w:val="普通(网站)"/>
    <w:basedOn w:val="659"/>
    <w:next w:val="659"/>
    <w:link w:val="696"/>
    <w:qFormat/>
    <w:pPr>
      <w:jc w:val="both"/>
    </w:pPr>
    <w:rPr>
      <w:rFonts w:ascii="Times New Roman" w:cs="Times New Roman"/>
      <w:sz w:val="24"/>
      <w:szCs w:val="21"/>
    </w:rPr>
  </w:style>
  <w:style w:type="character" w:styleId="696">
    <w:name w:val="普通(网站) Char"/>
    <w:next w:val="696"/>
    <w:link w:val="695"/>
    <w:uiPriority w:val="99"/>
    <w:qFormat/>
    <w:rPr>
      <w:rFonts w:ascii="Times New Roman" w:hAnsi="Times New Roman" w:eastAsia="宋体" w:cs="宋体"/>
      <w:sz w:val="24"/>
      <w:szCs w:val="21"/>
    </w:rPr>
  </w:style>
  <w:style w:type="paragraph" w:styleId="697">
    <w:name w:val="批注主题"/>
    <w:basedOn w:val="682"/>
    <w:next w:val="682"/>
    <w:link w:val="698"/>
    <w:uiPriority w:val="99"/>
    <w:unhideWhenUsed/>
    <w:rPr>
      <w:rFonts w:ascii="宋体" w:hAnsi="Times New Roman"/>
      <w:b/>
      <w:bCs/>
      <w:sz w:val="22"/>
      <w:szCs w:val="22"/>
    </w:rPr>
  </w:style>
  <w:style w:type="character" w:styleId="698">
    <w:name w:val="批注主题 Char"/>
    <w:next w:val="698"/>
    <w:link w:val="697"/>
    <w:uiPriority w:val="99"/>
    <w:semiHidden/>
    <w:rPr>
      <w:rFonts w:ascii="宋体" w:hAnsi="Times New Roman" w:eastAsia="宋体" w:cs="宋体"/>
      <w:b/>
      <w:bCs/>
      <w:sz w:val="22"/>
      <w:szCs w:val="22"/>
    </w:rPr>
  </w:style>
  <w:style w:type="paragraph" w:styleId="699">
    <w:name w:val="正文首行缩进"/>
    <w:basedOn w:val="684"/>
    <w:next w:val="699"/>
    <w:link w:val="700"/>
    <w:uiPriority w:val="99"/>
    <w:unhideWhenUsed/>
    <w:pPr>
      <w:ind w:left="0" w:firstLine="420"/>
      <w:spacing w:before="0" w:after="120"/>
    </w:pPr>
    <w:rPr>
      <w:sz w:val="22"/>
      <w:szCs w:val="22"/>
    </w:rPr>
  </w:style>
  <w:style w:type="character" w:styleId="700">
    <w:name w:val="正文首行缩进 Char"/>
    <w:next w:val="700"/>
    <w:link w:val="699"/>
    <w:uiPriority w:val="99"/>
    <w:rPr>
      <w:rFonts w:ascii="宋体" w:hAnsi="Times New Roman" w:eastAsia="宋体" w:cs="宋体"/>
      <w:sz w:val="22"/>
      <w:szCs w:val="22"/>
    </w:rPr>
  </w:style>
  <w:style w:type="paragraph" w:styleId="701">
    <w:name w:val="正文首行缩进 2"/>
    <w:basedOn w:val="686"/>
    <w:next w:val="701"/>
    <w:link w:val="702"/>
    <w:qFormat/>
    <w:pPr>
      <w:ind w:firstLine="420"/>
      <w:jc w:val="both"/>
    </w:pPr>
    <w:rPr>
      <w:sz w:val="21"/>
      <w:szCs w:val="24"/>
    </w:rPr>
  </w:style>
  <w:style w:type="character" w:styleId="702">
    <w:name w:val="正文首行缩进 2 Char"/>
    <w:next w:val="702"/>
    <w:link w:val="701"/>
    <w:rPr>
      <w:rFonts w:ascii="宋体" w:hAnsi="Times New Roman" w:eastAsia="宋体" w:cs="宋体"/>
      <w:sz w:val="21"/>
      <w:szCs w:val="24"/>
    </w:rPr>
  </w:style>
  <w:style w:type="table" w:styleId="703">
    <w:name w:val="网格型"/>
    <w:basedOn w:val="667"/>
    <w:next w:val="703"/>
    <w:link w:val="659"/>
    <w:uiPriority w:val="39"/>
    <w:qFormat/>
    <w:tblPr/>
  </w:style>
  <w:style w:type="character" w:styleId="704">
    <w:name w:val="要点"/>
    <w:next w:val="704"/>
    <w:link w:val="659"/>
    <w:uiPriority w:val="22"/>
    <w:qFormat/>
    <w:rPr>
      <w:b/>
    </w:rPr>
  </w:style>
  <w:style w:type="character" w:styleId="705">
    <w:name w:val="页码"/>
    <w:next w:val="705"/>
    <w:link w:val="659"/>
    <w:qFormat/>
  </w:style>
  <w:style w:type="character" w:styleId="706">
    <w:name w:val="HTML 打字机"/>
    <w:next w:val="706"/>
    <w:link w:val="659"/>
    <w:qFormat/>
    <w:rPr>
      <w:rFonts w:ascii="黑体" w:hAnsi="Courier New" w:eastAsia="黑体" w:cs="Courier New"/>
      <w:sz w:val="14"/>
      <w:szCs w:val="14"/>
      <w:lang w:val="en-US" w:eastAsia="zh-CN" w:bidi="ar-SA"/>
    </w:rPr>
  </w:style>
  <w:style w:type="character" w:styleId="707">
    <w:name w:val="超链接"/>
    <w:next w:val="707"/>
    <w:link w:val="659"/>
    <w:uiPriority w:val="99"/>
    <w:unhideWhenUsed/>
    <w:rPr>
      <w:color w:val="0563c1"/>
      <w:u w:val="single"/>
    </w:rPr>
  </w:style>
  <w:style w:type="character" w:styleId="708">
    <w:name w:val="批注引用"/>
    <w:next w:val="708"/>
    <w:link w:val="659"/>
    <w:uiPriority w:val="99"/>
    <w:unhideWhenUsed/>
    <w:rPr>
      <w:sz w:val="21"/>
      <w:szCs w:val="21"/>
    </w:rPr>
  </w:style>
  <w:style w:type="paragraph" w:styleId="709">
    <w:name w:val="正文文本缩进1"/>
    <w:basedOn w:val="659"/>
    <w:next w:val="659"/>
    <w:link w:val="659"/>
    <w:qFormat/>
    <w:pPr>
      <w:ind w:firstLine="574"/>
      <w:spacing w:line="312" w:lineRule="atLeast"/>
    </w:pPr>
    <w:rPr>
      <w:rFonts w:ascii="宋体"/>
      <w:sz w:val="28"/>
    </w:rPr>
  </w:style>
  <w:style w:type="paragraph" w:styleId="710">
    <w:name w:val="Default"/>
    <w:next w:val="710"/>
    <w:link w:val="659"/>
    <w:qFormat/>
    <w:pPr>
      <w:widowControl w:val="off"/>
    </w:pPr>
    <w:rPr>
      <w:rFonts w:ascii="宋体ラ..." w:eastAsia="宋体ラ..." w:cs="宋体ラ..."/>
      <w:color w:val="000000"/>
      <w:sz w:val="24"/>
      <w:szCs w:val="24"/>
      <w:lang w:val="en-US" w:eastAsia="zh-CN" w:bidi="ar-SA"/>
    </w:rPr>
  </w:style>
  <w:style w:type="paragraph" w:styleId="711">
    <w:name w:val="段"/>
    <w:next w:val="659"/>
    <w:link w:val="659"/>
    <w:qFormat/>
    <w:pPr>
      <w:ind w:firstLine="200"/>
      <w:jc w:val="both"/>
    </w:pPr>
    <w:rPr>
      <w:rFonts w:ascii="宋体"/>
      <w:sz w:val="21"/>
      <w:lang w:val="en-US" w:eastAsia="zh-CN" w:bidi="ar-SA"/>
    </w:rPr>
  </w:style>
  <w:style w:type="paragraph" w:styleId="712">
    <w:name w:val="列出段落"/>
    <w:basedOn w:val="659"/>
    <w:next w:val="712"/>
    <w:link w:val="713"/>
    <w:uiPriority w:val="34"/>
    <w:qFormat/>
    <w:pPr>
      <w:ind w:left="367" w:firstLine="420"/>
      <w:spacing w:before="132"/>
    </w:pPr>
    <w:rPr>
      <w:sz w:val="24"/>
      <w:szCs w:val="24"/>
    </w:rPr>
  </w:style>
  <w:style w:type="character" w:styleId="713">
    <w:name w:val="列出段落 Char"/>
    <w:next w:val="713"/>
    <w:link w:val="712"/>
    <w:uiPriority w:val="34"/>
    <w:qFormat/>
    <w:rPr>
      <w:rFonts w:ascii="宋体" w:cs="宋体"/>
      <w:sz w:val="24"/>
      <w:szCs w:val="24"/>
    </w:rPr>
  </w:style>
  <w:style w:type="paragraph" w:styleId="714">
    <w:name w:val="Table Paragraph"/>
    <w:basedOn w:val="659"/>
    <w:next w:val="714"/>
    <w:link w:val="659"/>
    <w:uiPriority w:val="1"/>
    <w:qFormat/>
    <w:pPr>
      <w:jc w:val="center"/>
      <w:spacing w:before="111"/>
    </w:pPr>
    <w:rPr>
      <w:sz w:val="24"/>
      <w:szCs w:val="24"/>
    </w:rPr>
  </w:style>
  <w:style w:type="paragraph" w:styleId="715">
    <w:name w:val="Plain Text2"/>
    <w:basedOn w:val="659"/>
    <w:next w:val="715"/>
    <w:link w:val="659"/>
    <w:qFormat/>
    <w:pPr>
      <w:jc w:val="both"/>
    </w:pPr>
    <w:rPr>
      <w:rFonts w:hAnsi="Courier New" w:eastAsia="楷体_GB2312" w:cs="Times New Roman"/>
      <w:sz w:val="28"/>
      <w:szCs w:val="24"/>
    </w:rPr>
  </w:style>
  <w:style w:type="paragraph" w:styleId="716">
    <w:name w:val="列表段落1"/>
    <w:basedOn w:val="659"/>
    <w:next w:val="716"/>
    <w:link w:val="659"/>
    <w:uiPriority w:val="34"/>
    <w:qFormat/>
    <w:pPr>
      <w:ind w:firstLine="420"/>
      <w:jc w:val="both"/>
    </w:pPr>
    <w:rPr>
      <w:rFonts w:ascii="等线" w:hAnsi="等线" w:eastAsia="等线" w:cs="Times New Roman"/>
      <w:sz w:val="21"/>
      <w:szCs w:val="24"/>
    </w:rPr>
  </w:style>
  <w:style w:type="paragraph" w:styleId="717">
    <w:name w:val="彩色列表 - 强调文字颜色 11"/>
    <w:basedOn w:val="659"/>
    <w:next w:val="717"/>
    <w:link w:val="659"/>
    <w:qFormat/>
    <w:pPr>
      <w:ind w:firstLine="420"/>
      <w:jc w:val="both"/>
    </w:pPr>
    <w:rPr>
      <w:rFonts w:ascii="Times New Roman" w:eastAsia="等线" w:cs="Times New Roman"/>
      <w:sz w:val="21"/>
      <w:szCs w:val="24"/>
    </w:rPr>
  </w:style>
  <w:style w:type="character" w:styleId="718">
    <w:name w:val="标题 4 Char"/>
    <w:next w:val="718"/>
    <w:link w:val="659"/>
    <w:rPr>
      <w:rFonts w:ascii="Arial" w:hAnsi="Arial" w:eastAsia="黑体"/>
      <w:b/>
      <w:sz w:val="28"/>
    </w:rPr>
  </w:style>
  <w:style w:type="paragraph" w:styleId="719">
    <w:name w:val="xl24"/>
    <w:basedOn w:val="659"/>
    <w:next w:val="719"/>
    <w:link w:val="659"/>
    <w:qFormat/>
    <w:pPr>
      <w:jc w:val="center"/>
      <w:spacing w:before="100" w:beforeAutospacing="1" w:after="100" w:afterAutospacing="1"/>
      <w:widowControl/>
    </w:pPr>
    <w:rPr>
      <w:rFonts w:hint="eastAsia" w:hAnsi="宋体" w:cs="Times New Roman"/>
      <w:sz w:val="24"/>
      <w:szCs w:val="24"/>
    </w:rPr>
  </w:style>
  <w:style w:type="character" w:styleId="720">
    <w:name w:val="正文文本缩进 字符1"/>
    <w:next w:val="720"/>
    <w:link w:val="659"/>
    <w:qFormat/>
    <w:rPr>
      <w:rFonts w:ascii="宋体" w:eastAsia="宋体"/>
      <w:sz w:val="28"/>
      <w:lang w:val="en-US" w:eastAsia="zh-CN" w:bidi="ar-SA"/>
    </w:rPr>
  </w:style>
  <w:style w:type="character" w:styleId="721">
    <w:name w:val="方案正文 Char"/>
    <w:next w:val="721"/>
    <w:link w:val="722"/>
    <w:qFormat/>
    <w:rPr>
      <w:sz w:val="24"/>
    </w:rPr>
  </w:style>
  <w:style w:type="paragraph" w:styleId="722">
    <w:name w:val="方案正文"/>
    <w:basedOn w:val="659"/>
    <w:next w:val="722"/>
    <w:link w:val="721"/>
    <w:qFormat/>
    <w:pPr>
      <w:jc w:val="both"/>
      <w:spacing w:line="440" w:lineRule="atLeast"/>
    </w:pPr>
    <w:rPr>
      <w:rFonts w:ascii="Times New Roman" w:cs="Times New Roman"/>
      <w:sz w:val="24"/>
      <w:szCs w:val="20"/>
    </w:rPr>
  </w:style>
  <w:style w:type="paragraph" w:styleId="723">
    <w:name w:val="列出段落2"/>
    <w:basedOn w:val="659"/>
    <w:next w:val="723"/>
    <w:link w:val="659"/>
    <w:uiPriority w:val="34"/>
    <w:qFormat/>
    <w:pPr>
      <w:ind w:firstLine="420"/>
      <w:jc w:val="both"/>
      <w:spacing w:line="360" w:lineRule="auto"/>
    </w:pPr>
    <w:rPr>
      <w:rFonts w:ascii="Calibri" w:hAnsi="Calibri" w:cs="Times New Roman"/>
      <w:sz w:val="24"/>
      <w:szCs w:val="20"/>
    </w:rPr>
  </w:style>
  <w:style w:type="paragraph" w:styleId="724">
    <w:name w:val="列出段落12"/>
    <w:basedOn w:val="659"/>
    <w:next w:val="724"/>
    <w:link w:val="659"/>
    <w:qFormat/>
    <w:pPr>
      <w:ind w:firstLine="420"/>
      <w:jc w:val="both"/>
    </w:pPr>
    <w:rPr>
      <w:rFonts w:ascii="Times New Roman" w:cs="Times New Roman"/>
      <w:sz w:val="21"/>
      <w:szCs w:val="20"/>
    </w:rPr>
  </w:style>
  <w:style w:type="paragraph" w:styleId="725">
    <w:name w:val="列出段落5"/>
    <w:basedOn w:val="659"/>
    <w:next w:val="725"/>
    <w:link w:val="659"/>
    <w:qFormat/>
    <w:pPr>
      <w:ind w:firstLine="420"/>
      <w:jc w:val="both"/>
    </w:pPr>
    <w:rPr>
      <w:rFonts w:ascii="Calibri" w:hAnsi="Calibri" w:cs="Times New Roman"/>
      <w:sz w:val="21"/>
      <w:szCs w:val="20"/>
    </w:rPr>
  </w:style>
  <w:style w:type="paragraph" w:styleId="726">
    <w:name w:val="正文1"/>
    <w:basedOn w:val="659"/>
    <w:next w:val="659"/>
    <w:link w:val="659"/>
    <w:qFormat/>
    <w:pPr>
      <w:ind w:firstLine="420"/>
      <w:jc w:val="both"/>
      <w:spacing w:line="360" w:lineRule="auto"/>
      <w:tabs>
        <w:tab w:val="left" w:pos="420" w:leader="none"/>
      </w:tabs>
    </w:pPr>
    <w:rPr>
      <w:rFonts w:hAnsi="宋体" w:cs="Times New Roman"/>
      <w:sz w:val="21"/>
      <w:szCs w:val="20"/>
    </w:rPr>
  </w:style>
  <w:style w:type="character" w:styleId="727">
    <w:name w:val="font41"/>
    <w:next w:val="727"/>
    <w:link w:val="659"/>
    <w:qFormat/>
    <w:rPr>
      <w:rFonts w:hint="eastAsia" w:ascii="宋体" w:hAnsi="宋体" w:eastAsia="宋体" w:cs="宋体"/>
      <w:color w:val="000000"/>
      <w:sz w:val="20"/>
      <w:szCs w:val="20"/>
      <w:u w:val="none"/>
    </w:rPr>
  </w:style>
  <w:style w:type="character" w:styleId="728">
    <w:name w:val="Plain Text Char1"/>
    <w:next w:val="728"/>
    <w:link w:val="729"/>
    <w:qFormat/>
    <w:rPr>
      <w:rFonts w:ascii="宋体" w:hAnsi="Courier New" w:eastAsia="楷体_GB2312"/>
      <w:sz w:val="26"/>
    </w:rPr>
  </w:style>
  <w:style w:type="paragraph" w:styleId="729">
    <w:name w:val="纯文本1"/>
    <w:basedOn w:val="659"/>
    <w:next w:val="730"/>
    <w:link w:val="728"/>
    <w:qFormat/>
    <w:pPr>
      <w:jc w:val="both"/>
    </w:pPr>
    <w:rPr>
      <w:rFonts w:hAnsi="Courier New" w:eastAsia="楷体_GB2312" w:cs="Times New Roman"/>
      <w:sz w:val="26"/>
      <w:szCs w:val="20"/>
    </w:rPr>
  </w:style>
  <w:style w:type="paragraph" w:styleId="730">
    <w:name w:val="目录 41"/>
    <w:basedOn w:val="659"/>
    <w:next w:val="659"/>
    <w:link w:val="659"/>
    <w:uiPriority w:val="39"/>
    <w:unhideWhenUsed/>
    <w:qFormat/>
    <w:pPr>
      <w:ind w:left="1260"/>
    </w:pPr>
  </w:style>
  <w:style w:type="character" w:styleId="731">
    <w:name w:val="页眉 字符2"/>
    <w:next w:val="731"/>
    <w:link w:val="659"/>
    <w:uiPriority w:val="99"/>
    <w:qFormat/>
    <w:rPr>
      <w:rFonts w:eastAsia="宋体"/>
      <w:sz w:val="18"/>
      <w:lang w:val="en-US" w:eastAsia="zh-CN" w:bidi="ar-SA"/>
    </w:rPr>
  </w:style>
  <w:style w:type="character" w:styleId="732">
    <w:name w:val="页脚 字符2"/>
    <w:next w:val="732"/>
    <w:link w:val="659"/>
    <w:uiPriority w:val="99"/>
    <w:qFormat/>
    <w:rPr>
      <w:rFonts w:eastAsia="宋体"/>
      <w:sz w:val="18"/>
      <w:lang w:val="en-US" w:eastAsia="zh-CN" w:bidi="ar-SA"/>
    </w:rPr>
  </w:style>
  <w:style w:type="character" w:styleId="733">
    <w:name w:val="01 章标 Char"/>
    <w:next w:val="733"/>
    <w:link w:val="734"/>
    <w:qFormat/>
    <w:rPr>
      <w:b/>
      <w:sz w:val="44"/>
      <w:szCs w:val="44"/>
    </w:rPr>
  </w:style>
  <w:style w:type="paragraph" w:styleId="734">
    <w:name w:val="01 章标"/>
    <w:basedOn w:val="659"/>
    <w:next w:val="734"/>
    <w:link w:val="733"/>
    <w:qFormat/>
    <w:pPr>
      <w:ind w:firstLine="883"/>
      <w:jc w:val="center"/>
      <w:outlineLvl w:val="0"/>
    </w:pPr>
    <w:rPr>
      <w:rFonts w:ascii="Times New Roman" w:cs="Times New Roman"/>
      <w:b/>
      <w:sz w:val="44"/>
      <w:szCs w:val="44"/>
    </w:rPr>
  </w:style>
  <w:style w:type="character" w:styleId="735">
    <w:name w:val="纯文本 字符1"/>
    <w:next w:val="735"/>
    <w:link w:val="659"/>
    <w:qFormat/>
    <w:rPr>
      <w:rFonts w:ascii="宋体" w:hAnsi="Courier New" w:eastAsia="宋体" w:cs="Courier New"/>
      <w:sz w:val="21"/>
      <w:szCs w:val="21"/>
    </w:rPr>
  </w:style>
  <w:style w:type="paragraph" w:styleId="736">
    <w:name w:val="页眉与页脚"/>
    <w:next w:val="736"/>
    <w:link w:val="659"/>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737">
    <w:name w:val="正文 A A"/>
    <w:next w:val="737"/>
    <w:link w:val="659"/>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738">
    <w:name w:val="未处理的提及"/>
    <w:next w:val="738"/>
    <w:link w:val="659"/>
    <w:uiPriority w:val="99"/>
    <w:unhideWhenUsed/>
    <w:rPr>
      <w:color w:val="605e5c"/>
      <w:shd w:val="clear" w:color="auto" w:fill="e1dfdd"/>
    </w:rPr>
  </w:style>
  <w:style w:type="character" w:styleId="739">
    <w:name w:val="font01"/>
    <w:next w:val="739"/>
    <w:link w:val="659"/>
    <w:qFormat/>
    <w:rPr>
      <w:rFonts w:ascii="Arial" w:hAnsi="Arial" w:cs="Arial"/>
      <w:color w:val="000000"/>
      <w:sz w:val="20"/>
      <w:szCs w:val="20"/>
      <w:u w:val="none"/>
    </w:rPr>
  </w:style>
  <w:style w:type="paragraph" w:styleId="740">
    <w:name w:val="正文 A"/>
    <w:next w:val="740"/>
    <w:link w:val="659"/>
    <w:qFormat/>
    <w:pPr>
      <w:jc w:val="both"/>
      <w:widowControl w:val="off"/>
      <w:framePr w:wrap="around" w:vAnchor="margin" w:hAnchor="text" w:y="1"/>
    </w:pPr>
    <w:rPr>
      <w:rFonts w:eastAsia="Arial Unicode MS" w:cs="Arial Unicode MS"/>
      <w:color w:val="000000"/>
      <w:sz w:val="21"/>
      <w:szCs w:val="21"/>
      <w:lang w:val="en-US" w:eastAsia="zh-CN" w:bidi="ar-SA"/>
    </w:rPr>
  </w:style>
  <w:style w:type="character" w:styleId="741">
    <w:name w:val="NormalCharacter1"/>
    <w:next w:val="741"/>
    <w:link w:val="659"/>
    <w:qFormat/>
  </w:style>
  <w:style w:type="paragraph" w:styleId="742">
    <w:name w:val="Andy_正文"/>
    <w:basedOn w:val="659"/>
    <w:next w:val="742"/>
    <w:link w:val="659"/>
    <w:qFormat/>
    <w:pPr>
      <w:ind w:firstLine="480"/>
      <w:jc w:val="both"/>
      <w:spacing w:line="360" w:lineRule="auto"/>
    </w:pPr>
    <w:rPr>
      <w:rFonts w:ascii="Times New Roman" w:cs="Times New Roman"/>
      <w:sz w:val="24"/>
      <w:szCs w:val="24"/>
    </w:rPr>
  </w:style>
  <w:style w:type="paragraph" w:styleId="743">
    <w:name w:val="无间隔"/>
    <w:next w:val="743"/>
    <w:link w:val="659"/>
    <w:uiPriority w:val="1"/>
    <w:qFormat/>
    <w:pPr>
      <w:jc w:val="both"/>
      <w:widowControl w:val="off"/>
    </w:pPr>
    <w:rPr>
      <w:sz w:val="21"/>
      <w:szCs w:val="22"/>
      <w:lang w:val="en-US" w:eastAsia="zh-CN" w:bidi="ar-SA"/>
    </w:rPr>
  </w:style>
  <w:style w:type="character" w:styleId="744">
    <w:name w:val="font51"/>
    <w:next w:val="744"/>
    <w:link w:val="659"/>
    <w:rPr>
      <w:rFonts w:hint="eastAsia" w:ascii="宋体" w:hAnsi="宋体" w:eastAsia="宋体" w:cs="宋体"/>
      <w:b/>
      <w:bCs/>
      <w:i w:val="0"/>
      <w:iCs w:val="0"/>
      <w:color w:val="000000"/>
      <w:sz w:val="21"/>
      <w:szCs w:val="21"/>
      <w:u w:val="none"/>
    </w:rPr>
  </w:style>
  <w:style w:type="character" w:styleId="745">
    <w:name w:val="font71"/>
    <w:next w:val="745"/>
    <w:link w:val="659"/>
    <w:rPr>
      <w:rFonts w:hint="eastAsia" w:ascii="宋体" w:hAnsi="宋体" w:eastAsia="宋体" w:cs="宋体"/>
      <w:i w:val="0"/>
      <w:iCs w:val="0"/>
      <w:color w:val="000000"/>
      <w:sz w:val="24"/>
      <w:szCs w:val="24"/>
      <w:u w:val="none"/>
    </w:rPr>
  </w:style>
  <w:style w:type="character" w:styleId="746">
    <w:name w:val="font91"/>
    <w:next w:val="746"/>
    <w:link w:val="659"/>
    <w:rPr>
      <w:rFonts w:hint="eastAsia" w:ascii="宋体" w:hAnsi="宋体" w:eastAsia="宋体" w:cs="宋体"/>
      <w:i w:val="0"/>
      <w:iCs w:val="0"/>
      <w:color w:val="000000"/>
      <w:sz w:val="21"/>
      <w:szCs w:val="21"/>
      <w:u w:val="none"/>
    </w:rPr>
  </w:style>
  <w:style w:type="character" w:styleId="747">
    <w:name w:val="font61"/>
    <w:next w:val="747"/>
    <w:link w:val="659"/>
    <w:rPr>
      <w:rFonts w:hint="eastAsia" w:ascii="宋体" w:hAnsi="宋体" w:eastAsia="宋体" w:cs="宋体"/>
      <w:i w:val="0"/>
      <w:iCs w:val="0"/>
      <w:color w:val="000000"/>
      <w:sz w:val="21"/>
      <w:szCs w:val="21"/>
      <w:u w:val="none"/>
    </w:rPr>
  </w:style>
  <w:style w:type="character" w:styleId="748">
    <w:name w:val="font81"/>
    <w:next w:val="748"/>
    <w:link w:val="659"/>
    <w:rPr>
      <w:rFonts w:ascii="Calibri" w:hAnsi="Calibri" w:cs="Calibri"/>
      <w:i w:val="0"/>
      <w:iCs w:val="0"/>
      <w:color w:val="000000"/>
      <w:sz w:val="21"/>
      <w:szCs w:val="21"/>
      <w:u w:val="none"/>
    </w:rPr>
  </w:style>
  <w:style w:type="character" w:styleId="749">
    <w:name w:val="font101"/>
    <w:next w:val="749"/>
    <w:link w:val="659"/>
    <w:rPr>
      <w:rFonts w:ascii="Calibri" w:hAnsi="Calibri" w:cs="Calibri"/>
      <w:b/>
      <w:bCs/>
      <w:i w:val="0"/>
      <w:iCs w:val="0"/>
      <w:color w:val="000000"/>
      <w:sz w:val="21"/>
      <w:szCs w:val="21"/>
      <w:u w:val="none"/>
    </w:rPr>
  </w:style>
  <w:style w:type="character" w:styleId="750">
    <w:name w:val="font111"/>
    <w:next w:val="750"/>
    <w:link w:val="659"/>
    <w:rPr>
      <w:rFonts w:hint="eastAsia" w:ascii="宋体" w:hAnsi="宋体" w:eastAsia="宋体" w:cs="宋体"/>
      <w:b/>
      <w:bCs/>
      <w:i w:val="0"/>
      <w:iCs w:val="0"/>
      <w:color w:val="000000"/>
      <w:sz w:val="22"/>
      <w:szCs w:val="22"/>
      <w:u w:val="none"/>
    </w:rPr>
  </w:style>
  <w:style w:type="character" w:styleId="751">
    <w:name w:val="正文缩进 字符1"/>
    <w:next w:val="751"/>
    <w:link w:val="659"/>
    <w:rPr>
      <w:rFonts w:eastAsia="宋体"/>
      <w:sz w:val="21"/>
      <w:szCs w:val="24"/>
      <w:lang w:val="en-US" w:eastAsia="zh-CN" w:bidi="ar-SA"/>
    </w:rPr>
  </w:style>
  <w:style w:type="paragraph" w:styleId="752">
    <w:name w:val="首行缩进"/>
    <w:basedOn w:val="659"/>
    <w:next w:val="752"/>
    <w:link w:val="659"/>
    <w:qFormat/>
    <w:pPr>
      <w:ind w:firstLine="480"/>
    </w:pPr>
    <w:rPr>
      <w:szCs w:val="20"/>
      <w:lang w:val="zh-CN"/>
    </w:rPr>
  </w:style>
  <w:style w:type="character" w:styleId="753">
    <w:name w:val="Plain Text Char"/>
    <w:next w:val="753"/>
    <w:link w:val="754"/>
    <w:rPr>
      <w:rFonts w:ascii="宋体" w:hAnsi="Courier New" w:eastAsia="楷体_GB2312"/>
      <w:sz w:val="26"/>
    </w:rPr>
  </w:style>
  <w:style w:type="paragraph" w:styleId="754">
    <w:name w:val="Plain Text"/>
    <w:basedOn w:val="659"/>
    <w:next w:val="754"/>
    <w:link w:val="753"/>
    <w:qFormat/>
    <w:pPr>
      <w:jc w:val="both"/>
    </w:pPr>
    <w:rPr>
      <w:rFonts w:hAnsi="Courier New" w:eastAsia="楷体_GB2312" w:cs="Times New Roman"/>
      <w:sz w:val="26"/>
      <w:szCs w:val="20"/>
    </w:rPr>
  </w:style>
  <w:style w:type="paragraph" w:styleId="755">
    <w:name w:val="+正文"/>
    <w:basedOn w:val="659"/>
    <w:next w:val="755"/>
    <w:link w:val="659"/>
    <w:qFormat/>
    <w:pPr>
      <w:ind w:firstLine="200"/>
      <w:spacing w:line="360" w:lineRule="auto"/>
      <w:widowControl/>
    </w:pPr>
    <w:rPr>
      <w:rFonts w:ascii="Times New Roman" w:cs="Times New Roman"/>
      <w:sz w:val="24"/>
      <w:szCs w:val="24"/>
    </w:rPr>
  </w:style>
  <w:style w:type="paragraph" w:styleId="756">
    <w:name w:val="*正文"/>
    <w:basedOn w:val="659"/>
    <w:next w:val="756"/>
    <w:link w:val="659"/>
    <w:qFormat/>
    <w:rPr>
      <w:rFonts w:ascii="宋体" w:hAnsi="宋体"/>
      <w:sz w:val="24"/>
      <w:lang w:val="zh-CN"/>
    </w:rPr>
  </w:style>
  <w:style w:type="paragraph" w:styleId="757">
    <w:name w:val="p17"/>
    <w:basedOn w:val="659"/>
    <w:next w:val="757"/>
    <w:link w:val="659"/>
    <w:uiPriority w:val="99"/>
    <w:qFormat/>
    <w:pPr>
      <w:widowControl/>
    </w:pPr>
    <w:rPr>
      <w:rFonts w:ascii="宋体" w:hAnsi="宋体" w:eastAsia="宋体" w:cs="宋体"/>
      <w:sz w:val="26"/>
      <w:szCs w:val="26"/>
    </w:rPr>
  </w:style>
  <w:style w:type="paragraph" w:styleId="758">
    <w:name w:val="列出段落1"/>
    <w:basedOn w:val="659"/>
    <w:next w:val="758"/>
    <w:link w:val="659"/>
    <w:qFormat/>
    <w:pPr>
      <w:ind w:firstLine="420"/>
    </w:pPr>
    <w:rPr>
      <w:rFonts w:ascii="Calibri" w:hAnsi="Calibri"/>
    </w:rPr>
  </w:style>
  <w:style w:type="character" w:styleId="759">
    <w:name w:val="正文缩进 Char"/>
    <w:next w:val="759"/>
    <w:link w:val="659"/>
    <w:qFormat/>
    <w:rPr>
      <w:rFonts w:eastAsia="楷体_GB2312"/>
      <w:sz w:val="24"/>
      <w:lang w:bidi="ar-SA"/>
    </w:rPr>
  </w:style>
  <w:style w:type="paragraph" w:styleId="760">
    <w:name w:val="Char"/>
    <w:basedOn w:val="659"/>
    <w:next w:val="760"/>
    <w:link w:val="659"/>
    <w:qFormat/>
    <w:pPr>
      <w:spacing w:after="160" w:line="240" w:lineRule="exact"/>
      <w:widowControl/>
    </w:pPr>
    <w:rPr>
      <w:rFonts w:ascii="Verdana" w:hAnsi="Verdana" w:eastAsia="仿宋_GB2312" w:cs="Times New Roman"/>
      <w:sz w:val="24"/>
      <w:lang w:eastAsia="en-US"/>
    </w:rPr>
  </w:style>
  <w:style w:type="character" w:styleId="761">
    <w:name w:val="正文缩进 字符3"/>
    <w:next w:val="761"/>
    <w:link w:val="659"/>
    <w:qFormat/>
    <w:rPr>
      <w:sz w:val="21"/>
    </w:rPr>
  </w:style>
  <w:style w:type="character" w:styleId="762">
    <w:name w:val="Plain Text Char Char"/>
    <w:next w:val="762"/>
    <w:link w:val="763"/>
    <w:qFormat/>
    <w:rPr>
      <w:rFonts w:ascii="宋体" w:hAnsi="Courier New" w:eastAsia="楷体_GB2312"/>
      <w:sz w:val="26"/>
    </w:rPr>
  </w:style>
  <w:style w:type="paragraph" w:styleId="763">
    <w:name w:val="纯文本2"/>
    <w:basedOn w:val="659"/>
    <w:next w:val="763"/>
    <w:link w:val="762"/>
    <w:qFormat/>
    <w:pPr>
      <w:jc w:val="both"/>
    </w:pPr>
    <w:rPr>
      <w:rFonts w:hAnsi="Courier New" w:eastAsia="楷体_GB2312" w:cs="Times New Roman"/>
      <w:sz w:val="26"/>
      <w:szCs w:val="20"/>
    </w:rPr>
  </w:style>
  <w:style w:type="character" w:styleId="764">
    <w:name w:val="正文文本 Char"/>
    <w:next w:val="764"/>
    <w:link w:val="659"/>
    <w:uiPriority w:val="99"/>
    <w:rPr>
      <w:rFonts w:ascii="宋体" w:hAnsi="Times New Roman" w:eastAsia="宋体" w:cs="宋体"/>
      <w:szCs w:val="21"/>
    </w:rPr>
  </w:style>
  <w:style w:type="character" w:styleId="765">
    <w:name w:val="纯文本 Char"/>
    <w:next w:val="765"/>
    <w:link w:val="659"/>
    <w:qFormat/>
    <w:rPr>
      <w:rFonts w:ascii="宋体" w:hAnsi="Courier New" w:eastAsia="楷体_GB2312"/>
      <w:sz w:val="26"/>
    </w:rPr>
  </w:style>
  <w:style w:type="table" w:styleId="766">
    <w:name w:val="Table Normal"/>
    <w:next w:val="766"/>
    <w:link w:val="659"/>
    <w:unhideWhenUsed/>
    <w:qFormat/>
    <w:pPr>
      <w:widowControl w:val="off"/>
    </w:pPr>
    <w:rPr>
      <w:rFonts w:ascii="Arial" w:hAnsi="Arial"/>
      <w:sz w:val="22"/>
      <w:szCs w:val="22"/>
      <w:lang w:val="en-US" w:eastAsia="en-US" w:bidi="ar-SA"/>
    </w:rPr>
    <w:tblPr/>
  </w:style>
  <w:style w:type="paragraph" w:styleId="767">
    <w:name w:val="纯文本3"/>
    <w:basedOn w:val="659"/>
    <w:next w:val="767"/>
    <w:link w:val="659"/>
    <w:qFormat/>
    <w:rPr>
      <w:rFonts w:ascii="宋体" w:hAnsi="Courier New" w:eastAsia="楷体_GB2312"/>
      <w:sz w:val="26"/>
    </w:rPr>
  </w:style>
  <w:style w:type="paragraph" w:styleId="768">
    <w:name w:val="纯文本7"/>
    <w:basedOn w:val="659"/>
    <w:next w:val="768"/>
    <w:link w:val="659"/>
    <w:qFormat/>
    <w:pPr>
      <w:jc w:val="both"/>
      <w:widowControl w:val="off"/>
    </w:pPr>
    <w:rPr>
      <w:rFonts w:ascii="宋体" w:hAnsi="Courier New" w:eastAsia="楷体_GB2312"/>
      <w:sz w:val="26"/>
      <w:szCs w:val="20"/>
    </w:rPr>
  </w:style>
  <w:style w:type="paragraph" w:styleId="769">
    <w:name w:val="纯文本11"/>
    <w:basedOn w:val="659"/>
    <w:next w:val="769"/>
    <w:link w:val="659"/>
    <w:qFormat/>
    <w:rPr>
      <w:rFonts w:ascii="宋体" w:hAnsi="Courier New" w:eastAsia="楷体_GB2312"/>
      <w:sz w:val="26"/>
      <w:szCs w:val="20"/>
    </w:rPr>
  </w:style>
  <w:style w:type="paragraph" w:styleId="770">
    <w:name w:val="正文缩进11"/>
    <w:basedOn w:val="659"/>
    <w:next w:val="770"/>
    <w:link w:val="659"/>
    <w:pPr>
      <w:ind w:firstLine="420"/>
      <w:widowControl w:val="off"/>
    </w:pPr>
    <w:rPr>
      <w:rFonts w:eastAsia="楷体_GB2312"/>
      <w:szCs w:val="20"/>
    </w:rPr>
  </w:style>
  <w:style w:type="paragraph" w:styleId="771">
    <w:name w:val="纯文本5"/>
    <w:basedOn w:val="659"/>
    <w:next w:val="771"/>
    <w:link w:val="659"/>
    <w:qFormat/>
    <w:rPr>
      <w:rFonts w:ascii="宋体" w:hAnsi="Courier New" w:eastAsia="楷体_GB2312"/>
      <w:sz w:val="28"/>
      <w:szCs w:val="20"/>
    </w:rPr>
  </w:style>
  <w:style w:type="paragraph" w:styleId="772">
    <w:name w:val="无间隔2"/>
    <w:next w:val="772"/>
    <w:link w:val="659"/>
    <w:qFormat/>
    <w:pPr>
      <w:ind w:firstLine="200"/>
      <w:spacing w:line="360" w:lineRule="auto"/>
    </w:pPr>
    <w:rPr>
      <w:rFonts w:ascii="宋体" w:hAnsi="宋体" w:eastAsia="宋体" w:cs="Times New Roman"/>
      <w:sz w:val="24"/>
      <w:szCs w:val="22"/>
      <w:lang w:val="en-US" w:eastAsia="zh-CN" w:bidi="ar-SA"/>
    </w:rPr>
  </w:style>
  <w:style w:type="paragraph" w:styleId="773">
    <w:name w:val="无间隔1"/>
    <w:next w:val="773"/>
    <w:link w:val="659"/>
    <w:uiPriority w:val="1"/>
    <w:qFormat/>
    <w:pPr>
      <w:jc w:val="both"/>
      <w:widowControl w:val="off"/>
    </w:pPr>
    <w:rPr>
      <w:rFonts w:ascii="Times New Roman" w:hAnsi="Times New Roman" w:eastAsia="宋体" w:cs="Times New Roman"/>
      <w:sz w:val="21"/>
      <w:szCs w:val="22"/>
      <w:lang w:val="en-US" w:eastAsia="zh-CN" w:bidi="ar-SA"/>
    </w:rPr>
  </w:style>
  <w:style w:type="paragraph" w:styleId="774">
    <w:name w:val="普通(网站)1"/>
    <w:basedOn w:val="659"/>
    <w:next w:val="774"/>
    <w:link w:val="659"/>
    <w:qFormat/>
    <w:pPr>
      <w:spacing w:before="100" w:beforeAutospacing="1" w:after="100" w:afterAutospacing="1"/>
    </w:pPr>
    <w:rPr>
      <w:rFonts w:ascii="宋体" w:hAnsi="宋体" w:cs="宋体"/>
    </w:rPr>
  </w:style>
  <w:style w:type="character" w:styleId="775">
    <w:name w:val="要点1"/>
    <w:next w:val="775"/>
    <w:link w:val="659"/>
    <w:qFormat/>
    <w:rPr>
      <w:b/>
      <w:bCs/>
    </w:rPr>
  </w:style>
  <w:style w:type="character" w:styleId="776">
    <w:name w:val="NormalCharacter1"/>
    <w:next w:val="776"/>
    <w:link w:val="659"/>
    <w:qFormat/>
    <w:rPr>
      <w:sz w:val="24"/>
      <w:szCs w:val="24"/>
      <w:lang w:val="en-US" w:eastAsia="zh-CN" w:bidi="ar-SA"/>
    </w:rPr>
  </w:style>
  <w:style w:type="character" w:styleId="16185" w:default="1">
    <w:name w:val="Default Paragraph Font"/>
    <w:uiPriority w:val="1"/>
    <w:semiHidden/>
    <w:unhideWhenUsed/>
  </w:style>
  <w:style w:type="numbering" w:styleId="16186" w:default="1">
    <w:name w:val="No List"/>
    <w:uiPriority w:val="99"/>
    <w:semiHidden/>
    <w:unhideWhenUsed/>
  </w:style>
  <w:style w:type="table" w:styleId="161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dc:creator>
  <cp:lastModifiedBy>居晓静</cp:lastModifiedBy>
  <cp:revision>4</cp:revision>
  <dcterms:created xsi:type="dcterms:W3CDTF">2025-02-27T03:39:00Z</dcterms:created>
  <dcterms:modified xsi:type="dcterms:W3CDTF">2026-09-21T07:31:44Z</dcterms:modified>
</cp:coreProperties>
</file>