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606"/>
        <w:jc w:val="left"/>
        <w:spacing w:before="120" w:after="120" w:line="360" w:lineRule="auto"/>
        <w:rPr>
          <w:rFonts w:hint="eastAsia" w:ascii="Times New Roman" w:hAnsi="Times New Roman"/>
          <w:b/>
          <w:bCs/>
          <w:caps w:val="0"/>
          <w:color w:val="auto"/>
          <w:sz w:val="32"/>
          <w:highlight w:val="none"/>
          <w:lang w:eastAsia="zh-CN"/>
        </w:rPr>
      </w:pPr>
      <w:r>
        <w:rPr>
          <w:rFonts w:hint="eastAsia" w:ascii="Times New Roman" w:hAnsi="Times New Roman"/>
          <w:b/>
          <w:bCs/>
          <w:color w:val="auto"/>
          <w:sz w:val="32"/>
          <w:szCs w:val="24"/>
          <w:highlight w:val="none"/>
        </w:rPr>
        <w:t xml:space="preserve">项目名称：</w:t>
      </w:r>
      <w:r>
        <w:rPr>
          <w:rFonts w:hint="eastAsia" w:ascii="Times New Roman" w:hAnsi="Times New Roman"/>
          <w:b/>
          <w:bCs/>
          <w:caps w:val="0"/>
          <w:color w:val="auto"/>
          <w:sz w:val="32"/>
          <w:highlight w:val="none"/>
          <w:lang w:eastAsia="zh-CN"/>
        </w:rPr>
        <w:t xml:space="preserve">沭阳县生产环节农产品定量检测项目</w:t>
      </w:r>
      <w:r/>
    </w:p>
    <w:p>
      <w:pPr>
        <w:ind w:firstLine="1606"/>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项目编号：JSZC-321322-JSQW-C2026-0002</w:t>
      </w:r>
      <w:r/>
    </w:p>
    <w:p>
      <w:pPr>
        <w:ind w:firstLine="1606"/>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w:t>
      </w:r>
      <w:r>
        <w:rPr>
          <w:rFonts w:hint="eastAsia" w:ascii="Times New Roman" w:hAnsi="Times New Roman"/>
          <w:b/>
          <w:caps w:val="0"/>
          <w:color w:val="auto"/>
          <w:sz w:val="30"/>
          <w:szCs w:val="30"/>
          <w:highlight w:val="none"/>
        </w:rPr>
        <w:t xml:space="preserve">服务类项目</w:t>
      </w:r>
      <w:r>
        <w:rPr>
          <w:rFonts w:ascii="Times New Roman" w:hAnsi="Times New Roman"/>
          <w:b/>
          <w:caps w:val="0"/>
          <w:color w:val="auto"/>
          <w:sz w:val="30"/>
          <w:szCs w:val="30"/>
          <w:highlight w:val="none"/>
        </w:rPr>
        <w:t xml:space="preserve">，</w:t>
      </w:r>
      <w:r>
        <w:rPr>
          <w:rFonts w:hint="eastAsia" w:ascii="Times New Roman" w:eastAsia="宋体"/>
          <w:b/>
          <w:caps w:val="0"/>
          <w:color w:val="auto"/>
          <w:sz w:val="30"/>
          <w:szCs w:val="30"/>
          <w:highlight w:val="none"/>
          <w:lang w:val="en-US" w:eastAsia="zh-CN"/>
        </w:rPr>
        <w:t xml:space="preserve">本项目</w:t>
      </w:r>
      <w:r>
        <w:rPr>
          <w:rFonts w:hint="eastAsia" w:ascii="Times New Roman" w:hAnsi="Times New Roman"/>
          <w:b/>
          <w:caps w:val="0"/>
          <w:color w:val="auto"/>
          <w:sz w:val="30"/>
          <w:szCs w:val="30"/>
          <w:highlight w:val="none"/>
        </w:rPr>
        <w:t xml:space="preserve">专门面向中小企业</w:t>
      </w:r>
      <w:r>
        <w:rPr>
          <w:rFonts w:hint="eastAsia" w:ascii="Times New Roman" w:hAnsi="Times New Roman"/>
          <w:b/>
          <w:bCs/>
          <w:color w:val="auto"/>
          <w:sz w:val="32"/>
          <w:szCs w:val="24"/>
          <w:highlight w:val="none"/>
        </w:rPr>
        <w:t xml:space="preserve">）</w:t>
      </w:r>
      <w:r>
        <w:rPr>
          <w:rFonts w:ascii="Times New Roman" w:hAnsi="Times New Roman"/>
          <w:b/>
          <w:bCs/>
          <w:color w:val="auto"/>
          <w:sz w:val="32"/>
          <w:szCs w:val="24"/>
          <w:highlight w:val="none"/>
        </w:rPr>
        <w:t xml:space="preserve">            </w:t>
      </w:r>
      <w:r/>
    </w:p>
    <w:p>
      <w:pPr>
        <w:ind w:firstLine="2249"/>
        <w:jc w:val="left"/>
        <w:spacing w:before="120" w:after="120" w:line="360" w:lineRule="auto"/>
        <w:rPr>
          <w:rFonts w:hint="eastAsia" w:ascii="Times New Roman" w:hAnsi="Times New Roman"/>
          <w:b/>
          <w:color w:val="auto"/>
          <w:sz w:val="30"/>
          <w:szCs w:val="30"/>
          <w:highlight w:val="none"/>
        </w:rPr>
      </w:pPr>
      <w:r>
        <w:rPr>
          <w:rFonts w:hint="eastAsia" w:ascii="Times New Roman" w:hAnsi="Times New Roman"/>
          <w:b/>
          <w:bCs/>
          <w:color w:val="auto"/>
          <w:sz w:val="32"/>
          <w:szCs w:val="24"/>
          <w:highlight w:val="none"/>
          <w:lang w:val="en-US" w:eastAsia="zh-CN"/>
        </w:rPr>
        <w:t xml:space="preserve"> </w:t>
      </w: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01"/>
        <w:ind w:firstLine="1690"/>
        <w:jc w:val="both"/>
        <w:rPr>
          <w:rFonts w:hint="default"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 xml:space="preserve">采购人：</w:t>
      </w:r>
      <w:r>
        <w:rPr>
          <w:rFonts w:hint="eastAsia" w:ascii="Times New Roman" w:hAnsi="Times New Roman" w:eastAsia="宋体" w:cs="Times New Roman"/>
          <w:b/>
          <w:bCs/>
          <w:caps w:val="0"/>
          <w:color w:val="auto"/>
          <w:sz w:val="32"/>
          <w:highlight w:val="none"/>
          <w:u w:val="single"/>
          <w:lang w:val="en-US" w:eastAsia="zh-CN"/>
        </w:rPr>
        <w:t xml:space="preserve">沭阳县市场监督管理局</w:t>
      </w:r>
      <w:r/>
    </w:p>
    <w:p>
      <w:pPr>
        <w:pStyle w:val="1001"/>
        <w:ind w:firstLine="1606"/>
        <w:jc w:val="both"/>
        <w:rPr>
          <w:rFonts w:hint="default"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 xml:space="preserve">采购代理机构：</w:t>
      </w:r>
      <w:r>
        <w:rPr>
          <w:rFonts w:hint="eastAsia" w:ascii="Times New Roman" w:hAnsi="Times New Roman" w:eastAsia="宋体" w:cs="Times New Roman"/>
          <w:b/>
          <w:bCs/>
          <w:caps w:val="0"/>
          <w:color w:val="auto"/>
          <w:sz w:val="32"/>
          <w:highlight w:val="none"/>
          <w:u w:val="single"/>
          <w:lang w:val="en-US" w:eastAsia="zh-CN"/>
        </w:rPr>
        <w:t xml:space="preserve">江苏清伟工程管理咨询有限公司</w:t>
      </w:r>
      <w:r/>
    </w:p>
    <w:p>
      <w:pPr>
        <w:pStyle w:val="1001"/>
        <w:ind w:firstLine="2570"/>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lang w:val="en-US" w:eastAsia="zh-CN"/>
        </w:rPr>
        <w:t xml:space="preserve">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9</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24</w:t>
      </w:r>
      <w:r>
        <w:rPr>
          <w:rFonts w:hint="eastAsia" w:ascii="Times New Roman" w:hAnsi="Times New Roman"/>
          <w:b/>
          <w:bCs/>
          <w:color w:val="auto"/>
          <w:sz w:val="32"/>
          <w:highlight w:val="none"/>
        </w:rPr>
        <w:t xml:space="preserve">日</w:t>
      </w:r>
      <w:r/>
    </w:p>
    <w:p>
      <w:pPr>
        <w:jc w:val="left"/>
        <w:spacing w:before="120" w:after="120" w:line="360" w:lineRule="auto"/>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r/>
    </w:p>
    <w:p>
      <w:pPr>
        <w:jc w:val="center"/>
        <w:spacing w:before="120" w:after="120"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spacing w:line="480" w:lineRule="auto"/>
        <w:rPr>
          <w:rFonts w:hint="eastAsia" w:ascii="Times New Roman" w:hAnsi="Times New Roman" w:eastAsia="黑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outlineLvl w:val="0"/>
      </w:pPr>
      <w:r/>
      <w:bookmarkStart w:id="0" w:name="_Toc120614210"/>
      <w:r/>
      <w:bookmarkStart w:id="1" w:name="_Toc479757206"/>
      <w:r/>
      <w:bookmarkStart w:id="2" w:name="_Toc513029200"/>
      <w:r/>
      <w:bookmarkStart w:id="3" w:name="_Toc16938516"/>
      <w:r/>
      <w:bookmarkStart w:id="4" w:name="_Toc523127445"/>
      <w:r/>
      <w:bookmarkStart w:id="5" w:name="_Toc20823272"/>
      <w:r/>
      <w:r/>
    </w:p>
    <w:p>
      <w:pPr>
        <w:jc w:val="center"/>
        <w:spacing w:line="480" w:lineRule="auto"/>
        <w:rPr>
          <w:rFonts w:hint="eastAsia" w:ascii="Times New Roman" w:hAnsi="Times New Roman" w:eastAsia="黑体"/>
          <w:b/>
          <w:color w:val="auto"/>
          <w:sz w:val="44"/>
          <w:szCs w:val="21"/>
          <w:highlight w:val="none"/>
        </w:rPr>
        <w:outlineLvl w:val="0"/>
      </w:pPr>
      <w:r>
        <w:rPr>
          <w:rFonts w:hint="eastAsia" w:ascii="Times New Roman" w:hAnsi="Times New Roman" w:eastAsia="黑体"/>
          <w:b/>
          <w:color w:val="auto"/>
          <w:sz w:val="44"/>
          <w:szCs w:val="21"/>
          <w:highlight w:val="none"/>
        </w:rPr>
        <w:t xml:space="preserve">总  目  录</w:t>
      </w:r>
      <w:r/>
    </w:p>
    <w:p>
      <w:pPr>
        <w:spacing w:line="480" w:lineRule="auto"/>
        <w:rPr>
          <w:rFonts w:hint="eastAsia" w:ascii="Times New Roman" w:hAnsi="Times New Roman" w:eastAsia="仿宋_GB2312"/>
          <w:b/>
          <w:color w:val="auto"/>
          <w:sz w:val="28"/>
          <w:szCs w:val="21"/>
          <w:highlight w:val="none"/>
        </w:rPr>
      </w:pPr>
      <w:r>
        <w:rPr>
          <w:rFonts w:hint="eastAsia" w:ascii="Times New Roman" w:hAnsi="Times New Roman" w:eastAsia="仿宋_GB2312"/>
          <w:b/>
          <w:color w:val="auto"/>
          <w:sz w:val="28"/>
          <w:szCs w:val="21"/>
          <w:highlight w:val="none"/>
        </w:rPr>
      </w:r>
      <w:r/>
    </w:p>
    <w:p>
      <w:pPr>
        <w:numPr>
          <w:ilvl w:val="0"/>
          <w:numId w:val="4"/>
        </w:numPr>
        <w:spacing w:line="480" w:lineRule="auto"/>
        <w:rPr>
          <w:rFonts w:hint="eastAsia" w:ascii="Times New Roman" w:hAnsi="Times New Roman" w:eastAsia="黑体"/>
          <w:color w:val="auto"/>
          <w:sz w:val="32"/>
          <w:szCs w:val="21"/>
          <w:highlight w:val="none"/>
        </w:rPr>
        <w:outlineLvl w:val="0"/>
      </w:pPr>
      <w:r>
        <w:rPr>
          <w:rFonts w:hint="eastAsia" w:ascii="Times New Roman" w:hAnsi="Times New Roman" w:eastAsia="黑体"/>
          <w:color w:val="auto"/>
          <w:sz w:val="36"/>
          <w:szCs w:val="21"/>
          <w:highlight w:val="none"/>
        </w:rPr>
        <w:t xml:space="preserve">磋商邀请……………………………………</w:t>
      </w:r>
      <w:r>
        <w:rPr>
          <w:rFonts w:hint="eastAsia" w:ascii="Times New Roman" w:hAnsi="Times New Roman" w:eastAsia="黑体"/>
          <w:color w:val="auto"/>
          <w:sz w:val="36"/>
          <w:szCs w:val="21"/>
          <w:highlight w:val="none"/>
          <w:lang w:val="en-US" w:eastAsia="zh-CN"/>
        </w:rPr>
        <w:t xml:space="preserve">2</w:t>
      </w:r>
      <w:r>
        <w:rPr>
          <w:rFonts w:hint="eastAsia" w:ascii="Times New Roman" w:hAnsi="Times New Roman" w:eastAsia="黑体"/>
          <w:color w:val="auto"/>
          <w:sz w:val="36"/>
          <w:szCs w:val="21"/>
          <w:highlight w:val="none"/>
        </w:rPr>
        <w:t xml:space="preserve"> </w:t>
      </w:r>
      <w:r/>
    </w:p>
    <w:p>
      <w:pPr>
        <w:numPr>
          <w:ilvl w:val="0"/>
          <w:numId w:val="4"/>
        </w:numPr>
        <w:spacing w:line="480" w:lineRule="auto"/>
        <w:rPr>
          <w:rFonts w:hint="eastAsia" w:ascii="Times New Roman" w:hAnsi="Times New Roman" w:eastAsia="黑体"/>
          <w:color w:val="auto"/>
          <w:sz w:val="36"/>
          <w:szCs w:val="21"/>
          <w:highlight w:val="none"/>
        </w:rPr>
        <w:outlineLvl w:val="0"/>
      </w:pPr>
      <w:r>
        <w:rPr>
          <w:rFonts w:hint="eastAsia" w:ascii="Times New Roman" w:hAnsi="Times New Roman" w:eastAsia="黑体"/>
          <w:bCs/>
          <w:color w:val="auto"/>
          <w:sz w:val="36"/>
          <w:szCs w:val="36"/>
          <w:highlight w:val="none"/>
        </w:rPr>
        <w:t xml:space="preserve">供应商须知</w:t>
      </w:r>
      <w:r>
        <w:rPr>
          <w:rFonts w:hint="eastAsia" w:ascii="Times New Roman" w:hAnsi="Times New Roman" w:eastAsia="黑体"/>
          <w:color w:val="auto"/>
          <w:sz w:val="36"/>
          <w:szCs w:val="36"/>
          <w:highlight w:val="none"/>
        </w:rPr>
        <w:t xml:space="preserve">…</w:t>
      </w:r>
      <w:r>
        <w:rPr>
          <w:rFonts w:hint="eastAsia" w:ascii="Times New Roman" w:hAnsi="Times New Roman" w:eastAsia="黑体"/>
          <w:color w:val="auto"/>
          <w:sz w:val="36"/>
          <w:szCs w:val="21"/>
          <w:highlight w:val="none"/>
        </w:rPr>
        <w:t xml:space="preserve">………………………………</w:t>
      </w:r>
      <w:r>
        <w:rPr>
          <w:rFonts w:hint="eastAsia" w:eastAsia="黑体"/>
          <w:color w:val="auto"/>
          <w:sz w:val="36"/>
          <w:szCs w:val="21"/>
          <w:highlight w:val="none"/>
          <w:lang w:val="en-US" w:eastAsia="zh-CN"/>
        </w:rPr>
        <w:t xml:space="preserve">5</w:t>
      </w:r>
      <w:r>
        <w:rPr>
          <w:rFonts w:hint="eastAsia" w:ascii="Times New Roman" w:hAnsi="Times New Roman" w:eastAsia="黑体"/>
          <w:color w:val="auto"/>
          <w:sz w:val="36"/>
          <w:szCs w:val="21"/>
          <w:highlight w:val="none"/>
        </w:rPr>
        <w:t xml:space="preserve">  </w:t>
      </w:r>
      <w:r/>
    </w:p>
    <w:p>
      <w:pPr>
        <w:numPr>
          <w:ilvl w:val="0"/>
          <w:numId w:val="4"/>
        </w:numPr>
        <w:spacing w:line="480" w:lineRule="auto"/>
        <w:rPr>
          <w:rFonts w:hint="eastAsia"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合同文本……………………………………</w:t>
      </w:r>
      <w:r>
        <w:rPr>
          <w:rFonts w:hint="eastAsia" w:ascii="Times New Roman" w:hAnsi="Times New Roman" w:eastAsia="黑体"/>
          <w:color w:val="auto"/>
          <w:sz w:val="36"/>
          <w:szCs w:val="21"/>
          <w:highlight w:val="none"/>
          <w:lang w:val="en-US" w:eastAsia="zh-CN"/>
        </w:rPr>
        <w:t xml:space="preserve">2</w:t>
      </w:r>
      <w:r>
        <w:rPr>
          <w:rFonts w:hint="eastAsia" w:eastAsia="黑体"/>
          <w:color w:val="auto"/>
          <w:sz w:val="36"/>
          <w:szCs w:val="21"/>
          <w:highlight w:val="none"/>
          <w:lang w:val="en-US" w:eastAsia="zh-CN"/>
        </w:rPr>
        <w:t xml:space="preserve">0</w:t>
      </w:r>
      <w:r/>
    </w:p>
    <w:p>
      <w:pPr>
        <w:numPr>
          <w:ilvl w:val="0"/>
          <w:numId w:val="4"/>
        </w:numPr>
        <w:spacing w:line="480" w:lineRule="auto"/>
        <w:rPr>
          <w:rFonts w:hint="eastAsia"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2</w:t>
      </w:r>
      <w:r>
        <w:rPr>
          <w:rFonts w:hint="eastAsia" w:eastAsia="黑体"/>
          <w:color w:val="auto"/>
          <w:sz w:val="36"/>
          <w:szCs w:val="21"/>
          <w:highlight w:val="none"/>
          <w:lang w:val="en-US" w:eastAsia="zh-CN"/>
        </w:rPr>
        <w:t xml:space="preserve">8</w:t>
      </w:r>
      <w:r/>
    </w:p>
    <w:p>
      <w:pPr>
        <w:numPr>
          <w:ilvl w:val="0"/>
          <w:numId w:val="4"/>
        </w:numPr>
        <w:spacing w:line="480" w:lineRule="auto"/>
        <w:rPr>
          <w:rFonts w:hint="eastAsia" w:ascii="Times New Roman" w:hAnsi="Times New Roman" w:eastAsia="黑体"/>
          <w:color w:val="auto"/>
          <w:sz w:val="36"/>
          <w:szCs w:val="21"/>
          <w:highlight w:val="none"/>
        </w:rPr>
        <w:outlineLvl w:val="0"/>
      </w:pPr>
      <w:r>
        <w:rPr>
          <w:rFonts w:hint="eastAsia" w:ascii="Times New Roman" w:hAnsi="Times New Roman" w:eastAsia="黑体"/>
          <w:bCs/>
          <w:color w:val="auto"/>
          <w:sz w:val="36"/>
          <w:szCs w:val="36"/>
          <w:highlight w:val="none"/>
        </w:rPr>
        <w:t xml:space="preserve">评审方法与评审标准</w:t>
      </w:r>
      <w:r>
        <w:rPr>
          <w:rFonts w:hint="eastAsia"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4</w:t>
      </w:r>
      <w:r>
        <w:rPr>
          <w:rFonts w:hint="eastAsia" w:eastAsia="黑体"/>
          <w:color w:val="auto"/>
          <w:sz w:val="36"/>
          <w:szCs w:val="21"/>
          <w:highlight w:val="none"/>
          <w:lang w:val="en-US" w:eastAsia="zh-CN"/>
        </w:rPr>
        <w:t xml:space="preserve">1</w:t>
      </w:r>
      <w:r/>
    </w:p>
    <w:p>
      <w:pPr>
        <w:numPr>
          <w:ilvl w:val="0"/>
          <w:numId w:val="4"/>
        </w:numPr>
        <w:spacing w:line="480" w:lineRule="auto"/>
        <w:rPr>
          <w:rFonts w:hint="eastAsia"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4</w:t>
      </w:r>
      <w:r>
        <w:rPr>
          <w:rFonts w:hint="eastAsia" w:eastAsia="黑体"/>
          <w:color w:val="auto"/>
          <w:sz w:val="36"/>
          <w:szCs w:val="21"/>
          <w:highlight w:val="none"/>
          <w:lang w:val="en-US" w:eastAsia="zh-CN"/>
        </w:rPr>
        <w:t xml:space="preserve">6</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bookmarkStart w:id="208" w:name="_GoBack"/>
      <w:r/>
      <w:bookmarkEnd w:id="208"/>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990"/>
        <w:rPr>
          <w:rFonts w:hint="eastAsia"/>
          <w:color w:val="auto"/>
          <w:highlight w:val="none"/>
        </w:rPr>
      </w:pPr>
      <w:r>
        <w:rPr>
          <w:rFonts w:hint="eastAsia"/>
          <w:color w:val="auto"/>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hint="eastAsia" w:ascii="Times New Roman" w:hAnsi="Times New Roman" w:eastAsia="黑体"/>
          <w:bCs/>
          <w:color w:val="auto"/>
          <w:sz w:val="44"/>
          <w:szCs w:val="44"/>
          <w:highlight w:val="none"/>
        </w:rPr>
        <w:outlineLvl w:val="0"/>
      </w:pPr>
      <w:r>
        <w:rPr>
          <w:rFonts w:hint="eastAsia" w:ascii="Times New Roman" w:hAnsi="Times New Roman" w:eastAsia="黑体"/>
          <w:color w:val="auto"/>
          <w:sz w:val="44"/>
          <w:szCs w:val="44"/>
          <w:highlight w:val="none"/>
        </w:rPr>
        <w:t xml:space="preserve">第一章  </w:t>
      </w:r>
      <w:bookmarkEnd w:id="0"/>
      <w:r>
        <w:rPr>
          <w:rFonts w:hint="eastAsia" w:ascii="Times New Roman" w:hAnsi="Times New Roman" w:eastAsia="黑体"/>
          <w:color w:val="auto"/>
          <w:sz w:val="44"/>
          <w:szCs w:val="44"/>
          <w:highlight w:val="none"/>
        </w:rPr>
        <w:t xml:space="preserve">磋商邀请</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aps w:val="0"/>
          <w:color w:val="auto"/>
          <w:sz w:val="24"/>
          <w:szCs w:val="24"/>
          <w:highlight w:val="none"/>
          <w:u w:val="single"/>
          <w:lang w:eastAsia="zh-CN"/>
        </w:rPr>
        <w:t xml:space="preserve">沭阳县市场监督管理局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aps w:val="0"/>
          <w:color w:val="auto"/>
          <w:sz w:val="24"/>
          <w:szCs w:val="24"/>
          <w:highlight w:val="none"/>
          <w:u w:val="single"/>
          <w:lang w:eastAsia="zh-CN"/>
        </w:rPr>
        <w:t xml:space="preserve">江苏清伟工程管理咨询有限公司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aps w:val="0"/>
          <w:color w:val="auto"/>
          <w:sz w:val="24"/>
          <w:szCs w:val="24"/>
          <w:highlight w:val="none"/>
          <w:u w:val="single"/>
          <w:lang w:eastAsia="zh-CN"/>
        </w:rPr>
        <w:t xml:space="preserve">沭阳县生产环节农产品定量检测项目（JSZC-321322-JSQW-C2026-0002</w:t>
      </w:r>
      <w:r>
        <w:rPr>
          <w:rFonts w:hint="eastAsia" w:ascii="宋体" w:hAnsi="宋体" w:eastAsia="宋体" w:cs="宋体"/>
          <w:caps w:val="0"/>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jc w:val="both"/>
        <w:pageBreakBefore w:val="0"/>
        <w:spacing w:line="52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jc w:val="both"/>
        <w:pageBreakBefore w:val="0"/>
        <w:spacing w:line="52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aps w:val="0"/>
          <w:color w:val="auto"/>
          <w:sz w:val="24"/>
          <w:szCs w:val="24"/>
          <w:highlight w:val="none"/>
          <w:u w:val="single"/>
          <w:lang w:eastAsia="zh-CN"/>
        </w:rPr>
        <w:t xml:space="preserve">沭阳县生产环节农产品定量检测项目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u w:val="single"/>
          <w:lang w:val="en-US" w:eastAsia="zh-CN"/>
        </w:rPr>
        <w:t xml:space="preserve">宿迁市政府</w:t>
      </w:r>
      <w:r>
        <w:rPr>
          <w:rFonts w:hint="eastAsia" w:ascii="宋体" w:hAnsi="宋体" w:eastAsia="宋体" w:cs="宋体"/>
          <w:caps w:val="0"/>
          <w:color w:val="auto"/>
          <w:sz w:val="24"/>
          <w:szCs w:val="24"/>
          <w:highlight w:val="none"/>
          <w:u w:val="single"/>
        </w:rPr>
        <w:t xml:space="preserve">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09</w:t>
      </w:r>
      <w:r>
        <w:rPr>
          <w:rFonts w:hint="eastAsia" w:ascii="宋体" w:hAnsi="宋体" w:eastAsia="宋体" w:cs="宋体"/>
          <w:bCs/>
          <w:color w:val="auto"/>
          <w:sz w:val="24"/>
          <w:szCs w:val="24"/>
          <w:highlight w:val="none"/>
          <w:u w:val="single"/>
        </w:rPr>
        <w:t xml:space="preserve">点</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82"/>
        <w:jc w:val="both"/>
        <w:keepLines/>
        <w:keepNext/>
        <w:pageBreakBefore w:val="0"/>
        <w:spacing w:line="520" w:lineRule="exact"/>
        <w:widowControl w:val="off"/>
        <w:rPr>
          <w:rFonts w:hint="eastAsia" w:ascii="宋体" w:hAnsi="宋体" w:eastAsia="宋体" w:cs="宋体"/>
          <w:b/>
          <w:bCs/>
          <w:color w:val="auto"/>
          <w:sz w:val="24"/>
          <w:szCs w:val="24"/>
          <w:highlight w:val="none"/>
        </w:rPr>
        <w:outlineLvl w:val="2"/>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1.项目编号：JSZC-321322-JSQW-C2026-0002</w:t>
      </w:r>
      <w:r/>
    </w:p>
    <w:p>
      <w:pPr>
        <w:ind w:firstLine="480"/>
        <w:jc w:val="both"/>
        <w:pageBreakBefore w:val="0"/>
        <w:spacing w:line="520" w:lineRule="exact"/>
        <w:widowControl w:val="off"/>
        <w:rPr>
          <w:rFonts w:hint="eastAsia" w:ascii="宋体" w:hAnsi="宋体" w:eastAsia="宋体" w:cs="宋体"/>
          <w:caps w:val="0"/>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1"/>
      <w:r>
        <w:rPr>
          <w:rFonts w:hint="eastAsia" w:ascii="宋体" w:hAnsi="宋体" w:eastAsia="宋体" w:cs="宋体"/>
          <w:caps w:val="0"/>
          <w:color w:val="auto"/>
          <w:sz w:val="24"/>
          <w:szCs w:val="24"/>
          <w:highlight w:val="none"/>
          <w:lang w:eastAsia="zh-CN"/>
        </w:rPr>
        <w:t xml:space="preserve">沭阳县生产环节农产品定量检测项目</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aps w:val="0"/>
          <w:color w:val="auto"/>
          <w:sz w:val="24"/>
          <w:szCs w:val="24"/>
          <w:highlight w:val="none"/>
          <w:lang w:val="en-US" w:eastAsia="zh-CN"/>
        </w:rPr>
        <w:t xml:space="preserve">149.6万元（采购包1：98万元；采购包2：51.6万元）</w:t>
      </w:r>
      <w:r/>
    </w:p>
    <w:p>
      <w:pPr>
        <w:ind w:firstLine="482"/>
        <w:jc w:val="both"/>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 xml:space="preserve">本项目</w:t>
      </w:r>
      <w:r>
        <w:rPr>
          <w:rFonts w:hint="eastAsia" w:ascii="宋体" w:hAnsi="宋体" w:eastAsia="宋体" w:cs="宋体"/>
          <w:caps w:val="0"/>
          <w:color w:val="auto"/>
          <w:sz w:val="24"/>
          <w:szCs w:val="24"/>
          <w:highlight w:val="none"/>
          <w:u w:val="single"/>
          <w:lang w:val="en-US" w:eastAsia="zh-CN"/>
        </w:rPr>
        <w:t xml:space="preserve">设定</w:t>
      </w:r>
      <w:r>
        <w:rPr>
          <w:rFonts w:hint="eastAsia" w:ascii="宋体" w:hAnsi="宋体" w:eastAsia="宋体" w:cs="宋体"/>
          <w:b/>
          <w:bCs/>
          <w:color w:val="auto"/>
          <w:sz w:val="24"/>
          <w:szCs w:val="24"/>
          <w:highlight w:val="none"/>
        </w:rPr>
        <w:t xml:space="preserve">最高限价，最高限价为</w:t>
      </w:r>
      <w:r>
        <w:rPr>
          <w:rFonts w:hint="eastAsia" w:ascii="宋体" w:hAnsi="宋体" w:eastAsia="宋体" w:cs="宋体"/>
          <w:caps w:val="0"/>
          <w:color w:val="auto"/>
          <w:sz w:val="24"/>
          <w:szCs w:val="24"/>
          <w:highlight w:val="none"/>
          <w:u w:val="single"/>
          <w:lang w:val="en-US" w:eastAsia="zh-CN"/>
        </w:rPr>
        <w:t xml:space="preserve">149.6</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（分包1最高限价为</w:t>
      </w:r>
      <w:r>
        <w:rPr>
          <w:rFonts w:hint="eastAsia" w:ascii="宋体" w:hAnsi="宋体" w:eastAsia="宋体" w:cs="宋体"/>
          <w:b/>
          <w:bCs/>
          <w:color w:val="auto"/>
          <w:sz w:val="24"/>
          <w:szCs w:val="24"/>
          <w:highlight w:val="none"/>
          <w:lang w:val="en-US" w:eastAsia="zh-CN"/>
        </w:rPr>
        <w:t xml:space="preserve">98</w:t>
      </w:r>
      <w:r>
        <w:rPr>
          <w:rFonts w:hint="eastAsia" w:ascii="宋体" w:hAnsi="宋体" w:eastAsia="宋体" w:cs="宋体"/>
          <w:b/>
          <w:bCs/>
          <w:color w:val="auto"/>
          <w:sz w:val="24"/>
          <w:szCs w:val="24"/>
          <w:highlight w:val="none"/>
          <w:lang w:eastAsia="zh-CN"/>
        </w:rPr>
        <w:t xml:space="preserve">万元；分包2最高限价为</w:t>
      </w:r>
      <w:r>
        <w:rPr>
          <w:rFonts w:hint="eastAsia" w:ascii="宋体" w:hAnsi="宋体" w:eastAsia="宋体" w:cs="宋体"/>
          <w:b/>
          <w:bCs/>
          <w:color w:val="auto"/>
          <w:sz w:val="24"/>
          <w:szCs w:val="24"/>
          <w:highlight w:val="none"/>
          <w:lang w:val="en-US" w:eastAsia="zh-CN"/>
        </w:rPr>
        <w:t xml:space="preserve">51.6</w:t>
      </w:r>
      <w:r>
        <w:rPr>
          <w:rFonts w:hint="eastAsia" w:ascii="宋体" w:hAnsi="宋体" w:eastAsia="宋体" w:cs="宋体"/>
          <w:b/>
          <w:bCs/>
          <w:color w:val="auto"/>
          <w:sz w:val="24"/>
          <w:szCs w:val="24"/>
          <w:highlight w:val="none"/>
          <w:lang w:eastAsia="zh-CN"/>
        </w:rPr>
        <w:t xml:space="preserve">万元）</w:t>
      </w:r>
      <w:r>
        <w:rPr>
          <w:rFonts w:hint="eastAsia" w:ascii="宋体" w:hAnsi="宋体" w:eastAsia="宋体" w:cs="宋体"/>
          <w:b/>
          <w:bCs/>
          <w:color w:val="auto"/>
          <w:sz w:val="24"/>
          <w:szCs w:val="24"/>
          <w:highlight w:val="none"/>
        </w:rPr>
        <w:t xml:space="preserve">。</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bookmarkStart w:id="12" w:name="OLE_LINK20"/>
      <w:r>
        <w:rPr>
          <w:rFonts w:hint="eastAsia" w:ascii="宋体" w:hAnsi="宋体" w:eastAsia="宋体" w:cs="宋体"/>
          <w:color w:val="auto"/>
          <w:sz w:val="24"/>
          <w:szCs w:val="24"/>
          <w:highlight w:val="none"/>
          <w:lang w:val="en-US" w:eastAsia="zh-CN"/>
        </w:rPr>
        <w:t xml:space="preserve">分包一：</w:t>
      </w:r>
      <w:r>
        <w:rPr>
          <w:rFonts w:hint="eastAsia" w:ascii="宋体" w:hAnsi="宋体" w:eastAsia="宋体" w:cs="宋体"/>
          <w:caps w:val="0"/>
          <w:color w:val="auto"/>
          <w:sz w:val="24"/>
          <w:szCs w:val="24"/>
          <w:highlight w:val="none"/>
          <w:lang w:eastAsia="zh-CN"/>
        </w:rPr>
        <w:t xml:space="preserve">沭阳县生产环节农产品定量检测项目（例行监测）</w:t>
      </w:r>
      <w:r>
        <w:rPr>
          <w:rFonts w:hint="eastAsia" w:ascii="宋体" w:hAnsi="宋体" w:eastAsia="宋体" w:cs="宋体"/>
          <w:color w:val="auto"/>
          <w:sz w:val="24"/>
          <w:szCs w:val="24"/>
          <w:highlight w:val="none"/>
        </w:rPr>
        <w:t xml:space="preserve">（详细内容见本磋商文件第四章）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分包二：</w:t>
      </w:r>
      <w:r>
        <w:rPr>
          <w:rFonts w:hint="eastAsia" w:ascii="宋体" w:hAnsi="宋体" w:eastAsia="宋体" w:cs="宋体"/>
          <w:caps w:val="0"/>
          <w:color w:val="auto"/>
          <w:sz w:val="24"/>
          <w:szCs w:val="24"/>
          <w:highlight w:val="none"/>
          <w:lang w:eastAsia="zh-CN"/>
        </w:rPr>
        <w:t xml:space="preserve">沭阳县生产环节农产品定量检测项目（监督抽查）</w:t>
      </w:r>
      <w:r>
        <w:rPr>
          <w:rFonts w:hint="eastAsia" w:ascii="宋体" w:hAnsi="宋体" w:eastAsia="宋体" w:cs="宋体"/>
          <w:color w:val="auto"/>
          <w:sz w:val="24"/>
          <w:szCs w:val="24"/>
          <w:highlight w:val="none"/>
        </w:rPr>
        <w:t xml:space="preserve">（详细内容见本磋商文件第四章）</w:t>
      </w:r>
      <w:r/>
    </w:p>
    <w:p>
      <w:pPr>
        <w:ind w:left="0" w:firstLine="480"/>
        <w:jc w:val="left"/>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注：每个投标人可以参与全部分包的投标但只能中一个分包，投标人在先评标的分包上已被推荐为第一中标候选人的，参与其它分包的评标，但不推荐为第一中标候选人；</w:t>
      </w:r>
      <w:r/>
    </w:p>
    <w:p>
      <w:pPr>
        <w:ind w:left="0" w:firstLine="480"/>
        <w:jc w:val="left"/>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评、定标顺序：依次是分包一、分包二；评审结束后，若其中一个分包受到质疑投诉等原因，导致本分包评审结果改变，但不影响其他分包的评审。</w:t>
      </w:r>
      <w:bookmarkEnd w:id="12"/>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2026年12月31日之前</w:t>
      </w:r>
      <w:r>
        <w:rPr>
          <w:rFonts w:hint="eastAsia" w:ascii="宋体" w:hAnsi="宋体" w:eastAsia="宋体" w:cs="宋体"/>
          <w:color w:val="auto"/>
          <w:sz w:val="24"/>
          <w:szCs w:val="24"/>
          <w:highlight w:val="none"/>
        </w:rPr>
        <w:t xml:space="preserve"> </w:t>
      </w:r>
      <w:r/>
    </w:p>
    <w:p>
      <w:pPr>
        <w:ind w:firstLine="480"/>
        <w:jc w:val="both"/>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7.本项目</w:t>
      </w:r>
      <w:r>
        <w:rPr>
          <w:rFonts w:hint="eastAsia" w:ascii="宋体" w:hAnsi="宋体" w:eastAsia="宋体" w:cs="宋体"/>
          <w:caps w:val="0"/>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r>
      <w:r/>
    </w:p>
    <w:p>
      <w:pPr>
        <w:ind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r>
      <w:bookmarkStart w:id="13" w:name="_Toc38985264"/>
      <w:r/>
      <w:bookmarkStart w:id="14" w:name="_Toc28359080"/>
      <w:r/>
      <w:bookmarkStart w:id="15" w:name="_Toc35393622"/>
      <w:r/>
      <w:bookmarkStart w:id="16" w:name="_Toc35393791"/>
      <w:r/>
      <w:bookmarkStart w:id="17" w:name="_Toc28359003"/>
      <w:r>
        <w:rPr>
          <w:rFonts w:hint="eastAsia" w:ascii="宋体" w:hAnsi="宋体" w:eastAsia="宋体" w:cs="宋体"/>
          <w:b/>
          <w:bCs/>
          <w:color w:val="auto"/>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color w:val="auto"/>
          <w:sz w:val="24"/>
          <w:szCs w:val="24"/>
          <w:highlight w:val="none"/>
          <w:u w:val="single"/>
        </w:rPr>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bookmarkStart w:id="18" w:name="_Toc35393792"/>
      <w:r/>
      <w:bookmarkStart w:id="19" w:name="_Toc28359081"/>
      <w:r/>
      <w:bookmarkStart w:id="20" w:name="_Toc35393623"/>
      <w:r/>
      <w:bookmarkStart w:id="21" w:name="_Toc38985265"/>
      <w:r/>
      <w:bookmarkStart w:id="22" w:name="_Toc28359004"/>
      <w:r>
        <w:rPr>
          <w:rFonts w:hint="eastAsia" w:ascii="宋体" w:hAnsi="宋体" w:eastAsia="宋体" w:cs="宋体"/>
          <w:color w:val="auto"/>
          <w:sz w:val="24"/>
          <w:szCs w:val="24"/>
          <w:highlight w:val="none"/>
        </w:rPr>
        <w:t xml:space="preserve">（一）通用资格要求</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供应商须为中小微企业、监狱企业、残疾人福利性单位（须提供《中小企业或残疾人福利性单位声明函》）。非中小型企业参与本项目投标，将作无效标处理。</w:t>
      </w:r>
      <w:r/>
    </w:p>
    <w:p>
      <w:pPr>
        <w:ind w:firstLine="480"/>
        <w:jc w:val="both"/>
        <w:pageBreakBefore w:val="0"/>
        <w:spacing w:line="520" w:lineRule="exact"/>
        <w:widowControl w:val="off"/>
        <w:rPr>
          <w:rFonts w:hint="eastAsia"/>
          <w:color w:val="auto"/>
          <w:highlight w:val="none"/>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bookmarkStart w:id="23" w:name="OLE_LINK2"/>
      <w:r>
        <w:rPr>
          <w:rFonts w:hint="eastAsia" w:eastAsia="宋体"/>
          <w:caps w:val="0"/>
          <w:color w:val="auto"/>
          <w:sz w:val="24"/>
          <w:szCs w:val="24"/>
          <w:highlight w:val="none"/>
          <w:lang w:eastAsia="zh-CN"/>
        </w:rPr>
        <w:t xml:space="preserve">供应商应为中国境内专业从事农产品质量安全检测的机构，同时具备省级（或国家）计量认证资格（CMA）和农产品质量安全检验检测机构认证资格（CATL）</w:t>
      </w:r>
      <w:r>
        <w:rPr>
          <w:rFonts w:hint="eastAsia" w:ascii="宋体" w:hAnsi="宋体" w:eastAsia="宋体" w:cs="宋体"/>
          <w:color w:val="auto"/>
          <w:sz w:val="24"/>
          <w:szCs w:val="24"/>
          <w:highlight w:val="none"/>
          <w:lang w:eastAsia="zh-CN"/>
        </w:rPr>
        <w:t xml:space="preserve">。</w:t>
      </w:r>
      <w:bookmarkEnd w:id="23"/>
      <w:r/>
      <w:r/>
    </w:p>
    <w:p>
      <w:pPr>
        <w:ind w:firstLine="482"/>
        <w:jc w:val="both"/>
        <w:keepLines/>
        <w:keepNext/>
        <w:pageBreakBefore w:val="0"/>
        <w:spacing w:line="52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三、获取</w:t>
      </w:r>
      <w:bookmarkEnd w:id="18"/>
      <w:r/>
      <w:bookmarkEnd w:id="19"/>
      <w:r/>
      <w:bookmarkEnd w:id="20"/>
      <w:r/>
      <w:bookmarkEnd w:id="21"/>
      <w:r/>
      <w:bookmarkEnd w:id="22"/>
      <w:r>
        <w:rPr>
          <w:rFonts w:hint="eastAsia" w:ascii="宋体" w:hAnsi="宋体" w:eastAsia="宋体" w:cs="宋体"/>
          <w:b/>
          <w:bCs/>
          <w:color w:val="auto"/>
          <w:sz w:val="24"/>
          <w:szCs w:val="24"/>
          <w:highlight w:val="none"/>
        </w:rPr>
        <w:t xml:space="preserve">磋商文件</w:t>
      </w:r>
      <w:r/>
    </w:p>
    <w:p>
      <w:pPr>
        <w:ind w:firstLine="480"/>
        <w:jc w:val="both"/>
        <w:pageBreakBefore w:val="0"/>
        <w:spacing w:line="520" w:lineRule="exact"/>
        <w:widowControl w:val="off"/>
        <w:rPr>
          <w:rFonts w:hint="eastAsia" w:ascii="宋体" w:hAnsi="宋体" w:eastAsia="宋体" w:cs="宋体"/>
          <w:bCs/>
          <w:color w:val="auto"/>
          <w:sz w:val="24"/>
          <w:szCs w:val="24"/>
          <w:highlight w:val="none"/>
        </w:rPr>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rPr>
        <w:t xml:space="preserve">自磋商文件公告发布之日起5个工作日</w:t>
      </w:r>
      <w:r>
        <w:rPr>
          <w:rFonts w:hint="eastAsia" w:ascii="宋体" w:hAnsi="宋体" w:eastAsia="宋体" w:cs="宋体"/>
          <w:color w:val="auto"/>
          <w:sz w:val="24"/>
          <w:szCs w:val="24"/>
          <w:highlight w:val="none"/>
        </w:rPr>
      </w:r>
      <w:r>
        <w:rPr>
          <w:rFonts w:hint="eastAsia" w:ascii="宋体" w:hAnsi="宋体" w:eastAsia="宋体" w:cs="宋体"/>
          <w:bCs/>
          <w:color w:val="auto"/>
          <w:sz w:val="24"/>
          <w:szCs w:val="24"/>
          <w:highlight w:val="none"/>
        </w:rPr>
        <w:t xml:space="preserve">。</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jc w:val="both"/>
        <w:pageBreakBefore w:val="0"/>
        <w:spacing w:line="520" w:lineRule="exact"/>
        <w:widowControl w:val="off"/>
      </w:pPr>
      <w:r/>
      <w:bookmarkStart w:id="29" w:name="EB0c44ff4da61f4af989d119fe214be450"/>
      <w:r>
        <w:rPr>
          <w:rFonts w:hint="eastAsia" w:ascii="宋体" w:hAnsi="宋体" w:eastAsia="宋体" w:cs="宋体"/>
          <w:color w:val="auto"/>
          <w:sz w:val="24"/>
          <w:szCs w:val="24"/>
          <w:highlight w:val="none"/>
        </w:rPr>
        <w:t xml:space="preserve">3.本项目共分一个包。供应商参与多个包磋商的，应按包分别获取磋商文件。供应商未按要求获取竞争性磋商文件导致无法磋商的，后果自负（其响应文件不予接受）。</w:t>
      </w:r>
      <w:bookmarkEnd w:id="29"/>
      <w:r>
        <w:rPr>
          <w:rFonts w:hint="eastAsia" w:ascii="宋体" w:hAnsi="宋体" w:eastAsia="宋体" w:cs="宋体"/>
          <w:color w:val="auto"/>
          <w:sz w:val="24"/>
          <w:szCs w:val="24"/>
          <w:highlight w:val="none"/>
          <w:u w:val="single"/>
        </w:rPr>
      </w:r>
      <w:r/>
    </w:p>
    <w:p>
      <w:pPr>
        <w:ind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四、提交</w:t>
      </w:r>
      <w:bookmarkEnd w:id="24"/>
      <w:r/>
      <w:bookmarkEnd w:id="25"/>
      <w:r>
        <w:rPr>
          <w:rFonts w:hint="eastAsia" w:ascii="宋体" w:hAnsi="宋体" w:eastAsia="宋体" w:cs="宋体"/>
          <w:b/>
          <w:bCs/>
          <w:color w:val="auto"/>
          <w:sz w:val="24"/>
          <w:szCs w:val="24"/>
          <w:highlight w:val="none"/>
        </w:rPr>
        <w:t xml:space="preserve">响应文件截止时间</w:t>
      </w:r>
      <w:bookmarkEnd w:id="26"/>
      <w:r/>
      <w:bookmarkEnd w:id="27"/>
      <w:r/>
      <w:bookmarkEnd w:id="28"/>
      <w:r>
        <w:rPr>
          <w:rFonts w:hint="eastAsia" w:ascii="宋体" w:hAnsi="宋体" w:eastAsia="宋体" w:cs="宋体"/>
          <w:color w:val="auto"/>
          <w:sz w:val="24"/>
          <w:szCs w:val="24"/>
          <w:highlight w:val="none"/>
          <w:u w:val="single"/>
        </w:rPr>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1.提交响应文件截止时间、磋商时间：</w:t>
      </w:r>
      <w:r>
        <w:rPr>
          <w:rFonts w:hint="eastAsia" w:ascii="宋体" w:hAnsi="宋体" w:eastAsia="宋体" w:cs="宋体"/>
          <w:bCs/>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09</w:t>
      </w:r>
      <w:r>
        <w:rPr>
          <w:rFonts w:hint="eastAsia" w:ascii="宋体" w:hAnsi="宋体" w:eastAsia="宋体" w:cs="宋体"/>
          <w:bCs/>
          <w:color w:val="auto"/>
          <w:sz w:val="24"/>
          <w:szCs w:val="24"/>
          <w:highlight w:val="none"/>
          <w:u w:val="single"/>
        </w:rPr>
        <w:t xml:space="preserve">点</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2"/>
        <w:jc w:val="both"/>
        <w:keepLines/>
        <w:keepNext/>
        <w:pageBreakBefore w:val="0"/>
        <w:spacing w:line="520" w:lineRule="exact"/>
        <w:widowControl w:val="off"/>
        <w:rPr>
          <w:rFonts w:hint="eastAsia" w:ascii="宋体" w:hAnsi="宋体" w:eastAsia="宋体" w:cs="宋体"/>
          <w:b/>
          <w:bCs/>
          <w:color w:val="auto"/>
          <w:sz w:val="24"/>
          <w:szCs w:val="24"/>
          <w:highlight w:val="none"/>
        </w:rPr>
        <w:outlineLvl w:val="2"/>
      </w:pPr>
      <w:r/>
      <w:bookmarkStart w:id="30" w:name="_Toc35393794"/>
      <w:r/>
      <w:bookmarkStart w:id="31" w:name="_Toc28359007"/>
      <w:r/>
      <w:bookmarkStart w:id="32" w:name="_Toc38985267"/>
      <w:r/>
      <w:bookmarkStart w:id="33" w:name="_Toc28359084"/>
      <w:r/>
      <w:bookmarkStart w:id="34" w:name="_Toc35393625"/>
      <w:r>
        <w:rPr>
          <w:rFonts w:hint="eastAsia" w:ascii="宋体" w:hAnsi="宋体" w:eastAsia="宋体" w:cs="宋体"/>
          <w:b/>
          <w:bCs/>
          <w:color w:val="auto"/>
          <w:sz w:val="24"/>
          <w:szCs w:val="24"/>
          <w:highlight w:val="none"/>
        </w:rPr>
        <w:t xml:space="preserve">五、公告期限</w:t>
      </w:r>
      <w:bookmarkEnd w:id="30"/>
      <w:r/>
      <w:bookmarkEnd w:id="31"/>
      <w:r/>
      <w:bookmarkEnd w:id="32"/>
      <w:r/>
      <w:bookmarkEnd w:id="33"/>
      <w:r/>
      <w:bookmarkEnd w:id="34"/>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bookmarkStart w:id="35" w:name="_Toc35393626"/>
      <w:r/>
      <w:bookmarkStart w:id="36" w:name="_Toc35393795"/>
      <w:r/>
      <w:bookmarkStart w:id="37"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个工作日。采购公告发布媒体：宿迁市政府采购网、</w:t>
      </w:r>
      <w:r>
        <w:rPr>
          <w:rFonts w:hint="eastAsia" w:ascii="宋体" w:hAnsi="宋体" w:eastAsia="宋体" w:cs="宋体"/>
          <w:color w:val="auto"/>
          <w:sz w:val="24"/>
          <w:szCs w:val="24"/>
          <w:highlight w:val="none"/>
          <w:lang w:val="en-US" w:eastAsia="zh-CN"/>
        </w:rPr>
        <w:t xml:space="preserve">宿迁市公共资源交易平台、</w:t>
      </w:r>
      <w:r>
        <w:rPr>
          <w:rFonts w:hint="eastAsia" w:ascii="宋体" w:hAnsi="宋体" w:eastAsia="宋体" w:cs="宋体"/>
          <w:color w:val="auto"/>
          <w:sz w:val="24"/>
          <w:szCs w:val="24"/>
          <w:highlight w:val="none"/>
        </w:rPr>
        <w:t xml:space="preserve">江苏省财政部门指定的媒体。</w:t>
      </w:r>
      <w:r/>
    </w:p>
    <w:p>
      <w:pPr>
        <w:ind w:firstLine="482"/>
        <w:jc w:val="both"/>
        <w:keepLines/>
        <w:keepNext/>
        <w:pageBreakBefore w:val="0"/>
        <w:spacing w:line="52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六、其他补充事宜</w:t>
      </w:r>
      <w:bookmarkEnd w:id="35"/>
      <w:r/>
      <w:bookmarkEnd w:id="36"/>
      <w:r/>
      <w:bookmarkEnd w:id="37"/>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bookmarkStart w:id="38" w:name="EB64e1f522fd8c43fcb4d3ba471386b3e7"/>
      <w:r>
        <w:rPr>
          <w:rFonts w:hint="eastAsia" w:ascii="宋体" w:hAnsi="宋体" w:eastAsia="宋体" w:cs="宋体"/>
          <w:color w:val="auto"/>
          <w:sz w:val="24"/>
          <w:szCs w:val="24"/>
          <w:highlight w:val="none"/>
        </w:rPr>
        <w:t xml:space="preserve">1.财政部门监督电话：0527-83559270。</w:t>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34"/>
        <w:ind w:firstLine="480"/>
        <w:jc w:val="both"/>
        <w:pageBreakBefore w:val="0"/>
        <w:spacing w:line="5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3.宿迁地区“苏采云”技术支持客服电话：</w:t>
      </w:r>
      <w:r>
        <w:rPr>
          <w:rFonts w:hint="eastAsia" w:ascii="宋体" w:hAnsi="宋体" w:eastAsia="宋体" w:cs="宋体"/>
          <w:color w:val="auto"/>
          <w:sz w:val="24"/>
          <w:szCs w:val="24"/>
          <w:highlight w:val="none"/>
        </w:rPr>
        <w:t xml:space="preserve">0527-84363067、0519-86722806</w:t>
      </w:r>
      <w:r>
        <w:rPr>
          <w:rFonts w:hint="eastAsia" w:ascii="宋体" w:hAnsi="宋体" w:eastAsia="宋体" w:cs="宋体"/>
          <w:color w:val="auto"/>
          <w:sz w:val="24"/>
          <w:szCs w:val="24"/>
          <w:highlight w:val="none"/>
          <w:lang w:val="en-US"/>
        </w:rPr>
        <w:t xml:space="preserve">。</w:t>
      </w:r>
      <w:r/>
    </w:p>
    <w:p>
      <w:pPr>
        <w:pStyle w:val="1034"/>
        <w:ind w:firstLine="480"/>
        <w:jc w:val="both"/>
        <w:pageBreakBefore w:val="0"/>
        <w:spacing w:line="5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4.如果供应商通过苏采云系统参与政府采购项目，相关操作手册详见链接：</w:t>
      </w:r>
      <w:r>
        <w:rPr>
          <w:rFonts w:hint="eastAsia" w:ascii="宋体" w:hAnsi="宋体" w:eastAsia="宋体" w:cs="宋体"/>
          <w:color w:val="auto"/>
          <w:spacing w:val="-6"/>
          <w:sz w:val="24"/>
          <w:szCs w:val="24"/>
          <w:highlight w:val="none"/>
          <w:lang w:val="en-US"/>
        </w:rPr>
        <w:t xml:space="preserve">http://www.ccgp-jiangsu.gov.cn/jiangsu/zlxz/ee/ee3a4bc5a3454aa2b0d9312230633ce9.html。</w:t>
      </w:r>
      <w:bookmarkEnd w:id="38"/>
      <w:r/>
      <w:r/>
    </w:p>
    <w:p>
      <w:pPr>
        <w:ind w:firstLine="480"/>
        <w:jc w:val="both"/>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.现场勘察及答疑：本项目不组织集中勘察及答疑，供应商如对采购需求有疑问，请咨询采购单位联系人。</w:t>
      </w:r>
      <w:r/>
    </w:p>
    <w:p>
      <w:pPr>
        <w:ind w:firstLine="482"/>
        <w:jc w:val="both"/>
        <w:keepLines/>
        <w:keepNext/>
        <w:pageBreakBefore w:val="0"/>
        <w:spacing w:line="400" w:lineRule="exact"/>
        <w:widowControl w:val="off"/>
        <w:rPr>
          <w:rFonts w:hint="eastAsia" w:ascii="宋体" w:hAnsi="宋体" w:eastAsia="宋体" w:cs="宋体"/>
          <w:b/>
          <w:bCs/>
          <w:color w:val="auto"/>
          <w:sz w:val="24"/>
          <w:szCs w:val="24"/>
          <w:highlight w:val="none"/>
        </w:rPr>
        <w:outlineLvl w:val="2"/>
      </w:pPr>
      <w:r/>
      <w:bookmarkStart w:id="39" w:name="_Toc35393627"/>
      <w:r/>
      <w:bookmarkStart w:id="40" w:name="_Toc38985269"/>
      <w:r/>
      <w:bookmarkStart w:id="41" w:name="_Toc35393796"/>
      <w:r/>
      <w:bookmarkStart w:id="42" w:name="_Toc28359085"/>
      <w:r/>
      <w:bookmarkStart w:id="43" w:name="_Toc28359008"/>
      <w:r>
        <w:rPr>
          <w:rFonts w:hint="eastAsia" w:ascii="宋体" w:hAnsi="宋体" w:eastAsia="宋体" w:cs="宋体"/>
          <w:b/>
          <w:bCs/>
          <w:color w:val="auto"/>
          <w:sz w:val="24"/>
          <w:szCs w:val="24"/>
          <w:highlight w:val="none"/>
        </w:rPr>
        <w:t xml:space="preserve">七、本次磋商联系方式</w:t>
      </w:r>
      <w:bookmarkEnd w:id="39"/>
      <w:r/>
      <w:bookmarkEnd w:id="40"/>
      <w:r/>
      <w:bookmarkEnd w:id="41"/>
      <w:r/>
      <w:bookmarkEnd w:id="42"/>
      <w:r/>
      <w:bookmarkEnd w:id="43"/>
      <w:r/>
      <w:r/>
    </w:p>
    <w:p>
      <w:pPr>
        <w:ind w:firstLine="480"/>
        <w:jc w:val="both"/>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bookmarkStart w:id="44" w:name="_Toc28359086"/>
      <w:r/>
      <w:bookmarkStart w:id="45" w:name="_Toc28359009"/>
      <w:r>
        <w:rPr>
          <w:rFonts w:hint="eastAsia" w:ascii="宋体" w:hAnsi="宋体" w:eastAsia="宋体" w:cs="宋体"/>
          <w:color w:val="auto"/>
          <w:sz w:val="24"/>
          <w:szCs w:val="24"/>
          <w:highlight w:val="none"/>
          <w:lang w:val="en-US" w:eastAsia="zh-CN"/>
        </w:rPr>
        <w:t xml:space="preserve">名 称：沭阳县市场监督管理局　　　</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地址：沭阳县市场监督管理局　</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联系人：李小屹                </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联系方式：18936955149 </w:t>
      </w:r>
      <w:r/>
    </w:p>
    <w:p>
      <w:pPr>
        <w:ind w:firstLine="480"/>
        <w:jc w:val="both"/>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44"/>
      <w:r/>
      <w:bookmarkEnd w:id="45"/>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称：江苏清伟工程管理咨询有限公司　　</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址：沭阳县常州路2号西门（原供电公司院内后勤楼4楼）　　</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王学玲                   </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联系方式：18036845188</w:t>
      </w:r>
      <w:r>
        <w:rPr>
          <w:rFonts w:hint="eastAsia" w:ascii="宋体" w:hAnsi="宋体" w:eastAsia="宋体" w:cs="宋体"/>
          <w:color w:val="auto"/>
          <w:sz w:val="24"/>
          <w:szCs w:val="24"/>
          <w:highlight w:val="none"/>
          <w:lang w:val="en-US" w:eastAsia="zh-CN"/>
        </w:rPr>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Times New Roman" w:hAnsi="Times New Roman"/>
          <w:b/>
          <w:bCs/>
          <w:color w:val="auto"/>
          <w:sz w:val="32"/>
          <w:szCs w:val="32"/>
          <w:highlight w:val="none"/>
        </w:rPr>
        <w:t xml:space="preserve">八、其他</w:t>
      </w:r>
      <w:r>
        <w:rPr>
          <w:rFonts w:hint="eastAsia" w:ascii="宋体" w:hAnsi="宋体" w:eastAsia="宋体" w:cs="宋体"/>
          <w:color w:val="auto"/>
          <w:sz w:val="24"/>
          <w:szCs w:val="24"/>
          <w:highlight w:val="none"/>
          <w:lang w:val="en-US" w:eastAsia="zh-CN"/>
        </w:rPr>
      </w:r>
      <w:r/>
    </w:p>
    <w:p>
      <w:pPr>
        <w:ind w:firstLine="480"/>
        <w:pageBreakBefore w:val="0"/>
        <w:spacing w:line="400" w:lineRule="exact"/>
        <w:widowControl w:val="off"/>
        <w:tabs>
          <w:tab w:val="left" w:pos="900" w:leader="none"/>
        </w:tabs>
        <w:rPr>
          <w:rFonts w:hint="eastAsia"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.有关本次</w:t>
      </w:r>
      <w:r>
        <w:rPr>
          <w:rFonts w:hint="eastAsia" w:ascii="Times New Roman" w:hAnsi="Times New Roman" w:eastAsia="宋体" w:cs="Times New Roman"/>
          <w:bCs/>
          <w:color w:val="auto"/>
          <w:sz w:val="24"/>
          <w:szCs w:val="24"/>
          <w:highlight w:val="none"/>
          <w:lang w:val="en-US" w:eastAsia="zh-CN"/>
        </w:rPr>
        <w:t xml:space="preserve">采购</w:t>
      </w:r>
      <w:r>
        <w:rPr>
          <w:rFonts w:hint="eastAsia" w:ascii="Times New Roman" w:hAnsi="Times New Roman" w:eastAsia="宋体" w:cs="Times New Roman"/>
          <w:bCs/>
          <w:color w:val="auto"/>
          <w:sz w:val="24"/>
          <w:szCs w:val="24"/>
          <w:highlight w:val="none"/>
        </w:rPr>
        <w:t xml:space="preserve">的事项若存在变动或修改，敬请及时关注“宿迁市政府采购网”</w:t>
      </w:r>
      <w:r>
        <w:rPr>
          <w:rFonts w:hint="eastAsia" w:ascii="Times New Roman" w:hAnsi="Times New Roman" w:eastAsia="宋体" w:cs="Times New Roman"/>
          <w:bCs/>
          <w:color w:val="auto"/>
          <w:sz w:val="24"/>
          <w:szCs w:val="24"/>
          <w:highlight w:val="none"/>
          <w:lang w:val="en-US" w:eastAsia="zh-CN"/>
        </w:rPr>
        <w:t xml:space="preserve">等平台</w:t>
      </w:r>
      <w:r>
        <w:rPr>
          <w:rFonts w:hint="eastAsia" w:ascii="Times New Roman" w:hAnsi="Times New Roman" w:eastAsia="宋体" w:cs="Times New Roman"/>
          <w:bCs/>
          <w:color w:val="auto"/>
          <w:sz w:val="24"/>
          <w:szCs w:val="24"/>
          <w:highlight w:val="none"/>
        </w:rPr>
        <w:t xml:space="preserve">更正公告。</w:t>
      </w:r>
      <w:r/>
    </w:p>
    <w:p>
      <w:pPr>
        <w:ind w:firstLine="480"/>
        <w:pageBreakBefore w:val="0"/>
        <w:spacing w:line="400" w:lineRule="exact"/>
        <w:widowControl w:val="off"/>
        <w:tabs>
          <w:tab w:val="left" w:pos="900" w:leader="none"/>
        </w:tabs>
        <w:rPr>
          <w:rFonts w:hint="eastAsia"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lang w:val="en-US" w:eastAsia="zh-CN"/>
        </w:rPr>
        <w:t xml:space="preserve">2</w:t>
      </w:r>
      <w:r>
        <w:rPr>
          <w:rFonts w:hint="eastAsia" w:ascii="Times New Roman" w:hAnsi="Times New Roman" w:eastAsia="宋体"/>
          <w:bCs/>
          <w:color w:val="auto"/>
          <w:sz w:val="24"/>
          <w:szCs w:val="24"/>
          <w:highlight w:val="none"/>
        </w:rPr>
        <w:t xml:space="preserve">.本次磋商不收取磋商保证金。</w:t>
      </w:r>
      <w:r/>
    </w:p>
    <w:p>
      <w:pPr>
        <w:ind w:right="84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keepLines/>
        <w:keepNext/>
        <w:spacing w:before="260" w:after="260" w:line="416" w:lineRule="auto"/>
        <w:rPr>
          <w:rFonts w:ascii="Times New Roman" w:hAnsi="Times New Roman" w:eastAsia="黑体" w:cs="Arial"/>
          <w:b/>
          <w:bCs/>
          <w:color w:val="auto"/>
          <w:sz w:val="44"/>
          <w:szCs w:val="44"/>
          <w:highlight w:val="none"/>
        </w:rPr>
        <w:outlineLvl w:val="1"/>
      </w:pPr>
      <w:r/>
      <w:bookmarkStart w:id="46" w:name="_Toc120614211"/>
      <w:r>
        <w:rPr>
          <w:rFonts w:hint="eastAsia" w:ascii="Times New Roman" w:hAnsi="Times New Roman" w:eastAsia="黑体" w:cs="Arial"/>
          <w:b/>
          <w:bCs/>
          <w:color w:val="auto"/>
          <w:sz w:val="44"/>
          <w:szCs w:val="44"/>
          <w:highlight w:val="none"/>
        </w:rPr>
        <w:br w:type="page" w:clear="all"/>
      </w:r>
      <w:r>
        <w:rPr>
          <w:rFonts w:hint="eastAsia" w:ascii="Times New Roman" w:hAnsi="Times New Roman" w:eastAsia="黑体" w:cs="Arial"/>
          <w:b/>
          <w:bCs/>
          <w:color w:val="auto"/>
          <w:sz w:val="44"/>
          <w:szCs w:val="44"/>
          <w:highlight w:val="none"/>
        </w:rPr>
        <w:t xml:space="preserve">第二章  </w:t>
      </w:r>
      <w:bookmarkEnd w:id="1"/>
      <w:r/>
      <w:bookmarkEnd w:id="2"/>
      <w:r/>
      <w:bookmarkEnd w:id="3"/>
      <w:r/>
      <w:bookmarkEnd w:id="4"/>
      <w:r/>
      <w:bookmarkEnd w:id="5"/>
      <w:r/>
      <w:bookmarkEnd w:id="46"/>
      <w:r>
        <w:rPr>
          <w:rFonts w:hint="eastAsia" w:ascii="Times New Roman" w:hAnsi="Times New Roman" w:eastAsia="黑体" w:cs="Arial"/>
          <w:b/>
          <w:bCs/>
          <w:color w:val="auto"/>
          <w:sz w:val="44"/>
          <w:szCs w:val="44"/>
          <w:highlight w:val="none"/>
        </w:rPr>
        <w:t xml:space="preserve">供应商须知</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47" w:name="_Toc16938519"/>
      <w:r/>
      <w:bookmarkStart w:id="48" w:name="_Toc120614214"/>
      <w:r/>
      <w:bookmarkStart w:id="49" w:name="_Toc513029203"/>
      <w:r/>
      <w:bookmarkStart w:id="50" w:name="_Toc20823275"/>
      <w:r>
        <w:rPr>
          <w:rFonts w:hint="eastAsia" w:ascii="宋体" w:hAnsi="宋体" w:eastAsia="宋体" w:cs="宋体"/>
          <w:b/>
          <w:bCs/>
          <w:color w:val="auto"/>
          <w:sz w:val="24"/>
          <w:szCs w:val="24"/>
          <w:highlight w:val="none"/>
        </w:rPr>
        <w:t xml:space="preserve">一、总则</w:t>
      </w:r>
      <w:bookmarkEnd w:id="47"/>
      <w:r/>
      <w:bookmarkEnd w:id="48"/>
      <w:r/>
      <w:bookmarkEnd w:id="49"/>
      <w:r/>
      <w:bookmarkEnd w:id="50"/>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宋体" w:hAnsi="宋体" w:eastAsia="宋体" w:cs="宋体"/>
          <w:color w:val="auto"/>
          <w:sz w:val="24"/>
          <w:szCs w:val="24"/>
          <w:highlight w:val="none"/>
        </w:rPr>
        <w:t xml:space="preserve">1</w:t>
      </w:r>
      <w:bookmarkEnd w:id="52"/>
      <w:r>
        <w:rPr>
          <w:rFonts w:hint="eastAsia" w:ascii="宋体" w:hAnsi="宋体" w:eastAsia="宋体" w:cs="宋体"/>
          <w:color w:val="auto"/>
          <w:sz w:val="24"/>
          <w:szCs w:val="24"/>
          <w:highlight w:val="none"/>
        </w:rPr>
        <w:t xml:space="preserve">、采购方式</w:t>
      </w:r>
      <w:bookmarkEnd w:id="53"/>
      <w:r/>
      <w:bookmarkEnd w:id="54"/>
      <w:r/>
      <w:bookmarkEnd w:id="55"/>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56" w:name="_Toc20823277"/>
      <w:r/>
      <w:bookmarkStart w:id="57" w:name="_Toc513029205"/>
      <w:r/>
      <w:bookmarkStart w:id="58" w:name="_Toc16938521"/>
      <w:r>
        <w:rPr>
          <w:rFonts w:hint="eastAsia" w:ascii="宋体" w:hAnsi="宋体" w:eastAsia="宋体" w:cs="宋体"/>
          <w:color w:val="auto"/>
          <w:sz w:val="24"/>
          <w:szCs w:val="24"/>
          <w:highlight w:val="none"/>
        </w:rPr>
        <w:t xml:space="preserve">2、合格的</w:t>
      </w:r>
      <w:bookmarkEnd w:id="56"/>
      <w:r/>
      <w:bookmarkEnd w:id="57"/>
      <w:r/>
      <w:bookmarkEnd w:id="58"/>
      <w:r>
        <w:rPr>
          <w:rFonts w:hint="eastAsia" w:ascii="宋体" w:hAnsi="宋体" w:eastAsia="宋体" w:cs="宋体"/>
          <w:color w:val="auto"/>
          <w:sz w:val="24"/>
          <w:szCs w:val="24"/>
          <w:highlight w:val="none"/>
        </w:rPr>
        <w:t xml:space="preserve">供应商</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59" w:name="_Toc16938522"/>
      <w:r/>
      <w:bookmarkStart w:id="60" w:name="_Toc513029206"/>
      <w:r/>
      <w:bookmarkStart w:id="61" w:name="_Toc20823278"/>
      <w:r>
        <w:rPr>
          <w:rFonts w:hint="eastAsia" w:ascii="宋体" w:hAnsi="宋体" w:eastAsia="宋体" w:cs="宋体"/>
          <w:color w:val="auto"/>
          <w:sz w:val="24"/>
          <w:szCs w:val="24"/>
          <w:highlight w:val="none"/>
        </w:rPr>
        <w:t xml:space="preserve">3、适用法律</w:t>
      </w:r>
      <w:bookmarkEnd w:id="59"/>
      <w:r/>
      <w:bookmarkEnd w:id="60"/>
      <w:r/>
      <w:bookmarkEnd w:id="61"/>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62" w:name="_Toc462564067"/>
      <w:r/>
      <w:bookmarkStart w:id="63" w:name="_Toc16938523"/>
      <w:r/>
      <w:bookmarkStart w:id="64" w:name="_Toc513029207"/>
      <w:r/>
      <w:bookmarkStart w:id="65" w:name="_Toc20823279"/>
      <w:r>
        <w:rPr>
          <w:rFonts w:hint="eastAsia" w:ascii="宋体" w:hAnsi="宋体" w:eastAsia="宋体" w:cs="宋体"/>
          <w:color w:val="auto"/>
          <w:sz w:val="24"/>
          <w:szCs w:val="24"/>
          <w:highlight w:val="none"/>
        </w:rPr>
        <w:t xml:space="preserve">4、磋商费用</w:t>
      </w:r>
      <w:bookmarkEnd w:id="62"/>
      <w:r/>
      <w:bookmarkEnd w:id="63"/>
      <w:r/>
      <w:bookmarkEnd w:id="64"/>
      <w:r/>
      <w:bookmarkEnd w:id="65"/>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lang w:val="zh-CN"/>
        </w:rPr>
        <w:t xml:space="preserve">4.2.2</w:t>
      </w:r>
      <w:r>
        <w:rPr>
          <w:rFonts w:hint="eastAsia" w:ascii="宋体" w:hAnsi="宋体" w:eastAsia="宋体" w:cs="宋体"/>
          <w:color w:val="auto"/>
          <w:sz w:val="24"/>
          <w:szCs w:val="24"/>
          <w:highlight w:val="none"/>
        </w:rPr>
        <w:t xml:space="preserve">种方式执行</w:t>
      </w:r>
      <w:r/>
    </w:p>
    <w:p>
      <w:pPr>
        <w:ind w:firstLine="48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4.2.2中标人支付，具体方式及标准为：</w:t>
      </w:r>
      <w:r>
        <w:rPr>
          <w:rFonts w:hint="eastAsia" w:ascii="宋体" w:hAnsi="宋体" w:eastAsia="宋体" w:cs="宋体"/>
          <w:color w:val="auto"/>
          <w:sz w:val="24"/>
          <w:szCs w:val="24"/>
          <w:highlight w:val="none"/>
          <w:u w:val="single"/>
          <w:lang w:val="zh-CN"/>
        </w:rPr>
        <w:t xml:space="preserve">中标人在中标公告发布之日起7日内，按照“苏招协[2022]002 号”文件标准支付招标代理费。投标人应将其综合考虑在投标报价中，不单独列项。</w:t>
      </w:r>
      <w:r>
        <w:rPr>
          <w:rFonts w:hint="eastAsia" w:ascii="宋体" w:hAnsi="宋体" w:eastAsia="宋体" w:cs="宋体"/>
          <w:caps w:val="0"/>
          <w:color w:val="auto"/>
          <w:sz w:val="24"/>
          <w:szCs w:val="24"/>
          <w:highlight w:val="none"/>
          <w:u w:val="single"/>
          <w:lang w:val="en-US" w:eastAsia="zh-CN"/>
        </w:rPr>
        <w:t xml:space="preserve">可通过转账、支票或数字人民币等方式。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2"/>
        <w:keepLines/>
        <w:keepNext/>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66" w:name="_Toc513029209"/>
      <w:r/>
      <w:bookmarkStart w:id="67" w:name="_Toc20823281"/>
      <w:r/>
      <w:bookmarkStart w:id="68" w:name="_Toc120614215"/>
      <w:r/>
      <w:bookmarkStart w:id="69" w:name="_Toc16938525"/>
      <w:r>
        <w:rPr>
          <w:rFonts w:hint="eastAsia" w:ascii="宋体" w:hAnsi="宋体" w:eastAsia="宋体" w:cs="宋体"/>
          <w:b/>
          <w:bCs/>
          <w:color w:val="auto"/>
          <w:sz w:val="24"/>
          <w:szCs w:val="24"/>
          <w:highlight w:val="none"/>
        </w:rPr>
        <w:t xml:space="preserve">二、</w:t>
      </w:r>
      <w:bookmarkEnd w:id="66"/>
      <w:r/>
      <w:bookmarkEnd w:id="67"/>
      <w:r/>
      <w:bookmarkEnd w:id="68"/>
      <w:r/>
      <w:bookmarkEnd w:id="69"/>
      <w:r>
        <w:rPr>
          <w:rFonts w:hint="eastAsia" w:ascii="宋体" w:hAnsi="宋体" w:eastAsia="宋体" w:cs="宋体"/>
          <w:b/>
          <w:bCs/>
          <w:color w:val="auto"/>
          <w:sz w:val="24"/>
          <w:szCs w:val="24"/>
          <w:highlight w:val="none"/>
        </w:rPr>
        <w:t xml:space="preserve">磋商文件</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70" w:name="_Toc513029210"/>
      <w:r/>
      <w:bookmarkStart w:id="71" w:name="_Toc20823282"/>
      <w:r/>
      <w:bookmarkStart w:id="72" w:name="_Toc16938526"/>
      <w:r>
        <w:rPr>
          <w:rFonts w:hint="eastAsia" w:ascii="宋体" w:hAnsi="宋体" w:eastAsia="宋体" w:cs="宋体"/>
          <w:color w:val="auto"/>
          <w:sz w:val="24"/>
          <w:szCs w:val="24"/>
          <w:highlight w:val="none"/>
        </w:rPr>
        <w:t xml:space="preserve">6、磋商文件构成</w:t>
      </w:r>
      <w:bookmarkEnd w:id="70"/>
      <w:r/>
      <w:bookmarkEnd w:id="71"/>
      <w:r/>
      <w:bookmarkEnd w:id="72"/>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73" w:name="_Toc462564070"/>
      <w:r/>
      <w:bookmarkStart w:id="74" w:name="_Toc513029211"/>
      <w:r/>
      <w:bookmarkStart w:id="75" w:name="_Toc16938527"/>
      <w:r/>
      <w:bookmarkStart w:id="76" w:name="_Toc20823283"/>
      <w:r>
        <w:rPr>
          <w:rFonts w:hint="eastAsia" w:ascii="宋体" w:hAnsi="宋体" w:eastAsia="宋体" w:cs="宋体"/>
          <w:color w:val="auto"/>
          <w:sz w:val="24"/>
          <w:szCs w:val="24"/>
          <w:highlight w:val="none"/>
        </w:rPr>
        <w:t xml:space="preserve">7、磋商文件的澄清</w:t>
      </w:r>
      <w:bookmarkEnd w:id="73"/>
      <w:r/>
      <w:bookmarkEnd w:id="74"/>
      <w:r/>
      <w:bookmarkEnd w:id="75"/>
      <w:r/>
      <w:bookmarkEnd w:id="76"/>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77" w:name="_Toc513029212"/>
      <w:r/>
      <w:bookmarkStart w:id="78" w:name="_Toc462564071"/>
      <w:r/>
      <w:bookmarkStart w:id="79" w:name="_Toc16938528"/>
      <w:r/>
      <w:bookmarkStart w:id="80" w:name="_Toc20823284"/>
      <w:r>
        <w:rPr>
          <w:rFonts w:hint="eastAsia" w:ascii="宋体" w:hAnsi="宋体" w:eastAsia="宋体" w:cs="宋体"/>
          <w:color w:val="auto"/>
          <w:sz w:val="24"/>
          <w:szCs w:val="24"/>
          <w:highlight w:val="none"/>
        </w:rPr>
        <w:t xml:space="preserve">8、磋商文件的澄清和修改</w:t>
      </w:r>
      <w:bookmarkEnd w:id="77"/>
      <w:r/>
      <w:bookmarkEnd w:id="78"/>
      <w:r/>
      <w:bookmarkEnd w:id="79"/>
      <w:r/>
      <w:bookmarkEnd w:id="80"/>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至少5日前发出；不足5日的，采购代理机构应当顺延</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在响应文件提交截止时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rPr>
          <w:rFonts w:hint="eastAsia" w:ascii="宋体" w:hAnsi="宋体" w:eastAsia="宋体" w:cs="宋体"/>
          <w:bCs/>
          <w:color w:val="auto"/>
          <w:sz w:val="24"/>
          <w:szCs w:val="24"/>
          <w:highlight w:val="none"/>
        </w:rPr>
        <w:t xml:space="preserve">，采购代理机构可以对磋商文件进行修改。</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8.3采购代理机构有权按照法定的要求推迟响应文件递交截止日期和磋商日期。</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8.4磋商文件的修改将在原公告媒体上发布更正公告，</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bCs/>
          <w:color w:val="auto"/>
          <w:sz w:val="24"/>
          <w:szCs w:val="24"/>
          <w:highlight w:val="none"/>
        </w:rPr>
        <w:t xml:space="preserve">，并对供应商具有约束力，发布的更正公告视同为以书面形式通知所有获取招标文件的潜在投标人。</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81" w:name="_Toc462564072"/>
      <w:r/>
      <w:bookmarkStart w:id="82" w:name="_Toc16938529"/>
      <w:r/>
      <w:bookmarkStart w:id="83" w:name="_Toc20823285"/>
      <w:r/>
      <w:bookmarkStart w:id="84" w:name="_Toc120614216"/>
      <w:r/>
      <w:bookmarkStart w:id="85" w:name="_Toc513029213"/>
      <w:r>
        <w:rPr>
          <w:rFonts w:hint="eastAsia" w:ascii="宋体" w:hAnsi="宋体" w:eastAsia="宋体" w:cs="宋体"/>
          <w:b/>
          <w:bCs/>
          <w:color w:val="auto"/>
          <w:sz w:val="24"/>
          <w:szCs w:val="24"/>
          <w:highlight w:val="none"/>
        </w:rPr>
        <w:t xml:space="preserve">三、响应文件的编制</w:t>
      </w:r>
      <w:bookmarkEnd w:id="81"/>
      <w:r/>
      <w:bookmarkEnd w:id="82"/>
      <w:r/>
      <w:bookmarkEnd w:id="83"/>
      <w:r/>
      <w:bookmarkEnd w:id="84"/>
      <w:r/>
      <w:bookmarkEnd w:id="85"/>
      <w:r/>
      <w:r/>
    </w:p>
    <w:p>
      <w:pPr>
        <w:ind w:firstLine="480"/>
        <w:keepLines/>
        <w:keepNext/>
        <w:pageBreakBefore w:val="0"/>
        <w:spacing w:line="500" w:lineRule="exact"/>
        <w:widowControl w:val="off"/>
        <w:rPr>
          <w:rFonts w:hint="eastAsia" w:ascii="宋体" w:hAnsi="宋体" w:eastAsia="宋体" w:cs="宋体"/>
          <w:b/>
          <w:color w:val="auto"/>
          <w:sz w:val="24"/>
          <w:szCs w:val="24"/>
          <w:highlight w:val="none"/>
        </w:rPr>
        <w:outlineLvl w:val="3"/>
      </w:pPr>
      <w:r/>
      <w:bookmarkStart w:id="86" w:name="_Toc462564073"/>
      <w:r/>
      <w:bookmarkStart w:id="87" w:name="_Toc513029214"/>
      <w:r/>
      <w:bookmarkStart w:id="88" w:name="_Toc16938530"/>
      <w:r/>
      <w:bookmarkStart w:id="89" w:name="_Toc20823286"/>
      <w:r>
        <w:rPr>
          <w:rFonts w:hint="eastAsia" w:ascii="宋体" w:hAnsi="宋体" w:eastAsia="宋体" w:cs="宋体"/>
          <w:color w:val="auto"/>
          <w:sz w:val="24"/>
          <w:szCs w:val="24"/>
          <w:highlight w:val="none"/>
        </w:rPr>
        <w:t xml:space="preserve">9、响应文件的语言及度量衡单位</w:t>
      </w:r>
      <w:bookmarkEnd w:id="86"/>
      <w:r/>
      <w:bookmarkEnd w:id="87"/>
      <w:r/>
      <w:bookmarkEnd w:id="88"/>
      <w:r/>
      <w:bookmarkEnd w:id="89"/>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90" w:name="_Toc16938531"/>
      <w:r/>
      <w:bookmarkStart w:id="91" w:name="_Toc513029215"/>
      <w:r/>
      <w:bookmarkStart w:id="92" w:name="_Toc462564074"/>
      <w:r/>
      <w:bookmarkStart w:id="93" w:name="_Toc20823287"/>
      <w:r>
        <w:rPr>
          <w:rFonts w:hint="eastAsia" w:ascii="宋体" w:hAnsi="宋体" w:eastAsia="宋体" w:cs="宋体"/>
          <w:color w:val="auto"/>
          <w:sz w:val="24"/>
          <w:szCs w:val="24"/>
          <w:highlight w:val="none"/>
        </w:rPr>
        <w:t xml:space="preserve">10、响应文件构成</w:t>
      </w:r>
      <w:bookmarkEnd w:id="90"/>
      <w:r/>
      <w:bookmarkEnd w:id="91"/>
      <w:r/>
      <w:bookmarkEnd w:id="92"/>
      <w:r/>
      <w:bookmarkEnd w:id="93"/>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各供应商在编制</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val="zh-CN"/>
        </w:rPr>
        <w:t xml:space="preserve">时请按照磋商文件第六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zh-CN"/>
        </w:rPr>
        <w:t xml:space="preserve">文件被误读或磋商小组查找不到有效文件是供应商的风险。</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10.2供应商编写的响应文件应包括资格证明文件、分项报价表、响应及偏离表、其他证明文件、磋商申请及声明函、开标一览表等部分。</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10.3响应文件须加盖电子签章之处，应按要求加盖</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数字证书的电子签章。其他需要盖章但未明确要求电子签章的，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可按要求加盖公章后上传材料电子件或直接加盖电子签章。 </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，按照无效响应处理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因“苏采云”系统导致解密失败的除外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10.6成交后按相关要求提供与电子响应文件一致的纸质打印响应文件</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份。 </w:t>
      </w:r>
      <w:r/>
    </w:p>
    <w:p>
      <w:pPr>
        <w:ind w:firstLine="480"/>
        <w:pageBreakBefore w:val="0"/>
        <w:spacing w:line="500" w:lineRule="exact"/>
        <w:widowControl w:val="off"/>
        <w:rPr>
          <w:rFonts w:hint="eastAsia" w:ascii="宋体" w:hAnsi="宋体" w:eastAsia="宋体" w:cs="宋体"/>
          <w:color w:val="auto"/>
          <w:sz w:val="24"/>
          <w:szCs w:val="24"/>
          <w:highlight w:val="none"/>
        </w:rPr>
      </w:pPr>
      <w:r/>
      <w:bookmarkStart w:id="94" w:name="EBc50e2bb832bb43068403b10c1cce6141"/>
      <w:r>
        <w:rPr>
          <w:rFonts w:hint="eastAsia" w:ascii="宋体" w:hAnsi="宋体" w:eastAsia="宋体" w:cs="宋体"/>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4"/>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95" w:name="_Hlt26670360"/>
      <w:r/>
      <w:bookmarkEnd w:id="95"/>
      <w:r/>
      <w:bookmarkStart w:id="96" w:name="_Hlt26954838"/>
      <w:r/>
      <w:bookmarkEnd w:id="96"/>
      <w:r/>
      <w:bookmarkStart w:id="97" w:name="_Hlt26668975"/>
      <w:r/>
      <w:bookmarkEnd w:id="97"/>
      <w:r/>
      <w:bookmarkStart w:id="98" w:name="_Toc49090509"/>
      <w:r/>
      <w:bookmarkStart w:id="99" w:name="_Toc49090507"/>
      <w:r/>
      <w:bookmarkStart w:id="100" w:name="_Toc14577354"/>
      <w:r/>
      <w:bookmarkStart w:id="101" w:name="_Toc14577357"/>
      <w:r/>
      <w:bookmarkStart w:id="102" w:name="_Toc513029216"/>
      <w:r/>
      <w:bookmarkStart w:id="103" w:name="_Toc513029219"/>
      <w:r/>
      <w:bookmarkStart w:id="104" w:name="_Toc49090508"/>
      <w:r/>
      <w:bookmarkStart w:id="105" w:name="_Toc14577355"/>
      <w:r>
        <w:rPr>
          <w:rFonts w:hint="eastAsia" w:ascii="宋体" w:hAnsi="宋体" w:eastAsia="宋体" w:cs="宋体"/>
          <w:color w:val="auto"/>
          <w:sz w:val="24"/>
          <w:szCs w:val="24"/>
          <w:highlight w:val="none"/>
        </w:rPr>
        <w:t xml:space="preserve">11、证明磋商响应标的符合磋商文件规定的文件</w:t>
      </w:r>
      <w:bookmarkEnd w:id="98"/>
      <w:r/>
      <w:bookmarkEnd w:id="99"/>
      <w:r/>
      <w:bookmarkEnd w:id="100"/>
      <w:r/>
      <w:bookmarkEnd w:id="101"/>
      <w:r/>
      <w:bookmarkEnd w:id="102"/>
      <w:r/>
      <w:bookmarkEnd w:id="103"/>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04"/>
      <w:r/>
      <w:bookmarkEnd w:id="105"/>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12、分项报价表</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本项目不接受备选的投标方案或有选择的报价，只允许有一个报价。供应商响应文件中的报价作为首次报价，不公开；以最后报价作为评审价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投标报价内容包括：服务本身、服务费、税率、人工及车辆费用及服务交付使用过程中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的其他一切费用。</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06" w:name="_Hlt26954848"/>
      <w:r/>
      <w:bookmarkEnd w:id="106"/>
      <w:r/>
      <w:bookmarkStart w:id="107" w:name="_Hlt26670486"/>
      <w:r/>
      <w:bookmarkEnd w:id="107"/>
      <w:r/>
      <w:bookmarkStart w:id="108" w:name="_Hlt26670482"/>
      <w:r/>
      <w:bookmarkEnd w:id="108"/>
      <w:r/>
      <w:bookmarkStart w:id="109" w:name="_Hlt26954731"/>
      <w:r/>
      <w:bookmarkEnd w:id="109"/>
      <w:r/>
      <w:bookmarkStart w:id="110" w:name="_Hlt26954846"/>
      <w:r/>
      <w:bookmarkEnd w:id="110"/>
      <w:r>
        <w:rPr>
          <w:rFonts w:hint="eastAsia" w:ascii="宋体" w:hAnsi="宋体" w:eastAsia="宋体" w:cs="宋体"/>
          <w:color w:val="auto"/>
          <w:sz w:val="24"/>
          <w:szCs w:val="24"/>
          <w:highlight w:val="none"/>
        </w:rPr>
        <w:t xml:space="preserve">13、技术要求响应及偏离表、商务要求响应及偏离表</w:t>
      </w:r>
      <w:r/>
    </w:p>
    <w:p>
      <w:pPr>
        <w:ind w:firstLine="48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14、服务承诺、培训计划、人员安排及其他</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4"/>
          <w:highlight w:val="none"/>
          <w:lang w:val="zh-CN"/>
        </w:rPr>
        <w:t xml:space="preserve">磋商响应标的的主要组成部分、功能设计、实现思路及关键技术等。</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11" w:name="_Toc14577359"/>
      <w:r/>
      <w:bookmarkStart w:id="112" w:name="_Toc49090510"/>
      <w:r>
        <w:rPr>
          <w:rFonts w:hint="eastAsia" w:ascii="宋体" w:hAnsi="宋体" w:eastAsia="宋体" w:cs="宋体"/>
          <w:color w:val="auto"/>
          <w:sz w:val="24"/>
          <w:szCs w:val="24"/>
          <w:highlight w:val="none"/>
        </w:rPr>
        <w:t xml:space="preserve">15、磋商响应函</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11"/>
      <w:r/>
      <w:bookmarkEnd w:id="112"/>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13" w:name="_Toc49090511"/>
      <w:r/>
      <w:bookmarkStart w:id="114" w:name="_Toc14577360"/>
      <w:r>
        <w:rPr>
          <w:rFonts w:hint="eastAsia" w:ascii="宋体" w:hAnsi="宋体" w:eastAsia="宋体" w:cs="宋体"/>
          <w:color w:val="auto"/>
          <w:sz w:val="24"/>
          <w:szCs w:val="24"/>
          <w:highlight w:val="none"/>
        </w:rPr>
        <w:t xml:space="preserve">16、磋商有效期</w:t>
      </w:r>
      <w:bookmarkEnd w:id="113"/>
      <w:r/>
      <w:bookmarkEnd w:id="114"/>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17、磋商有效期的延长</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color w:val="auto"/>
          <w:sz w:val="24"/>
          <w:szCs w:val="24"/>
          <w:highlight w:val="none"/>
        </w:rPr>
        <w:t xml:space="preserve">成交人的响应文件作为项目合同的附件，其有效期至成交人全部合同义务履行完毕为止。</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115" w:name="_Hlt26954739"/>
      <w:r/>
      <w:bookmarkEnd w:id="115"/>
      <w:r/>
      <w:bookmarkStart w:id="116" w:name="_Hlt26954852"/>
      <w:r/>
      <w:bookmarkEnd w:id="116"/>
      <w:r/>
      <w:bookmarkStart w:id="117" w:name="_Toc120614217"/>
      <w:r/>
      <w:bookmarkStart w:id="118" w:name="_Toc16938540"/>
      <w:r/>
      <w:bookmarkStart w:id="119" w:name="_Toc20823296"/>
      <w:r/>
      <w:bookmarkStart w:id="120" w:name="_Toc513029224"/>
      <w:r>
        <w:rPr>
          <w:rFonts w:hint="eastAsia" w:ascii="宋体" w:hAnsi="宋体" w:eastAsia="宋体" w:cs="宋体"/>
          <w:b/>
          <w:bCs/>
          <w:color w:val="auto"/>
          <w:sz w:val="24"/>
          <w:szCs w:val="24"/>
          <w:highlight w:val="none"/>
        </w:rPr>
        <w:t xml:space="preserve">四、响应文件的递交</w:t>
      </w:r>
      <w:bookmarkEnd w:id="117"/>
      <w:r/>
      <w:bookmarkEnd w:id="118"/>
      <w:r/>
      <w:bookmarkEnd w:id="119"/>
      <w:r/>
      <w:bookmarkEnd w:id="120"/>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21" w:name="_Toc16938541"/>
      <w:r/>
      <w:bookmarkStart w:id="122" w:name="_Toc513029225"/>
      <w:r/>
      <w:bookmarkStart w:id="123" w:name="_Toc20823297"/>
      <w:r/>
      <w:bookmarkStart w:id="124" w:name="_Toc462564084"/>
      <w:r>
        <w:rPr>
          <w:rFonts w:hint="eastAsia" w:ascii="宋体" w:hAnsi="宋体" w:eastAsia="宋体" w:cs="宋体"/>
          <w:color w:val="auto"/>
          <w:sz w:val="24"/>
          <w:szCs w:val="24"/>
          <w:highlight w:val="none"/>
        </w:rPr>
        <w:t xml:space="preserve">18、电子磋商</w:t>
      </w:r>
      <w:bookmarkEnd w:id="121"/>
      <w:r/>
      <w:bookmarkEnd w:id="122"/>
      <w:r/>
      <w:bookmarkEnd w:id="123"/>
      <w:r/>
      <w:bookmarkEnd w:id="124"/>
      <w:r>
        <w:rPr>
          <w:rFonts w:hint="eastAsia" w:ascii="宋体" w:hAnsi="宋体" w:eastAsia="宋体" w:cs="宋体"/>
          <w:color w:val="auto"/>
          <w:sz w:val="24"/>
          <w:szCs w:val="24"/>
          <w:highlight w:val="none"/>
        </w:rPr>
        <w:t xml:space="preserve">响应文件的递交</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25" w:name="_Toc20823298"/>
      <w:r/>
      <w:bookmarkStart w:id="126" w:name="_Toc513029226"/>
      <w:r/>
      <w:bookmarkStart w:id="127" w:name="_Toc16938542"/>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19、提交响应文件截止时间</w:t>
      </w:r>
      <w:bookmarkEnd w:id="125"/>
      <w:r/>
      <w:bookmarkEnd w:id="126"/>
      <w:r/>
      <w:bookmarkEnd w:id="127"/>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19.2采购代理机构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28" w:name="_Toc20823299"/>
      <w:r/>
      <w:bookmarkStart w:id="129" w:name="_Toc16938543"/>
      <w:r/>
      <w:bookmarkStart w:id="130" w:name="_Toc513029227"/>
      <w:r>
        <w:rPr>
          <w:rFonts w:hint="eastAsia" w:ascii="宋体" w:hAnsi="宋体" w:eastAsia="宋体" w:cs="宋体"/>
          <w:color w:val="auto"/>
          <w:sz w:val="24"/>
          <w:szCs w:val="24"/>
          <w:highlight w:val="none"/>
        </w:rPr>
        <w:t xml:space="preserve">20、响应文件</w:t>
      </w:r>
      <w:bookmarkEnd w:id="128"/>
      <w:r/>
      <w:bookmarkEnd w:id="129"/>
      <w:r/>
      <w:bookmarkEnd w:id="130"/>
      <w:r>
        <w:rPr>
          <w:rFonts w:hint="eastAsia" w:ascii="宋体" w:hAnsi="宋体" w:eastAsia="宋体" w:cs="宋体"/>
          <w:color w:val="auto"/>
          <w:sz w:val="24"/>
          <w:szCs w:val="24"/>
          <w:highlight w:val="none"/>
        </w:rPr>
        <w:t xml:space="preserve">的拒收</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31" w:name="_Toc513029228"/>
      <w:r/>
      <w:bookmarkStart w:id="132" w:name="_Toc20823300"/>
      <w:r/>
      <w:bookmarkStart w:id="133" w:name="_Toc16938544"/>
      <w:r>
        <w:rPr>
          <w:rFonts w:hint="eastAsia" w:ascii="宋体" w:hAnsi="宋体" w:eastAsia="宋体" w:cs="宋体"/>
          <w:color w:val="auto"/>
          <w:sz w:val="24"/>
          <w:szCs w:val="24"/>
          <w:highlight w:val="none"/>
        </w:rPr>
        <w:t xml:space="preserve">21、响应文件的撤回和修改</w:t>
      </w:r>
      <w:bookmarkEnd w:id="131"/>
      <w:r/>
      <w:bookmarkEnd w:id="132"/>
      <w:r/>
      <w:bookmarkEnd w:id="133"/>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在提交响应文件截止时间之后，供应商不得对其电子响应文件作任何修改。</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134" w:name="_Toc16938545"/>
      <w:r/>
      <w:bookmarkStart w:id="135" w:name="_Toc120614218"/>
      <w:r/>
      <w:bookmarkStart w:id="136" w:name="_Toc513029229"/>
      <w:r/>
      <w:bookmarkStart w:id="137" w:name="_Toc20823301"/>
      <w:r>
        <w:rPr>
          <w:rFonts w:hint="eastAsia" w:ascii="宋体" w:hAnsi="宋体" w:eastAsia="宋体" w:cs="宋体"/>
          <w:b/>
          <w:bCs/>
          <w:color w:val="auto"/>
          <w:sz w:val="24"/>
          <w:szCs w:val="24"/>
          <w:highlight w:val="none"/>
        </w:rPr>
        <w:t xml:space="preserve">五、响应文件的解密与评审</w:t>
      </w:r>
      <w:bookmarkEnd w:id="134"/>
      <w:r/>
      <w:bookmarkEnd w:id="135"/>
      <w:r/>
      <w:bookmarkEnd w:id="136"/>
      <w:r/>
      <w:bookmarkEnd w:id="137"/>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38" w:name="_Toc16938546"/>
      <w:r/>
      <w:bookmarkStart w:id="139" w:name="_Toc513029230"/>
      <w:r/>
      <w:bookmarkStart w:id="140" w:name="_Toc20823302"/>
      <w:r>
        <w:rPr>
          <w:rFonts w:hint="eastAsia" w:ascii="宋体" w:hAnsi="宋体" w:eastAsia="宋体" w:cs="宋体"/>
          <w:color w:val="auto"/>
          <w:sz w:val="24"/>
          <w:szCs w:val="24"/>
          <w:highlight w:val="none"/>
        </w:rPr>
        <w:t xml:space="preserve">22、</w:t>
      </w:r>
      <w:bookmarkEnd w:id="138"/>
      <w:r/>
      <w:bookmarkEnd w:id="139"/>
      <w:r/>
      <w:bookmarkEnd w:id="140"/>
      <w:r>
        <w:rPr>
          <w:rFonts w:hint="eastAsia" w:ascii="宋体" w:hAnsi="宋体" w:eastAsia="宋体" w:cs="宋体"/>
          <w:color w:val="auto"/>
          <w:sz w:val="24"/>
          <w:szCs w:val="24"/>
          <w:highlight w:val="none"/>
        </w:rPr>
        <w:t xml:space="preserve">响应文件解密</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22.1供应商应当按照《“苏采云”系统供应商操作手册》规定，参加磋商活动和在苏采云系统规定的时间内对磋商响应文件进行解密。</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41" w:name="_Toc513029231"/>
      <w:r/>
      <w:bookmarkStart w:id="142" w:name="_Toc20823303"/>
      <w:r/>
      <w:bookmarkStart w:id="143" w:name="_Toc16938547"/>
      <w:r>
        <w:rPr>
          <w:rFonts w:hint="eastAsia" w:ascii="宋体" w:hAnsi="宋体" w:eastAsia="宋体" w:cs="宋体"/>
          <w:color w:val="auto"/>
          <w:sz w:val="24"/>
          <w:szCs w:val="24"/>
          <w:highlight w:val="none"/>
        </w:rPr>
        <w:t xml:space="preserve">23、磋商小组</w:t>
      </w:r>
      <w:r/>
    </w:p>
    <w:p>
      <w:pPr>
        <w:ind w:firstLine="48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24、评审过程的保密与公正</w:t>
      </w:r>
      <w:bookmarkEnd w:id="141"/>
      <w:r/>
      <w:bookmarkEnd w:id="142"/>
      <w:r/>
      <w:bookmarkEnd w:id="143"/>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采购代理机构和磋商小组不向未成交的供应商解释未成交原因，也不公布评审过程中的相关细节。</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44" w:name="_Toc20823304"/>
      <w:r/>
      <w:bookmarkStart w:id="145" w:name="_Toc513029232"/>
      <w:r/>
      <w:bookmarkStart w:id="146"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44"/>
      <w:r/>
      <w:bookmarkEnd w:id="145"/>
      <w:r/>
      <w:bookmarkEnd w:id="146"/>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bookmarkStart w:id="147" w:name="_Toc513029233"/>
      <w:r/>
      <w:bookmarkStart w:id="148" w:name="_Toc16938549"/>
      <w:r/>
      <w:bookmarkStart w:id="149" w:name="_Toc20823305"/>
      <w:r>
        <w:rPr>
          <w:rFonts w:hint="eastAsia" w:ascii="宋体" w:hAnsi="宋体" w:eastAsia="宋体" w:cs="宋体"/>
          <w:color w:val="auto"/>
          <w:sz w:val="24"/>
          <w:szCs w:val="24"/>
          <w:highlight w:val="none"/>
        </w:rPr>
        <w:t xml:space="preserve">26、对响应文件的审</w:t>
      </w:r>
      <w:bookmarkEnd w:id="147"/>
      <w:r/>
      <w:bookmarkEnd w:id="148"/>
      <w:r/>
      <w:bookmarkEnd w:id="149"/>
      <w:r>
        <w:rPr>
          <w:rFonts w:hint="eastAsia" w:ascii="宋体" w:hAnsi="宋体" w:eastAsia="宋体" w:cs="宋体"/>
          <w:color w:val="auto"/>
          <w:sz w:val="24"/>
          <w:szCs w:val="24"/>
          <w:highlight w:val="none"/>
        </w:rPr>
        <w:t xml:space="preserve">查</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auto"/>
          <w:sz w:val="24"/>
          <w:szCs w:val="24"/>
          <w:highlight w:val="none"/>
          <w:lang w:eastAsia="zh-CN"/>
        </w:rPr>
        <w:t xml:space="preserve">,将</w:t>
      </w:r>
      <w:r>
        <w:rPr>
          <w:rFonts w:hint="eastAsia" w:ascii="宋体" w:hAnsi="宋体" w:eastAsia="宋体" w:cs="宋体"/>
          <w:bCs/>
          <w:color w:val="auto"/>
          <w:sz w:val="24"/>
          <w:szCs w:val="24"/>
          <w:highlight w:val="none"/>
        </w:rPr>
        <w:t xml:space="preserve">查询结果留存并归档。</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联合体成员中任何一方存在不良信用记录的，视同联合体存在不良应用记录。</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26.3未实质性响应磋商文件的情形</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26.3.2供应商未按照磋商文件要求上传电子响应文件的。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26.3.4供应商不具备磋商文件中规定资格要求的。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Cs/>
          <w:caps w:val="0"/>
          <w:color w:val="auto"/>
          <w:sz w:val="24"/>
          <w:szCs w:val="24"/>
          <w:highlight w:val="none"/>
        </w:rPr>
        <w:t xml:space="preserve">（</w:t>
      </w:r>
      <w:r>
        <w:rPr>
          <w:rFonts w:hint="eastAsia" w:ascii="宋体" w:hAnsi="宋体" w:eastAsia="宋体" w:cs="宋体"/>
          <w:bCs/>
          <w:i/>
          <w:caps w:val="0"/>
          <w:color w:val="auto"/>
          <w:sz w:val="24"/>
          <w:szCs w:val="24"/>
          <w:highlight w:val="none"/>
          <w:u w:val="single"/>
        </w:rPr>
        <w:t xml:space="preserve">加斜体下划线内容或打“★”内容</w:t>
      </w:r>
      <w:r>
        <w:rPr>
          <w:rFonts w:hint="eastAsia" w:ascii="宋体" w:hAnsi="宋体" w:eastAsia="宋体" w:cs="宋体"/>
          <w:bCs/>
          <w:i/>
          <w:caps w:val="0"/>
          <w:color w:val="auto"/>
          <w:sz w:val="24"/>
          <w:szCs w:val="24"/>
          <w:highlight w:val="none"/>
          <w:u w:val="single"/>
          <w:lang w:val="en-US" w:eastAsia="zh-CN"/>
        </w:rPr>
        <w:t xml:space="preserve">为实质性</w:t>
      </w:r>
      <w:r>
        <w:rPr>
          <w:rFonts w:hint="eastAsia" w:ascii="宋体" w:hAnsi="宋体" w:eastAsia="宋体" w:cs="宋体"/>
          <w:bCs/>
          <w:i/>
          <w:caps w:val="0"/>
          <w:color w:val="auto"/>
          <w:sz w:val="24"/>
          <w:szCs w:val="24"/>
          <w:highlight w:val="none"/>
          <w:u w:val="single"/>
        </w:rPr>
        <w:t xml:space="preserve">要求和条件）。</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26.3.8响应文件含有采购人不能接受的附加条件的。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26.3.9本项目采购产品被财政部、</w:t>
      </w:r>
      <w:r>
        <w:rPr>
          <w:rFonts w:hint="eastAsia" w:ascii="宋体" w:hAnsi="宋体" w:eastAsia="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26.3.10响应文件未按照磋商文件要求加盖CA电子公章的。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ind w:firstLine="480"/>
        <w:pageBreakBefore w:val="0"/>
        <w:spacing w:line="500" w:lineRule="exact"/>
        <w:widowControl w:val="off"/>
        <w:rPr>
          <w:rFonts w:hint="eastAsia" w:ascii="宋体" w:hAnsi="宋体" w:eastAsia="宋体" w:cs="宋体"/>
          <w:color w:val="auto"/>
          <w:sz w:val="24"/>
          <w:szCs w:val="24"/>
          <w:highlight w:val="none"/>
        </w:rPr>
      </w:pPr>
      <w:r/>
      <w:bookmarkStart w:id="150" w:name="_Toc513029234"/>
      <w:r/>
      <w:bookmarkStart w:id="151" w:name="_Toc16938550"/>
      <w:r/>
      <w:bookmarkStart w:id="152" w:name="_Toc20823306"/>
      <w:r>
        <w:rPr>
          <w:rFonts w:hint="eastAsia" w:ascii="宋体" w:hAnsi="宋体" w:eastAsia="宋体" w:cs="宋体"/>
          <w:color w:val="auto"/>
          <w:sz w:val="24"/>
          <w:szCs w:val="24"/>
          <w:highlight w:val="none"/>
        </w:rPr>
        <w:t xml:space="preserve">26.6供应商在项目评审全过程中应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r/>
    </w:p>
    <w:p>
      <w:pPr>
        <w:ind w:firstLine="480"/>
        <w:keepLines/>
        <w:keepNext/>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w:t>
      </w:r>
      <w:bookmarkEnd w:id="150"/>
      <w:r/>
      <w:bookmarkEnd w:id="151"/>
      <w:r/>
      <w:bookmarkEnd w:id="152"/>
      <w:r>
        <w:rPr>
          <w:rFonts w:hint="eastAsia" w:ascii="宋体" w:hAnsi="宋体" w:eastAsia="宋体" w:cs="宋体"/>
          <w:color w:val="auto"/>
          <w:sz w:val="24"/>
          <w:szCs w:val="24"/>
          <w:highlight w:val="none"/>
        </w:rPr>
        <w:t xml:space="preserve">磋商程序及评审方法和评审标准</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153" w:name="_Toc20823307"/>
      <w:r/>
      <w:bookmarkStart w:id="154" w:name="_Toc16938551"/>
      <w:r/>
      <w:bookmarkStart w:id="155" w:name="_Toc120614219"/>
      <w:r/>
      <w:bookmarkStart w:id="156" w:name="_Toc513029235"/>
      <w:r>
        <w:rPr>
          <w:rFonts w:hint="eastAsia" w:ascii="宋体" w:hAnsi="宋体" w:eastAsia="宋体" w:cs="宋体"/>
          <w:b/>
          <w:bCs/>
          <w:color w:val="auto"/>
          <w:sz w:val="24"/>
          <w:szCs w:val="24"/>
          <w:highlight w:val="none"/>
        </w:rPr>
        <w:t xml:space="preserve">六、</w:t>
      </w:r>
      <w:bookmarkEnd w:id="153"/>
      <w:r/>
      <w:bookmarkEnd w:id="154"/>
      <w:r/>
      <w:bookmarkEnd w:id="155"/>
      <w:r/>
      <w:bookmarkEnd w:id="156"/>
      <w:r>
        <w:rPr>
          <w:rFonts w:hint="eastAsia" w:ascii="宋体" w:hAnsi="宋体" w:eastAsia="宋体" w:cs="宋体"/>
          <w:b/>
          <w:bCs/>
          <w:color w:val="auto"/>
          <w:sz w:val="24"/>
          <w:szCs w:val="24"/>
          <w:highlight w:val="none"/>
        </w:rPr>
        <w:t xml:space="preserve">成交</w:t>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bookmarkStart w:id="157" w:name="_Toc513029238"/>
      <w:r/>
      <w:bookmarkStart w:id="158" w:name="_Toc20823310"/>
      <w:r/>
      <w:bookmarkStart w:id="159" w:name="_Toc16938554"/>
      <w:r>
        <w:rPr>
          <w:rFonts w:hint="eastAsia" w:ascii="宋体" w:hAnsi="宋体" w:eastAsia="宋体" w:cs="宋体"/>
          <w:bCs/>
          <w:color w:val="auto"/>
          <w:sz w:val="24"/>
          <w:szCs w:val="24"/>
          <w:highlight w:val="none"/>
        </w:rPr>
        <w:t xml:space="preserve">28、</w:t>
      </w:r>
      <w:bookmarkEnd w:id="157"/>
      <w:r>
        <w:rPr>
          <w:rFonts w:hint="eastAsia" w:ascii="宋体" w:hAnsi="宋体" w:eastAsia="宋体" w:cs="宋体"/>
          <w:bCs/>
          <w:color w:val="auto"/>
          <w:sz w:val="24"/>
          <w:szCs w:val="24"/>
          <w:highlight w:val="none"/>
        </w:rPr>
        <w:t xml:space="preserve">确定</w:t>
      </w:r>
      <w:bookmarkEnd w:id="158"/>
      <w:r/>
      <w:bookmarkEnd w:id="159"/>
      <w:r>
        <w:rPr>
          <w:rFonts w:hint="eastAsia" w:ascii="宋体" w:hAnsi="宋体" w:eastAsia="宋体" w:cs="宋体"/>
          <w:bCs/>
          <w:color w:val="auto"/>
          <w:sz w:val="24"/>
          <w:szCs w:val="24"/>
          <w:highlight w:val="none"/>
        </w:rPr>
        <w:t xml:space="preserve">成交单位</w:t>
      </w:r>
      <w:r/>
    </w:p>
    <w:p>
      <w:pPr>
        <w:ind w:firstLine="480"/>
        <w:pageBreakBefore w:val="0"/>
        <w:spacing w:line="5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按以下第</w:t>
      </w:r>
      <w:r>
        <w:rPr>
          <w:rFonts w:hint="eastAsia" w:ascii="宋体" w:hAnsi="宋体" w:eastAsia="宋体" w:cs="宋体"/>
          <w:bCs/>
          <w:caps w:val="0"/>
          <w:color w:val="auto"/>
          <w:sz w:val="24"/>
          <w:szCs w:val="24"/>
          <w:highlight w:val="none"/>
          <w:u w:val="single"/>
          <w:lang w:val="zh-CN"/>
        </w:rPr>
        <w:t xml:space="preserve">（</w:t>
      </w:r>
      <w:r>
        <w:rPr>
          <w:rFonts w:hint="eastAsia" w:ascii="宋体" w:hAnsi="宋体" w:eastAsia="宋体" w:cs="宋体"/>
          <w:bCs/>
          <w:caps w:val="0"/>
          <w:color w:val="auto"/>
          <w:sz w:val="24"/>
          <w:szCs w:val="24"/>
          <w:highlight w:val="none"/>
          <w:u w:val="single"/>
          <w:lang w:val="en-US" w:eastAsia="zh-CN"/>
        </w:rPr>
        <w:t xml:space="preserve">1</w:t>
      </w:r>
      <w:r>
        <w:rPr>
          <w:rFonts w:hint="eastAsia" w:ascii="宋体" w:hAnsi="宋体" w:eastAsia="宋体" w:cs="宋体"/>
          <w:bCs/>
          <w:caps w:val="0"/>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种方式确定成交供应商</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（1）磋商小组直接确定排名第一的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为成交供应商；</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（2）采购人</w:t>
      </w:r>
      <w:r>
        <w:rPr>
          <w:rFonts w:hint="eastAsia" w:ascii="宋体" w:hAnsi="宋体" w:eastAsia="宋体" w:cs="宋体"/>
          <w:bCs/>
          <w:color w:val="auto"/>
          <w:sz w:val="24"/>
          <w:szCs w:val="24"/>
          <w:highlight w:val="none"/>
        </w:rPr>
        <w:t xml:space="preserve">从评审报告提出</w:t>
      </w:r>
      <w:r>
        <w:rPr>
          <w:rFonts w:hint="eastAsia" w:ascii="宋体" w:hAnsi="宋体" w:eastAsia="宋体" w:cs="宋体"/>
          <w:bCs/>
          <w:color w:val="auto"/>
          <w:sz w:val="24"/>
          <w:szCs w:val="24"/>
          <w:highlight w:val="none"/>
          <w:lang w:val="zh-CN"/>
        </w:rPr>
        <w:t xml:space="preserve">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种方式确定成交供应商的，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28.3成交供应商确定后，采购代理机构将在“宿迁市政府采购网”发布成交结果公告，公告期限为1个工作日。</w:t>
      </w:r>
      <w:r/>
    </w:p>
    <w:p>
      <w:pPr>
        <w:ind w:firstLine="480"/>
        <w:pageBreakBefore w:val="0"/>
        <w:spacing w:line="50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28.4若有充分证据证明，成交供应商出现下列情况之一的，一经查实，将被取消成交资格：</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28.4.1提供虚假材料谋取成交的。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28.4.2与评审专家、采购人、其他供应商或者</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工作人员恶意串通的。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28.4.3向评审专家、采购人或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工作人员行贿或者提供其他不正当利益的。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28.4.4恶意竞争，最后报价明显低于其自身合理成本且又无法提供证明的。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28.4.5不满足本磋商文件规定的实质性要求，但在评审过程中又未被磋商小组发现的。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28.4.6成交后无正当理由拒不与采购人签订政府采购合同或者未按照磋商文件确定的事项签订政府采购合同的。</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28.4.7将政府采购合同转包的。</w:t>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bookmarkStart w:id="160" w:name="_Toc200451960"/>
      <w:r>
        <w:rPr>
          <w:rFonts w:hint="eastAsia" w:ascii="宋体" w:hAnsi="宋体" w:eastAsia="宋体" w:cs="宋体"/>
          <w:bCs/>
          <w:color w:val="auto"/>
          <w:sz w:val="24"/>
          <w:szCs w:val="24"/>
          <w:highlight w:val="none"/>
        </w:rPr>
        <w:t xml:space="preserve">29、质疑处理</w:t>
      </w:r>
      <w:bookmarkEnd w:id="160"/>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w:t>
      </w:r>
      <w:r>
        <w:rPr>
          <w:rFonts w:hint="eastAsia" w:ascii="宋体" w:hAnsi="宋体" w:eastAsia="宋体" w:cs="宋体"/>
          <w:color w:val="auto"/>
          <w:sz w:val="24"/>
          <w:szCs w:val="24"/>
          <w:highlight w:val="none"/>
        </w:rPr>
        <w:t xml:space="preserve">对采购过程提出质疑的，为各采购程序环节结束之日。</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w:t>
      </w:r>
      <w:r>
        <w:rPr>
          <w:rFonts w:hint="eastAsia" w:ascii="宋体" w:hAnsi="宋体" w:eastAsia="宋体" w:cs="宋体"/>
          <w:color w:val="auto"/>
          <w:sz w:val="24"/>
          <w:szCs w:val="24"/>
          <w:highlight w:val="none"/>
        </w:rPr>
        <w:t xml:space="preserve">对成交结果提出质疑的，为成交结果公告期限届满之日。</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val="en-US" w:eastAsia="zh-CN"/>
        </w:rPr>
        <w:t xml:space="preserve">供应商应以书面形式向采购人或者其委托的采购代理机构提出质疑。质疑超出采购机构代理范围的，供应商应当向采购人提出。</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接收质疑函的方式：以书面形式或通过投标人业务管理系统网上提交形式向采购人或者其委托的采购代理机构提出质疑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沭阳县市场监督管理局</w:t>
      </w:r>
      <w:r>
        <w:rPr>
          <w:rFonts w:hint="eastAsia" w:ascii="宋体" w:hAnsi="宋体" w:eastAsia="宋体" w:cs="宋体"/>
          <w:color w:val="auto"/>
          <w:sz w:val="24"/>
          <w:szCs w:val="24"/>
          <w:highlight w:val="none"/>
        </w:rPr>
        <w:t xml:space="preserve">/江苏清伟工程管理咨询有限公司</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联系电话：18936955149 / 18036845188</w:t>
      </w:r>
      <w:r/>
    </w:p>
    <w:p>
      <w:pPr>
        <w:ind w:firstLine="48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通讯地址：沭阳县</w:t>
      </w:r>
      <w:r>
        <w:rPr>
          <w:rFonts w:hint="eastAsia" w:ascii="宋体" w:hAnsi="宋体" w:eastAsia="宋体" w:cs="宋体"/>
          <w:color w:val="auto"/>
          <w:sz w:val="24"/>
          <w:szCs w:val="24"/>
          <w:highlight w:val="none"/>
          <w:lang w:eastAsia="zh-CN"/>
        </w:rPr>
        <w:t xml:space="preserve">北京北路</w:t>
      </w:r>
      <w:r>
        <w:rPr>
          <w:rFonts w:hint="eastAsia" w:ascii="宋体" w:hAnsi="宋体" w:eastAsia="宋体" w:cs="宋体"/>
          <w:color w:val="auto"/>
          <w:sz w:val="24"/>
          <w:szCs w:val="24"/>
          <w:highlight w:val="none"/>
          <w:lang w:val="en-US" w:eastAsia="zh-CN"/>
        </w:rPr>
        <w:t xml:space="preserve">111号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沭阳县常州路</w:t>
      </w:r>
      <w:r>
        <w:rPr>
          <w:rFonts w:hint="eastAsia" w:ascii="宋体" w:hAnsi="宋体" w:eastAsia="宋体" w:cs="宋体"/>
          <w:color w:val="auto"/>
          <w:sz w:val="24"/>
          <w:szCs w:val="24"/>
          <w:highlight w:val="none"/>
          <w:lang w:val="en-US" w:eastAsia="zh-CN"/>
        </w:rPr>
        <w:t xml:space="preserve">2号西门（原供电公司院内后勤楼4楼）</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30、成交通知书</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pageBreakBefore w:val="0"/>
        <w:spacing w:line="500" w:lineRule="exact"/>
        <w:widowControl w:val="off"/>
        <w:rPr>
          <w:rFonts w:hint="eastAsia" w:ascii="宋体" w:hAnsi="宋体" w:eastAsia="宋体" w:cs="宋体"/>
          <w:b/>
          <w:bCs/>
          <w:color w:val="auto"/>
          <w:sz w:val="24"/>
          <w:szCs w:val="24"/>
          <w:highlight w:val="none"/>
        </w:rPr>
        <w:outlineLvl w:val="2"/>
      </w:pPr>
      <w:r/>
      <w:bookmarkStart w:id="161" w:name="_Toc120614220"/>
      <w:r/>
      <w:bookmarkStart w:id="162" w:name="_Toc20823308"/>
      <w:r/>
      <w:bookmarkStart w:id="163" w:name="_Toc513029236"/>
      <w:r/>
      <w:bookmarkStart w:id="164" w:name="_Toc16938552"/>
      <w:r>
        <w:rPr>
          <w:rFonts w:hint="eastAsia" w:ascii="宋体" w:hAnsi="宋体" w:eastAsia="宋体" w:cs="宋体"/>
          <w:b/>
          <w:bCs/>
          <w:color w:val="auto"/>
          <w:sz w:val="24"/>
          <w:szCs w:val="24"/>
          <w:highlight w:val="none"/>
        </w:rPr>
        <w:t xml:space="preserve">七、授予合同</w:t>
      </w:r>
      <w:bookmarkEnd w:id="161"/>
      <w:r/>
      <w:bookmarkEnd w:id="162"/>
      <w:r/>
      <w:bookmarkEnd w:id="163"/>
      <w:r/>
      <w:bookmarkEnd w:id="164"/>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bookmarkStart w:id="165" w:name="_Toc16938553"/>
      <w:r/>
      <w:bookmarkStart w:id="166" w:name="_Toc513029237"/>
      <w:r/>
      <w:bookmarkStart w:id="167" w:name="_Toc20823309"/>
      <w:r>
        <w:rPr>
          <w:rFonts w:hint="eastAsia" w:ascii="宋体" w:hAnsi="宋体" w:eastAsia="宋体" w:cs="宋体"/>
          <w:bCs/>
          <w:color w:val="auto"/>
          <w:sz w:val="24"/>
          <w:szCs w:val="24"/>
          <w:highlight w:val="none"/>
        </w:rPr>
        <w:t xml:space="preserve">31. 签订合同</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firstLine="480"/>
        <w:pageBreakBefore w:val="0"/>
        <w:spacing w:line="5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none"/>
        </w:rPr>
        <w:t xml:space="preserve">；</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不允许分包。未经采购人同意，成交供应商也不得采用分包形式履行合同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.5履约保证金</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aps w:val="0"/>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lang w:val="zh-CN"/>
        </w:rPr>
        <w:t xml:space="preserve">方式确定履约保证收取方式。</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（1）不收取履约保证金。</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（2）履约保证金应在采购合同签订前提交，履约保证金的金额</w:t>
      </w:r>
      <w:r>
        <w:rPr>
          <w:rFonts w:hint="eastAsia" w:ascii="宋体" w:hAnsi="宋体" w:eastAsia="宋体" w:cs="宋体"/>
          <w:bCs/>
          <w:caps w:val="0"/>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按采购合同总价的</w:t>
      </w:r>
      <w:r>
        <w:rPr>
          <w:rFonts w:hint="eastAsia" w:ascii="宋体" w:hAnsi="宋体" w:eastAsia="宋体" w:cs="宋体"/>
          <w:bCs/>
          <w:caps w:val="0"/>
          <w:color w:val="auto"/>
          <w:sz w:val="24"/>
          <w:szCs w:val="24"/>
          <w:highlight w:val="none"/>
          <w:u w:val="single"/>
          <w:lang w:val="en-US" w:eastAsia="zh-CN"/>
        </w:rPr>
        <w:t xml:space="preserve">5</w:t>
      </w:r>
      <w:r>
        <w:rPr>
          <w:rFonts w:hint="eastAsia" w:ascii="宋体" w:hAnsi="宋体" w:eastAsia="宋体" w:cs="宋体"/>
          <w:bCs/>
          <w:caps w:val="0"/>
          <w:color w:val="auto"/>
          <w:sz w:val="24"/>
          <w:szCs w:val="24"/>
          <w:highlight w:val="none"/>
          <w:lang w:val="zh-CN"/>
        </w:rPr>
        <w:t xml:space="preserve">%计取</w:t>
      </w:r>
      <w:r>
        <w:rPr>
          <w:rFonts w:hint="eastAsia" w:ascii="宋体" w:hAnsi="宋体" w:eastAsia="宋体" w:cs="宋体"/>
          <w:bCs/>
          <w:color w:val="auto"/>
          <w:sz w:val="24"/>
          <w:szCs w:val="24"/>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履约保证金退还的条件：按以下第 b 种方式实行：</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a.货物类项目，项目验收合格，出具验收报告及履约保证金收据申请退付；</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b.服务类项目，项目履约期满评价合格，出具履约评价报告及履约保证金收据申请退付；</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c.工程类项目，项目完工验收合格，出具完工证明及履约保证金收据申请退付；</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履约保证金退还时间：采购单位收到供应商退付申请后5个工作日内退还；</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0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的通知》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苏财购﹝2023﹞150号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32、标的物的追加</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5"/>
      <w:r/>
      <w:bookmarkEnd w:id="166"/>
      <w:r/>
      <w:bookmarkEnd w:id="167"/>
      <w:r/>
      <w:r/>
    </w:p>
    <w:p>
      <w:pPr>
        <w:ind w:firstLine="480"/>
        <w:keepLines/>
        <w:keepNext/>
        <w:pageBreakBefore w:val="0"/>
        <w:spacing w:line="500" w:lineRule="exact"/>
        <w:widowControl w:val="off"/>
        <w:rPr>
          <w:rFonts w:hint="eastAsia" w:ascii="宋体" w:hAnsi="宋体" w:eastAsia="宋体" w:cs="宋体"/>
          <w:bCs/>
          <w:color w:val="auto"/>
          <w:sz w:val="24"/>
          <w:szCs w:val="24"/>
          <w:highlight w:val="none"/>
        </w:rPr>
        <w:outlineLvl w:val="3"/>
      </w:pPr>
      <w:r/>
      <w:bookmarkStart w:id="168" w:name="_Toc513029242"/>
      <w:r/>
      <w:bookmarkStart w:id="169" w:name="_Toc479757207"/>
      <w:r/>
      <w:bookmarkStart w:id="170" w:name="_Toc20823314"/>
      <w:r/>
      <w:bookmarkStart w:id="171" w:name="_Toc16938558"/>
      <w:r/>
      <w:bookmarkStart w:id="172" w:name="_Toc120614221"/>
      <w:r>
        <w:rPr>
          <w:rFonts w:hint="eastAsia" w:ascii="宋体" w:hAnsi="宋体" w:eastAsia="宋体" w:cs="宋体"/>
          <w:bCs/>
          <w:color w:val="auto"/>
          <w:sz w:val="24"/>
          <w:szCs w:val="24"/>
          <w:highlight w:val="none"/>
        </w:rPr>
        <w:t xml:space="preserve">33、政府采购履约资金扶持政策</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33.1</w:t>
      </w:r>
      <w:r>
        <w:rPr>
          <w:rFonts w:hint="eastAsia" w:ascii="宋体" w:hAnsi="宋体" w:eastAsia="宋体" w:cs="宋体"/>
          <w:bCs/>
          <w:color w:val="auto"/>
          <w:sz w:val="24"/>
          <w:szCs w:val="24"/>
          <w:highlight w:val="none"/>
        </w:rPr>
        <w:t xml:space="preserve">依</w:t>
      </w:r>
      <w:r>
        <w:rPr>
          <w:rFonts w:hint="eastAsia" w:ascii="宋体" w:hAnsi="宋体" w:eastAsia="宋体" w:cs="宋体"/>
          <w:bCs/>
          <w:color w:val="auto"/>
          <w:sz w:val="24"/>
          <w:szCs w:val="24"/>
          <w:highlight w:val="none"/>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18"/>
        <w:ind w:firstLine="482"/>
        <w:pageBreakBefore w:val="0"/>
        <w:spacing w:before="0"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34、验收及付款</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35、付款</w:t>
      </w:r>
      <w:r/>
    </w:p>
    <w:p>
      <w:pPr>
        <w:ind w:firstLine="48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bookmarkStart w:id="173" w:name="EBec7f529f50594afd871ea9378869e456"/>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73"/>
      <w:r/>
      <w:r/>
    </w:p>
    <w:p>
      <w:pPr>
        <w:ind w:left="0" w:firstLine="482"/>
        <w:pageBreakBefore w:val="0"/>
        <w:spacing w:line="560" w:lineRule="exact"/>
        <w:widowControl w:val="off"/>
        <w:rPr>
          <w:rFonts w:ascii="Times New Roman" w:hAnsi="Times New Roman" w:eastAsia="仿宋_GB2312" w:cs="仿宋_GB2312"/>
          <w:caps w:val="0"/>
          <w:color w:val="auto"/>
          <w:sz w:val="24"/>
          <w:szCs w:val="21"/>
          <w:highlight w:val="none"/>
        </w:rPr>
      </w:pPr>
      <w:r>
        <w:rPr>
          <w:rFonts w:hint="eastAsia" w:ascii="Times New Roman" w:hAnsi="Times New Roman" w:eastAsia="宋体" w:cs="Times New Roman"/>
          <w:b w:val="0"/>
          <w:bCs/>
          <w:caps w:val="0"/>
          <w:color w:val="auto"/>
          <w:sz w:val="24"/>
          <w:szCs w:val="21"/>
          <w:highlight w:val="none"/>
          <w:lang w:val="en-US" w:eastAsia="zh-CN"/>
        </w:rPr>
        <w:t xml:space="preserve">预付款：合同金额的</w:t>
      </w:r>
      <w:bookmarkStart w:id="174" w:name="EBe373fd05aa034cc3a1a41aadf8509e01"/>
      <w:r>
        <w:rPr>
          <w:rFonts w:hint="eastAsia" w:ascii="Times New Roman" w:hAnsi="Times New Roman" w:eastAsia="宋体" w:cs="Times New Roman"/>
          <w:b w:val="0"/>
          <w:bCs/>
          <w:caps w:val="0"/>
          <w:color w:val="auto"/>
          <w:sz w:val="24"/>
          <w:szCs w:val="21"/>
          <w:highlight w:val="none"/>
          <w:u w:val="single"/>
          <w:lang w:val="en-US" w:eastAsia="zh-CN"/>
        </w:rPr>
        <w:t xml:space="preserve">  10  </w:t>
      </w:r>
      <w:r>
        <w:rPr>
          <w:rFonts w:hint="eastAsia" w:ascii="Times New Roman" w:hAnsi="Times New Roman" w:eastAsia="宋体" w:cs="Times New Roman"/>
          <w:b w:val="0"/>
          <w:bCs/>
          <w:caps w:val="0"/>
          <w:color w:val="auto"/>
          <w:sz w:val="24"/>
          <w:szCs w:val="21"/>
          <w:highlight w:val="none"/>
          <w:lang w:val="en-US" w:eastAsia="zh-CN"/>
        </w:rPr>
        <w:t xml:space="preserve"> %</w:t>
      </w:r>
      <w:bookmarkEnd w:id="174"/>
      <w:r>
        <w:rPr>
          <w:rFonts w:hint="eastAsia" w:ascii="Times New Roman" w:hAnsi="Times New Roman" w:eastAsia="宋体" w:cs="Times New Roman"/>
          <w:b w:val="0"/>
          <w:bCs/>
          <w:caps w:val="0"/>
          <w:color w:val="auto"/>
          <w:sz w:val="24"/>
          <w:szCs w:val="21"/>
          <w:highlight w:val="none"/>
          <w:lang w:val="en-US" w:eastAsia="zh-CN"/>
        </w:rPr>
        <w:t xml:space="preserve">，合同签订后按规定支付；</w:t>
      </w:r>
      <w:r>
        <w:rPr>
          <w:rFonts w:hint="eastAsia" w:ascii="Times New Roman" w:hAnsi="Times New Roman" w:eastAsia="仿宋_GB2312" w:cs="仿宋_GB2312"/>
          <w:caps w:val="0"/>
          <w:color w:val="auto"/>
          <w:sz w:val="24"/>
          <w:szCs w:val="21"/>
          <w:highlight w:val="none"/>
        </w:rPr>
        <w:t xml:space="preserve"> </w:t>
      </w:r>
      <w:r/>
    </w:p>
    <w:p>
      <w:pPr>
        <w:ind w:left="0" w:firstLine="482"/>
        <w:pageBreakBefore w:val="0"/>
        <w:spacing w:line="560" w:lineRule="exact"/>
        <w:widowControl w:val="off"/>
        <w:rPr>
          <w:rFonts w:hint="eastAsia" w:ascii="Times New Roman" w:hAnsi="Times New Roman" w:eastAsia="宋体" w:cs="Times New Roman"/>
          <w:b w:val="0"/>
          <w:bCs/>
          <w:caps w:val="0"/>
          <w:color w:val="auto"/>
          <w:sz w:val="24"/>
          <w:szCs w:val="21"/>
          <w:highlight w:val="none"/>
          <w:lang w:val="en-US" w:eastAsia="zh-CN"/>
        </w:rPr>
      </w:pPr>
      <w:r>
        <w:rPr>
          <w:rFonts w:hint="eastAsia" w:ascii="Times New Roman" w:hAnsi="Times New Roman" w:eastAsia="宋体" w:cs="Times New Roman"/>
          <w:b w:val="0"/>
          <w:bCs/>
          <w:caps w:val="0"/>
          <w:color w:val="auto"/>
          <w:sz w:val="24"/>
          <w:szCs w:val="21"/>
          <w:highlight w:val="none"/>
          <w:lang w:val="en-US" w:eastAsia="zh-CN"/>
        </w:rPr>
        <w:t xml:space="preserve">进度款：</w:t>
      </w:r>
      <w:bookmarkStart w:id="175" w:name="EB5e42c1c1be704ecfa15d9f8f317e8f12"/>
      <w:r/>
      <w:bookmarkEnd w:id="175"/>
      <w:r>
        <w:rPr>
          <w:rFonts w:hint="eastAsia" w:ascii="Times New Roman" w:hAnsi="Times New Roman" w:eastAsia="宋体" w:cs="Times New Roman"/>
          <w:b w:val="0"/>
          <w:bCs/>
          <w:caps w:val="0"/>
          <w:color w:val="auto"/>
          <w:sz w:val="24"/>
          <w:szCs w:val="21"/>
          <w:highlight w:val="none"/>
          <w:lang w:val="en-US" w:eastAsia="zh-CN"/>
        </w:rPr>
        <w:t xml:space="preserve">在全部任务完成后一次性支付。</w:t>
      </w:r>
      <w:r/>
    </w:p>
    <w:p>
      <w:pPr>
        <w:ind w:firstLine="480"/>
        <w:jc w:val="center"/>
        <w:keepNext/>
        <w:pageBreakBefore w:val="0"/>
        <w:spacing w:line="500" w:lineRule="exact"/>
        <w:widowControl w:val="off"/>
        <w:rPr>
          <w:rFonts w:hint="eastAsia" w:ascii="Times New Roman" w:hAnsi="Times New Roman" w:eastAsia="黑体"/>
          <w:bCs/>
          <w:color w:val="auto"/>
          <w:sz w:val="44"/>
          <w:szCs w:val="28"/>
          <w:highlight w:val="none"/>
        </w:rPr>
        <w:outlineLvl w:val="0"/>
      </w:pPr>
      <w:r/>
      <w:bookmarkStart w:id="176" w:name="EB11398ec6946f4019bc4c35221e27b04f"/>
      <w:r>
        <w:rPr>
          <w:rFonts w:hint="eastAsia" w:ascii="Times New Roman" w:hAnsi="Times New Roman" w:eastAsia="宋体" w:cs="Times New Roman"/>
          <w:b w:val="0"/>
          <w:bCs/>
          <w:caps w:val="0"/>
          <w:color w:val="auto"/>
          <w:sz w:val="24"/>
          <w:szCs w:val="21"/>
          <w:highlight w:val="none"/>
          <w:lang w:val="en-US" w:eastAsia="zh-CN"/>
        </w:rPr>
        <w:t xml:space="preserve">注：</w:t>
      </w:r>
      <w:bookmarkEnd w:id="176"/>
      <w:r>
        <w:rPr>
          <w:rFonts w:hint="eastAsia" w:ascii="宋体" w:hAnsi="宋体" w:eastAsia="宋体" w:cs="宋体"/>
          <w:b/>
          <w:bCs w:val="0"/>
          <w:color w:val="auto"/>
          <w:sz w:val="24"/>
          <w:szCs w:val="21"/>
          <w:highlight w:val="none"/>
        </w:rPr>
        <w:t xml:space="preserve">1、每次付款前，乙方必须提供正规发票，否则甲方不予付款。</w:t>
      </w:r>
      <w:r>
        <w:rPr>
          <w:rFonts w:hint="eastAsia" w:ascii="宋体" w:hAnsi="宋体" w:eastAsia="宋体" w:cs="宋体"/>
          <w:bCs/>
          <w:color w:val="auto"/>
          <w:sz w:val="24"/>
          <w:szCs w:val="21"/>
          <w:highlight w:val="none"/>
        </w:rPr>
        <w:t xml:space="preserve">2、在签订合同时，中标人明确表示无需预付款或者主动要求降低预付款比例的，采购人可不适用前述规定。</w:t>
      </w:r>
      <w:r>
        <w:rPr>
          <w:rFonts w:hint="eastAsia" w:ascii="宋体" w:hAnsi="宋体" w:eastAsia="宋体" w:cs="宋体"/>
          <w:bCs/>
          <w:color w:val="auto"/>
          <w:sz w:val="24"/>
          <w:szCs w:val="24"/>
          <w:highlight w:val="none"/>
        </w:rPr>
        <w:br w:type="page" w:clear="all"/>
      </w:r>
      <w:r>
        <w:rPr>
          <w:rFonts w:hint="eastAsia" w:ascii="Times New Roman" w:hAnsi="Times New Roman" w:eastAsia="黑体"/>
          <w:bCs/>
          <w:color w:val="auto"/>
          <w:sz w:val="44"/>
          <w:szCs w:val="28"/>
          <w:highlight w:val="none"/>
        </w:rPr>
        <w:t xml:space="preserve">第三章  合同</w:t>
      </w:r>
      <w:bookmarkEnd w:id="168"/>
      <w:r/>
      <w:bookmarkEnd w:id="169"/>
      <w:r/>
      <w:bookmarkEnd w:id="170"/>
      <w:r/>
      <w:bookmarkEnd w:id="171"/>
      <w:r/>
      <w:bookmarkEnd w:id="172"/>
      <w:r>
        <w:rPr>
          <w:rFonts w:hint="eastAsia" w:ascii="Times New Roman" w:hAnsi="Times New Roman" w:eastAsia="黑体"/>
          <w:bCs/>
          <w:color w:val="auto"/>
          <w:sz w:val="44"/>
          <w:szCs w:val="28"/>
          <w:highlight w:val="none"/>
        </w:rPr>
        <w:t xml:space="preserve">文本</w:t>
      </w:r>
      <w:r/>
    </w:p>
    <w:p>
      <w:pPr>
        <w:ind w:firstLine="480"/>
        <w:spacing w:line="500" w:lineRule="exact"/>
        <w:rPr>
          <w:rFonts w:hint="eastAsia" w:ascii="Times New Roman" w:hAnsi="Times New Roman"/>
          <w:bCs/>
          <w:color w:val="auto"/>
          <w:sz w:val="24"/>
          <w:szCs w:val="21"/>
          <w:highlight w:val="none"/>
        </w:rPr>
      </w:pPr>
      <w:r/>
      <w:bookmarkStart w:id="177" w:name="_Toc513029243"/>
      <w:r/>
      <w:bookmarkStart w:id="178" w:name="_Toc16938559"/>
      <w:r/>
      <w:bookmarkStart w:id="179" w:name="_Toc20823315"/>
      <w:r>
        <w:rPr>
          <w:rFonts w:hint="eastAsia" w:ascii="Times New Roman" w:hAnsi="Times New Roman"/>
          <w:bCs/>
          <w:color w:val="auto"/>
          <w:sz w:val="24"/>
          <w:szCs w:val="21"/>
          <w:highlight w:val="none"/>
        </w:rPr>
        <w:t xml:space="preserve">以下为成交后</w:t>
      </w:r>
      <w:r>
        <w:rPr>
          <w:rFonts w:hint="eastAsia" w:ascii="Times New Roman" w:hAnsi="Times New Roman"/>
          <w:bCs/>
          <w:color w:val="auto"/>
          <w:sz w:val="24"/>
          <w:szCs w:val="21"/>
          <w:highlight w:val="none"/>
          <w:lang w:eastAsia="zh-CN"/>
        </w:rPr>
        <w:t xml:space="preserve">签订</w:t>
      </w:r>
      <w:r>
        <w:rPr>
          <w:rFonts w:hint="eastAsia" w:ascii="Times New Roman" w:hAnsi="Times New Roman"/>
          <w:bCs/>
          <w:color w:val="auto"/>
          <w:sz w:val="24"/>
          <w:szCs w:val="21"/>
          <w:highlight w:val="none"/>
        </w:rPr>
        <w:t xml:space="preserve">本项目合同的通用条款，成交供应商不得提出实质性的修改。</w:t>
      </w:r>
      <w:r/>
    </w:p>
    <w:p>
      <w:pPr>
        <w:jc w:val="center"/>
        <w:spacing w:before="145" w:after="145"/>
        <w:rPr>
          <w:rFonts w:hint="eastAsia" w:ascii="Times New Roman" w:hAnsi="Times New Roman"/>
          <w:b/>
          <w:color w:val="auto"/>
          <w:sz w:val="30"/>
          <w:szCs w:val="21"/>
          <w:highlight w:val="none"/>
        </w:rPr>
        <w:outlineLvl w:val="0"/>
      </w:pPr>
      <w:r>
        <w:rPr>
          <w:rFonts w:hint="eastAsia" w:ascii="Times New Roman" w:hAnsi="Times New Roman"/>
          <w:b/>
          <w:color w:val="auto"/>
          <w:sz w:val="30"/>
          <w:szCs w:val="21"/>
          <w:highlight w:val="none"/>
        </w:rPr>
      </w:r>
      <w:r/>
    </w:p>
    <w:p>
      <w:pPr>
        <w:jc w:val="center"/>
        <w:spacing w:before="145" w:after="145"/>
        <w:rPr>
          <w:rFonts w:ascii="Times New Roman" w:hAnsi="Times New Roman"/>
          <w:b/>
          <w:bCs/>
          <w:color w:val="auto"/>
          <w:sz w:val="30"/>
          <w:szCs w:val="20"/>
          <w:highlight w:val="none"/>
        </w:rPr>
        <w:outlineLvl w:val="0"/>
      </w:pPr>
      <w:r>
        <w:rPr>
          <w:rFonts w:hint="eastAsia" w:ascii="Times New Roman" w:hAnsi="Times New Roman"/>
          <w:b/>
          <w:color w:val="auto"/>
          <w:sz w:val="30"/>
          <w:szCs w:val="21"/>
          <w:highlight w:val="none"/>
        </w:rPr>
        <w:t xml:space="preserve">政府采购合同（合同编号）</w:t>
      </w:r>
      <w:bookmarkEnd w:id="177"/>
      <w:r/>
      <w:bookmarkEnd w:id="178"/>
      <w:r/>
      <w:bookmarkEnd w:id="179"/>
      <w:r/>
      <w:r/>
    </w:p>
    <w:p>
      <w:pPr>
        <w:ind w:firstLine="480"/>
        <w:spacing w:line="500" w:lineRule="exact"/>
        <w:rPr>
          <w:rFonts w:hint="eastAsia" w:ascii="Times New Roman" w:hAnsi="Times New Roman" w:eastAsia="宋体" w:cs="Times New Roman"/>
          <w:bCs/>
          <w:caps w:val="0"/>
          <w:color w:val="auto"/>
          <w:sz w:val="24"/>
          <w:szCs w:val="21"/>
          <w:highlight w:val="none"/>
        </w:rPr>
      </w:pPr>
      <w:r/>
      <w:bookmarkStart w:id="180" w:name="_Hlt16619350"/>
      <w:r/>
      <w:bookmarkStart w:id="181" w:name="_Toc16938590"/>
      <w:r/>
      <w:bookmarkStart w:id="182" w:name="_Toc120614244"/>
      <w:r/>
      <w:bookmarkStart w:id="183" w:name="_Toc20823346"/>
      <w:r/>
      <w:bookmarkStart w:id="184" w:name="_Toc479757211"/>
      <w:r/>
      <w:bookmarkStart w:id="185" w:name="_Toc462564139"/>
      <w:r>
        <w:rPr>
          <w:rFonts w:hint="eastAsia" w:ascii="Times New Roman" w:hAnsi="Times New Roman" w:eastAsia="宋体" w:cs="Times New Roman"/>
          <w:bCs/>
          <w:caps w:val="0"/>
          <w:color w:val="auto"/>
          <w:sz w:val="24"/>
          <w:szCs w:val="21"/>
          <w:highlight w:val="none"/>
        </w:rPr>
        <w:t xml:space="preserve">以下为中标后</w:t>
      </w:r>
      <w:r>
        <w:rPr>
          <w:rFonts w:hint="eastAsia" w:ascii="Times New Roman" w:hAnsi="Times New Roman" w:eastAsia="宋体" w:cs="Times New Roman"/>
          <w:bCs/>
          <w:caps w:val="0"/>
          <w:color w:val="auto"/>
          <w:sz w:val="24"/>
          <w:szCs w:val="21"/>
          <w:highlight w:val="none"/>
          <w:lang w:eastAsia="zh-CN"/>
        </w:rPr>
        <w:t xml:space="preserve">签订</w:t>
      </w:r>
      <w:r>
        <w:rPr>
          <w:rFonts w:hint="eastAsia" w:ascii="Times New Roman" w:hAnsi="Times New Roman" w:eastAsia="宋体" w:cs="Times New Roman"/>
          <w:bCs/>
          <w:caps w:val="0"/>
          <w:color w:val="auto"/>
          <w:sz w:val="24"/>
          <w:szCs w:val="21"/>
          <w:highlight w:val="none"/>
        </w:rPr>
        <w:t xml:space="preserve">本项目合同的通用条款，中标人不得提出实质性的修改。</w:t>
      </w:r>
      <w:r/>
    </w:p>
    <w:p>
      <w:pPr>
        <w:jc w:val="center"/>
        <w:keepLines w:val="0"/>
        <w:keepNext w:val="0"/>
        <w:pageBreakBefore w:val="0"/>
        <w:spacing w:before="145" w:after="145" w:line="500" w:lineRule="exact"/>
        <w:rPr>
          <w:rFonts w:hint="eastAsia" w:ascii="宋体" w:hAnsi="宋体" w:eastAsia="宋体" w:cs="宋体"/>
          <w:b/>
          <w:bCs/>
          <w:color w:val="auto"/>
          <w:sz w:val="30"/>
          <w:szCs w:val="20"/>
          <w:highlight w:val="none"/>
        </w:rPr>
        <w:outlineLvl w:val="0"/>
      </w:pPr>
      <w:r>
        <w:rPr>
          <w:rFonts w:hint="eastAsia" w:ascii="宋体" w:hAnsi="宋体" w:eastAsia="宋体" w:cs="宋体"/>
          <w:b/>
          <w:color w:val="auto"/>
          <w:sz w:val="30"/>
          <w:szCs w:val="21"/>
          <w:highlight w:val="none"/>
        </w:rPr>
        <w:t xml:space="preserve">政府采购合同（合同编号）</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aps w:val="0"/>
          <w:color w:val="auto"/>
          <w:sz w:val="24"/>
          <w:szCs w:val="24"/>
          <w:highlight w:val="none"/>
          <w:u w:val="single"/>
          <w:lang w:eastAsia="zh-CN"/>
        </w:rPr>
        <w:t xml:space="preserve">沭阳县市场监督管理局</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___</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______</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依照《中华人民共和国政府采购法》、《中华人民共和国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》等及其他有关法律、行政法规，遵循平等、自愿、公平和诚实信用的原则，双方就</w:t>
      </w:r>
      <w:r>
        <w:rPr>
          <w:rFonts w:hint="eastAsia" w:ascii="宋体" w:hAnsi="宋体" w:eastAsia="宋体" w:cs="宋体"/>
          <w:color w:val="auto"/>
          <w:sz w:val="24"/>
          <w:szCs w:val="24"/>
          <w:highlight w:val="none"/>
          <w:u w:val="single"/>
        </w:rPr>
        <w:t xml:space="preserve">沭阳县生产环节农产品定量检测项目</w:t>
      </w:r>
      <w:r>
        <w:rPr>
          <w:rFonts w:hint="eastAsia" w:ascii="宋体" w:hAnsi="宋体" w:eastAsia="宋体" w:cs="宋体"/>
          <w:bCs/>
          <w:color w:val="auto"/>
          <w:sz w:val="24"/>
          <w:szCs w:val="24"/>
          <w:highlight w:val="none"/>
        </w:rPr>
        <w:t xml:space="preserve">相关</w:t>
      </w:r>
      <w:r>
        <w:rPr>
          <w:rFonts w:hint="eastAsia" w:ascii="宋体" w:hAnsi="宋体" w:eastAsia="宋体" w:cs="宋体"/>
          <w:color w:val="auto"/>
          <w:sz w:val="24"/>
          <w:szCs w:val="24"/>
          <w:highlight w:val="none"/>
        </w:rPr>
        <w:t xml:space="preserve">事项协商一致，达成如下合同条款：</w:t>
      </w:r>
      <w:r/>
    </w:p>
    <w:p>
      <w:pPr>
        <w:ind w:firstLine="482"/>
        <w:jc w:val="left"/>
        <w:keepLines w:val="0"/>
        <w:keepNext w:val="0"/>
        <w:pageBreakBefore w:val="0"/>
        <w:spacing w:line="5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一、项目内容 </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采购实施区域：沭阳县 </w:t>
      </w:r>
      <w:r/>
    </w:p>
    <w:p>
      <w:pPr>
        <w:ind w:firstLine="480"/>
        <w:jc w:val="left"/>
        <w:keepLines w:val="0"/>
        <w:keepNext w:val="0"/>
        <w:pageBreakBefore w:val="0"/>
        <w:spacing w:line="540" w:lineRule="exact"/>
        <w:widowControl/>
        <w:rPr>
          <w:rFonts w:hint="default"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采购内容：沭阳县生产环节农产品定量检测项目（分包</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5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采购实施周期：自合同签订日起至2026年12月31日之前完成所有抽检项目并出具检验报告。 </w:t>
      </w:r>
      <w:r/>
    </w:p>
    <w:p>
      <w:pPr>
        <w:pStyle w:val="1052"/>
        <w:ind w:right="0" w:firstLine="480"/>
        <w:jc w:val="both"/>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lang w:val="en-US" w:eastAsia="zh-CN"/>
        </w:rPr>
        <w:t xml:space="preserve">检测产品及对象</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分包一：例行监测</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全</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全年例行监测共抽取样品</w:t>
      </w:r>
      <w:r>
        <w:rPr>
          <w:rFonts w:hint="eastAsia" w:ascii="宋体" w:hAnsi="宋体" w:eastAsia="宋体" w:cs="宋体"/>
          <w:color w:val="auto"/>
          <w:sz w:val="24"/>
          <w:szCs w:val="24"/>
          <w:highlight w:val="none"/>
          <w:lang w:val="en-US" w:eastAsia="zh-CN"/>
        </w:rPr>
        <w:t xml:space="preserve">1960</w:t>
      </w:r>
      <w:r>
        <w:rPr>
          <w:rFonts w:hint="eastAsia" w:ascii="宋体" w:hAnsi="宋体" w:eastAsia="宋体" w:cs="宋体"/>
          <w:color w:val="auto"/>
          <w:sz w:val="24"/>
          <w:szCs w:val="24"/>
          <w:highlight w:val="none"/>
        </w:rPr>
        <w:t xml:space="preserve">批次。</w:t>
      </w:r>
      <w:r>
        <w:rPr>
          <w:rFonts w:hint="eastAsia" w:ascii="宋体" w:hAnsi="宋体" w:eastAsia="宋体" w:cs="宋体"/>
          <w:color w:val="auto"/>
          <w:sz w:val="24"/>
          <w:szCs w:val="24"/>
          <w:highlight w:val="none"/>
          <w:lang w:val="en-US" w:eastAsia="zh-CN"/>
        </w:rPr>
        <w:t xml:space="preserve">被监测单位应具有一定代表性，能反映生产、管理和消费的普遍情况。凡被确定的监测点不得拒绝采样，否则其产品按不合格处理。</w:t>
      </w:r>
      <w:r/>
    </w:p>
    <w:p>
      <w:pPr>
        <w:numPr>
          <w:ilvl w:val="0"/>
          <w:numId w:val="5"/>
        </w:numPr>
        <w:ind w:left="0"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蔬菜农药残留监测</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监测蔬菜品种。监测的蔬果品种应在大白菜、普通白菜、结球甘蓝、花椰菜、青花菜、薤菜、菜薹（心）、叶用莴苣、芹菜、菠菜、芫荽、豇豆、菜豆、番茄、茄子、辣椒、黄瓜、苦瓜、西葫芦、萝卜、胡萝卜、马铃薯、山药、韭菜、洋葱、食用菌（均为鲜样）以及水果（主要包括草莓、西瓜、梨、桃、葡萄、苹果等，水果抽样数量不超过每次蔬果抽样总数的20%）抽取。抽样单上样品名称一栏统一填写中文名，样品别名在备注栏上注明。</w:t>
      </w:r>
      <w:r/>
    </w:p>
    <w:p>
      <w:pPr>
        <w:ind w:left="0"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2、畜产品药物残留监测</w:t>
      </w:r>
      <w:r/>
    </w:p>
    <w:p>
      <w:pPr>
        <w:ind w:right="0" w:firstLine="480"/>
        <w:jc w:val="both"/>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lang w:val="en-US" w:eastAsia="zh-CN"/>
        </w:rPr>
        <w:t xml:space="preserve">监测样品种类。猪肝、猪尿、猪牛羊禽肉、禽蛋等。</w:t>
      </w:r>
      <w:r/>
    </w:p>
    <w:p>
      <w:pPr>
        <w:ind w:lef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水产品药物残留监测</w:t>
      </w:r>
      <w:r/>
    </w:p>
    <w:p>
      <w:pPr>
        <w:ind w:right="0" w:firstLine="480"/>
        <w:jc w:val="both"/>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lang w:val="en-US" w:eastAsia="zh-CN"/>
        </w:rPr>
        <w:t xml:space="preserve">监测样品种类。养殖鱼、虾、蟹等水产。</w:t>
      </w:r>
      <w:r/>
    </w:p>
    <w:p>
      <w:pPr>
        <w:ind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农畜水检测调整原则</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在保证本地区检测总数量不变的前提下，根据当地农业生产安全监测的需要进行实时调整农畜水的检测数量。（25个涉农乡镇</w:t>
      </w:r>
      <w:r>
        <w:rPr>
          <w:rFonts w:hint="eastAsia" w:ascii="宋体" w:hAnsi="宋体" w:eastAsia="宋体" w:cs="宋体"/>
          <w:color w:val="auto"/>
          <w:sz w:val="24"/>
          <w:szCs w:val="24"/>
          <w:highlight w:val="none"/>
        </w:rPr>
        <w:t xml:space="preserve">每次分别抽取</w:t>
      </w:r>
      <w:r>
        <w:rPr>
          <w:rFonts w:hint="eastAsia" w:ascii="宋体" w:hAnsi="宋体" w:eastAsia="宋体" w:cs="宋体"/>
          <w:color w:val="auto"/>
          <w:sz w:val="24"/>
          <w:szCs w:val="24"/>
          <w:highlight w:val="none"/>
          <w:lang w:val="en-US" w:eastAsia="zh-CN"/>
        </w:rPr>
        <w:t xml:space="preserve">6—7</w:t>
      </w:r>
      <w:r>
        <w:rPr>
          <w:rFonts w:hint="eastAsia" w:ascii="宋体" w:hAnsi="宋体" w:eastAsia="宋体" w:cs="宋体"/>
          <w:color w:val="auto"/>
          <w:sz w:val="24"/>
          <w:szCs w:val="24"/>
          <w:highlight w:val="none"/>
        </w:rPr>
        <w:t xml:space="preserve">个样品</w:t>
      </w:r>
      <w:r>
        <w:rPr>
          <w:rFonts w:hint="eastAsia" w:ascii="宋体" w:hAnsi="宋体" w:eastAsia="宋体" w:cs="宋体"/>
          <w:color w:val="auto"/>
          <w:sz w:val="24"/>
          <w:szCs w:val="24"/>
          <w:highlight w:val="none"/>
          <w:lang w:eastAsia="zh-CN"/>
        </w:rPr>
        <w:t xml:space="preserve">，颜集镇每月抽样</w:t>
      </w:r>
      <w:r>
        <w:rPr>
          <w:rFonts w:hint="eastAsia" w:ascii="宋体" w:hAnsi="宋体" w:eastAsia="宋体" w:cs="宋体"/>
          <w:color w:val="auto"/>
          <w:sz w:val="24"/>
          <w:szCs w:val="24"/>
          <w:highlight w:val="none"/>
          <w:lang w:val="en-US" w:eastAsia="zh-CN"/>
        </w:rPr>
        <w:t xml:space="preserve">3-4个样品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检测项目和检测依据</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与省级例行监测工作要求同步。</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6、判定依据</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蔬果农药残留：根据GB 2763-2026标准进行判定。</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畜禽、水产药物残留：按GB 31650-2019、GB 31650.1-2022、农业农村部公告第560号以及农业农村部公告第250号所定指标进行判定。</w:t>
      </w:r>
      <w:r/>
    </w:p>
    <w:p>
      <w:pPr>
        <w:ind w:left="0" w:right="0" w:firstLine="480"/>
        <w:jc w:val="both"/>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所有检测项目全部合格者，判定为“该产品所检项目合格”；有一项指标不合格者，即判定为“该产品不合格”；未明确规定的不作判定。</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分包二：监督抽查</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全</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全年</w:t>
      </w:r>
      <w:r>
        <w:rPr>
          <w:rFonts w:hint="eastAsia" w:ascii="宋体" w:hAnsi="宋体" w:eastAsia="宋体" w:cs="宋体"/>
          <w:color w:val="auto"/>
          <w:sz w:val="24"/>
          <w:szCs w:val="24"/>
          <w:highlight w:val="none"/>
          <w:lang w:val="en-US" w:eastAsia="zh-CN"/>
        </w:rPr>
        <w:t xml:space="preserve">监督抽查</w:t>
      </w:r>
      <w:r>
        <w:rPr>
          <w:rFonts w:hint="eastAsia" w:ascii="宋体" w:hAnsi="宋体" w:eastAsia="宋体" w:cs="宋体"/>
          <w:color w:val="auto"/>
          <w:sz w:val="24"/>
          <w:szCs w:val="24"/>
          <w:highlight w:val="none"/>
        </w:rPr>
        <w:t xml:space="preserve">共抽取样品</w:t>
      </w:r>
      <w:r>
        <w:rPr>
          <w:rFonts w:hint="eastAsia" w:ascii="宋体" w:hAnsi="宋体" w:eastAsia="宋体" w:cs="宋体"/>
          <w:color w:val="auto"/>
          <w:sz w:val="24"/>
          <w:szCs w:val="24"/>
          <w:highlight w:val="none"/>
          <w:lang w:val="en-US" w:eastAsia="zh-CN"/>
        </w:rPr>
        <w:t xml:space="preserve">860</w:t>
      </w:r>
      <w:r>
        <w:rPr>
          <w:rFonts w:hint="eastAsia" w:ascii="宋体" w:hAnsi="宋体" w:eastAsia="宋体" w:cs="宋体"/>
          <w:color w:val="auto"/>
          <w:sz w:val="24"/>
          <w:szCs w:val="24"/>
          <w:highlight w:val="none"/>
        </w:rPr>
        <w:t xml:space="preserve">批次。</w:t>
      </w:r>
      <w:r>
        <w:rPr>
          <w:rFonts w:hint="eastAsia" w:ascii="宋体" w:hAnsi="宋体" w:eastAsia="宋体" w:cs="宋体"/>
          <w:bCs/>
          <w:color w:val="auto"/>
          <w:sz w:val="24"/>
          <w:szCs w:val="24"/>
          <w:highlight w:val="none"/>
        </w:rPr>
        <w:t xml:space="preserve">监督抽查对象为农产品生产企业、农民合作经济组织、家庭农场等农产品生产经营主体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纳入宿有千香品牌管理的优质农产品基地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品牌运营产品所对应的“两品一标”基地。</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农畜水检测数量调整原则。</w:t>
      </w:r>
      <w:r>
        <w:rPr>
          <w:rFonts w:hint="eastAsia" w:ascii="宋体" w:hAnsi="宋体" w:eastAsia="宋体" w:cs="宋体"/>
          <w:color w:val="auto"/>
          <w:sz w:val="24"/>
          <w:szCs w:val="24"/>
          <w:highlight w:val="none"/>
          <w:lang w:val="en-US" w:eastAsia="zh-CN"/>
        </w:rPr>
        <w:t xml:space="preserve">在保证本地区监督抽检总数量不变的前提下，根据当地农业生产安全监测的需要进行实时调整农、畜、水等农产品的检测数量。</w:t>
      </w:r>
      <w:r/>
    </w:p>
    <w:p>
      <w:pPr>
        <w:ind w:left="0"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2、现场抽样</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监督抽查抽样工作由</w:t>
      </w:r>
      <w:r>
        <w:rPr>
          <w:rFonts w:hint="eastAsia" w:ascii="宋体" w:hAnsi="宋体" w:eastAsia="宋体" w:cs="宋体"/>
          <w:bCs/>
          <w:color w:val="auto"/>
          <w:sz w:val="24"/>
          <w:szCs w:val="24"/>
          <w:highlight w:val="none"/>
          <w:lang w:val="en-US" w:eastAsia="zh-CN"/>
        </w:rPr>
        <w:t xml:space="preserve">县农业农村局质监股、农业综合执法大队、乡村产业发展股配合</w:t>
      </w:r>
      <w:r>
        <w:rPr>
          <w:rFonts w:hint="eastAsia" w:ascii="宋体" w:hAnsi="宋体" w:eastAsia="宋体" w:cs="宋体"/>
          <w:bCs/>
          <w:color w:val="auto"/>
          <w:sz w:val="24"/>
          <w:szCs w:val="24"/>
          <w:highlight w:val="none"/>
        </w:rPr>
        <w:t xml:space="preserve">组织实施，</w:t>
      </w:r>
      <w:r>
        <w:rPr>
          <w:rFonts w:hint="eastAsia" w:ascii="宋体" w:hAnsi="宋体" w:eastAsia="宋体" w:cs="宋体"/>
          <w:bCs/>
          <w:color w:val="auto"/>
          <w:sz w:val="24"/>
          <w:szCs w:val="24"/>
          <w:highlight w:val="none"/>
          <w:lang w:val="en-US" w:eastAsia="zh-CN"/>
        </w:rPr>
        <w:t xml:space="preserve">各乡镇监管站人员予以协助，</w:t>
      </w:r>
      <w:r>
        <w:rPr>
          <w:rFonts w:hint="eastAsia" w:ascii="宋体" w:hAnsi="宋体" w:eastAsia="宋体" w:cs="宋体"/>
          <w:bCs/>
          <w:color w:val="auto"/>
          <w:sz w:val="24"/>
          <w:szCs w:val="24"/>
          <w:highlight w:val="none"/>
        </w:rPr>
        <w:t xml:space="preserve">按照双随机方式确定受检单位。凡被确定的受检单位无正当理由</w:t>
      </w:r>
      <w:r>
        <w:rPr>
          <w:rFonts w:hint="eastAsia" w:ascii="宋体" w:hAnsi="宋体" w:eastAsia="宋体" w:cs="宋体"/>
          <w:bCs/>
          <w:color w:val="auto"/>
          <w:sz w:val="24"/>
          <w:szCs w:val="24"/>
          <w:highlight w:val="none"/>
          <w:lang w:val="en-US" w:eastAsia="zh-CN"/>
        </w:rPr>
        <w:t xml:space="preserve">不得</w:t>
      </w:r>
      <w:r>
        <w:rPr>
          <w:rFonts w:hint="eastAsia" w:ascii="宋体" w:hAnsi="宋体" w:eastAsia="宋体" w:cs="宋体"/>
          <w:bCs/>
          <w:color w:val="auto"/>
          <w:sz w:val="24"/>
          <w:szCs w:val="24"/>
          <w:highlight w:val="none"/>
        </w:rPr>
        <w:t xml:space="preserve">拒绝抽检，</w:t>
      </w:r>
      <w:r>
        <w:rPr>
          <w:rFonts w:hint="eastAsia" w:ascii="宋体" w:hAnsi="宋体" w:eastAsia="宋体" w:cs="宋体"/>
          <w:bCs/>
          <w:color w:val="auto"/>
          <w:sz w:val="24"/>
          <w:szCs w:val="24"/>
          <w:highlight w:val="none"/>
          <w:lang w:val="en-US" w:eastAsia="zh-CN"/>
        </w:rPr>
        <w:t xml:space="preserve">否则</w:t>
      </w:r>
      <w:r>
        <w:rPr>
          <w:rFonts w:hint="eastAsia" w:ascii="宋体" w:hAnsi="宋体" w:eastAsia="宋体" w:cs="宋体"/>
          <w:bCs/>
          <w:color w:val="auto"/>
          <w:sz w:val="24"/>
          <w:szCs w:val="24"/>
          <w:highlight w:val="none"/>
        </w:rPr>
        <w:t xml:space="preserve">对被抽农产品以不合格论处。</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3、抽样标准。</w:t>
      </w:r>
      <w:r>
        <w:rPr>
          <w:rFonts w:hint="eastAsia" w:ascii="宋体" w:hAnsi="宋体" w:eastAsia="宋体" w:cs="宋体"/>
          <w:bCs/>
          <w:color w:val="auto"/>
          <w:sz w:val="24"/>
          <w:szCs w:val="24"/>
          <w:highlight w:val="none"/>
        </w:rPr>
        <w:t xml:space="preserve">种植业样品抽样方法按照《农药残留分析样本的采样方法》（NY/T789）和《蔬菜抽样技术规范》（NY/T2103）执行；猪肉（肝）、禽蛋按照《动物及动物产品兽药残留监控抽样规范》（NY/T1897）执行；水产品按《水产品抽样规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GB/T30891-2014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执行。抽样程序须严格按照《农产品质量安全监测管理办法</w:t>
      </w:r>
      <w:r>
        <w:rPr>
          <w:rFonts w:hint="eastAsia" w:ascii="宋体" w:hAnsi="宋体" w:eastAsia="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rPr>
        <w:t xml:space="preserve">监督抽查有关规定进行。</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4、样品预处理。</w:t>
      </w:r>
      <w:r>
        <w:rPr>
          <w:rFonts w:hint="eastAsia" w:ascii="宋体" w:hAnsi="宋体" w:eastAsia="宋体" w:cs="宋体"/>
          <w:bCs/>
          <w:color w:val="auto"/>
          <w:sz w:val="24"/>
          <w:szCs w:val="24"/>
          <w:highlight w:val="none"/>
        </w:rPr>
        <w:t xml:space="preserve">所抽样品按照不同检测参数须一式3份（检测样、备检样、复检样）预处理，并分别进行封存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受检单位和抽样单位均应在封条上签字并盖章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抽样时要认真填写抽样单，详细登记被检单位、样品来源等信息。</w:t>
      </w:r>
      <w:r/>
    </w:p>
    <w:p>
      <w:pPr>
        <w:ind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5、检测项目、方法及判定依据</w:t>
      </w:r>
      <w:r/>
    </w:p>
    <w:p>
      <w:pPr>
        <w:ind w:firstLine="482"/>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检测项目、检测标准和判定依据具体见采购需求附表1、2、3、4、5、6</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种植业产品、牛羊（禽）肉、禽蛋产品和水产品检测方法必须是国家现行有效的检测方法，且方法最低检出限必须满足判定依据限量值。检测结果按相应的国家标准、行业标准以及国家和部委相关公告判定，无对应标准的，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判定。</w:t>
      </w:r>
      <w:r/>
    </w:p>
    <w:p>
      <w:pPr>
        <w:ind w:firstLine="482"/>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bCs w:val="0"/>
          <w:color w:val="auto"/>
          <w:sz w:val="24"/>
          <w:szCs w:val="24"/>
          <w:highlight w:val="none"/>
        </w:rPr>
        <w:t xml:space="preserve">粮食类</w:t>
      </w:r>
      <w:r>
        <w:rPr>
          <w:rFonts w:hint="eastAsia" w:ascii="宋体" w:hAnsi="宋体" w:eastAsia="宋体" w:cs="宋体"/>
          <w:bCs/>
          <w:color w:val="auto"/>
          <w:sz w:val="24"/>
          <w:szCs w:val="24"/>
          <w:highlight w:val="none"/>
        </w:rPr>
        <w:t xml:space="preserve">：重金属（铅、镉、铬、</w:t>
      </w:r>
      <w:r>
        <w:rPr>
          <w:rFonts w:hint="eastAsia" w:ascii="宋体" w:hAnsi="宋体" w:eastAsia="宋体" w:cs="宋体"/>
          <w:bCs/>
          <w:color w:val="auto"/>
          <w:sz w:val="24"/>
          <w:szCs w:val="24"/>
          <w:highlight w:val="none"/>
        </w:rPr>
        <w:t xml:space="preserve">总砷），农药残留（多菌灵、三唑磷、毒死蜱、乐果、吡虫啉、吡蚜酮、噻虫嗪、戊唑醇、氧乐果、水胺硫磷、噻嗪酮、丁草胺、苯醚甲环唑、乙酰甲胺磷、甲胺磷、呋虫胺、噻虫胺、仲丁威、二嗪磷、氟虫腈、克百威、氯菊酯、烯啶虫胺、异丙威、吡唑醚菌酯、2,4滴），真菌毒素（黄曲霉毒素B1、脱氧雪腐镰刀菌烯醇（DON）、玉米赤霉烯酮（ZEN）、伏马毒素（FB1、FB2、FB3））；在面粉（小麦粉）及制品中检测脱氧雪腐镰刀菌烯醇（DON）（含乙酰脱氧雪腐镰刀菌烯醇（3-ADON、15-ADON）、过氧化苯甲酰，小麦粉中加测溴酸钾。</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品牌农产品中获得绿色食品、有机农产品认证的分别根据绿色食品、有机农产品标准进行判定，暂无绿色食品、有机农产品标准的产品卫生指标按相应的国家标准、行业标准判定，或绿色食品、有机农产品的相关规定，以及国家和部委相关公告执行。名特优新农产品、地理标志农产品和纳入“宿有千香”品牌管理的特色区域农产品质量应按国家标准、行业标准以及国家和部委相关公告判定。所检测项目全部合格的，判定为“该批次产品所检项目合格”；有一项指标不合格的，即</w:t>
      </w:r>
      <w:r>
        <w:rPr>
          <w:rFonts w:hint="eastAsia" w:ascii="宋体" w:hAnsi="宋体" w:eastAsia="宋体" w:cs="宋体"/>
          <w:bCs/>
          <w:color w:val="auto"/>
          <w:sz w:val="24"/>
          <w:szCs w:val="24"/>
          <w:highlight w:val="none"/>
          <w:lang w:eastAsia="zh-CN"/>
        </w:rPr>
        <w:t xml:space="preserve">判定</w:t>
      </w:r>
      <w:r>
        <w:rPr>
          <w:rFonts w:hint="eastAsia" w:ascii="宋体" w:hAnsi="宋体" w:eastAsia="宋体" w:cs="宋体"/>
          <w:bCs/>
          <w:color w:val="auto"/>
          <w:sz w:val="24"/>
          <w:szCs w:val="24"/>
          <w:highlight w:val="none"/>
        </w:rPr>
        <w:t xml:space="preserve">为“该批次产品不合格”。检测结果无对应标准的，不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判定。</w:t>
      </w:r>
      <w:r/>
    </w:p>
    <w:p>
      <w:pPr>
        <w:ind w:firstLine="482"/>
        <w:jc w:val="both"/>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方法及</w:t>
      </w:r>
      <w:r>
        <w:rPr>
          <w:rFonts w:hint="eastAsia" w:ascii="宋体" w:hAnsi="宋体" w:eastAsia="宋体" w:cs="宋体"/>
          <w:b/>
          <w:bCs w:val="0"/>
          <w:color w:val="auto"/>
          <w:sz w:val="24"/>
          <w:szCs w:val="24"/>
          <w:highlight w:val="none"/>
        </w:rPr>
        <w:t xml:space="preserve">检测依据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与省级监督抽检工作要求同步。</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6、监督抽查结果确认</w:t>
      </w:r>
      <w:r>
        <w:rPr>
          <w:rFonts w:hint="eastAsia" w:ascii="宋体" w:hAnsi="宋体" w:eastAsia="宋体" w:cs="宋体"/>
          <w:color w:val="auto"/>
          <w:sz w:val="24"/>
          <w:szCs w:val="24"/>
          <w:highlight w:val="none"/>
          <w:lang w:val="en-US" w:eastAsia="zh-CN"/>
        </w:rPr>
        <w:t xml:space="preserve">。承检机构</w:t>
      </w:r>
      <w:r>
        <w:rPr>
          <w:rFonts w:hint="eastAsia" w:ascii="宋体" w:hAnsi="宋体" w:eastAsia="宋体" w:cs="宋体"/>
          <w:color w:val="auto"/>
          <w:sz w:val="24"/>
          <w:szCs w:val="24"/>
          <w:highlight w:val="none"/>
          <w:lang w:val="en-US" w:eastAsia="zh-CN"/>
        </w:rPr>
        <w:t xml:space="preserve">在获得样品后，应及时按照标准进行检测。经检测判定为不合格的，应当在24小时内将检测报告同时报送县农业农村局农产品质量安全监管科，由所在县农业农村局及时书面通知被抽查人。被抽查人对检测结果有异议的，应在收到检测结果之日起5日内，向县农业农村局农产品质量安全监管科提出书面复检申请。复检工作，由县农业农村局指定或者被抽查人推荐经县农业农村局认可的具有检测资质的第三方机构按照规定程序和要求对复检样进行复检。检测结果与原结果一致的，复检费用由申请复检的被抽查人承担；复检结果与原结果不一致的，复检费用由原承检机构承担。</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分包一、分包二：</w:t>
      </w:r>
      <w:r>
        <w:rPr>
          <w:rFonts w:hint="eastAsia" w:ascii="宋体" w:hAnsi="宋体" w:eastAsia="宋体" w:cs="宋体"/>
          <w:b/>
          <w:bCs/>
          <w:color w:val="auto"/>
          <w:sz w:val="24"/>
          <w:szCs w:val="24"/>
          <w:highlight w:val="none"/>
          <w:lang w:bidi="ar"/>
        </w:rPr>
        <w:t xml:space="preserve">抽样要求</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监测样品代表性和提高监测覆盖率，各地抽检时要尽量覆盖方案中所有产品的品类和覆盖尽可能多的基地。原则上每个主体每次抽样不能超过2个样品（不得是同一品种和同一大棚），同一主体全年抽检次数不超过2次（纳入整治的重点问题农产品生产基地不超过4次）。</w:t>
      </w:r>
      <w:r>
        <w:rPr>
          <w:rFonts w:hint="eastAsia" w:ascii="宋体" w:hAnsi="宋体" w:eastAsia="宋体" w:cs="宋体"/>
          <w:color w:val="auto"/>
          <w:sz w:val="24"/>
          <w:szCs w:val="24"/>
          <w:highlight w:val="none"/>
          <w:lang w:eastAsia="zh-CN"/>
        </w:rPr>
        <w:t xml:space="preserve">适当</w:t>
      </w:r>
      <w:r>
        <w:rPr>
          <w:rFonts w:hint="eastAsia" w:ascii="宋体" w:hAnsi="宋体" w:eastAsia="宋体" w:cs="宋体"/>
          <w:color w:val="auto"/>
          <w:sz w:val="24"/>
          <w:szCs w:val="24"/>
          <w:highlight w:val="none"/>
        </w:rPr>
        <w:t xml:space="preserve">提高重点问题品种的监测力度，原则上豇豆、芹菜、韭菜、辣椒</w:t>
      </w:r>
      <w:r>
        <w:rPr>
          <w:rFonts w:hint="eastAsia" w:ascii="宋体" w:hAnsi="宋体" w:eastAsia="宋体" w:cs="宋体"/>
          <w:color w:val="auto"/>
          <w:sz w:val="24"/>
          <w:szCs w:val="24"/>
          <w:highlight w:val="none"/>
          <w:lang w:eastAsia="zh-CN"/>
        </w:rPr>
        <w:t xml:space="preserve">应抽尽抽。</w:t>
      </w:r>
      <w:r/>
    </w:p>
    <w:p>
      <w:pPr>
        <w:pStyle w:val="1052"/>
        <w:numPr>
          <w:ilvl w:val="0"/>
          <w:numId w:val="6"/>
        </w:numPr>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服务范围及要求：</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1、服务机构应严格按照规定的项目和检验方法开展检验工作，不得擅自增加或者减少检验项目，不得擅自修改实施细则中确定的检验方法，确保检验数据准确。</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2、服务机构应在规定的时间内完成招标人部署的检测工作，依法出具检验报告，上报数据至指定的数据平台，汇总样品检测结果信息，提交检测工作分析总结报告，未经招标人同意不得擅自发布检测结果。</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3、每次任务的检验项目、标准和市检测要求一致。</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4、因违反检验、信息披露等相关规定的，招标人有权取消其承检资格并追究其经济赔偿责任和法律责任。</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中标单位原因造成的检测程序违法、检测结果错误，由此造成采购方不能有效使用检测报告，甲方有权拒绝支付该批次的费用。因中标单位原因造成的检测程序违法、检测结果错误，由此造成采购方在行政复议中被确认违法或行政诉讼败诉，立即终止合作。</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6、在中标人履行合同期间，如有实际工作需要，甲方有按照中标价格改变检测产品及检测项目的权利。</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7、在所有检测备样中，甲方</w:t>
      </w:r>
      <w:r>
        <w:rPr>
          <w:rFonts w:hint="eastAsia" w:ascii="宋体" w:hAnsi="宋体" w:eastAsia="宋体" w:cs="宋体"/>
          <w:color w:val="auto"/>
          <w:sz w:val="24"/>
          <w:szCs w:val="24"/>
          <w:highlight w:val="none"/>
          <w:lang w:val="en-US" w:eastAsia="zh-CN"/>
        </w:rPr>
        <w:t xml:space="preserve">会同沭阳县农业农村局可</w:t>
      </w:r>
      <w:r>
        <w:rPr>
          <w:rFonts w:hint="eastAsia" w:ascii="宋体" w:hAnsi="宋体" w:eastAsia="宋体" w:cs="宋体"/>
          <w:color w:val="auto"/>
          <w:sz w:val="24"/>
          <w:szCs w:val="24"/>
          <w:highlight w:val="none"/>
        </w:rPr>
        <w:t xml:space="preserve">抽取样品委托第三</w:t>
      </w:r>
      <w:r>
        <w:rPr>
          <w:rFonts w:hint="eastAsia" w:ascii="宋体" w:hAnsi="宋体" w:cs="宋体"/>
          <w:color w:val="auto"/>
          <w:sz w:val="24"/>
          <w:szCs w:val="24"/>
          <w:highlight w:val="none"/>
          <w:lang w:eastAsia="zh-CN"/>
        </w:rPr>
        <w:t xml:space="preserve">方具</w:t>
      </w:r>
      <w:r>
        <w:rPr>
          <w:rFonts w:hint="eastAsia" w:ascii="宋体" w:hAnsi="宋体" w:eastAsia="宋体" w:cs="宋体"/>
          <w:color w:val="auto"/>
          <w:sz w:val="24"/>
          <w:szCs w:val="24"/>
          <w:highlight w:val="none"/>
        </w:rPr>
        <w:t xml:space="preserve">有农产品质量安全检测资质的检测机构检测复核。复核结果不一致的，每发生一例扣除检测费用2000 元。复核费用</w:t>
      </w:r>
      <w:r>
        <w:rPr>
          <w:rFonts w:hint="eastAsia" w:ascii="宋体" w:hAnsi="宋体" w:eastAsia="宋体" w:cs="宋体"/>
          <w:color w:val="auto"/>
          <w:sz w:val="24"/>
          <w:szCs w:val="24"/>
          <w:highlight w:val="none"/>
          <w:lang w:val="en-US" w:eastAsia="zh-CN"/>
        </w:rPr>
        <w:t xml:space="preserve">由甲方</w:t>
      </w:r>
      <w:r>
        <w:rPr>
          <w:rFonts w:hint="eastAsia" w:ascii="宋体" w:hAnsi="宋体" w:eastAsia="宋体" w:cs="宋体"/>
          <w:color w:val="auto"/>
          <w:sz w:val="24"/>
          <w:szCs w:val="24"/>
          <w:highlight w:val="none"/>
        </w:rPr>
        <w:t xml:space="preserve">支付。</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8、检测结果</w:t>
      </w: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不合格，被抽检方提出复检。结果一致的，其费用由被抽检方支付；结果不一致的，其费用由服务机构支付。</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9.时间要求</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按照招标人要求抽样（或取样），承检机构应在接到任务 2 日内完成样品采集工作，如遇紧急或特殊情况，会增加抽检（或取样）频次，具体项目实施按照招标人的计划安排实施，因招标人原因造成取样延迟的，不得追究中标人责任；因中标人原因造成取样延迟的，中标人应当按每批次50元/天支付招标人赔偿金。取样完成后，承检机构应及时进行检验，并在十个工作日内出具检验结论，并保证检验结果准确。</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10.取样要求</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①中标人根据</w:t>
      </w:r>
      <w:r>
        <w:rPr>
          <w:rFonts w:hint="eastAsia" w:ascii="宋体" w:hAnsi="宋体" w:cs="宋体"/>
          <w:color w:val="auto"/>
          <w:sz w:val="24"/>
          <w:szCs w:val="24"/>
          <w:highlight w:val="none"/>
          <w:lang w:val="en-US" w:eastAsia="zh-CN"/>
        </w:rPr>
        <w:t xml:space="preserve">沭阳县农业农村局制定的</w:t>
      </w:r>
      <w:r>
        <w:rPr>
          <w:rFonts w:hint="eastAsia" w:ascii="宋体" w:hAnsi="宋体" w:eastAsia="宋体" w:cs="宋体"/>
          <w:color w:val="auto"/>
          <w:sz w:val="24"/>
          <w:szCs w:val="24"/>
          <w:highlight w:val="none"/>
        </w:rPr>
        <w:t xml:space="preserve">采样计划，与下辖相关乡镇监管站联系。中标人派两名以上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包括两名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有资质的工作人员，按照确定的被检单位进行采样工作。中标人须确保按照《农产品质量安全监测管理办法》（</w:t>
      </w:r>
      <w:r>
        <w:rPr>
          <w:rFonts w:hint="eastAsia" w:ascii="宋体" w:hAnsi="宋体" w:cs="宋体"/>
          <w:color w:val="auto"/>
          <w:sz w:val="24"/>
          <w:szCs w:val="24"/>
          <w:highlight w:val="none"/>
          <w:lang w:eastAsia="zh-CN"/>
        </w:rPr>
        <w:t xml:space="preserve">农业农村部</w:t>
      </w:r>
      <w:r>
        <w:rPr>
          <w:rFonts w:hint="eastAsia" w:ascii="宋体" w:hAnsi="宋体" w:eastAsia="宋体" w:cs="宋体"/>
          <w:color w:val="auto"/>
          <w:sz w:val="24"/>
          <w:szCs w:val="24"/>
          <w:highlight w:val="none"/>
        </w:rPr>
        <w:t xml:space="preserve"> 2012 年第 7 号令）的有关规定，科学、公正地做好采样和检测工作，并填制《抽样单》。</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②中标人取样时，应同时提取能够满足复检需要的足够的备样。样本、备样应当购买，购样费用由承检机构支付。取样后，在招标人监督下按要求封存样本及备样，由承检机构工作人员一同带回并妥善保管。</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③对于招标人要求的紧急抽样，投标人应在</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小时内到达现场。</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11.样品保存要求</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农产品安全监督抽检的检验结论合格的，承检机构应当自检验结论作出之日起 3个月内妥善保存复检备份样品；复检备份样品剩余保质期不足3个月的，应当保存至保质期结束。检验结论不合格的，承检机构应当自检验结论作出之日起 6 个月内妥善保存复检备份样品；复检备份样品剩余保质期不足 6 个月的，应当保存至保质期结束。针对食品抽样过程中对有特殊保存要求的样品管理，投标人应具备相应的速冻及冷藏运输条件。</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12.出具检测报告</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检机构应在规定的时间内完成招标人部署的抽检监测工作，依法出具检验报告，上报数据（电子版及纸质版）等相关材料，汇总样品抽检监测结果信息，提交抽检监测工作分析总结报告，未经招标人同意不得擅自发布抽检监测结果。检验结论出来后，抽检结果汇总表（电子版）及不合格报告1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提交给招标人，合格报告在检验结论出来后五个工作日内送达。</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13.操作办法</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本次检测任务涉及的农产品包括农业种植业产品、畜牧业产品、水产品等，招标人将</w:t>
      </w:r>
      <w:r>
        <w:rPr>
          <w:rFonts w:hint="eastAsia" w:ascii="宋体" w:hAnsi="宋体" w:cs="宋体"/>
          <w:color w:val="auto"/>
          <w:sz w:val="24"/>
          <w:szCs w:val="24"/>
          <w:highlight w:val="none"/>
          <w:lang w:val="en-US" w:eastAsia="zh-CN"/>
        </w:rPr>
        <w:t xml:space="preserve">会同沭阳县农业农村局</w:t>
      </w:r>
      <w:r>
        <w:rPr>
          <w:rFonts w:hint="eastAsia" w:ascii="宋体" w:hAnsi="宋体" w:eastAsia="宋体" w:cs="宋体"/>
          <w:color w:val="auto"/>
          <w:sz w:val="24"/>
          <w:szCs w:val="24"/>
          <w:highlight w:val="none"/>
        </w:rPr>
        <w:t xml:space="preserve">组织承检机构承担相应环节的抽检任务，具体操作要求以招标人实际需求计划为准。</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费用及其结算方式</w:t>
      </w:r>
      <w:r/>
    </w:p>
    <w:p>
      <w:pPr>
        <w:pStyle w:val="1052"/>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元，大写：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，包含检验费、乙方取样交通费、购样费等乙方为抽检而支付的所有相关费用。</w:t>
      </w:r>
      <w:r/>
    </w:p>
    <w:p>
      <w:pPr>
        <w:pStyle w:val="1052"/>
        <w:ind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pStyle w:val="1052"/>
        <w:ind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预付款：合同金额的10 %，合同签订后按规定支付； </w:t>
      </w:r>
      <w:r/>
    </w:p>
    <w:p>
      <w:pPr>
        <w:pStyle w:val="1052"/>
        <w:ind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进度款：在全部任务完成后一次性支付。</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注：1、每次付款前，乙方必须提供正规发票，否则甲方不予付款。2、在签订合同时，中标人明确表示无需预付款或者主动要求降低预付款比例的，采购人可不适用前述规定。</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、履约保证金</w:t>
      </w:r>
      <w:r/>
    </w:p>
    <w:p>
      <w:pPr>
        <w:pStyle w:val="1052"/>
        <w:ind w:left="0" w:right="0" w:firstLine="480"/>
        <w:jc w:val="both"/>
        <w:keepLines w:val="0"/>
        <w:keepNext w:val="0"/>
        <w:pageBreakBefore w:val="0"/>
        <w:spacing w:line="540" w:lineRule="exact"/>
        <w:rPr>
          <w:rFonts w:hint="eastAsia" w:ascii="宋体" w:hAnsi="宋体" w:eastAsia="宋体" w:cs="宋体"/>
          <w:b w:val="0"/>
          <w:bCs/>
          <w:color w:val="auto"/>
          <w:sz w:val="24"/>
          <w:szCs w:val="24"/>
          <w:highlight w:val="none"/>
        </w:rPr>
      </w:pPr>
      <w:r>
        <w:rPr>
          <w:rFonts w:hint="eastAsia" w:ascii="Times New Roman" w:hAnsi="Times New Roman" w:eastAsia="宋体" w:cs="Times New Roman"/>
          <w:bCs/>
          <w:caps w:val="0"/>
          <w:color w:val="auto"/>
          <w:sz w:val="24"/>
          <w:highlight w:val="none"/>
          <w:lang w:val="zh-CN"/>
        </w:rPr>
        <w:t xml:space="preserve">本项目不收取履约保证金</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六、违约责任</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因承检机构原因造成的检测程序违法、检测结果错误，由此造成招标人在行政复议中被确认违法或行政诉讼败诉，承检机构应当承担相关法律责任，包括赔偿招标人损失、支付违约金等，违约金为 2 万元/批次起。</w:t>
      </w:r>
      <w:r/>
    </w:p>
    <w:p>
      <w:p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承检机构的工作未达到本次招标要求的（例如：服务响应时间超过招标规定时间要求的），招标人有权要求承检机构进行整改，如整改后仍达不到要求的招标人有权要求立即终止合同，并有权追究其违约责任。</w:t>
      </w:r>
      <w:r/>
    </w:p>
    <w:p>
      <w:p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七、解决纠纷的方式</w:t>
      </w:r>
      <w:r/>
    </w:p>
    <w:p>
      <w:pPr>
        <w:ind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因履行本合同发生争议协商解决不成的提交宿迁市仲裁委员会仲裁。因本合同产生的以及与本合同有关的一切纠纷，均由宿迁市仲裁委员会仲裁。该裁决是终局的，对双方均具有约束力。</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、合同的组成部分</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条款、中标通知书、招标文件及相关的资料、产品技术要求、投标文件及投标人在开标时的书面承诺等构成合同的组成部分，双方认可的来往电报、传真、会议纪要等，均为本合同组成部分，与本合同具有同等法律效力。</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九、合同生效及审核</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本合同经甲方、乙方签字盖章后生效，合同签订的内容不能超出招标文件和投标文件的实质性内容。</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rPr>
        <w:t xml:space="preserve">、其他</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（一）甲方委托乙方承担本合同内容之外的工作服务，另行协商相关费用。</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（二）双方履行完合同规定的义务后，本合同即行终止。</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（三）合同履行中，不因物价、人力成本、政策调整等改变合同总价，乙方均应按合同约定履行合同内容，否则视为违约，按违约责任第5条执行。</w:t>
      </w:r>
      <w:r/>
    </w:p>
    <w:p>
      <w:pPr>
        <w:pStyle w:val="1052"/>
        <w:ind w:left="0" w:right="0" w:firstLine="480"/>
        <w:jc w:val="both"/>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（四）本合同一式</w:t>
      </w:r>
      <w:r>
        <w:rPr>
          <w:rFonts w:hint="eastAsia" w:ascii="宋体" w:hAnsi="宋体" w:eastAsia="宋体" w:cs="宋体"/>
          <w:color w:val="auto"/>
          <w:sz w:val="24"/>
          <w:szCs w:val="24"/>
          <w:highlight w:val="none"/>
          <w:lang w:eastAsia="zh-CN"/>
        </w:rPr>
        <w:t xml:space="preserve">陆</w:t>
      </w:r>
      <w:r>
        <w:rPr>
          <w:rFonts w:hint="eastAsia" w:ascii="宋体" w:hAnsi="宋体" w:eastAsia="宋体" w:cs="宋体"/>
          <w:color w:val="auto"/>
          <w:sz w:val="24"/>
          <w:szCs w:val="24"/>
          <w:highlight w:val="none"/>
        </w:rPr>
        <w:t xml:space="preserve">份，以中文书写，甲方、乙方各执叁份。</w:t>
      </w:r>
      <w:r/>
    </w:p>
    <w:p>
      <w:pPr>
        <w:ind w:left="0" w:right="0" w:firstLine="480"/>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（五）本合同一切未尽事宜，按民法典有关规定执行，无相关规定的，由甲乙双方协商解决；本合同发生争议，双方当事人应先协商解决。协商不成的，可向项目所在地人民法院起诉。</w:t>
      </w:r>
      <w:r/>
    </w:p>
    <w:p>
      <w:pPr>
        <w:ind w:left="0" w:righ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（盖章）            乙方：               （盖章）      </w:t>
      </w:r>
      <w:r/>
    </w:p>
    <w:p>
      <w:pPr>
        <w:ind w:left="0" w:right="0"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    </w:t>
      </w:r>
      <w:r/>
    </w:p>
    <w:p>
      <w:pPr>
        <w:ind w:left="0" w:right="0"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法定（授权）代表人：                    法定（授权）代表人：                </w:t>
      </w:r>
      <w:r/>
    </w:p>
    <w:p>
      <w:pPr>
        <w:ind w:left="0" w:right="0"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                              联系电话：                 </w:t>
      </w:r>
      <w:r/>
    </w:p>
    <w:p>
      <w:pPr>
        <w:ind w:left="0" w:right="0"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年   月    日                          年   月    日</w:t>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pStyle w:val="1027"/>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pStyle w:val="1027"/>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r>
      <w:r/>
    </w:p>
    <w:p>
      <w:pPr>
        <w:jc w:val="center"/>
        <w:spacing w:before="120" w:after="120" w:line="0" w:lineRule="atLeast"/>
        <w:rPr>
          <w:rFonts w:hint="eastAsia"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t xml:space="preserve">第</w:t>
      </w:r>
      <w:bookmarkEnd w:id="180"/>
      <w:r>
        <w:rPr>
          <w:rFonts w:hint="eastAsia" w:ascii="Times New Roman" w:hAnsi="Times New Roman" w:eastAsia="黑体" w:cs="Courier New"/>
          <w:bCs/>
          <w:color w:val="auto"/>
          <w:sz w:val="44"/>
          <w:szCs w:val="21"/>
          <w:highlight w:val="none"/>
        </w:rPr>
        <w:t xml:space="preserve">四章 采购需求</w:t>
      </w:r>
      <w:bookmarkEnd w:id="181"/>
      <w:r/>
      <w:bookmarkEnd w:id="182"/>
      <w:r/>
      <w:bookmarkEnd w:id="183"/>
      <w:r/>
      <w:bookmarkStart w:id="186" w:name="_Toc49090575"/>
      <w:r/>
      <w:bookmarkStart w:id="187" w:name="_Toc26554093"/>
      <w:r/>
      <w:r/>
    </w:p>
    <w:p>
      <w:pPr>
        <w:pStyle w:val="1047"/>
        <w:ind w:firstLine="48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项目属性：服务类项目</w:t>
      </w:r>
      <w:r>
        <w:rPr>
          <w:rFonts w:hint="eastAsia" w:ascii="宋体" w:hAnsi="宋体" w:eastAsia="宋体" w:cs="宋体"/>
          <w:b w:val="0"/>
          <w:bCs/>
          <w:color w:val="auto"/>
          <w:sz w:val="24"/>
          <w:szCs w:val="24"/>
          <w:highlight w:val="none"/>
          <w:lang w:eastAsia="zh-CN"/>
        </w:rPr>
        <w:t xml:space="preserve">。</w:t>
      </w:r>
      <w:r/>
    </w:p>
    <w:p>
      <w:pPr>
        <w:pStyle w:val="1047"/>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本项目采购标的对应的中小企业划分标准所属行业：</w:t>
      </w:r>
      <w:r>
        <w:rPr>
          <w:rFonts w:hint="eastAsia" w:ascii="宋体" w:hAnsi="宋体" w:eastAsia="宋体" w:cs="宋体"/>
          <w:b w:val="0"/>
          <w:bCs/>
          <w:color w:val="auto"/>
          <w:sz w:val="24"/>
          <w:szCs w:val="24"/>
          <w:highlight w:val="none"/>
          <w:lang w:val="en-US" w:eastAsia="zh-CN"/>
        </w:rPr>
        <w:t xml:space="preserve">其他未列明行业</w:t>
      </w:r>
      <w:r/>
    </w:p>
    <w:p>
      <w:pPr>
        <w:pStyle w:val="1047"/>
        <w:ind w:firstLine="48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本项目不接受进口产品。</w:t>
      </w:r>
      <w:bookmarkStart w:id="188" w:name="_Toc120614281"/>
      <w:r/>
      <w:r/>
    </w:p>
    <w:p>
      <w:pPr>
        <w:jc w:val="left"/>
        <w:pageBreakBefore w:val="0"/>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 xml:space="preserve">一、项目概况</w:t>
      </w:r>
      <w:r/>
    </w:p>
    <w:p>
      <w:pPr>
        <w:pStyle w:val="1047"/>
        <w:ind w:firstLine="48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1、项目名称：</w:t>
      </w:r>
      <w:r>
        <w:rPr>
          <w:rFonts w:hint="eastAsia" w:ascii="宋体" w:hAnsi="宋体" w:eastAsia="宋体" w:cs="宋体"/>
          <w:b w:val="0"/>
          <w:bCs/>
          <w:color w:val="auto"/>
          <w:sz w:val="24"/>
          <w:szCs w:val="24"/>
          <w:highlight w:val="none"/>
          <w:lang w:eastAsia="zh-CN"/>
        </w:rPr>
        <w:t xml:space="preserve">沭阳县生产环节农产品定量检测项目</w:t>
      </w:r>
      <w:r/>
    </w:p>
    <w:p>
      <w:pPr>
        <w:pStyle w:val="1047"/>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2、项目预算：</w:t>
      </w:r>
      <w:r>
        <w:rPr>
          <w:rFonts w:hint="eastAsia" w:ascii="宋体" w:hAnsi="宋体" w:eastAsia="宋体" w:cs="宋体"/>
          <w:b w:val="0"/>
          <w:bCs/>
          <w:color w:val="auto"/>
          <w:sz w:val="24"/>
          <w:szCs w:val="24"/>
          <w:highlight w:val="none"/>
          <w:lang w:val="en-US" w:eastAsia="zh-CN"/>
        </w:rPr>
        <w:t xml:space="preserve">149.6</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（分包1最高限价为</w:t>
      </w:r>
      <w:r>
        <w:rPr>
          <w:rFonts w:hint="eastAsia" w:ascii="宋体" w:hAnsi="宋体" w:eastAsia="宋体" w:cs="宋体"/>
          <w:b/>
          <w:bCs/>
          <w:color w:val="auto"/>
          <w:sz w:val="24"/>
          <w:szCs w:val="24"/>
          <w:highlight w:val="none"/>
          <w:lang w:val="en-US" w:eastAsia="zh-CN"/>
        </w:rPr>
        <w:t xml:space="preserve">98</w:t>
      </w:r>
      <w:r>
        <w:rPr>
          <w:rFonts w:hint="eastAsia" w:ascii="宋体" w:hAnsi="宋体" w:eastAsia="宋体" w:cs="宋体"/>
          <w:b/>
          <w:bCs/>
          <w:color w:val="auto"/>
          <w:sz w:val="24"/>
          <w:szCs w:val="24"/>
          <w:highlight w:val="none"/>
          <w:lang w:eastAsia="zh-CN"/>
        </w:rPr>
        <w:t xml:space="preserve">万元；分包2最高限价为</w:t>
      </w:r>
      <w:r>
        <w:rPr>
          <w:rFonts w:hint="eastAsia" w:ascii="宋体" w:hAnsi="宋体" w:eastAsia="宋体" w:cs="宋体"/>
          <w:b/>
          <w:bCs/>
          <w:color w:val="auto"/>
          <w:sz w:val="24"/>
          <w:szCs w:val="24"/>
          <w:highlight w:val="none"/>
          <w:lang w:val="en-US" w:eastAsia="zh-CN"/>
        </w:rPr>
        <w:t xml:space="preserve">51.6</w:t>
      </w:r>
      <w:r>
        <w:rPr>
          <w:rFonts w:hint="eastAsia" w:ascii="宋体" w:hAnsi="宋体" w:eastAsia="宋体" w:cs="宋体"/>
          <w:b/>
          <w:bCs/>
          <w:color w:val="auto"/>
          <w:sz w:val="24"/>
          <w:szCs w:val="24"/>
          <w:highlight w:val="none"/>
          <w:lang w:eastAsia="zh-CN"/>
        </w:rPr>
        <w:t xml:space="preserve">万元）</w:t>
      </w:r>
      <w:r/>
    </w:p>
    <w:p>
      <w:pPr>
        <w:pStyle w:val="1047"/>
        <w:ind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3、最高限价：</w:t>
      </w:r>
      <w:r>
        <w:rPr>
          <w:rFonts w:hint="eastAsia" w:ascii="宋体" w:hAnsi="宋体" w:eastAsia="宋体" w:cs="宋体"/>
          <w:b w:val="0"/>
          <w:bCs/>
          <w:color w:val="auto"/>
          <w:sz w:val="24"/>
          <w:szCs w:val="24"/>
          <w:highlight w:val="none"/>
          <w:lang w:val="en-US" w:eastAsia="zh-CN"/>
        </w:rPr>
        <w:t xml:space="preserve">149.6</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（分包1最高限价为</w:t>
      </w:r>
      <w:r>
        <w:rPr>
          <w:rFonts w:hint="eastAsia" w:ascii="宋体" w:hAnsi="宋体" w:eastAsia="宋体" w:cs="宋体"/>
          <w:b/>
          <w:bCs/>
          <w:color w:val="auto"/>
          <w:sz w:val="24"/>
          <w:szCs w:val="24"/>
          <w:highlight w:val="none"/>
          <w:lang w:val="en-US" w:eastAsia="zh-CN"/>
        </w:rPr>
        <w:t xml:space="preserve">98</w:t>
      </w:r>
      <w:r>
        <w:rPr>
          <w:rFonts w:hint="eastAsia" w:ascii="宋体" w:hAnsi="宋体" w:eastAsia="宋体" w:cs="宋体"/>
          <w:b/>
          <w:bCs/>
          <w:color w:val="auto"/>
          <w:sz w:val="24"/>
          <w:szCs w:val="24"/>
          <w:highlight w:val="none"/>
          <w:lang w:eastAsia="zh-CN"/>
        </w:rPr>
        <w:t xml:space="preserve">万元；分包2最高限价为</w:t>
      </w:r>
      <w:r>
        <w:rPr>
          <w:rFonts w:hint="eastAsia" w:ascii="宋体" w:hAnsi="宋体" w:eastAsia="宋体" w:cs="宋体"/>
          <w:b/>
          <w:bCs/>
          <w:color w:val="auto"/>
          <w:sz w:val="24"/>
          <w:szCs w:val="24"/>
          <w:highlight w:val="none"/>
          <w:lang w:val="en-US" w:eastAsia="zh-CN"/>
        </w:rPr>
        <w:t xml:space="preserve">51.6</w:t>
      </w:r>
      <w:r>
        <w:rPr>
          <w:rFonts w:hint="eastAsia" w:ascii="宋体" w:hAnsi="宋体" w:eastAsia="宋体" w:cs="宋体"/>
          <w:b/>
          <w:bCs/>
          <w:color w:val="auto"/>
          <w:sz w:val="24"/>
          <w:szCs w:val="24"/>
          <w:highlight w:val="none"/>
          <w:lang w:eastAsia="zh-CN"/>
        </w:rPr>
        <w:t xml:space="preserve">万元）</w:t>
      </w:r>
      <w:r/>
    </w:p>
    <w:p>
      <w:pPr>
        <w:ind w:right="0"/>
        <w:jc w:val="both"/>
        <w:keepLines w:val="0"/>
        <w:keepNext w:val="0"/>
        <w:pageBreakBefore w:val="0"/>
        <w:spacing w:line="580" w:lineRule="exact"/>
        <w:rPr>
          <w:rFonts w:hint="eastAsia" w:ascii="宋体" w:hAnsi="宋体" w:eastAsia="宋体" w:cs="宋体"/>
          <w:b w:val="0"/>
          <w:bCs w:val="0"/>
          <w:color w:val="auto"/>
          <w:sz w:val="24"/>
          <w:szCs w:val="24"/>
          <w:highlight w:val="none"/>
          <w:lang w:val="zh-TW" w:eastAsia="zh-TW"/>
        </w:rPr>
      </w:pPr>
      <w:r>
        <w:rPr>
          <w:rFonts w:hint="eastAsia" w:ascii="宋体" w:hAnsi="宋体" w:eastAsia="宋体" w:cs="宋体"/>
          <w:b/>
          <w:bCs/>
          <w:color w:val="auto"/>
          <w:sz w:val="24"/>
          <w:szCs w:val="24"/>
          <w:highlight w:val="none"/>
          <w:lang w:val="zh-TW" w:eastAsia="zh-CN"/>
        </w:rPr>
        <w:t xml:space="preserve">二</w:t>
      </w:r>
      <w:r>
        <w:rPr>
          <w:rFonts w:hint="eastAsia" w:ascii="宋体" w:hAnsi="宋体" w:eastAsia="宋体" w:cs="宋体"/>
          <w:b/>
          <w:bCs/>
          <w:color w:val="auto"/>
          <w:sz w:val="24"/>
          <w:szCs w:val="24"/>
          <w:highlight w:val="none"/>
          <w:lang w:val="zh-TW" w:eastAsia="zh-TW"/>
        </w:rPr>
        <w:t xml:space="preserve">、项目实施周期：</w:t>
      </w:r>
      <w:r>
        <w:rPr>
          <w:rFonts w:hint="eastAsia" w:ascii="宋体" w:hAnsi="宋体" w:eastAsia="宋体" w:cs="宋体"/>
          <w:b w:val="0"/>
          <w:bCs w:val="0"/>
          <w:color w:val="auto"/>
          <w:sz w:val="24"/>
          <w:szCs w:val="24"/>
          <w:highlight w:val="none"/>
          <w:lang w:val="zh-TW" w:eastAsia="zh-TW"/>
        </w:rPr>
        <w:t xml:space="preserve">自合同签</w:t>
      </w:r>
      <w:r>
        <w:rPr>
          <w:rFonts w:hint="eastAsia" w:ascii="宋体" w:hAnsi="宋体" w:eastAsia="宋体" w:cs="宋体"/>
          <w:b w:val="0"/>
          <w:bCs w:val="0"/>
          <w:color w:val="auto"/>
          <w:sz w:val="24"/>
          <w:szCs w:val="24"/>
          <w:highlight w:val="none"/>
          <w:lang w:val="zh-TW" w:eastAsia="zh-CN"/>
        </w:rPr>
        <w:t xml:space="preserve">订之</w:t>
      </w:r>
      <w:r>
        <w:rPr>
          <w:rFonts w:hint="eastAsia" w:ascii="宋体" w:hAnsi="宋体" w:eastAsia="宋体" w:cs="宋体"/>
          <w:b w:val="0"/>
          <w:bCs w:val="0"/>
          <w:color w:val="auto"/>
          <w:sz w:val="24"/>
          <w:szCs w:val="24"/>
          <w:highlight w:val="none"/>
          <w:lang w:val="zh-TW" w:eastAsia="zh-TW"/>
        </w:rPr>
        <w:t xml:space="preserve">日</w:t>
      </w:r>
      <w:r>
        <w:rPr>
          <w:rFonts w:hint="eastAsia" w:ascii="宋体" w:hAnsi="宋体" w:eastAsia="宋体" w:cs="宋体"/>
          <w:b w:val="0"/>
          <w:bCs w:val="0"/>
          <w:color w:val="auto"/>
          <w:sz w:val="24"/>
          <w:szCs w:val="24"/>
          <w:highlight w:val="none"/>
          <w:lang w:val="zh-TW" w:eastAsia="zh-CN"/>
        </w:rPr>
        <w:t xml:space="preserve">起</w:t>
      </w:r>
      <w:r>
        <w:rPr>
          <w:rFonts w:hint="eastAsia" w:ascii="宋体" w:hAnsi="宋体" w:eastAsia="宋体" w:cs="宋体"/>
          <w:b w:val="0"/>
          <w:bCs w:val="0"/>
          <w:color w:val="auto"/>
          <w:sz w:val="24"/>
          <w:szCs w:val="24"/>
          <w:highlight w:val="none"/>
          <w:lang w:val="zh-TW" w:eastAsia="zh-CN"/>
        </w:rPr>
        <w:t xml:space="preserve">至2026</w:t>
      </w:r>
      <w:r>
        <w:rPr>
          <w:rFonts w:hint="eastAsia" w:ascii="宋体" w:hAnsi="宋体" w:eastAsia="宋体" w:cs="宋体"/>
          <w:b w:val="0"/>
          <w:bCs w:val="0"/>
          <w:color w:val="auto"/>
          <w:sz w:val="24"/>
          <w:szCs w:val="24"/>
          <w:highlight w:val="none"/>
          <w:lang w:val="zh-TW" w:eastAsia="zh-CN"/>
        </w:rPr>
        <w:t xml:space="preserve">年</w:t>
      </w:r>
      <w:r>
        <w:rPr>
          <w:rFonts w:hint="eastAsia" w:ascii="宋体" w:hAnsi="宋体" w:eastAsia="宋体" w:cs="宋体"/>
          <w:b w:val="0"/>
          <w:bCs w:val="0"/>
          <w:color w:val="auto"/>
          <w:sz w:val="24"/>
          <w:szCs w:val="24"/>
          <w:highlight w:val="none"/>
          <w:lang w:val="en-US" w:eastAsia="zh-CN"/>
        </w:rPr>
        <w:t xml:space="preserve">12月31日之前</w:t>
      </w:r>
      <w:r>
        <w:rPr>
          <w:rFonts w:hint="eastAsia" w:ascii="宋体" w:hAnsi="宋体" w:eastAsia="宋体" w:cs="宋体"/>
          <w:b w:val="0"/>
          <w:bCs w:val="0"/>
          <w:color w:val="auto"/>
          <w:sz w:val="24"/>
          <w:szCs w:val="24"/>
          <w:highlight w:val="none"/>
          <w:lang w:val="zh-TW" w:eastAsia="zh-TW"/>
        </w:rPr>
        <w:t xml:space="preserve">完成所有抽检项目并出具检验报告。</w:t>
      </w:r>
      <w:r/>
    </w:p>
    <w:p>
      <w:pPr>
        <w:numPr>
          <w:ilvl w:val="0"/>
          <w:numId w:val="0"/>
        </w:numPr>
        <w:ind w:right="0"/>
        <w:jc w:val="both"/>
        <w:keepLines w:val="0"/>
        <w:keepNext w:val="0"/>
        <w:pageBreakBefore w:val="0"/>
        <w:spacing w:line="580" w:lineRule="exact"/>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zh-TW" w:eastAsia="zh-TW"/>
        </w:rPr>
        <w:t xml:space="preserve">付款方式</w:t>
      </w:r>
      <w:r/>
    </w:p>
    <w:p>
      <w:pPr>
        <w:pStyle w:val="1052"/>
        <w:ind w:right="0" w:firstLine="480"/>
        <w:jc w:val="both"/>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对于满足合同约定支付条件的，自收到发票后10个工作日内将资金支付到合同约定的供应商账户或供应商数字人民币账户。</w:t>
      </w:r>
      <w:r/>
    </w:p>
    <w:p>
      <w:pPr>
        <w:pStyle w:val="1052"/>
        <w:ind w:right="0" w:firstLine="480"/>
        <w:jc w:val="both"/>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合同签订后支付合同总价款的10%作为预付款；在全部任务完成后一次性支付。</w:t>
      </w:r>
      <w:r/>
    </w:p>
    <w:p>
      <w:pPr>
        <w:pStyle w:val="1052"/>
        <w:ind w:right="0" w:firstLine="480"/>
        <w:jc w:val="both"/>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每次付款前，乙方必须提供正规发票，否则甲方不予付款。</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在签订合同时，中标人明确表示无需预付款或者主动要求降低预付款比例的，采购人可不适用前述规定。</w:t>
      </w:r>
      <w:r/>
    </w:p>
    <w:p>
      <w:pPr>
        <w:numPr>
          <w:ilvl w:val="0"/>
          <w:numId w:val="0"/>
        </w:numPr>
        <w:contextualSpacing/>
        <w:ind w:right="0"/>
        <w:jc w:val="both"/>
        <w:keepLines w:val="0"/>
        <w:keepNext w:val="0"/>
        <w:pageBreakBefore w:val="0"/>
        <w:spacing w:line="58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zh-TW" w:eastAsia="zh-CN" w:bidi="en-US"/>
        </w:rPr>
        <w:t xml:space="preserve">四</w:t>
      </w:r>
      <w:r>
        <w:rPr>
          <w:rFonts w:hint="eastAsia" w:ascii="宋体" w:hAnsi="宋体" w:eastAsia="宋体" w:cs="宋体"/>
          <w:b/>
          <w:bCs/>
          <w:color w:val="auto"/>
          <w:sz w:val="24"/>
          <w:szCs w:val="24"/>
          <w:highlight w:val="none"/>
          <w:lang w:val="zh-TW" w:eastAsia="zh-TW" w:bidi="en-US"/>
        </w:rPr>
        <w:t xml:space="preserve">、项目内容：</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分包一：例行监测</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全</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全年例行监测共抽取样品</w:t>
      </w:r>
      <w:r>
        <w:rPr>
          <w:rFonts w:hint="eastAsia" w:ascii="宋体" w:hAnsi="宋体" w:eastAsia="宋体" w:cs="宋体"/>
          <w:color w:val="auto"/>
          <w:sz w:val="24"/>
          <w:szCs w:val="24"/>
          <w:highlight w:val="none"/>
          <w:lang w:val="en-US" w:eastAsia="zh-CN"/>
        </w:rPr>
        <w:t xml:space="preserve">1960</w:t>
      </w:r>
      <w:r>
        <w:rPr>
          <w:rFonts w:hint="eastAsia" w:ascii="宋体" w:hAnsi="宋体" w:eastAsia="宋体" w:cs="宋体"/>
          <w:color w:val="auto"/>
          <w:sz w:val="24"/>
          <w:szCs w:val="24"/>
          <w:highlight w:val="none"/>
        </w:rPr>
        <w:t xml:space="preserve">批次。</w:t>
      </w:r>
      <w:r>
        <w:rPr>
          <w:rFonts w:hint="eastAsia" w:ascii="宋体" w:hAnsi="宋体" w:eastAsia="宋体" w:cs="宋体"/>
          <w:color w:val="auto"/>
          <w:sz w:val="24"/>
          <w:szCs w:val="24"/>
          <w:highlight w:val="none"/>
          <w:lang w:val="en-US" w:eastAsia="zh-CN"/>
        </w:rPr>
        <w:t xml:space="preserve">被监测单位应具有一定代表性，能反映生产、管理和消费的普遍情况。凡被确定的监测点不得拒绝采样，否则其产品按不合格处理。</w:t>
      </w:r>
      <w:r/>
    </w:p>
    <w:p>
      <w:pPr>
        <w:numPr>
          <w:ilvl w:val="0"/>
          <w:numId w:val="5"/>
        </w:numPr>
        <w:ind w:left="0"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蔬菜农药残留监测</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监测蔬菜品种。监测的蔬果品种应在大白菜、普通白菜、结球甘蓝、花椰菜、青花菜、薤菜、菜薹（心）、叶用莴苣、芹菜、菠菜、芫荽、豇豆、菜豆、番茄、茄子、辣椒、黄瓜、苦瓜、西葫芦、萝卜、胡萝卜、马铃薯、山药、韭菜、洋葱、食用菌（均为鲜样）以及水果（主要包括草莓、西瓜、梨、桃、葡萄、苹果等，水果抽样数量不超过每次蔬果抽样总数的20%）抽取。抽样单上样品名称一栏统一填写中文名，样品别名在备注栏上注明。</w:t>
      </w:r>
      <w:r/>
    </w:p>
    <w:p>
      <w:pPr>
        <w:ind w:left="0"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2、畜产品药物残留监测</w:t>
      </w:r>
      <w:r/>
    </w:p>
    <w:p>
      <w:pPr>
        <w:ind w:right="0" w:firstLine="480"/>
        <w:jc w:val="both"/>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lang w:val="en-US" w:eastAsia="zh-CN"/>
        </w:rPr>
        <w:t xml:space="preserve">监测样品种类。猪肝、猪尿、猪牛羊禽肉、禽蛋等。</w:t>
      </w:r>
      <w:r/>
    </w:p>
    <w:p>
      <w:pPr>
        <w:ind w:lef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水产品药物残留监测</w:t>
      </w:r>
      <w:r/>
    </w:p>
    <w:p>
      <w:pPr>
        <w:ind w:right="0" w:firstLine="480"/>
        <w:jc w:val="both"/>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lang w:val="en-US" w:eastAsia="zh-CN"/>
        </w:rPr>
        <w:t xml:space="preserve">监测样品种类。养殖鱼、虾、蟹等水产。</w:t>
      </w:r>
      <w:r/>
    </w:p>
    <w:p>
      <w:pPr>
        <w:ind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农畜水检测调整原则</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在保证本地区检测总数量不变的前提下，根据当地农业生产安全监测的需要进行实时调整农畜水的检测数量。（25个涉农乡镇</w:t>
      </w:r>
      <w:r>
        <w:rPr>
          <w:rFonts w:hint="eastAsia" w:ascii="宋体" w:hAnsi="宋体" w:eastAsia="宋体" w:cs="宋体"/>
          <w:color w:val="auto"/>
          <w:sz w:val="24"/>
          <w:szCs w:val="24"/>
          <w:highlight w:val="none"/>
        </w:rPr>
        <w:t xml:space="preserve">每次分别抽取</w:t>
      </w:r>
      <w:r>
        <w:rPr>
          <w:rFonts w:hint="eastAsia" w:ascii="宋体" w:hAnsi="宋体" w:eastAsia="宋体" w:cs="宋体"/>
          <w:color w:val="auto"/>
          <w:sz w:val="24"/>
          <w:szCs w:val="24"/>
          <w:highlight w:val="none"/>
          <w:lang w:val="en-US" w:eastAsia="zh-CN"/>
        </w:rPr>
        <w:t xml:space="preserve">6—7</w:t>
      </w:r>
      <w:r>
        <w:rPr>
          <w:rFonts w:hint="eastAsia" w:ascii="宋体" w:hAnsi="宋体" w:eastAsia="宋体" w:cs="宋体"/>
          <w:color w:val="auto"/>
          <w:sz w:val="24"/>
          <w:szCs w:val="24"/>
          <w:highlight w:val="none"/>
        </w:rPr>
        <w:t xml:space="preserve">个样品</w:t>
      </w:r>
      <w:r>
        <w:rPr>
          <w:rFonts w:hint="eastAsia" w:ascii="宋体" w:hAnsi="宋体" w:eastAsia="宋体" w:cs="宋体"/>
          <w:color w:val="auto"/>
          <w:sz w:val="24"/>
          <w:szCs w:val="24"/>
          <w:highlight w:val="none"/>
          <w:lang w:eastAsia="zh-CN"/>
        </w:rPr>
        <w:t xml:space="preserve">，颜集镇每月抽样</w:t>
      </w:r>
      <w:r>
        <w:rPr>
          <w:rFonts w:hint="eastAsia" w:ascii="宋体" w:hAnsi="宋体" w:eastAsia="宋体" w:cs="宋体"/>
          <w:color w:val="auto"/>
          <w:sz w:val="24"/>
          <w:szCs w:val="24"/>
          <w:highlight w:val="none"/>
          <w:lang w:val="en-US" w:eastAsia="zh-CN"/>
        </w:rPr>
        <w:t xml:space="preserve">3-4个样品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检测项目和检测依据</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与省级例行监测工作要求同步。</w:t>
      </w: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6、判定依据</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蔬果农药残留：根据GB 2763-2026标准进行判定。</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畜禽、水产药物残留：按GB 31650-2019、GB 31650.1-2022、农业农村部公告第560号以及农业农村部公告第250号所定指标进行判定。</w:t>
      </w:r>
      <w:r/>
    </w:p>
    <w:p>
      <w:pPr>
        <w:ind w:left="0" w:right="0" w:firstLine="480"/>
        <w:jc w:val="both"/>
        <w:keepLines w:val="0"/>
        <w:keepNext w:val="0"/>
        <w:pageBreakBefore w:val="0"/>
        <w:spacing w:line="500" w:lineRule="exact"/>
        <w:shd w:val="clear" w:color="auto" w:fill="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所有检测项目全部合格者，判定为“该产品所检项目合格”；有一项指标不合格者，即判定为“该产品不合格”；未明确规定的不作判定。</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分包二：监督抽查</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全</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全年</w:t>
      </w:r>
      <w:r>
        <w:rPr>
          <w:rFonts w:hint="eastAsia" w:ascii="宋体" w:hAnsi="宋体" w:eastAsia="宋体" w:cs="宋体"/>
          <w:color w:val="auto"/>
          <w:sz w:val="24"/>
          <w:szCs w:val="24"/>
          <w:highlight w:val="none"/>
          <w:lang w:val="en-US" w:eastAsia="zh-CN"/>
        </w:rPr>
        <w:t xml:space="preserve">监督抽查</w:t>
      </w:r>
      <w:r>
        <w:rPr>
          <w:rFonts w:hint="eastAsia" w:ascii="宋体" w:hAnsi="宋体" w:eastAsia="宋体" w:cs="宋体"/>
          <w:color w:val="auto"/>
          <w:sz w:val="24"/>
          <w:szCs w:val="24"/>
          <w:highlight w:val="none"/>
        </w:rPr>
        <w:t xml:space="preserve">共抽取样品</w:t>
      </w:r>
      <w:r>
        <w:rPr>
          <w:rFonts w:hint="eastAsia" w:ascii="宋体" w:hAnsi="宋体" w:eastAsia="宋体" w:cs="宋体"/>
          <w:color w:val="auto"/>
          <w:sz w:val="24"/>
          <w:szCs w:val="24"/>
          <w:highlight w:val="none"/>
          <w:lang w:val="en-US" w:eastAsia="zh-CN"/>
        </w:rPr>
        <w:t xml:space="preserve">860</w:t>
      </w:r>
      <w:r>
        <w:rPr>
          <w:rFonts w:hint="eastAsia" w:ascii="宋体" w:hAnsi="宋体" w:eastAsia="宋体" w:cs="宋体"/>
          <w:color w:val="auto"/>
          <w:sz w:val="24"/>
          <w:szCs w:val="24"/>
          <w:highlight w:val="none"/>
        </w:rPr>
        <w:t xml:space="preserve">批次。</w:t>
      </w:r>
      <w:r>
        <w:rPr>
          <w:rFonts w:hint="eastAsia" w:ascii="宋体" w:hAnsi="宋体" w:eastAsia="宋体" w:cs="宋体"/>
          <w:bCs/>
          <w:color w:val="auto"/>
          <w:sz w:val="24"/>
          <w:szCs w:val="24"/>
          <w:highlight w:val="none"/>
        </w:rPr>
        <w:t xml:space="preserve">监督抽查对象为农产品生产企业、农民合作经济组织、家庭农场等农产品生产经营主体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纳入宿有千香品牌管理的优质农产品基地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品牌运营产品所对应的“两品一标”基地。</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农畜水检测数量调整原则。</w:t>
      </w:r>
      <w:r>
        <w:rPr>
          <w:rFonts w:hint="eastAsia" w:ascii="宋体" w:hAnsi="宋体" w:eastAsia="宋体" w:cs="宋体"/>
          <w:color w:val="auto"/>
          <w:sz w:val="24"/>
          <w:szCs w:val="24"/>
          <w:highlight w:val="none"/>
          <w:lang w:val="en-US" w:eastAsia="zh-CN"/>
        </w:rPr>
        <w:t xml:space="preserve">在保证本地区监督抽检总数量不变的前提下，根据当地农业生产安全监测的需要进行实时调整农、畜、水等农产品的检测数量。</w:t>
      </w:r>
      <w:r/>
    </w:p>
    <w:p>
      <w:pPr>
        <w:ind w:left="0"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2、现场抽样</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监督抽查抽样工作由</w:t>
      </w:r>
      <w:r>
        <w:rPr>
          <w:rFonts w:hint="eastAsia" w:ascii="宋体" w:hAnsi="宋体" w:eastAsia="宋体" w:cs="宋体"/>
          <w:bCs/>
          <w:color w:val="auto"/>
          <w:sz w:val="24"/>
          <w:szCs w:val="24"/>
          <w:highlight w:val="none"/>
          <w:lang w:val="en-US" w:eastAsia="zh-CN"/>
        </w:rPr>
        <w:t xml:space="preserve">县农业农村局质监股、农业综合执法大队、乡村产业发展股配合</w:t>
      </w:r>
      <w:r>
        <w:rPr>
          <w:rFonts w:hint="eastAsia" w:ascii="宋体" w:hAnsi="宋体" w:eastAsia="宋体" w:cs="宋体"/>
          <w:bCs/>
          <w:color w:val="auto"/>
          <w:sz w:val="24"/>
          <w:szCs w:val="24"/>
          <w:highlight w:val="none"/>
        </w:rPr>
        <w:t xml:space="preserve">组织实施，</w:t>
      </w:r>
      <w:r>
        <w:rPr>
          <w:rFonts w:hint="eastAsia" w:ascii="宋体" w:hAnsi="宋体" w:eastAsia="宋体" w:cs="宋体"/>
          <w:bCs/>
          <w:color w:val="auto"/>
          <w:sz w:val="24"/>
          <w:szCs w:val="24"/>
          <w:highlight w:val="none"/>
          <w:lang w:val="en-US" w:eastAsia="zh-CN"/>
        </w:rPr>
        <w:t xml:space="preserve">各乡镇监管站人员予以协助，</w:t>
      </w:r>
      <w:r>
        <w:rPr>
          <w:rFonts w:hint="eastAsia" w:ascii="宋体" w:hAnsi="宋体" w:eastAsia="宋体" w:cs="宋体"/>
          <w:bCs/>
          <w:color w:val="auto"/>
          <w:sz w:val="24"/>
          <w:szCs w:val="24"/>
          <w:highlight w:val="none"/>
        </w:rPr>
        <w:t xml:space="preserve">按照双随机方式确定受检单位。凡被确定的受检单位无正当理由</w:t>
      </w:r>
      <w:r>
        <w:rPr>
          <w:rFonts w:hint="eastAsia" w:ascii="宋体" w:hAnsi="宋体" w:eastAsia="宋体" w:cs="宋体"/>
          <w:bCs/>
          <w:color w:val="auto"/>
          <w:sz w:val="24"/>
          <w:szCs w:val="24"/>
          <w:highlight w:val="none"/>
          <w:lang w:val="en-US" w:eastAsia="zh-CN"/>
        </w:rPr>
        <w:t xml:space="preserve">不得</w:t>
      </w:r>
      <w:r>
        <w:rPr>
          <w:rFonts w:hint="eastAsia" w:ascii="宋体" w:hAnsi="宋体" w:eastAsia="宋体" w:cs="宋体"/>
          <w:bCs/>
          <w:color w:val="auto"/>
          <w:sz w:val="24"/>
          <w:szCs w:val="24"/>
          <w:highlight w:val="none"/>
        </w:rPr>
        <w:t xml:space="preserve">拒绝抽检，</w:t>
      </w:r>
      <w:r>
        <w:rPr>
          <w:rFonts w:hint="eastAsia" w:ascii="宋体" w:hAnsi="宋体" w:eastAsia="宋体" w:cs="宋体"/>
          <w:bCs/>
          <w:color w:val="auto"/>
          <w:sz w:val="24"/>
          <w:szCs w:val="24"/>
          <w:highlight w:val="none"/>
          <w:lang w:val="en-US" w:eastAsia="zh-CN"/>
        </w:rPr>
        <w:t xml:space="preserve">否则</w:t>
      </w:r>
      <w:r>
        <w:rPr>
          <w:rFonts w:hint="eastAsia" w:ascii="宋体" w:hAnsi="宋体" w:eastAsia="宋体" w:cs="宋体"/>
          <w:bCs/>
          <w:color w:val="auto"/>
          <w:sz w:val="24"/>
          <w:szCs w:val="24"/>
          <w:highlight w:val="none"/>
        </w:rPr>
        <w:t xml:space="preserve">对被抽农产品以不合格论处。</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3、抽样标准。</w:t>
      </w:r>
      <w:r>
        <w:rPr>
          <w:rFonts w:hint="eastAsia" w:ascii="宋体" w:hAnsi="宋体" w:eastAsia="宋体" w:cs="宋体"/>
          <w:bCs/>
          <w:color w:val="auto"/>
          <w:sz w:val="24"/>
          <w:szCs w:val="24"/>
          <w:highlight w:val="none"/>
        </w:rPr>
        <w:t xml:space="preserve">种植业样品抽样方法按照《农药残留分析样本的采样方法》（NY/T789）和《蔬菜抽样技术规范》（NY/T2103）执行；猪肉（肝）、禽蛋按照《动物及动物产品兽药残留监控抽样规范》（NY/T1897）执行；水产品按《水产品抽样规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GB/T30891-2014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执行。抽样程序须严格按照《农产品质量安全监测管理办法</w:t>
      </w:r>
      <w:r>
        <w:rPr>
          <w:rFonts w:hint="eastAsia" w:ascii="宋体" w:hAnsi="宋体" w:eastAsia="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rPr>
        <w:t xml:space="preserve">监督抽查有关规定进行。</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4、样品预处理。</w:t>
      </w:r>
      <w:r>
        <w:rPr>
          <w:rFonts w:hint="eastAsia" w:ascii="宋体" w:hAnsi="宋体" w:eastAsia="宋体" w:cs="宋体"/>
          <w:bCs/>
          <w:color w:val="auto"/>
          <w:sz w:val="24"/>
          <w:szCs w:val="24"/>
          <w:highlight w:val="none"/>
        </w:rPr>
        <w:t xml:space="preserve">所抽样品按照不同检测参数须一式3份（检测样、备检样、复检样）预处理，并分别进行封存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受检单位和抽样单位均应在封条上签字并盖章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抽样时要认真填写抽样单，详细登记被检单位、样品来源等信息。</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5、检测项目、方法及判定依据</w:t>
      </w:r>
      <w:r/>
    </w:p>
    <w:p>
      <w:pPr>
        <w:ind w:firstLine="482"/>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bCs w:val="0"/>
          <w:color w:val="auto"/>
          <w:sz w:val="24"/>
          <w:szCs w:val="24"/>
          <w:highlight w:val="none"/>
        </w:rPr>
        <w:t xml:space="preserve">检测项目、检测标准和判定依据具体见采购需求附表1、2、3、4、5、6</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种植业产品、牛羊（禽）肉、禽蛋产品和水产品检测方法必须是国家现行有效的检测方法，且方法最低检出限必须满足判定依据限量值。检测结果按相应的国家标准、行业标准以及国家和部委相关公告判定，无对应标准的，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判定。</w:t>
      </w:r>
      <w:r/>
    </w:p>
    <w:p>
      <w:pPr>
        <w:ind w:firstLine="482"/>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
          <w:bCs w:val="0"/>
          <w:color w:val="auto"/>
          <w:sz w:val="24"/>
          <w:szCs w:val="24"/>
          <w:highlight w:val="none"/>
        </w:rPr>
        <w:t xml:space="preserve">粮食类</w:t>
      </w:r>
      <w:r>
        <w:rPr>
          <w:rFonts w:hint="eastAsia" w:ascii="宋体" w:hAnsi="宋体" w:eastAsia="宋体" w:cs="宋体"/>
          <w:bCs/>
          <w:color w:val="auto"/>
          <w:sz w:val="24"/>
          <w:szCs w:val="24"/>
          <w:highlight w:val="none"/>
        </w:rPr>
        <w:t xml:space="preserve">：重金属（铅、镉、铬、</w:t>
      </w:r>
      <w:r>
        <w:rPr>
          <w:rFonts w:hint="eastAsia" w:ascii="宋体" w:hAnsi="宋体" w:eastAsia="宋体" w:cs="宋体"/>
          <w:bCs/>
          <w:color w:val="auto"/>
          <w:sz w:val="24"/>
          <w:szCs w:val="24"/>
          <w:highlight w:val="none"/>
        </w:rPr>
        <w:t xml:space="preserve">总砷），农药残留（多菌灵、三唑磷、毒死蜱、乐果、吡虫啉、吡蚜酮、噻虫嗪、戊唑醇、氧乐果、水胺硫磷、噻嗪酮、丁草胺、苯醚甲环唑、乙酰甲胺磷、甲胺磷、呋虫胺、噻虫胺、仲丁威、二嗪磷、氟虫腈、克百威、氯菊酯、烯啶虫胺、异丙威、吡唑醚菌酯、2,4滴），真菌毒素（黄曲霉毒素B1、脱氧雪腐镰刀菌烯醇（DON）、玉米赤霉烯酮（ZEN）、伏马毒素（FB1、FB2、FB3））；在面粉（小麦粉）及制品中检测脱氧雪腐镰刀菌烯醇（DON）（含乙酰脱氧雪腐镰刀菌烯醇（3-ADON、15-ADON）、过氧化苯甲酰，小麦粉中加测溴酸钾。</w:t>
      </w:r>
      <w:r/>
    </w:p>
    <w:p>
      <w:pPr>
        <w:ind w:firstLine="480"/>
        <w:jc w:val="both"/>
        <w:keepLines w:val="0"/>
        <w:keepNext w:val="0"/>
        <w:pageBreakBefore w:val="0"/>
        <w:spacing w:line="500" w:lineRule="exact"/>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品牌农产品中获得绿色食品、有机农产品认证的分别根据绿色食品、有机农产品标准进行判定，暂无绿色食品、有机农产品标准的产品卫生指标按相应的国家标准、行业标准判定，或绿色食品、有机农产品的相关规定，以及国家和部委相关公告执行。名特优新农产品、地理标志农产品和纳入“宿有千香”品牌管理的特色区域农产品质量应按国家标准、行业标准以及国家和部委相关公告判定。所检测项目全部合格的，判定为“该批次产品所检项目合格”；有一项指标不合格的，即</w:t>
      </w:r>
      <w:r>
        <w:rPr>
          <w:rFonts w:hint="eastAsia" w:ascii="宋体" w:hAnsi="宋体" w:eastAsia="宋体" w:cs="宋体"/>
          <w:bCs/>
          <w:color w:val="auto"/>
          <w:sz w:val="24"/>
          <w:szCs w:val="24"/>
          <w:highlight w:val="none"/>
          <w:lang w:eastAsia="zh-CN"/>
        </w:rPr>
        <w:t xml:space="preserve">判定</w:t>
      </w:r>
      <w:r>
        <w:rPr>
          <w:rFonts w:hint="eastAsia" w:ascii="宋体" w:hAnsi="宋体" w:eastAsia="宋体" w:cs="宋体"/>
          <w:bCs/>
          <w:color w:val="auto"/>
          <w:sz w:val="24"/>
          <w:szCs w:val="24"/>
          <w:highlight w:val="none"/>
        </w:rPr>
        <w:t xml:space="preserve">为“该批次产品不合格”。检测结果无对应标准的，不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判定。</w:t>
      </w:r>
      <w:r/>
    </w:p>
    <w:p>
      <w:pPr>
        <w:ind w:firstLine="482"/>
        <w:jc w:val="both"/>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方法及</w:t>
      </w:r>
      <w:r>
        <w:rPr>
          <w:rFonts w:hint="eastAsia" w:ascii="宋体" w:hAnsi="宋体" w:eastAsia="宋体" w:cs="宋体"/>
          <w:b/>
          <w:bCs w:val="0"/>
          <w:color w:val="auto"/>
          <w:sz w:val="24"/>
          <w:szCs w:val="24"/>
          <w:highlight w:val="none"/>
        </w:rPr>
        <w:t xml:space="preserve">检测依据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与省级监督抽检工作要求同步。</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6、监督抽查结果确认</w:t>
      </w:r>
      <w:r>
        <w:rPr>
          <w:rFonts w:hint="eastAsia" w:ascii="宋体" w:hAnsi="宋体" w:eastAsia="宋体" w:cs="宋体"/>
          <w:color w:val="auto"/>
          <w:sz w:val="24"/>
          <w:szCs w:val="24"/>
          <w:highlight w:val="none"/>
          <w:lang w:val="en-US" w:eastAsia="zh-CN"/>
        </w:rPr>
        <w:t xml:space="preserve">。承检机构</w:t>
      </w:r>
      <w:r>
        <w:rPr>
          <w:rFonts w:hint="eastAsia" w:ascii="宋体" w:hAnsi="宋体" w:eastAsia="宋体" w:cs="宋体"/>
          <w:color w:val="auto"/>
          <w:sz w:val="24"/>
          <w:szCs w:val="24"/>
          <w:highlight w:val="none"/>
          <w:lang w:val="en-US" w:eastAsia="zh-CN"/>
        </w:rPr>
        <w:t xml:space="preserve">在获得样品后，应及时按照标准进行检测。经检测判定为不合格的，应当在24小时内将检测报告同时报送县农业农村局农产品质量安全监管科，由所在县农业农村局及时书面通知被抽查人。被抽查人对检测结果有异议的，应在收到检测结果之日起5日内，向县农业农村局农产品质量安全监管科提出书面复检申请。复检工作，由县农业农村局指定或者被抽查人推荐经县农业农村局认可的具有检测资质的第三方机构按照规定程序和要求对复检样进行复检。检测结果与原结果一致的，复检费用由申请复检的被抽查人承担；复检结果与原结果不一致的，复检费用由原承检机构承担。</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分包一、分包二：</w:t>
      </w:r>
      <w:r>
        <w:rPr>
          <w:rFonts w:hint="eastAsia" w:ascii="宋体" w:hAnsi="宋体" w:eastAsia="宋体" w:cs="宋体"/>
          <w:b/>
          <w:bCs/>
          <w:color w:val="auto"/>
          <w:sz w:val="24"/>
          <w:szCs w:val="24"/>
          <w:highlight w:val="none"/>
          <w:lang w:bidi="ar"/>
        </w:rPr>
        <w:t xml:space="preserve">抽样要求</w:t>
      </w:r>
      <w:r/>
    </w:p>
    <w:p>
      <w:pPr>
        <w:ind w:firstLine="480"/>
        <w:jc w:val="both"/>
        <w:keepLines w:val="0"/>
        <w:keepNext w:val="0"/>
        <w:pageBreakBefore w:val="0"/>
        <w:spacing w:line="500" w:lineRule="exact"/>
        <w:widowControl w:val="off"/>
        <w:rPr>
          <w:rFonts w:hint="default" w:ascii="Times New Roman" w:hAnsi="Times New Roman" w:eastAsia="仿宋_GB2312" w:cs="Times New Roman"/>
          <w:color w:val="auto"/>
          <w:sz w:val="32"/>
          <w:szCs w:val="32"/>
          <w:highlight w:val="none"/>
          <w:lang w:eastAsia="zh-CN"/>
        </w:rPr>
      </w:pPr>
      <w:r>
        <w:rPr>
          <w:rFonts w:hint="eastAsia" w:ascii="宋体" w:hAnsi="宋体" w:eastAsia="宋体" w:cs="宋体"/>
          <w:color w:val="auto"/>
          <w:sz w:val="24"/>
          <w:szCs w:val="24"/>
          <w:highlight w:val="none"/>
        </w:rPr>
        <w:t xml:space="preserve">为保证监测样品代表性和提高监测覆盖率，各地抽检时要尽量覆盖方案中所有产品的品类和覆盖尽可能多的基地。原则上每个主体每次抽样不能超过2个样品（不得是同一品种和同一大棚），同一主体全年抽检次数不超过2次（纳入整治的重点问题农产品生产基地不超过4次）。</w:t>
      </w:r>
      <w:r>
        <w:rPr>
          <w:rFonts w:hint="eastAsia" w:ascii="宋体" w:hAnsi="宋体" w:eastAsia="宋体" w:cs="宋体"/>
          <w:color w:val="auto"/>
          <w:sz w:val="24"/>
          <w:szCs w:val="24"/>
          <w:highlight w:val="none"/>
          <w:lang w:eastAsia="zh-CN"/>
        </w:rPr>
        <w:t xml:space="preserve">适当</w:t>
      </w:r>
      <w:r>
        <w:rPr>
          <w:rFonts w:hint="eastAsia" w:ascii="宋体" w:hAnsi="宋体" w:eastAsia="宋体" w:cs="宋体"/>
          <w:color w:val="auto"/>
          <w:sz w:val="24"/>
          <w:szCs w:val="24"/>
          <w:highlight w:val="none"/>
        </w:rPr>
        <w:t xml:space="preserve">提高重点问题品种的监测力度，原则上豇豆、芹菜、韭菜、辣椒</w:t>
      </w:r>
      <w:r>
        <w:rPr>
          <w:rFonts w:hint="eastAsia" w:ascii="宋体" w:hAnsi="宋体" w:eastAsia="宋体" w:cs="宋体"/>
          <w:color w:val="auto"/>
          <w:sz w:val="24"/>
          <w:szCs w:val="24"/>
          <w:highlight w:val="none"/>
          <w:lang w:eastAsia="zh-CN"/>
        </w:rPr>
        <w:t xml:space="preserve">应抽尽抽。</w:t>
      </w:r>
      <w:r/>
    </w:p>
    <w:p>
      <w:pPr>
        <w:jc w:val="center"/>
        <w:spacing w:line="560" w:lineRule="exact"/>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p>
    <w:p>
      <w:pPr>
        <w:pStyle w:val="926"/>
        <w:rPr>
          <w:rFonts w:hint="default"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r>
      <w:r>
        <w:rPr>
          <w:rFonts w:hint="eastAsia" w:ascii="Times New Roman" w:hAnsi="Times New Roman" w:eastAsia="仿宋_GB2312" w:cs="Times New Roman"/>
          <w:b/>
          <w:bCs/>
          <w:color w:val="auto"/>
          <w:sz w:val="32"/>
          <w:szCs w:val="32"/>
          <w:highlight w:val="none"/>
          <w:lang w:val="en-US" w:eastAsia="zh-CN"/>
        </w:rPr>
      </w:r>
      <w:r/>
    </w:p>
    <w:p>
      <w:pPr>
        <w:pStyle w:val="926"/>
        <w:rPr>
          <w:rFonts w:hint="eastAsia"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t xml:space="preserve">附表1</w:t>
      </w:r>
      <w:r/>
    </w:p>
    <w:p>
      <w:pPr>
        <w:jc w:val="center"/>
        <w:keepLines w:val="0"/>
        <w:keepNext w:val="0"/>
        <w:pageBreakBefore w:val="0"/>
        <w:spacing w:line="440" w:lineRule="exact"/>
        <w:widowControl w:val="off"/>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t xml:space="preserve">分包一：例行监测检测方法和判定依据</w:t>
      </w:r>
      <w:r/>
    </w:p>
    <w:p>
      <w:pPr>
        <w:jc w:val="center"/>
        <w:keepLines w:val="0"/>
        <w:keepNext w:val="0"/>
        <w:pageBreakBefore w:val="0"/>
        <w:spacing w:before="72" w:line="440" w:lineRule="exact"/>
        <w:widowControl w:val="off"/>
        <w:rPr>
          <w:color w:val="auto"/>
          <w:highlight w:val="none"/>
        </w:rPr>
        <w:outlineLvl w:val="0"/>
      </w:pPr>
      <w:r>
        <w:rPr>
          <w:rFonts w:hint="eastAsia" w:ascii="宋体" w:hAnsi="宋体" w:eastAsia="宋体" w:cs="宋体"/>
          <w:b/>
          <w:bCs/>
          <w:color w:val="auto"/>
          <w:spacing w:val="-1"/>
          <w:sz w:val="24"/>
          <w:szCs w:val="24"/>
          <w:highlight w:val="none"/>
          <w:lang w:eastAsia="zh-CN"/>
        </w:rPr>
        <w:t xml:space="preserve">一、</w:t>
      </w:r>
      <w:r>
        <w:rPr>
          <w:rFonts w:ascii="宋体" w:hAnsi="宋体" w:eastAsia="宋体" w:cs="宋体"/>
          <w:b/>
          <w:bCs/>
          <w:color w:val="auto"/>
          <w:spacing w:val="-1"/>
          <w:sz w:val="24"/>
          <w:szCs w:val="24"/>
          <w:highlight w:val="none"/>
        </w:rPr>
        <w:t xml:space="preserve">种植业产品检测方法和判定依据</w:t>
      </w:r>
      <w:r/>
    </w:p>
    <w:tbl>
      <w:tblPr>
        <w:tblStyle w:val="1058"/>
        <w:tblW w:w="910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0"/>
        <w:gridCol w:w="4573"/>
        <w:gridCol w:w="2028"/>
        <w:gridCol w:w="1875"/>
      </w:tblGrid>
      <w:tr>
        <w:trPr>
          <w:trHeight w:val="645"/>
        </w:trPr>
        <w:tc>
          <w:tcPr>
            <w:tcW w:w="630"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样品</w:t>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种类</w:t>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监测项目</w:t>
            </w:r>
            <w:r/>
          </w:p>
        </w:tc>
        <w:tc>
          <w:tcPr>
            <w:tcW w:w="2028"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2"/>
                <w:sz w:val="21"/>
                <w:szCs w:val="21"/>
                <w:highlight w:val="none"/>
              </w:rPr>
              <w:t xml:space="preserve">推荐使用检测方法</w:t>
            </w:r>
            <w:r/>
          </w:p>
        </w:tc>
        <w:tc>
          <w:tcPr>
            <w:tcW w:w="1875"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判定依据</w:t>
            </w:r>
            <w:r/>
          </w:p>
        </w:tc>
      </w:tr>
      <w:tr>
        <w:trPr>
          <w:trHeight w:val="1344"/>
        </w:trPr>
        <w:tc>
          <w:tcPr>
            <w:tcBorders>
              <w:bottom w:val="none" w:color="000000" w:sz="4" w:space="0"/>
            </w:tcBorders>
            <w:tcW w:w="630" w:type="dxa"/>
            <w:vAlign w:val="top"/>
            <w:vMerge w:val="restart"/>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3"/>
                <w:sz w:val="21"/>
                <w:szCs w:val="21"/>
                <w:highlight w:val="none"/>
              </w:rPr>
              <w:t xml:space="preserve">蔬菜</w:t>
            </w:r>
            <w:r>
              <w:rPr>
                <w:rFonts w:hint="eastAsia" w:ascii="宋体" w:hAnsi="宋体" w:eastAsia="宋体" w:cs="宋体"/>
                <w:color w:val="auto"/>
                <w:spacing w:val="-33"/>
                <w:sz w:val="21"/>
                <w:szCs w:val="21"/>
                <w:highlight w:val="none"/>
              </w:rPr>
              <w:t xml:space="preserve"> </w:t>
            </w:r>
            <w:r>
              <w:rPr>
                <w:rFonts w:hint="eastAsia" w:ascii="宋体" w:hAnsi="宋体" w:eastAsia="宋体" w:cs="宋体"/>
                <w:color w:val="auto"/>
                <w:spacing w:val="-13"/>
                <w:sz w:val="21"/>
                <w:szCs w:val="21"/>
                <w:highlight w:val="none"/>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9"/>
                <w:sz w:val="21"/>
                <w:szCs w:val="21"/>
                <w:highlight w:val="none"/>
              </w:rPr>
              <w:t xml:space="preserve">水果</w:t>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b/>
                <w:bCs/>
                <w:color w:val="auto"/>
                <w:spacing w:val="-5"/>
                <w:sz w:val="24"/>
                <w:szCs w:val="24"/>
                <w:highlight w:val="none"/>
              </w:rPr>
              <w:t xml:space="preserve">禁用农药：</w:t>
            </w:r>
            <w:r>
              <w:rPr>
                <w:color w:val="auto"/>
                <w:spacing w:val="-5"/>
                <w:sz w:val="24"/>
                <w:szCs w:val="24"/>
                <w:highlight w:val="none"/>
              </w:rPr>
              <w:t xml:space="preserve">甲胺磷、对硫磷、三氯杀螨醇、甲拌磷</w:t>
            </w:r>
            <w:r>
              <w:rPr>
                <w:rFonts w:hint="eastAsia"/>
                <w:color w:val="auto"/>
                <w:spacing w:val="-5"/>
                <w:sz w:val="24"/>
                <w:szCs w:val="24"/>
                <w:highlight w:val="none"/>
                <w:lang w:eastAsia="zh-CN"/>
              </w:rPr>
              <w:t xml:space="preserve">（</w:t>
            </w:r>
            <w:r>
              <w:rPr>
                <w:color w:val="auto"/>
                <w:spacing w:val="-5"/>
                <w:sz w:val="24"/>
                <w:szCs w:val="24"/>
                <w:highlight w:val="none"/>
              </w:rPr>
              <w:t xml:space="preserve">包括甲拌磷砜和甲拌磷亚砜</w:t>
            </w:r>
            <w:r>
              <w:rPr>
                <w:rFonts w:hint="eastAsia"/>
                <w:color w:val="auto"/>
                <w:spacing w:val="-5"/>
                <w:sz w:val="24"/>
                <w:szCs w:val="24"/>
                <w:highlight w:val="none"/>
                <w:lang w:eastAsia="zh-CN"/>
              </w:rPr>
              <w:t xml:space="preserve">）</w:t>
            </w:r>
            <w:r>
              <w:rPr>
                <w:color w:val="auto"/>
                <w:spacing w:val="-5"/>
                <w:sz w:val="24"/>
                <w:szCs w:val="24"/>
                <w:highlight w:val="none"/>
              </w:rPr>
              <w:t xml:space="preserve">、水胺硫磷、甲基异柳磷，</w:t>
            </w:r>
            <w:r>
              <w:rPr>
                <w:color w:val="auto"/>
                <w:spacing w:val="-1"/>
                <w:sz w:val="24"/>
                <w:szCs w:val="24"/>
                <w:highlight w:val="none"/>
              </w:rPr>
              <w:t xml:space="preserve">氧乐果、克百威</w:t>
            </w:r>
            <w:r>
              <w:rPr>
                <w:rFonts w:hint="eastAsia"/>
                <w:color w:val="auto"/>
                <w:spacing w:val="-1"/>
                <w:sz w:val="24"/>
                <w:szCs w:val="24"/>
                <w:highlight w:val="none"/>
                <w:lang w:eastAsia="zh-CN"/>
              </w:rPr>
              <w:t xml:space="preserve">（</w:t>
            </w:r>
            <w:r>
              <w:rPr>
                <w:color w:val="auto"/>
                <w:spacing w:val="-1"/>
                <w:sz w:val="24"/>
                <w:szCs w:val="24"/>
                <w:highlight w:val="none"/>
              </w:rPr>
              <w:t xml:space="preserve">包括3-羟基克百威</w:t>
            </w:r>
            <w:r>
              <w:rPr>
                <w:rFonts w:hint="eastAsia"/>
                <w:color w:val="auto"/>
                <w:spacing w:val="-1"/>
                <w:sz w:val="24"/>
                <w:szCs w:val="24"/>
                <w:highlight w:val="none"/>
                <w:lang w:eastAsia="zh-CN"/>
              </w:rPr>
              <w:t xml:space="preserve">）</w:t>
            </w:r>
            <w:r>
              <w:rPr>
                <w:color w:val="auto"/>
                <w:spacing w:val="-1"/>
                <w:sz w:val="24"/>
                <w:szCs w:val="24"/>
                <w:highlight w:val="none"/>
              </w:rPr>
              <w:t xml:space="preserve">、涕灭威</w:t>
            </w:r>
            <w:r>
              <w:rPr>
                <w:rFonts w:hint="eastAsia"/>
                <w:color w:val="auto"/>
                <w:spacing w:val="-1"/>
                <w:sz w:val="24"/>
                <w:szCs w:val="24"/>
                <w:highlight w:val="none"/>
                <w:lang w:eastAsia="zh-CN"/>
              </w:rPr>
              <w:t xml:space="preserve">（</w:t>
            </w:r>
            <w:r>
              <w:rPr>
                <w:color w:val="auto"/>
                <w:spacing w:val="-1"/>
                <w:sz w:val="24"/>
                <w:szCs w:val="24"/>
                <w:highlight w:val="none"/>
              </w:rPr>
              <w:t xml:space="preserve">包括涕灭威砜和涕灭威亚砜</w:t>
            </w:r>
            <w:r>
              <w:rPr>
                <w:rFonts w:hint="eastAsia"/>
                <w:color w:val="auto"/>
                <w:spacing w:val="-1"/>
                <w:sz w:val="24"/>
                <w:szCs w:val="24"/>
                <w:highlight w:val="none"/>
                <w:lang w:eastAsia="zh-CN"/>
              </w:rPr>
              <w:t xml:space="preserve">）</w:t>
            </w:r>
            <w:r>
              <w:rPr>
                <w:color w:val="auto"/>
                <w:spacing w:val="-1"/>
                <w:sz w:val="24"/>
                <w:szCs w:val="24"/>
                <w:highlight w:val="none"/>
              </w:rPr>
              <w:t xml:space="preserve">、灭多威、灭线磷</w:t>
            </w:r>
            <w:r/>
          </w:p>
        </w:tc>
        <w:tc>
          <w:tcPr>
            <w:tcBorders>
              <w:bottom w:val="none" w:color="000000" w:sz="4" w:space="0"/>
            </w:tcBorders>
            <w:tcW w:w="2028" w:type="dxa"/>
            <w:vAlign w:val="top"/>
            <w:vMerge w:val="restart"/>
            <w:textDirection w:val="lrTb"/>
            <w:noWrap w:val="false"/>
          </w:tcPr>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z w:val="24"/>
                <w:szCs w:val="24"/>
                <w:highlight w:val="none"/>
              </w:rPr>
              <w:t xml:space="preserve">GB</w:t>
            </w:r>
            <w:r>
              <w:rPr>
                <w:color w:val="auto"/>
                <w:spacing w:val="1"/>
                <w:sz w:val="24"/>
                <w:szCs w:val="24"/>
                <w:highlight w:val="none"/>
              </w:rPr>
              <w:t xml:space="preserve">23200.</w:t>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3"/>
                <w:sz w:val="24"/>
                <w:szCs w:val="24"/>
                <w:highlight w:val="none"/>
              </w:rPr>
              <w:t xml:space="preserve">121-202</w:t>
            </w:r>
            <w:r>
              <w:rPr>
                <w:rFonts w:hint="eastAsia"/>
                <w:color w:val="auto"/>
                <w:spacing w:val="-3"/>
                <w:sz w:val="24"/>
                <w:szCs w:val="24"/>
                <w:highlight w:val="none"/>
                <w:lang w:val="en-US" w:eastAsia="zh-CN"/>
              </w:rPr>
              <w:t xml:space="preserve">6</w:t>
            </w:r>
            <w:r>
              <w:rPr>
                <w:color w:val="auto"/>
                <w:spacing w:val="-3"/>
                <w:sz w:val="24"/>
                <w:szCs w:val="24"/>
                <w:highlight w:val="none"/>
              </w:rPr>
              <w:t xml:space="preserve">、GB</w:t>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4"/>
                <w:sz w:val="24"/>
                <w:szCs w:val="24"/>
                <w:highlight w:val="none"/>
              </w:rPr>
              <w:t xml:space="preserve">23200.113-2</w:t>
            </w:r>
            <w:r>
              <w:rPr>
                <w:rFonts w:hint="eastAsia"/>
                <w:color w:val="auto"/>
                <w:spacing w:val="-4"/>
                <w:sz w:val="24"/>
                <w:szCs w:val="24"/>
                <w:highlight w:val="none"/>
                <w:lang w:val="en-US" w:eastAsia="zh-CN"/>
              </w:rPr>
              <w:t xml:space="preserve">026</w:t>
            </w:r>
            <w:r>
              <w:rPr>
                <w:color w:val="auto"/>
                <w:spacing w:val="-4"/>
                <w:sz w:val="24"/>
                <w:szCs w:val="24"/>
                <w:highlight w:val="none"/>
              </w:rPr>
              <w:t xml:space="preserve">、</w:t>
            </w:r>
            <w:r>
              <w:rPr>
                <w:color w:val="auto"/>
                <w:spacing w:val="9"/>
                <w:sz w:val="24"/>
                <w:szCs w:val="24"/>
                <w:highlight w:val="none"/>
              </w:rPr>
              <w:t xml:space="preserve"> </w:t>
            </w:r>
            <w:r>
              <w:rPr>
                <w:color w:val="auto"/>
                <w:spacing w:val="-3"/>
                <w:sz w:val="24"/>
                <w:szCs w:val="24"/>
                <w:highlight w:val="none"/>
              </w:rPr>
              <w:t xml:space="preserve">GB</w:t>
            </w:r>
            <w:r>
              <w:rPr>
                <w:color w:val="auto"/>
                <w:spacing w:val="99"/>
                <w:sz w:val="24"/>
                <w:szCs w:val="24"/>
                <w:highlight w:val="none"/>
              </w:rPr>
              <w:t xml:space="preserve"> </w:t>
            </w:r>
            <w:r>
              <w:rPr>
                <w:color w:val="auto"/>
                <w:spacing w:val="-3"/>
                <w:sz w:val="24"/>
                <w:szCs w:val="24"/>
                <w:highlight w:val="none"/>
              </w:rPr>
              <w:t xml:space="preserve">23200.</w:t>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1"/>
                <w:sz w:val="24"/>
                <w:szCs w:val="24"/>
                <w:highlight w:val="none"/>
              </w:rPr>
              <w:t xml:space="preserve">8-2016、GB/T</w:t>
            </w:r>
            <w:r>
              <w:rPr>
                <w:color w:val="auto"/>
                <w:sz w:val="24"/>
                <w:szCs w:val="24"/>
                <w:highlight w:val="none"/>
              </w:rPr>
              <w:t xml:space="preserve"> </w:t>
            </w:r>
            <w:r>
              <w:rPr>
                <w:color w:val="auto"/>
                <w:spacing w:val="-4"/>
                <w:sz w:val="24"/>
                <w:szCs w:val="24"/>
                <w:highlight w:val="none"/>
              </w:rPr>
              <w:t xml:space="preserve">20769-2008、</w:t>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color w:val="auto"/>
                <w:spacing w:val="-2"/>
                <w:sz w:val="24"/>
                <w:szCs w:val="24"/>
                <w:highlight w:val="none"/>
              </w:rPr>
              <w:t xml:space="preserve">NY/T</w:t>
            </w:r>
            <w:r>
              <w:rPr>
                <w:color w:val="auto"/>
                <w:spacing w:val="20"/>
                <w:sz w:val="24"/>
                <w:szCs w:val="24"/>
                <w:highlight w:val="none"/>
              </w:rPr>
              <w:t xml:space="preserve"> </w:t>
            </w:r>
            <w:r>
              <w:rPr>
                <w:color w:val="auto"/>
                <w:spacing w:val="-2"/>
                <w:sz w:val="24"/>
                <w:szCs w:val="24"/>
                <w:highlight w:val="none"/>
              </w:rPr>
              <w:t xml:space="preserve">761-2008</w:t>
            </w:r>
            <w:r/>
          </w:p>
        </w:tc>
        <w:tc>
          <w:tcPr>
            <w:tcBorders>
              <w:bottom w:val="none" w:color="000000" w:sz="4" w:space="0"/>
            </w:tcBorders>
            <w:tcW w:w="1875" w:type="dxa"/>
            <w:vAlign w:val="top"/>
            <w:vMerge w:val="restart"/>
            <w:textDirection w:val="lrTb"/>
            <w:noWrap w:val="false"/>
          </w:tcPr>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2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8"/>
                <w:sz w:val="24"/>
                <w:szCs w:val="24"/>
                <w:highlight w:val="none"/>
              </w:rPr>
              <w:t xml:space="preserve">按</w:t>
            </w:r>
            <w:r>
              <w:rPr>
                <w:color w:val="auto"/>
                <w:sz w:val="24"/>
                <w:szCs w:val="24"/>
                <w:highlight w:val="none"/>
              </w:rPr>
              <w:t xml:space="preserve">GB</w:t>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2"/>
                <w:sz w:val="24"/>
                <w:szCs w:val="24"/>
                <w:highlight w:val="none"/>
              </w:rPr>
              <w:t xml:space="preserve">2763-202</w:t>
            </w:r>
            <w:r>
              <w:rPr>
                <w:rFonts w:hint="eastAsia"/>
                <w:color w:val="auto"/>
                <w:spacing w:val="-2"/>
                <w:sz w:val="24"/>
                <w:szCs w:val="24"/>
                <w:highlight w:val="none"/>
                <w:lang w:val="en-US" w:eastAsia="zh-CN"/>
              </w:rPr>
              <w:t xml:space="preserve">6</w:t>
            </w:r>
            <w:r>
              <w:rPr>
                <w:color w:val="auto"/>
                <w:spacing w:val="1"/>
                <w:sz w:val="24"/>
                <w:szCs w:val="24"/>
                <w:highlight w:val="none"/>
              </w:rPr>
              <w:t xml:space="preserve">和农业</w:t>
            </w:r>
            <w:r>
              <w:rPr>
                <w:color w:val="auto"/>
                <w:spacing w:val="2"/>
                <w:sz w:val="24"/>
                <w:szCs w:val="24"/>
                <w:highlight w:val="none"/>
              </w:rPr>
              <w:t xml:space="preserve"> </w:t>
            </w:r>
            <w:r>
              <w:rPr>
                <w:color w:val="auto"/>
                <w:spacing w:val="5"/>
                <w:sz w:val="24"/>
                <w:szCs w:val="24"/>
                <w:highlight w:val="none"/>
              </w:rPr>
              <w:t xml:space="preserve">农村部例</w:t>
            </w:r>
            <w:r>
              <w:rPr>
                <w:color w:val="auto"/>
                <w:sz w:val="24"/>
                <w:szCs w:val="24"/>
                <w:highlight w:val="none"/>
              </w:rPr>
              <w:t xml:space="preserve"> </w:t>
            </w:r>
            <w:r>
              <w:rPr>
                <w:color w:val="auto"/>
                <w:spacing w:val="4"/>
                <w:sz w:val="24"/>
                <w:szCs w:val="24"/>
                <w:highlight w:val="none"/>
              </w:rPr>
              <w:t xml:space="preserve">行监测判</w:t>
            </w:r>
            <w:r>
              <w:rPr>
                <w:color w:val="auto"/>
                <w:spacing w:val="1"/>
                <w:sz w:val="24"/>
                <w:szCs w:val="24"/>
                <w:highlight w:val="none"/>
              </w:rPr>
              <w:t xml:space="preserve"> </w:t>
            </w:r>
            <w:r>
              <w:rPr>
                <w:color w:val="auto"/>
                <w:spacing w:val="2"/>
                <w:sz w:val="24"/>
                <w:szCs w:val="24"/>
                <w:highlight w:val="none"/>
              </w:rPr>
              <w:t xml:space="preserve">定标准进</w:t>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color w:val="auto"/>
                <w:spacing w:val="5"/>
                <w:sz w:val="24"/>
                <w:szCs w:val="24"/>
                <w:highlight w:val="none"/>
              </w:rPr>
              <w:t xml:space="preserve">行判定</w:t>
            </w:r>
            <w:r/>
          </w:p>
        </w:tc>
      </w:tr>
      <w:tr>
        <w:trPr>
          <w:trHeight w:val="1064"/>
        </w:trPr>
        <w:tc>
          <w:tcPr>
            <w:tcBorders>
              <w:top w:val="none" w:color="000000" w:sz="4" w:space="0"/>
              <w:bottom w:val="none" w:color="000000" w:sz="4" w:space="0"/>
            </w:tcBorders>
            <w:tcW w:w="630"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b/>
                <w:bCs/>
                <w:color w:val="auto"/>
                <w:sz w:val="24"/>
                <w:szCs w:val="24"/>
                <w:highlight w:val="none"/>
              </w:rPr>
              <w:t xml:space="preserve">限用农药：</w:t>
            </w:r>
            <w:r>
              <w:rPr>
                <w:color w:val="auto"/>
                <w:sz w:val="24"/>
                <w:szCs w:val="24"/>
                <w:highlight w:val="none"/>
              </w:rPr>
              <w:t xml:space="preserve">氟虫腈</w:t>
            </w:r>
            <w:r>
              <w:rPr>
                <w:rFonts w:hint="eastAsia"/>
                <w:color w:val="auto"/>
                <w:sz w:val="24"/>
                <w:szCs w:val="24"/>
                <w:highlight w:val="none"/>
                <w:lang w:eastAsia="zh-CN"/>
              </w:rPr>
              <w:t xml:space="preserve">（</w:t>
            </w:r>
            <w:r>
              <w:rPr>
                <w:color w:val="auto"/>
                <w:sz w:val="24"/>
                <w:szCs w:val="24"/>
                <w:highlight w:val="none"/>
              </w:rPr>
              <w:t xml:space="preserve">包括氟甲腈、氟虫腈硫醚、氟虫</w:t>
            </w:r>
            <w:r>
              <w:rPr>
                <w:color w:val="auto"/>
                <w:spacing w:val="2"/>
                <w:sz w:val="24"/>
                <w:szCs w:val="24"/>
                <w:highlight w:val="none"/>
              </w:rPr>
              <w:t xml:space="preserve"> </w:t>
            </w:r>
            <w:r>
              <w:rPr>
                <w:color w:val="auto"/>
                <w:spacing w:val="3"/>
                <w:sz w:val="24"/>
                <w:szCs w:val="24"/>
                <w:highlight w:val="none"/>
              </w:rPr>
              <w:t xml:space="preserve">腈砜</w:t>
            </w:r>
            <w:r>
              <w:rPr>
                <w:rFonts w:hint="eastAsia"/>
                <w:color w:val="auto"/>
                <w:spacing w:val="3"/>
                <w:sz w:val="24"/>
                <w:szCs w:val="24"/>
                <w:highlight w:val="none"/>
                <w:lang w:eastAsia="zh-CN"/>
              </w:rPr>
              <w:t xml:space="preserve">）</w:t>
            </w:r>
            <w:r>
              <w:rPr>
                <w:color w:val="auto"/>
                <w:spacing w:val="3"/>
                <w:sz w:val="24"/>
                <w:szCs w:val="24"/>
                <w:highlight w:val="none"/>
              </w:rPr>
              <w:t xml:space="preserve">、毒死蜱、三唑磷、乐果、乙酰甲胺磷、硫环</w:t>
            </w:r>
            <w:r>
              <w:rPr>
                <w:color w:val="auto"/>
                <w:spacing w:val="7"/>
                <w:sz w:val="24"/>
                <w:szCs w:val="24"/>
                <w:highlight w:val="none"/>
              </w:rPr>
              <w:t xml:space="preserve"> </w:t>
            </w:r>
            <w:r>
              <w:rPr>
                <w:color w:val="auto"/>
                <w:spacing w:val="1"/>
                <w:sz w:val="24"/>
                <w:szCs w:val="24"/>
                <w:highlight w:val="none"/>
              </w:rPr>
              <w:t xml:space="preserve">磷、氯唑磷、丁硫克百威</w:t>
            </w:r>
            <w:r/>
          </w:p>
        </w:tc>
        <w:tc>
          <w:tcPr>
            <w:tcBorders>
              <w:top w:val="none" w:color="000000" w:sz="4" w:space="0"/>
              <w:bottom w:val="none" w:color="000000" w:sz="4" w:space="0"/>
            </w:tcBorders>
            <w:tcW w:w="2028"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75"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404"/>
        </w:trPr>
        <w:tc>
          <w:tcPr>
            <w:tcBorders>
              <w:top w:val="none" w:color="000000" w:sz="4" w:space="0"/>
            </w:tcBorders>
            <w:tcW w:w="630"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b/>
                <w:bCs/>
                <w:color w:val="auto"/>
                <w:spacing w:val="-6"/>
                <w:sz w:val="24"/>
                <w:szCs w:val="24"/>
                <w:highlight w:val="none"/>
              </w:rPr>
              <w:t xml:space="preserve">常规农药：</w:t>
            </w:r>
            <w:r>
              <w:rPr>
                <w:color w:val="auto"/>
                <w:spacing w:val="-6"/>
                <w:sz w:val="24"/>
                <w:szCs w:val="24"/>
                <w:highlight w:val="none"/>
              </w:rPr>
              <w:t xml:space="preserve">敌敌畏、丙溴磷、倍硫磷、辛硫磷、氯氰</w:t>
            </w:r>
            <w:r>
              <w:rPr>
                <w:color w:val="auto"/>
                <w:spacing w:val="5"/>
                <w:sz w:val="24"/>
                <w:szCs w:val="24"/>
                <w:highlight w:val="none"/>
              </w:rPr>
              <w:t xml:space="preserve">  </w:t>
            </w:r>
            <w:r>
              <w:rPr>
                <w:color w:val="auto"/>
                <w:sz w:val="24"/>
                <w:szCs w:val="24"/>
                <w:highlight w:val="none"/>
              </w:rPr>
              <w:t xml:space="preserve">菊酯、氰戊菊酯、溴氰菊酯、甲氰菊酯、联苯菊酯、</w:t>
            </w:r>
            <w:r>
              <w:rPr>
                <w:color w:val="auto"/>
                <w:spacing w:val="4"/>
                <w:sz w:val="24"/>
                <w:szCs w:val="24"/>
                <w:highlight w:val="none"/>
              </w:rPr>
              <w:t xml:space="preserve"> </w:t>
            </w:r>
            <w:r>
              <w:rPr>
                <w:color w:val="auto"/>
                <w:spacing w:val="-10"/>
                <w:sz w:val="24"/>
                <w:szCs w:val="24"/>
                <w:highlight w:val="none"/>
              </w:rPr>
              <w:t xml:space="preserve">氯氟氰菊酯、氟氯氰菊酯、氯</w:t>
            </w:r>
            <w:bookmarkStart w:id="189" w:name="OLE_LINK1"/>
            <w:r>
              <w:rPr>
                <w:color w:val="auto"/>
                <w:spacing w:val="-10"/>
                <w:sz w:val="24"/>
                <w:szCs w:val="24"/>
                <w:highlight w:val="none"/>
              </w:rPr>
              <w:t xml:space="preserve">吡</w:t>
            </w:r>
            <w:bookmarkEnd w:id="189"/>
            <w:r>
              <w:rPr>
                <w:color w:val="auto"/>
                <w:spacing w:val="-10"/>
                <w:sz w:val="24"/>
                <w:szCs w:val="24"/>
                <w:highlight w:val="none"/>
              </w:rPr>
              <w:t xml:space="preserve">脲、除虫脲、灭幼脲、吡</w:t>
            </w:r>
            <w:r>
              <w:rPr>
                <w:color w:val="auto"/>
                <w:spacing w:val="-5"/>
                <w:sz w:val="24"/>
                <w:szCs w:val="24"/>
                <w:highlight w:val="none"/>
              </w:rPr>
              <w:t xml:space="preserve">虫啉、啶虫脒、哒螨灵、阿维菌素、甲氨基阿维菌</w:t>
            </w:r>
            <w:r>
              <w:rPr>
                <w:color w:val="auto"/>
                <w:spacing w:val="4"/>
                <w:sz w:val="24"/>
                <w:szCs w:val="24"/>
                <w:highlight w:val="none"/>
              </w:rPr>
              <w:t xml:space="preserve">  </w:t>
            </w:r>
            <w:r>
              <w:rPr>
                <w:color w:val="auto"/>
                <w:spacing w:val="-5"/>
                <w:sz w:val="24"/>
                <w:szCs w:val="24"/>
                <w:highlight w:val="none"/>
              </w:rPr>
              <w:t xml:space="preserve">素苯甲酸盐、虫螨腈、噻虫嗪、氟啶脲、异菌脲、五</w:t>
            </w:r>
            <w:r>
              <w:rPr>
                <w:color w:val="auto"/>
                <w:spacing w:val="2"/>
                <w:sz w:val="24"/>
                <w:szCs w:val="24"/>
                <w:highlight w:val="none"/>
              </w:rPr>
              <w:t xml:space="preserve">  </w:t>
            </w:r>
            <w:r>
              <w:rPr>
                <w:color w:val="auto"/>
                <w:spacing w:val="-5"/>
                <w:sz w:val="24"/>
                <w:szCs w:val="24"/>
                <w:highlight w:val="none"/>
              </w:rPr>
              <w:t xml:space="preserve">氯硝基苯、三唑酮、百菌清、腐霉利、多菌灵、苯醚</w:t>
            </w:r>
            <w:r>
              <w:rPr>
                <w:color w:val="auto"/>
                <w:spacing w:val="2"/>
                <w:sz w:val="24"/>
                <w:szCs w:val="24"/>
                <w:highlight w:val="none"/>
              </w:rPr>
              <w:t xml:space="preserve">  </w:t>
            </w:r>
            <w:r>
              <w:rPr>
                <w:color w:val="auto"/>
                <w:spacing w:val="-4"/>
                <w:sz w:val="24"/>
                <w:szCs w:val="24"/>
                <w:highlight w:val="none"/>
              </w:rPr>
              <w:t xml:space="preserve">甲环唑、嘧霉胺、烯酰吗啉、咪鲜胺、嘧菌酯、二甲</w:t>
            </w:r>
            <w:r>
              <w:rPr>
                <w:color w:val="auto"/>
                <w:spacing w:val="1"/>
                <w:sz w:val="24"/>
                <w:szCs w:val="24"/>
                <w:highlight w:val="none"/>
              </w:rPr>
              <w:t xml:space="preserve">  </w:t>
            </w:r>
            <w:r>
              <w:rPr>
                <w:color w:val="auto"/>
                <w:spacing w:val="-5"/>
                <w:sz w:val="24"/>
                <w:szCs w:val="24"/>
                <w:highlight w:val="none"/>
              </w:rPr>
              <w:t xml:space="preserve">戊灵、甲霜灵、霜霉威、乙基多杀菌素、氯虫苯甲酰</w:t>
            </w:r>
            <w:r>
              <w:rPr>
                <w:color w:val="auto"/>
                <w:spacing w:val="2"/>
                <w:sz w:val="24"/>
                <w:szCs w:val="24"/>
                <w:highlight w:val="none"/>
              </w:rPr>
              <w:t xml:space="preserve">  </w:t>
            </w:r>
            <w:r>
              <w:rPr>
                <w:color w:val="auto"/>
                <w:spacing w:val="-15"/>
                <w:sz w:val="24"/>
                <w:szCs w:val="24"/>
                <w:highlight w:val="none"/>
              </w:rPr>
              <w:t xml:space="preserve">胺 、</w:t>
            </w:r>
            <w:r>
              <w:rPr>
                <w:b/>
                <w:bCs/>
                <w:color w:val="auto"/>
                <w:spacing w:val="-15"/>
                <w:sz w:val="24"/>
                <w:szCs w:val="24"/>
                <w:highlight w:val="none"/>
              </w:rPr>
              <w:t xml:space="preserve">氯菊酯、醚菊酯</w:t>
            </w:r>
            <w:r>
              <w:rPr>
                <w:color w:val="auto"/>
                <w:spacing w:val="-15"/>
                <w:sz w:val="24"/>
                <w:szCs w:val="24"/>
                <w:highlight w:val="none"/>
              </w:rPr>
              <w:t xml:space="preserve">、虫酰肼、</w:t>
            </w:r>
            <w:r>
              <w:rPr>
                <w:rFonts w:hint="eastAsia"/>
                <w:color w:val="auto"/>
                <w:spacing w:val="-15"/>
                <w:sz w:val="24"/>
                <w:szCs w:val="24"/>
                <w:highlight w:val="none"/>
                <w:lang w:eastAsia="zh-CN"/>
              </w:rPr>
              <w:t xml:space="preserve">吡</w:t>
            </w:r>
            <w:r>
              <w:rPr>
                <w:color w:val="auto"/>
                <w:spacing w:val="-15"/>
                <w:sz w:val="24"/>
                <w:szCs w:val="24"/>
                <w:highlight w:val="none"/>
              </w:rPr>
              <w:t xml:space="preserve">唑醚菌酯、戊唑醇、</w:t>
            </w:r>
            <w:r>
              <w:rPr>
                <w:color w:val="auto"/>
                <w:spacing w:val="3"/>
                <w:sz w:val="24"/>
                <w:szCs w:val="24"/>
                <w:highlight w:val="none"/>
              </w:rPr>
              <w:t xml:space="preserve"> </w:t>
            </w:r>
            <w:r>
              <w:rPr>
                <w:color w:val="auto"/>
                <w:spacing w:val="-5"/>
                <w:sz w:val="24"/>
                <w:szCs w:val="24"/>
                <w:highlight w:val="none"/>
              </w:rPr>
              <w:t xml:space="preserve">抑霉唑，敌百虫、多效唑、丙环唑、灭蝇胺、多</w:t>
            </w:r>
            <w:r>
              <w:rPr>
                <w:rFonts w:hint="eastAsia"/>
                <w:color w:val="auto"/>
                <w:spacing w:val="-5"/>
                <w:sz w:val="24"/>
                <w:szCs w:val="24"/>
                <w:highlight w:val="none"/>
                <w:lang w:eastAsia="zh-CN"/>
              </w:rPr>
              <w:t xml:space="preserve">杀霉</w:t>
            </w:r>
            <w:r>
              <w:rPr>
                <w:color w:val="auto"/>
                <w:spacing w:val="-8"/>
                <w:sz w:val="24"/>
                <w:szCs w:val="24"/>
                <w:highlight w:val="none"/>
              </w:rPr>
              <w:t xml:space="preserve">素</w:t>
            </w:r>
            <w:r>
              <w:rPr>
                <w:b/>
                <w:bCs/>
                <w:color w:val="auto"/>
                <w:spacing w:val="-8"/>
                <w:sz w:val="24"/>
                <w:szCs w:val="24"/>
                <w:highlight w:val="none"/>
              </w:rPr>
              <w:t xml:space="preserve">、噻苯隆、噻虫胺、甲萘威、茚虫威、噻嗪酮、氟</w:t>
            </w:r>
            <w:r>
              <w:rPr>
                <w:color w:val="auto"/>
                <w:spacing w:val="1"/>
                <w:sz w:val="24"/>
                <w:szCs w:val="24"/>
                <w:highlight w:val="none"/>
              </w:rPr>
              <w:t xml:space="preserve">  </w:t>
            </w:r>
            <w:r>
              <w:rPr>
                <w:b/>
                <w:bCs/>
                <w:color w:val="auto"/>
                <w:spacing w:val="-8"/>
                <w:sz w:val="24"/>
                <w:szCs w:val="24"/>
                <w:highlight w:val="none"/>
              </w:rPr>
              <w:t xml:space="preserve">氰戊菊酯、啶氧菌酯</w:t>
            </w:r>
            <w:r/>
          </w:p>
        </w:tc>
        <w:tc>
          <w:tcPr>
            <w:tcBorders>
              <w:top w:val="none" w:color="000000" w:sz="4" w:space="0"/>
            </w:tcBorders>
            <w:tcW w:w="2028"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75"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75"/>
        </w:trPr>
        <w:tc>
          <w:tcPr>
            <w:tcBorders>
              <w:bottom w:val="none" w:color="000000" w:sz="4" w:space="0"/>
            </w:tcBorders>
            <w:tcW w:w="630" w:type="dxa"/>
            <w:vAlign w:val="top"/>
            <w:vMerge w:val="restart"/>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茶叶</w:t>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b/>
                <w:bCs/>
                <w:color w:val="auto"/>
                <w:spacing w:val="-1"/>
                <w:sz w:val="24"/>
                <w:szCs w:val="24"/>
                <w:highlight w:val="none"/>
              </w:rPr>
              <w:t xml:space="preserve">禁用农药：</w:t>
            </w:r>
            <w:r>
              <w:rPr>
                <w:color w:val="auto"/>
                <w:spacing w:val="-1"/>
                <w:sz w:val="24"/>
                <w:szCs w:val="24"/>
                <w:highlight w:val="none"/>
              </w:rPr>
              <w:t xml:space="preserve">甲胺磷、三氯杀螨醇、灭多威</w:t>
            </w:r>
            <w:r/>
          </w:p>
        </w:tc>
        <w:tc>
          <w:tcPr>
            <w:tcBorders>
              <w:bottom w:val="none" w:color="000000" w:sz="4" w:space="0"/>
            </w:tcBorders>
            <w:tcW w:w="2028" w:type="dxa"/>
            <w:vAlign w:val="top"/>
            <w:vMerge w:val="restart"/>
            <w:textDirection w:val="lrTb"/>
            <w:noWrap w:val="false"/>
          </w:tcPr>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10"/>
                <w:sz w:val="24"/>
                <w:szCs w:val="24"/>
                <w:highlight w:val="none"/>
              </w:rPr>
              <w:t xml:space="preserve">GB</w:t>
            </w:r>
            <w:r>
              <w:rPr>
                <w:color w:val="auto"/>
                <w:spacing w:val="74"/>
                <w:sz w:val="24"/>
                <w:szCs w:val="24"/>
                <w:highlight w:val="none"/>
              </w:rPr>
              <w:t xml:space="preserve"> </w:t>
            </w:r>
            <w:r>
              <w:rPr>
                <w:color w:val="auto"/>
                <w:spacing w:val="-10"/>
                <w:sz w:val="24"/>
                <w:szCs w:val="24"/>
                <w:highlight w:val="none"/>
              </w:rPr>
              <w:t xml:space="preserve">23200.113-20</w:t>
            </w:r>
            <w:r>
              <w:rPr>
                <w:rFonts w:hint="eastAsia"/>
                <w:color w:val="auto"/>
                <w:spacing w:val="-10"/>
                <w:sz w:val="24"/>
                <w:szCs w:val="24"/>
                <w:highlight w:val="none"/>
                <w:lang w:val="en-US" w:eastAsia="zh-CN"/>
              </w:rPr>
              <w:t xml:space="preserve">26</w:t>
            </w:r>
            <w:r>
              <w:rPr>
                <w:color w:val="auto"/>
                <w:spacing w:val="-10"/>
                <w:sz w:val="24"/>
                <w:szCs w:val="24"/>
                <w:highlight w:val="none"/>
              </w:rPr>
              <w:t xml:space="preserve">、</w:t>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10"/>
                <w:sz w:val="24"/>
                <w:szCs w:val="24"/>
                <w:highlight w:val="none"/>
              </w:rPr>
              <w:t xml:space="preserve">GB</w:t>
            </w:r>
            <w:r>
              <w:rPr>
                <w:color w:val="auto"/>
                <w:spacing w:val="74"/>
                <w:sz w:val="24"/>
                <w:szCs w:val="24"/>
                <w:highlight w:val="none"/>
              </w:rPr>
              <w:t xml:space="preserve"> </w:t>
            </w:r>
            <w:r>
              <w:rPr>
                <w:color w:val="auto"/>
                <w:spacing w:val="-10"/>
                <w:sz w:val="24"/>
                <w:szCs w:val="24"/>
                <w:highlight w:val="none"/>
              </w:rPr>
              <w:t xml:space="preserve">23200.116-2019、</w:t>
            </w:r>
            <w:r>
              <w:rPr>
                <w:color w:val="auto"/>
                <w:sz w:val="24"/>
                <w:szCs w:val="24"/>
                <w:highlight w:val="none"/>
              </w:rPr>
              <w:t xml:space="preserve"> </w:t>
            </w:r>
            <w:r>
              <w:rPr>
                <w:color w:val="auto"/>
                <w:spacing w:val="-10"/>
                <w:sz w:val="24"/>
                <w:szCs w:val="24"/>
                <w:highlight w:val="none"/>
              </w:rPr>
              <w:t xml:space="preserve">GB</w:t>
            </w:r>
            <w:r>
              <w:rPr>
                <w:color w:val="auto"/>
                <w:spacing w:val="74"/>
                <w:sz w:val="24"/>
                <w:szCs w:val="24"/>
                <w:highlight w:val="none"/>
              </w:rPr>
              <w:t xml:space="preserve"> </w:t>
            </w:r>
            <w:r>
              <w:rPr>
                <w:color w:val="auto"/>
                <w:spacing w:val="-10"/>
                <w:sz w:val="24"/>
                <w:szCs w:val="24"/>
                <w:highlight w:val="none"/>
              </w:rPr>
              <w:t xml:space="preserve">23200.121-202</w:t>
            </w:r>
            <w:r>
              <w:rPr>
                <w:rFonts w:hint="eastAsia"/>
                <w:color w:val="auto"/>
                <w:spacing w:val="-10"/>
                <w:sz w:val="24"/>
                <w:szCs w:val="24"/>
                <w:highlight w:val="none"/>
                <w:lang w:val="en-US" w:eastAsia="zh-CN"/>
              </w:rPr>
              <w:t xml:space="preserve">6</w:t>
            </w:r>
            <w:r>
              <w:rPr>
                <w:color w:val="auto"/>
                <w:spacing w:val="-10"/>
                <w:sz w:val="24"/>
                <w:szCs w:val="24"/>
                <w:highlight w:val="none"/>
              </w:rPr>
              <w:t xml:space="preserve">、</w:t>
            </w:r>
            <w:r>
              <w:rPr>
                <w:color w:val="auto"/>
                <w:sz w:val="24"/>
                <w:szCs w:val="24"/>
                <w:highlight w:val="none"/>
              </w:rPr>
              <w:t xml:space="preserve"> </w:t>
            </w:r>
            <w:r>
              <w:rPr>
                <w:color w:val="auto"/>
                <w:spacing w:val="-11"/>
                <w:sz w:val="24"/>
                <w:szCs w:val="24"/>
                <w:highlight w:val="none"/>
              </w:rPr>
              <w:t xml:space="preserve">GB/T</w:t>
            </w:r>
            <w:r>
              <w:rPr>
                <w:color w:val="auto"/>
                <w:spacing w:val="91"/>
                <w:sz w:val="24"/>
                <w:szCs w:val="24"/>
                <w:highlight w:val="none"/>
              </w:rPr>
              <w:t xml:space="preserve"> </w:t>
            </w:r>
            <w:r>
              <w:rPr>
                <w:color w:val="auto"/>
                <w:spacing w:val="-11"/>
                <w:sz w:val="24"/>
                <w:szCs w:val="24"/>
                <w:highlight w:val="none"/>
              </w:rPr>
              <w:t xml:space="preserve">5009.19-2008、</w:t>
            </w:r>
            <w:r>
              <w:rPr>
                <w:color w:val="auto"/>
                <w:sz w:val="24"/>
                <w:szCs w:val="24"/>
                <w:highlight w:val="none"/>
              </w:rPr>
              <w:t xml:space="preserve"> </w:t>
            </w:r>
            <w:r>
              <w:rPr>
                <w:color w:val="auto"/>
                <w:spacing w:val="-9"/>
                <w:sz w:val="24"/>
                <w:szCs w:val="24"/>
                <w:highlight w:val="none"/>
              </w:rPr>
              <w:t xml:space="preserve">GB</w:t>
            </w:r>
            <w:r>
              <w:rPr>
                <w:color w:val="auto"/>
                <w:spacing w:val="24"/>
                <w:sz w:val="24"/>
                <w:szCs w:val="24"/>
                <w:highlight w:val="none"/>
              </w:rPr>
              <w:t xml:space="preserve">  </w:t>
            </w:r>
            <w:r>
              <w:rPr>
                <w:color w:val="auto"/>
                <w:spacing w:val="-9"/>
                <w:sz w:val="24"/>
                <w:szCs w:val="24"/>
                <w:highlight w:val="none"/>
              </w:rPr>
              <w:t xml:space="preserve">5009.176-2003、</w:t>
            </w:r>
            <w:r>
              <w:rPr>
                <w:color w:val="auto"/>
                <w:sz w:val="24"/>
                <w:szCs w:val="24"/>
                <w:highlight w:val="none"/>
              </w:rPr>
              <w:t xml:space="preserve"> </w:t>
            </w:r>
            <w:r>
              <w:rPr>
                <w:color w:val="auto"/>
                <w:spacing w:val="-9"/>
                <w:sz w:val="24"/>
                <w:szCs w:val="24"/>
                <w:highlight w:val="none"/>
              </w:rPr>
              <w:t xml:space="preserve">GB</w:t>
            </w:r>
            <w:r>
              <w:rPr>
                <w:color w:val="auto"/>
                <w:spacing w:val="24"/>
                <w:sz w:val="24"/>
                <w:szCs w:val="24"/>
                <w:highlight w:val="none"/>
              </w:rPr>
              <w:t xml:space="preserve">  </w:t>
            </w:r>
            <w:r>
              <w:rPr>
                <w:color w:val="auto"/>
                <w:spacing w:val="-9"/>
                <w:sz w:val="24"/>
                <w:szCs w:val="24"/>
                <w:highlight w:val="none"/>
              </w:rPr>
              <w:t xml:space="preserve">23200.13-2016、</w:t>
            </w:r>
            <w:r>
              <w:rPr>
                <w:color w:val="auto"/>
                <w:sz w:val="24"/>
                <w:szCs w:val="24"/>
                <w:highlight w:val="none"/>
              </w:rPr>
              <w:t xml:space="preserve"> </w:t>
            </w:r>
            <w:r>
              <w:rPr>
                <w:color w:val="auto"/>
                <w:spacing w:val="-8"/>
                <w:sz w:val="24"/>
                <w:szCs w:val="24"/>
                <w:highlight w:val="none"/>
              </w:rPr>
              <w:t xml:space="preserve">GB 23204-2008、GB</w:t>
            </w:r>
            <w:r>
              <w:rPr>
                <w:color w:val="auto"/>
                <w:spacing w:val="3"/>
                <w:sz w:val="24"/>
                <w:szCs w:val="24"/>
                <w:highlight w:val="none"/>
              </w:rPr>
              <w:t xml:space="preserve">   </w:t>
            </w:r>
            <w:r>
              <w:rPr>
                <w:color w:val="auto"/>
                <w:spacing w:val="-8"/>
                <w:sz w:val="24"/>
                <w:szCs w:val="24"/>
                <w:highlight w:val="none"/>
              </w:rPr>
              <w:t xml:space="preserve">23200.108-2018、GB</w:t>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color w:val="auto"/>
                <w:spacing w:val="-4"/>
                <w:sz w:val="24"/>
                <w:szCs w:val="24"/>
                <w:highlight w:val="none"/>
              </w:rPr>
              <w:t xml:space="preserve">23200.112-2018、</w:t>
            </w:r>
            <w:r>
              <w:rPr>
                <w:color w:val="auto"/>
                <w:spacing w:val="9"/>
                <w:sz w:val="24"/>
                <w:szCs w:val="24"/>
                <w:highlight w:val="none"/>
              </w:rPr>
              <w:t xml:space="preserve"> </w:t>
            </w:r>
            <w:r>
              <w:rPr>
                <w:color w:val="auto"/>
                <w:spacing w:val="-4"/>
                <w:sz w:val="24"/>
                <w:szCs w:val="24"/>
                <w:highlight w:val="none"/>
              </w:rPr>
              <w:t xml:space="preserve">SN/T</w:t>
            </w:r>
            <w:r>
              <w:rPr>
                <w:color w:val="auto"/>
                <w:spacing w:val="65"/>
                <w:sz w:val="24"/>
                <w:szCs w:val="24"/>
                <w:highlight w:val="none"/>
              </w:rPr>
              <w:t xml:space="preserve"> </w:t>
            </w:r>
            <w:r>
              <w:rPr>
                <w:color w:val="auto"/>
                <w:spacing w:val="-4"/>
                <w:sz w:val="24"/>
                <w:szCs w:val="24"/>
                <w:highlight w:val="none"/>
              </w:rPr>
              <w:t xml:space="preserve">1923-2007</w:t>
            </w:r>
            <w:r/>
          </w:p>
        </w:tc>
        <w:tc>
          <w:tcPr>
            <w:tcBorders>
              <w:bottom w:val="none" w:color="000000" w:sz="4" w:space="0"/>
            </w:tcBorders>
            <w:tcW w:w="1875" w:type="dxa"/>
            <w:vAlign w:val="top"/>
            <w:vMerge w:val="restart"/>
            <w:textDirection w:val="lrTb"/>
            <w:noWrap w:val="false"/>
          </w:tcPr>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pacing w:val="8"/>
                <w:sz w:val="24"/>
                <w:szCs w:val="24"/>
                <w:highlight w:val="none"/>
              </w:rPr>
              <w:t xml:space="preserve">按</w:t>
            </w:r>
            <w:r>
              <w:rPr>
                <w:color w:val="auto"/>
                <w:sz w:val="24"/>
                <w:szCs w:val="24"/>
                <w:highlight w:val="none"/>
              </w:rPr>
              <w:t xml:space="preserve">GB</w:t>
            </w:r>
            <w:r/>
          </w:p>
          <w:p>
            <w:pPr>
              <w:pStyle w:val="1057"/>
              <w:ind w:left="0" w:right="0" w:firstLine="0"/>
              <w:jc w:val="both"/>
              <w:keepLines w:val="0"/>
              <w:keepNext w:val="0"/>
              <w:pageBreakBefore w:val="0"/>
              <w:spacing w:line="320" w:lineRule="exact"/>
              <w:widowControl w:val="off"/>
              <w:rPr>
                <w:rFonts w:hint="eastAsia" w:eastAsia="宋体"/>
                <w:color w:val="auto"/>
                <w:sz w:val="24"/>
                <w:szCs w:val="24"/>
                <w:highlight w:val="none"/>
                <w:lang w:eastAsia="zh-CN"/>
              </w:rPr>
            </w:pPr>
            <w:r>
              <w:rPr>
                <w:color w:val="auto"/>
                <w:spacing w:val="-2"/>
                <w:sz w:val="24"/>
                <w:szCs w:val="24"/>
                <w:highlight w:val="none"/>
              </w:rPr>
              <w:t xml:space="preserve">2763-202</w:t>
            </w:r>
            <w:r>
              <w:rPr>
                <w:rFonts w:hint="eastAsia"/>
                <w:color w:val="auto"/>
                <w:spacing w:val="-2"/>
                <w:sz w:val="24"/>
                <w:szCs w:val="24"/>
                <w:highlight w:val="none"/>
                <w:lang w:val="en-US" w:eastAsia="zh-CN"/>
              </w:rPr>
              <w:t xml:space="preserve">6</w:t>
            </w:r>
            <w:r/>
          </w:p>
          <w:p>
            <w:pPr>
              <w:pStyle w:val="1057"/>
              <w:ind w:left="0" w:right="0" w:firstLine="0"/>
              <w:jc w:val="both"/>
              <w:keepLines w:val="0"/>
              <w:keepNext w:val="0"/>
              <w:pageBreakBefore w:val="0"/>
              <w:spacing w:line="320" w:lineRule="exact"/>
              <w:widowControl w:val="off"/>
              <w:rPr>
                <w:color w:val="auto"/>
                <w:sz w:val="24"/>
                <w:szCs w:val="24"/>
                <w:highlight w:val="none"/>
              </w:rPr>
            </w:pPr>
            <w:r>
              <w:rPr>
                <w:color w:val="auto"/>
                <w:sz w:val="24"/>
                <w:szCs w:val="24"/>
                <w:highlight w:val="none"/>
              </w:rPr>
              <w:t xml:space="preserve">和农业农 </w:t>
            </w:r>
            <w:r>
              <w:rPr>
                <w:color w:val="auto"/>
                <w:spacing w:val="8"/>
                <w:sz w:val="24"/>
                <w:szCs w:val="24"/>
                <w:highlight w:val="none"/>
              </w:rPr>
              <w:t xml:space="preserve">村部例行</w:t>
            </w:r>
            <w:r>
              <w:rPr>
                <w:color w:val="auto"/>
                <w:sz w:val="24"/>
                <w:szCs w:val="24"/>
                <w:highlight w:val="none"/>
              </w:rPr>
              <w:t xml:space="preserve">  </w:t>
            </w:r>
            <w:r>
              <w:rPr>
                <w:color w:val="auto"/>
                <w:spacing w:val="19"/>
                <w:sz w:val="24"/>
                <w:szCs w:val="24"/>
                <w:highlight w:val="none"/>
              </w:rPr>
              <w:t xml:space="preserve">监测判定</w:t>
            </w:r>
            <w:r/>
          </w:p>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color w:val="auto"/>
                <w:spacing w:val="3"/>
                <w:sz w:val="24"/>
                <w:szCs w:val="24"/>
                <w:highlight w:val="none"/>
              </w:rPr>
              <w:t xml:space="preserve">标准进行</w:t>
            </w:r>
            <w:r>
              <w:rPr>
                <w:color w:val="auto"/>
                <w:sz w:val="24"/>
                <w:szCs w:val="24"/>
                <w:highlight w:val="none"/>
              </w:rPr>
              <w:t xml:space="preserve"> </w:t>
            </w:r>
            <w:r>
              <w:rPr>
                <w:color w:val="auto"/>
                <w:spacing w:val="8"/>
                <w:sz w:val="24"/>
                <w:szCs w:val="24"/>
                <w:highlight w:val="none"/>
              </w:rPr>
              <w:t xml:space="preserve">判定</w:t>
            </w:r>
            <w:r/>
          </w:p>
        </w:tc>
      </w:tr>
      <w:tr>
        <w:trPr>
          <w:trHeight w:val="411"/>
        </w:trPr>
        <w:tc>
          <w:tcPr>
            <w:tcBorders>
              <w:top w:val="none" w:color="000000" w:sz="4" w:space="0"/>
              <w:bottom w:val="none" w:color="000000" w:sz="4" w:space="0"/>
            </w:tcBorders>
            <w:tcW w:w="630"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b/>
                <w:bCs/>
                <w:color w:val="auto"/>
                <w:spacing w:val="-1"/>
                <w:sz w:val="24"/>
                <w:szCs w:val="24"/>
                <w:highlight w:val="none"/>
              </w:rPr>
              <w:t xml:space="preserve">限用农药：</w:t>
            </w:r>
            <w:r>
              <w:rPr>
                <w:color w:val="auto"/>
                <w:spacing w:val="-1"/>
                <w:sz w:val="24"/>
                <w:szCs w:val="24"/>
                <w:highlight w:val="none"/>
              </w:rPr>
              <w:t xml:space="preserve">乙酰甲胺磷、氰戊菊酯、</w:t>
            </w:r>
            <w:r>
              <w:rPr>
                <w:b/>
                <w:bCs/>
                <w:color w:val="auto"/>
                <w:spacing w:val="-1"/>
                <w:sz w:val="24"/>
                <w:szCs w:val="24"/>
                <w:highlight w:val="none"/>
              </w:rPr>
              <w:t xml:space="preserve">氯菊酯</w:t>
            </w:r>
            <w:r/>
          </w:p>
        </w:tc>
        <w:tc>
          <w:tcPr>
            <w:tcBorders>
              <w:top w:val="none" w:color="000000" w:sz="4" w:space="0"/>
              <w:bottom w:val="none" w:color="000000" w:sz="4" w:space="0"/>
            </w:tcBorders>
            <w:tcW w:w="2028"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75"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37"/>
        </w:trPr>
        <w:tc>
          <w:tcPr>
            <w:tcBorders>
              <w:top w:val="none" w:color="000000" w:sz="4" w:space="0"/>
            </w:tcBorders>
            <w:tcW w:w="630"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73" w:type="dxa"/>
            <w:vAlign w:val="top"/>
            <w:textDirection w:val="lrTb"/>
            <w:noWrap w:val="false"/>
          </w:tcPr>
          <w:p>
            <w:pPr>
              <w:pStyle w:val="1057"/>
              <w:ind w:left="0" w:right="0"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b/>
                <w:bCs/>
                <w:color w:val="auto"/>
                <w:spacing w:val="-1"/>
                <w:sz w:val="24"/>
                <w:szCs w:val="24"/>
                <w:highlight w:val="none"/>
              </w:rPr>
              <w:t xml:space="preserve">常规农药：</w:t>
            </w:r>
            <w:r>
              <w:rPr>
                <w:color w:val="auto"/>
                <w:spacing w:val="-1"/>
                <w:sz w:val="24"/>
                <w:szCs w:val="24"/>
                <w:highlight w:val="none"/>
              </w:rPr>
              <w:t xml:space="preserve">吡虫啉、多菌灵、茚</w:t>
            </w:r>
            <w:r>
              <w:rPr>
                <w:b/>
                <w:bCs/>
                <w:color w:val="auto"/>
                <w:spacing w:val="-1"/>
                <w:sz w:val="24"/>
                <w:szCs w:val="24"/>
                <w:highlight w:val="none"/>
              </w:rPr>
              <w:t xml:space="preserve">虫威、噻嗪酮、</w:t>
            </w:r>
            <w:r>
              <w:rPr>
                <w:color w:val="auto"/>
                <w:spacing w:val="-1"/>
                <w:sz w:val="24"/>
                <w:szCs w:val="24"/>
                <w:highlight w:val="none"/>
              </w:rPr>
              <w:t xml:space="preserve">哒螨</w:t>
            </w:r>
            <w:r>
              <w:rPr>
                <w:color w:val="auto"/>
                <w:sz w:val="24"/>
                <w:szCs w:val="24"/>
                <w:highlight w:val="none"/>
              </w:rPr>
              <w:t xml:space="preserve"> 灵、啶虫脒、苯醚甲环唑，联苯菊酯、氯氰菊酯、溴</w:t>
            </w:r>
            <w:r>
              <w:rPr>
                <w:color w:val="auto"/>
                <w:spacing w:val="11"/>
                <w:sz w:val="24"/>
                <w:szCs w:val="24"/>
                <w:highlight w:val="none"/>
              </w:rPr>
              <w:t xml:space="preserve"> </w:t>
            </w:r>
            <w:r>
              <w:rPr>
                <w:color w:val="auto"/>
                <w:spacing w:val="-1"/>
                <w:sz w:val="24"/>
                <w:szCs w:val="24"/>
                <w:highlight w:val="none"/>
              </w:rPr>
              <w:t xml:space="preserve">氰菊酯、</w:t>
            </w:r>
            <w:r>
              <w:rPr>
                <w:b/>
                <w:bCs/>
                <w:color w:val="auto"/>
                <w:spacing w:val="-1"/>
                <w:sz w:val="24"/>
                <w:szCs w:val="24"/>
                <w:highlight w:val="none"/>
              </w:rPr>
              <w:t xml:space="preserve">氟氰戊菊酯</w:t>
            </w:r>
            <w:r>
              <w:rPr>
                <w:color w:val="auto"/>
                <w:spacing w:val="-1"/>
                <w:sz w:val="24"/>
                <w:szCs w:val="24"/>
                <w:highlight w:val="none"/>
              </w:rPr>
              <w:t xml:space="preserve">、虫螨腈、</w:t>
            </w:r>
            <w:r>
              <w:rPr>
                <w:b/>
                <w:bCs/>
                <w:color w:val="auto"/>
                <w:spacing w:val="-1"/>
                <w:sz w:val="24"/>
                <w:szCs w:val="24"/>
                <w:highlight w:val="none"/>
              </w:rPr>
              <w:t xml:space="preserve">啶氧菌酯、</w:t>
            </w:r>
            <w:r>
              <w:rPr>
                <w:color w:val="auto"/>
                <w:spacing w:val="-1"/>
                <w:sz w:val="24"/>
                <w:szCs w:val="24"/>
                <w:highlight w:val="none"/>
              </w:rPr>
              <w:t xml:space="preserve">吡唑醚菌</w:t>
            </w:r>
            <w:r>
              <w:rPr>
                <w:color w:val="auto"/>
                <w:spacing w:val="11"/>
                <w:sz w:val="24"/>
                <w:szCs w:val="24"/>
                <w:highlight w:val="none"/>
              </w:rPr>
              <w:t xml:space="preserve"> </w:t>
            </w:r>
            <w:r>
              <w:rPr>
                <w:color w:val="auto"/>
                <w:sz w:val="24"/>
                <w:szCs w:val="24"/>
                <w:highlight w:val="none"/>
              </w:rPr>
              <w:t xml:space="preserve">酯</w:t>
            </w:r>
            <w:r/>
          </w:p>
        </w:tc>
        <w:tc>
          <w:tcPr>
            <w:tcBorders>
              <w:top w:val="none" w:color="000000" w:sz="4" w:space="0"/>
            </w:tcBorders>
            <w:tcW w:w="2028"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75" w:type="dxa"/>
            <w:vAlign w:val="top"/>
            <w:vMerge w:val="continue"/>
            <w:textDirection w:val="lrTb"/>
            <w:noWrap w:val="false"/>
          </w:tcPr>
          <w:p>
            <w:pPr>
              <w:ind w:left="0" w:right="0" w:firstLine="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before="75" w:line="22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rPr>
        <w:t xml:space="preserve">注</w:t>
      </w:r>
      <w:r>
        <w:rPr>
          <w:rFonts w:hint="eastAsia" w:ascii="宋体" w:hAnsi="宋体" w:eastAsia="宋体" w:cs="宋体"/>
          <w:b/>
          <w:bCs/>
          <w:color w:val="auto"/>
          <w:spacing w:val="8"/>
          <w:sz w:val="24"/>
          <w:szCs w:val="24"/>
          <w:highlight w:val="none"/>
        </w:rPr>
        <w:t xml:space="preserve">：</w:t>
      </w:r>
      <w:r>
        <w:rPr>
          <w:rFonts w:hint="eastAsia" w:ascii="宋体" w:hAnsi="宋体" w:eastAsia="宋体" w:cs="宋体"/>
          <w:color w:val="auto"/>
          <w:spacing w:val="8"/>
          <w:sz w:val="24"/>
          <w:szCs w:val="24"/>
          <w:highlight w:val="none"/>
        </w:rPr>
        <w:t xml:space="preserve">国家现行有效方法也可以使用，但方法最低检出限必须满足判定依据限量值。</w:t>
      </w:r>
      <w:r/>
    </w:p>
    <w:p>
      <w:pPr>
        <w:jc w:val="both"/>
        <w:widowControl w:val="off"/>
        <w:rPr>
          <w:rFonts w:hint="eastAsia" w:ascii="宋体" w:hAnsi="宋体" w:eastAsia="宋体" w:cs="宋体"/>
          <w:b/>
          <w:bCs/>
          <w:color w:val="auto"/>
          <w:spacing w:val="-1"/>
          <w:sz w:val="24"/>
          <w:szCs w:val="24"/>
          <w:highlight w:val="none"/>
          <w:lang w:eastAsia="zh-CN"/>
        </w:rPr>
      </w:pPr>
      <w:r>
        <w:rPr>
          <w:rFonts w:hint="eastAsia" w:ascii="Times New Roman" w:hAnsi="Times New Roman" w:eastAsia="仿宋_GB2312" w:cs="Times New Roman"/>
          <w:b/>
          <w:bCs/>
          <w:color w:val="auto"/>
          <w:sz w:val="32"/>
          <w:szCs w:val="32"/>
          <w:highlight w:val="none"/>
          <w:lang w:val="en-US" w:eastAsia="zh-CN" w:bidi="ar-SA"/>
        </w:rPr>
        <w:t xml:space="preserve">附表2</w:t>
      </w:r>
      <w:r/>
    </w:p>
    <w:p>
      <w:pPr>
        <w:jc w:val="center"/>
        <w:spacing w:before="72" w:line="219" w:lineRule="auto"/>
        <w:rPr>
          <w:rFonts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eastAsia="zh-CN"/>
        </w:rPr>
        <w:t xml:space="preserve">二、</w:t>
      </w:r>
      <w:r>
        <w:rPr>
          <w:rFonts w:ascii="宋体" w:hAnsi="宋体" w:eastAsia="宋体" w:cs="宋体"/>
          <w:b/>
          <w:bCs/>
          <w:color w:val="auto"/>
          <w:spacing w:val="-1"/>
          <w:sz w:val="24"/>
          <w:szCs w:val="24"/>
          <w:highlight w:val="none"/>
        </w:rPr>
        <w:t xml:space="preserve">畜禽产品检测方法和判定依据</w:t>
      </w:r>
      <w:r/>
    </w:p>
    <w:p>
      <w:pPr>
        <w:spacing w:line="17" w:lineRule="exact"/>
        <w:rPr>
          <w:color w:val="auto"/>
          <w:highlight w:val="none"/>
        </w:rPr>
      </w:pPr>
      <w:r>
        <w:rPr>
          <w:color w:val="auto"/>
          <w:highlight w:val="none"/>
        </w:rPr>
      </w:r>
      <w:r/>
    </w:p>
    <w:tbl>
      <w:tblPr>
        <w:tblStyle w:val="1058"/>
        <w:tblW w:w="9184"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9"/>
        <w:gridCol w:w="3128"/>
        <w:gridCol w:w="2087"/>
        <w:gridCol w:w="2650"/>
      </w:tblGrid>
      <w:tr>
        <w:trPr>
          <w:trHeight w:val="838"/>
        </w:trPr>
        <w:tc>
          <w:tcPr>
            <w:tcW w:w="1319"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样品种类</w:t>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监测项目</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rPr>
              <w:t xml:space="preserve">检测方法</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判定限量</w:t>
            </w:r>
            <w:r>
              <w:rPr>
                <w:rFonts w:hint="eastAsia" w:cs="宋体"/>
                <w:b/>
                <w:bCs/>
                <w:color w:val="auto"/>
                <w:spacing w:val="1"/>
                <w:sz w:val="24"/>
                <w:szCs w:val="24"/>
                <w:highlight w:val="none"/>
                <w:lang w:eastAsia="zh-CN"/>
              </w:rPr>
              <w:t xml:space="preserve">（</w:t>
            </w:r>
            <w:r>
              <w:rPr>
                <w:rFonts w:hint="eastAsia" w:ascii="宋体" w:hAnsi="宋体" w:eastAsia="宋体" w:cs="宋体"/>
                <w:b/>
                <w:bCs/>
                <w:color w:val="auto"/>
                <w:sz w:val="24"/>
                <w:szCs w:val="24"/>
                <w:highlight w:val="none"/>
              </w:rPr>
              <w:t xml:space="preserve">pg</w:t>
            </w:r>
            <w:r>
              <w:rPr>
                <w:rFonts w:hint="eastAsia" w:ascii="宋体" w:hAnsi="宋体" w:eastAsia="宋体" w:cs="宋体"/>
                <w:b/>
                <w:bCs/>
                <w:color w:val="auto"/>
                <w:spacing w:val="1"/>
                <w:sz w:val="24"/>
                <w:szCs w:val="24"/>
                <w:highlight w:val="none"/>
              </w:rPr>
              <w:t xml:space="preserve">/</w:t>
            </w:r>
            <w:r>
              <w:rPr>
                <w:rFonts w:hint="eastAsia" w:ascii="宋体" w:hAnsi="宋体" w:eastAsia="宋体" w:cs="宋体"/>
                <w:b/>
                <w:bCs/>
                <w:color w:val="auto"/>
                <w:sz w:val="24"/>
                <w:szCs w:val="24"/>
                <w:highlight w:val="none"/>
              </w:rPr>
              <w:t xml:space="preserve">kg</w:t>
            </w:r>
            <w:r>
              <w:rPr>
                <w:rFonts w:hint="eastAsia" w:cs="宋体"/>
                <w:b/>
                <w:bCs/>
                <w:color w:val="auto"/>
                <w:sz w:val="24"/>
                <w:szCs w:val="24"/>
                <w:highlight w:val="none"/>
                <w:lang w:eastAsia="zh-CN"/>
              </w:rPr>
              <w:t xml:space="preserve">）</w:t>
            </w:r>
            <w:r/>
          </w:p>
        </w:tc>
      </w:tr>
      <w:tr>
        <w:trPr>
          <w:trHeight w:val="90"/>
        </w:trPr>
        <w:tc>
          <w:tcPr>
            <w:tcBorders>
              <w:bottom w:val="none" w:color="000000" w:sz="4" w:space="0"/>
            </w:tcBorders>
            <w:tcW w:w="1319" w:type="dxa"/>
            <w:vAlign w:val="top"/>
            <w:vMerge w:val="restart"/>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畜产品</w:t>
            </w:r>
            <w:r>
              <w:rPr>
                <w:rFonts w:hint="eastAsia" w:cs="宋体"/>
                <w:color w:val="auto"/>
                <w:spacing w:val="-12"/>
                <w:sz w:val="24"/>
                <w:szCs w:val="24"/>
                <w:highlight w:val="none"/>
                <w:lang w:eastAsia="zh-CN"/>
              </w:rPr>
              <w:t xml:space="preserve">（</w:t>
            </w:r>
            <w:r>
              <w:rPr>
                <w:rFonts w:hint="eastAsia" w:ascii="宋体" w:hAnsi="宋体" w:eastAsia="宋体" w:cs="宋体"/>
                <w:color w:val="auto"/>
                <w:spacing w:val="-12"/>
                <w:sz w:val="24"/>
                <w:szCs w:val="24"/>
                <w:highlight w:val="none"/>
              </w:rPr>
              <w:t xml:space="preserve">猪</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7"/>
                <w:sz w:val="24"/>
                <w:szCs w:val="24"/>
                <w:highlight w:val="none"/>
              </w:rPr>
              <w:t xml:space="preserve">肉、猪肝、</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牛肉、羊</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肉</w:t>
            </w:r>
            <w:r>
              <w:rPr>
                <w:rFonts w:hint="eastAsia" w:ascii="宋体" w:hAnsi="宋体" w:eastAsia="宋体" w:cs="宋体"/>
                <w:color w:val="auto"/>
                <w:spacing w:val="-12"/>
                <w:sz w:val="24"/>
                <w:szCs w:val="24"/>
                <w:highlight w:val="none"/>
              </w:rPr>
              <w:t xml:space="preserve"> </w:t>
            </w:r>
            <w:r>
              <w:rPr>
                <w:rFonts w:hint="eastAsia" w:cs="宋体"/>
                <w:color w:val="auto"/>
                <w:spacing w:val="-12"/>
                <w:sz w:val="24"/>
                <w:szCs w:val="24"/>
                <w:highlight w:val="none"/>
                <w:lang w:eastAsia="zh-CN"/>
              </w:rPr>
              <w:t xml:space="preserve">）</w:t>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β-受体激动剂类</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克伦特罗、莱克</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z w:val="24"/>
                <w:szCs w:val="24"/>
                <w:highlight w:val="none"/>
              </w:rPr>
              <w:t xml:space="preserve">多巴胺、沙丁胺醇、特布他林、西</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z w:val="24"/>
                <w:szCs w:val="24"/>
                <w:highlight w:val="none"/>
              </w:rPr>
              <w:t xml:space="preserve">马特罗、非诺特罗、氯丙那林、妥</w:t>
            </w:r>
            <w:r>
              <w:rPr>
                <w:rFonts w:hint="eastAsia" w:ascii="宋体" w:hAnsi="宋体" w:eastAsia="宋体" w:cs="宋体"/>
                <w:color w:val="auto"/>
                <w:spacing w:val="6"/>
                <w:sz w:val="24"/>
                <w:szCs w:val="24"/>
                <w:highlight w:val="none"/>
              </w:rPr>
              <w:t xml:space="preserve">布特罗、喷布特罗</w:t>
            </w:r>
            <w:r>
              <w:rPr>
                <w:rFonts w:hint="eastAsia" w:cs="宋体"/>
                <w:color w:val="auto"/>
                <w:spacing w:val="6"/>
                <w:sz w:val="24"/>
                <w:szCs w:val="24"/>
                <w:highlight w:val="none"/>
                <w:lang w:eastAsia="zh-CN"/>
              </w:rPr>
              <w:t xml:space="preserve">）</w:t>
            </w:r>
            <w:r/>
          </w:p>
        </w:tc>
        <w:tc>
          <w:tcPr>
            <w:tcW w:w="2087"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GB</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 xml:space="preserve">31658.22-2022</w:t>
            </w:r>
            <w:r/>
          </w:p>
        </w:tc>
        <w:tc>
          <w:tcPr>
            <w:tcW w:w="2650"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不得检出</w:t>
            </w:r>
            <w:r>
              <w:rPr>
                <w:rFonts w:hint="eastAsia"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判定限0.5</w:t>
            </w:r>
            <w:r>
              <w:rPr>
                <w:rFonts w:hint="eastAsia" w:cs="宋体"/>
                <w:color w:val="auto"/>
                <w:spacing w:val="4"/>
                <w:sz w:val="24"/>
                <w:szCs w:val="24"/>
                <w:highlight w:val="none"/>
                <w:lang w:eastAsia="zh-CN"/>
              </w:rPr>
              <w:t xml:space="preserve">）</w:t>
            </w:r>
            <w:r/>
          </w:p>
        </w:tc>
      </w:tr>
      <w:tr>
        <w:trPr>
          <w:trHeight w:val="788"/>
        </w:trPr>
        <w:tc>
          <w:tcPr>
            <w:tcBorders>
              <w:top w:val="none" w:color="000000" w:sz="4" w:space="0"/>
              <w:bottom w:val="none" w:color="000000"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氟喹诺酮类</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恩诺沙星、环丙沙星</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10"/>
                <w:sz w:val="24"/>
                <w:szCs w:val="24"/>
                <w:highlight w:val="none"/>
              </w:rPr>
              <w:t xml:space="preserve"> </w:t>
            </w:r>
            <w:r>
              <w:rPr>
                <w:rFonts w:hint="eastAsia" w:cs="宋体"/>
                <w:color w:val="auto"/>
                <w:spacing w:val="10"/>
                <w:sz w:val="24"/>
                <w:szCs w:val="24"/>
                <w:highlight w:val="none"/>
                <w:lang w:eastAsia="zh-CN"/>
              </w:rPr>
              <w:t xml:space="preserve">（</w:t>
            </w:r>
            <w:r>
              <w:rPr>
                <w:rFonts w:hint="eastAsia" w:ascii="宋体" w:hAnsi="宋体" w:eastAsia="宋体" w:cs="宋体"/>
                <w:color w:val="auto"/>
                <w:spacing w:val="9"/>
                <w:sz w:val="24"/>
                <w:szCs w:val="24"/>
                <w:highlight w:val="none"/>
              </w:rPr>
              <w:t xml:space="preserve">不含猪肝</w:t>
            </w:r>
            <w:r>
              <w:rPr>
                <w:rFonts w:hint="eastAsia" w:cs="宋体"/>
                <w:color w:val="auto"/>
                <w:spacing w:val="9"/>
                <w:sz w:val="24"/>
                <w:szCs w:val="24"/>
                <w:highlight w:val="none"/>
                <w:lang w:eastAsia="zh-CN"/>
              </w:rPr>
              <w:t xml:space="preserve">）</w:t>
            </w:r>
            <w:r/>
          </w:p>
        </w:tc>
        <w:tc>
          <w:tcPr>
            <w:tcW w:w="2087"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GB</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2"/>
                <w:sz w:val="24"/>
                <w:szCs w:val="24"/>
                <w:highlight w:val="none"/>
              </w:rPr>
              <w:t xml:space="preserve">31658.17-2021</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100</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恩诺沙星和环丙沙</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3"/>
                <w:sz w:val="24"/>
                <w:szCs w:val="24"/>
                <w:highlight w:val="none"/>
              </w:rPr>
              <w:t xml:space="preserve">星之和</w:t>
            </w:r>
            <w:r>
              <w:rPr>
                <w:rFonts w:hint="eastAsia" w:cs="宋体"/>
                <w:color w:val="auto"/>
                <w:spacing w:val="13"/>
                <w:sz w:val="24"/>
                <w:szCs w:val="24"/>
                <w:highlight w:val="none"/>
                <w:lang w:eastAsia="zh-CN"/>
              </w:rPr>
              <w:t xml:space="preserve">）</w:t>
            </w:r>
            <w:r/>
          </w:p>
        </w:tc>
      </w:tr>
      <w:tr>
        <w:trPr>
          <w:trHeight w:val="1570"/>
        </w:trPr>
        <w:tc>
          <w:tcPr>
            <w:tcBorders>
              <w:top w:val="none" w:color="000000" w:sz="4" w:space="0"/>
              <w:bottom w:val="none" w:color="000000"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磺胺类</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磺胺间甲氧嘧啶、磺胺二  </w:t>
            </w:r>
            <w:r>
              <w:rPr>
                <w:rFonts w:hint="eastAsia" w:ascii="宋体" w:hAnsi="宋体" w:eastAsia="宋体" w:cs="宋体"/>
                <w:color w:val="auto"/>
                <w:spacing w:val="3"/>
                <w:sz w:val="24"/>
                <w:szCs w:val="24"/>
                <w:highlight w:val="none"/>
              </w:rPr>
              <w:t xml:space="preserve">甲嘧啶、磺胺甲噁唑、磺胺</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间)</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二甲氧嘧啶、磺胺喹噁啉，甲氧苄</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2"/>
                <w:sz w:val="24"/>
                <w:szCs w:val="24"/>
                <w:highlight w:val="none"/>
              </w:rPr>
              <w:t xml:space="preserve">啶</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2"/>
                <w:sz w:val="24"/>
                <w:szCs w:val="24"/>
                <w:highlight w:val="none"/>
              </w:rPr>
              <w:t xml:space="preserve">)</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GB</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12"/>
                <w:sz w:val="24"/>
                <w:szCs w:val="24"/>
                <w:highlight w:val="none"/>
              </w:rPr>
              <w:t xml:space="preserve">31658.17-2021、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6"/>
                <w:sz w:val="24"/>
                <w:szCs w:val="24"/>
                <w:highlight w:val="none"/>
              </w:rPr>
              <w:t xml:space="preserve">GB/T 21316-2007、农</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2"/>
                <w:sz w:val="24"/>
                <w:szCs w:val="24"/>
                <w:highlight w:val="none"/>
              </w:rPr>
              <w:t xml:space="preserve">业部1025号公告-23-</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9"/>
                <w:sz w:val="24"/>
                <w:szCs w:val="24"/>
                <w:highlight w:val="none"/>
              </w:rPr>
              <w:t xml:space="preserve">2008</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磺胺类：100</w:t>
            </w:r>
            <w:r>
              <w:rPr>
                <w:rFonts w:hint="eastAsia"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总量</w:t>
            </w:r>
            <w:r>
              <w:rPr>
                <w:rFonts w:hint="eastAsia"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甲氧苄啶：50</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仅判定猪</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0"/>
                <w:sz w:val="24"/>
                <w:szCs w:val="24"/>
                <w:highlight w:val="none"/>
              </w:rPr>
              <w:t xml:space="preserve">肉、牛肉</w:t>
            </w:r>
            <w:r>
              <w:rPr>
                <w:rFonts w:hint="eastAsia" w:cs="宋体"/>
                <w:color w:val="auto"/>
                <w:spacing w:val="10"/>
                <w:sz w:val="24"/>
                <w:szCs w:val="24"/>
                <w:highlight w:val="none"/>
                <w:lang w:eastAsia="zh-CN"/>
              </w:rPr>
              <w:t xml:space="preserve">）</w:t>
            </w:r>
            <w:r/>
          </w:p>
        </w:tc>
      </w:tr>
      <w:tr>
        <w:trPr>
          <w:trHeight w:val="1141"/>
        </w:trPr>
        <w:tc>
          <w:tcPr>
            <w:tcBorders>
              <w:top w:val="none" w:color="000000" w:sz="4" w:space="0"/>
              <w:bottom w:val="none" w:color="000000"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四环素类</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金霉素、土霉素、四环</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4"/>
                <w:sz w:val="24"/>
                <w:szCs w:val="24"/>
                <w:highlight w:val="none"/>
              </w:rPr>
              <w:t xml:space="preserve">素、多西环素</w:t>
            </w:r>
            <w:r>
              <w:rPr>
                <w:rFonts w:hint="eastAsia"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不含猪肝</w:t>
            </w:r>
            <w:r>
              <w:rPr>
                <w:rFonts w:hint="eastAsia" w:cs="宋体"/>
                <w:color w:val="auto"/>
                <w:spacing w:val="4"/>
                <w:sz w:val="24"/>
                <w:szCs w:val="24"/>
                <w:highlight w:val="none"/>
                <w:lang w:eastAsia="zh-CN"/>
              </w:rPr>
              <w:t xml:space="preserve">）</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GB</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2"/>
                <w:sz w:val="24"/>
                <w:szCs w:val="24"/>
                <w:highlight w:val="none"/>
              </w:rPr>
              <w:t xml:space="preserve">31658.17-2021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或</w:t>
            </w:r>
            <w:r>
              <w:rPr>
                <w:rFonts w:hint="eastAsia" w:ascii="宋体" w:hAnsi="宋体" w:eastAsia="宋体" w:cs="宋体"/>
                <w:color w:val="auto"/>
                <w:sz w:val="24"/>
                <w:szCs w:val="24"/>
                <w:highlight w:val="none"/>
              </w:rPr>
              <w:t xml:space="preserve">GB</w:t>
            </w:r>
            <w:r>
              <w:rPr>
                <w:rFonts w:hint="eastAsia" w:ascii="宋体" w:hAnsi="宋体" w:eastAsia="宋体" w:cs="宋体"/>
                <w:color w:val="auto"/>
                <w:spacing w:val="1"/>
                <w:sz w:val="24"/>
                <w:szCs w:val="24"/>
                <w:highlight w:val="none"/>
              </w:rPr>
              <w:t xml:space="preserve">/T 21317-2007</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金霉素、土霉素、四环</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z w:val="24"/>
                <w:szCs w:val="24"/>
                <w:highlight w:val="none"/>
              </w:rPr>
              <w:t xml:space="preserve">素：200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多西环素：100</w:t>
            </w:r>
            <w:r>
              <w:rPr>
                <w:rFonts w:hint="eastAsia" w:ascii="宋体" w:hAnsi="宋体" w:eastAsia="宋体" w:cs="宋体"/>
                <w:color w:val="auto"/>
                <w:spacing w:val="7"/>
                <w:sz w:val="24"/>
                <w:szCs w:val="24"/>
                <w:highlight w:val="none"/>
              </w:rPr>
              <w:t xml:space="preserve"> </w:t>
            </w:r>
            <w:r>
              <w:rPr>
                <w:rFonts w:hint="eastAsia" w:cs="宋体"/>
                <w:color w:val="auto"/>
                <w:spacing w:val="7"/>
                <w:sz w:val="24"/>
                <w:szCs w:val="24"/>
                <w:highlight w:val="none"/>
                <w:lang w:eastAsia="zh-CN"/>
              </w:rPr>
              <w:t xml:space="preserve">（</w:t>
            </w:r>
            <w:r>
              <w:rPr>
                <w:rFonts w:hint="eastAsia" w:ascii="宋体" w:hAnsi="宋体" w:eastAsia="宋体" w:cs="宋体"/>
                <w:color w:val="auto"/>
                <w:spacing w:val="8"/>
                <w:sz w:val="24"/>
                <w:szCs w:val="24"/>
                <w:highlight w:val="none"/>
              </w:rPr>
              <w:t xml:space="preserve">仅判定猪肉、牛肉</w:t>
            </w:r>
            <w:r>
              <w:rPr>
                <w:rFonts w:hint="eastAsia" w:cs="宋体"/>
                <w:color w:val="auto"/>
                <w:spacing w:val="8"/>
                <w:sz w:val="24"/>
                <w:szCs w:val="24"/>
                <w:highlight w:val="none"/>
                <w:lang w:eastAsia="zh-CN"/>
              </w:rPr>
              <w:t xml:space="preserve">）</w:t>
            </w:r>
            <w:r/>
          </w:p>
        </w:tc>
      </w:tr>
      <w:tr>
        <w:trPr>
          <w:trHeight w:val="1157"/>
        </w:trPr>
        <w:tc>
          <w:tcPr>
            <w:tcBorders>
              <w:top w:val="none" w:color="000000" w:sz="4" w:space="0"/>
              <w:bottom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糖皮质激素类</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地塞米松、倍他米</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
                <w:sz w:val="24"/>
                <w:szCs w:val="24"/>
                <w:highlight w:val="none"/>
              </w:rPr>
              <w:t xml:space="preserve">松</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仅牛肉</w:t>
            </w:r>
            <w:r>
              <w:rPr>
                <w:rFonts w:hint="eastAsia" w:cs="宋体"/>
                <w:color w:val="auto"/>
                <w:spacing w:val="3"/>
                <w:sz w:val="24"/>
                <w:szCs w:val="24"/>
                <w:highlight w:val="none"/>
                <w:lang w:eastAsia="zh-CN"/>
              </w:rPr>
              <w:t xml:space="preserve">）</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农业部1031号公告</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
                <w:sz w:val="24"/>
                <w:szCs w:val="24"/>
                <w:highlight w:val="none"/>
              </w:rPr>
              <w:t xml:space="preserve">-2-2008或GB/T</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21981</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地塞米松：1.0</w:t>
            </w:r>
            <w:r>
              <w:rPr>
                <w:rFonts w:hint="eastAsia"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倍他米</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松：0.75</w:t>
            </w:r>
            <w:r/>
          </w:p>
        </w:tc>
      </w:tr>
      <w:tr>
        <w:trPr>
          <w:trHeight w:val="517"/>
        </w:trPr>
        <w:tc>
          <w:tcPr>
            <w:tcBorders>
              <w:top w:val="single" w:color="auto" w:sz="4" w:space="0"/>
              <w:left w:val="single" w:color="auto" w:sz="4" w:space="0"/>
              <w:bottom w:val="single" w:color="auto" w:sz="4" w:space="0"/>
              <w:right w:val="single" w:color="auto" w:sz="4" w:space="0"/>
            </w:tcBorders>
            <w:tcW w:w="1319" w:type="dxa"/>
            <w:vAlign w:val="top"/>
            <w:vMerge w:val="restart"/>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禽肉</w:t>
            </w:r>
            <w:r>
              <w:rPr>
                <w:rFonts w:hint="eastAsia" w:cs="宋体"/>
                <w:color w:val="auto"/>
                <w:spacing w:val="-11"/>
                <w:sz w:val="24"/>
                <w:szCs w:val="24"/>
                <w:highlight w:val="none"/>
                <w:lang w:eastAsia="zh-CN"/>
              </w:rPr>
              <w:t xml:space="preserve">（</w:t>
            </w:r>
            <w:r>
              <w:rPr>
                <w:rFonts w:hint="eastAsia" w:ascii="宋体" w:hAnsi="宋体" w:eastAsia="宋体" w:cs="宋体"/>
                <w:color w:val="auto"/>
                <w:spacing w:val="-11"/>
                <w:sz w:val="24"/>
                <w:szCs w:val="24"/>
                <w:highlight w:val="none"/>
              </w:rPr>
              <w:t xml:space="preserve">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7"/>
                <w:sz w:val="24"/>
                <w:szCs w:val="24"/>
                <w:highlight w:val="none"/>
              </w:rPr>
              <w:t xml:space="preserve">肉、鸭肉、</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1"/>
                <w:sz w:val="24"/>
                <w:szCs w:val="24"/>
                <w:highlight w:val="none"/>
              </w:rPr>
              <w:t xml:space="preserve">鸽肉</w:t>
            </w:r>
            <w:r>
              <w:rPr>
                <w:rFonts w:hint="eastAsia" w:cs="宋体"/>
                <w:color w:val="auto"/>
                <w:spacing w:val="-1"/>
                <w:sz w:val="24"/>
                <w:szCs w:val="24"/>
                <w:highlight w:val="none"/>
                <w:lang w:eastAsia="zh-CN"/>
              </w:rPr>
              <w:t xml:space="preserve">）</w:t>
            </w:r>
            <w:r/>
          </w:p>
        </w:tc>
        <w:tc>
          <w:tcPr>
            <w:tcBorders>
              <w:left w:val="single" w:color="auto" w:sz="4" w:space="0"/>
            </w:tcBorders>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金刚烷胺</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GB 31660.5-2019</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不得检出</w:t>
            </w:r>
            <w:r>
              <w:rPr>
                <w:rFonts w:hint="eastAsia"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判定限2.0</w:t>
            </w:r>
            <w:r>
              <w:rPr>
                <w:rFonts w:hint="eastAsia" w:cs="宋体"/>
                <w:color w:val="auto"/>
                <w:spacing w:val="4"/>
                <w:sz w:val="24"/>
                <w:szCs w:val="24"/>
                <w:highlight w:val="none"/>
                <w:lang w:eastAsia="zh-CN"/>
              </w:rPr>
              <w:t xml:space="preserve">）</w:t>
            </w:r>
            <w:r/>
          </w:p>
        </w:tc>
      </w:tr>
      <w:tr>
        <w:trPr>
          <w:trHeight w:val="1439"/>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酰胺醇类</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氯霉素，氟苯尼考、氟</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6"/>
                <w:sz w:val="24"/>
                <w:szCs w:val="24"/>
                <w:highlight w:val="none"/>
              </w:rPr>
              <w:t xml:space="preserve">苯尼考胺，甲砜霉素</w:t>
            </w:r>
            <w:r>
              <w:rPr>
                <w:rFonts w:hint="eastAsia" w:cs="宋体"/>
                <w:color w:val="auto"/>
                <w:spacing w:val="6"/>
                <w:sz w:val="24"/>
                <w:szCs w:val="24"/>
                <w:highlight w:val="none"/>
                <w:lang w:eastAsia="zh-CN"/>
              </w:rPr>
              <w:t xml:space="preserve">）</w:t>
            </w:r>
            <w:r/>
          </w:p>
        </w:tc>
        <w:tc>
          <w:tcPr>
            <w:tcW w:w="2087"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GB</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 xml:space="preserve">31658.20-2022</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氯霉素：不得检出</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判定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限0.2</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氟苯尼考与氟苯</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z w:val="24"/>
                <w:szCs w:val="24"/>
                <w:highlight w:val="none"/>
              </w:rPr>
              <w:t xml:space="preserve">尼考胺之和：100</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甲砜</w:t>
            </w:r>
            <w:r>
              <w:rPr>
                <w:rFonts w:hint="eastAsia" w:ascii="宋体" w:hAnsi="宋体" w:eastAsia="宋体" w:cs="宋体"/>
                <w:color w:val="auto"/>
                <w:spacing w:val="2"/>
                <w:sz w:val="24"/>
                <w:szCs w:val="24"/>
                <w:highlight w:val="none"/>
              </w:rPr>
              <w:t xml:space="preserve">霉素：50</w:t>
            </w:r>
            <w:r/>
          </w:p>
        </w:tc>
      </w:tr>
      <w:tr>
        <w:trPr>
          <w:trHeight w:val="2486"/>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氟喹诺酮类</w:t>
            </w:r>
            <w:r>
              <w:rPr>
                <w:rFonts w:hint="eastAsia" w:cs="宋体"/>
                <w:color w:val="auto"/>
                <w:spacing w:val="-10"/>
                <w:sz w:val="24"/>
                <w:szCs w:val="24"/>
                <w:highlight w:val="none"/>
                <w:lang w:eastAsia="zh-CN"/>
              </w:rPr>
              <w:t xml:space="preserve">（</w:t>
            </w:r>
            <w:r>
              <w:rPr>
                <w:rFonts w:hint="eastAsia" w:ascii="宋体" w:hAnsi="宋体" w:eastAsia="宋体" w:cs="宋体"/>
                <w:color w:val="auto"/>
                <w:spacing w:val="-10"/>
                <w:sz w:val="24"/>
                <w:szCs w:val="24"/>
                <w:highlight w:val="none"/>
              </w:rPr>
              <w:t xml:space="preserve">氧氟沙星、培氟沙星、</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诺氟沙星、洛美沙星，恩诺沙星、</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5"/>
                <w:sz w:val="24"/>
                <w:szCs w:val="24"/>
                <w:highlight w:val="none"/>
              </w:rPr>
              <w:t xml:space="preserve">环丙沙星、沙拉沙星、达氟沙星</w:t>
            </w:r>
            <w:r>
              <w:rPr>
                <w:rFonts w:hint="eastAsia" w:cs="宋体"/>
                <w:color w:val="auto"/>
                <w:spacing w:val="-5"/>
                <w:sz w:val="24"/>
                <w:szCs w:val="24"/>
                <w:highlight w:val="none"/>
                <w:lang w:eastAsia="zh-CN"/>
              </w:rPr>
              <w:t xml:space="preserve">）</w:t>
            </w:r>
            <w:r/>
          </w:p>
        </w:tc>
        <w:tc>
          <w:tcPr>
            <w:tcW w:w="2087"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GB/T 21312-2007</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氧氟沙星、培氟沙星、诺</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5"/>
                <w:sz w:val="24"/>
                <w:szCs w:val="24"/>
                <w:highlight w:val="none"/>
              </w:rPr>
              <w:t xml:space="preserve">氟沙星、洛美沙星：不得</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44"/>
                <w:sz w:val="24"/>
                <w:szCs w:val="24"/>
                <w:highlight w:val="none"/>
              </w:rPr>
              <w:t xml:space="preserve">检出</w:t>
            </w:r>
            <w:r>
              <w:rPr>
                <w:rFonts w:hint="eastAsia" w:cs="宋体"/>
                <w:color w:val="auto"/>
                <w:spacing w:val="44"/>
                <w:sz w:val="24"/>
                <w:szCs w:val="24"/>
                <w:highlight w:val="none"/>
                <w:lang w:eastAsia="zh-CN"/>
              </w:rPr>
              <w:t xml:space="preserve">（</w:t>
            </w:r>
            <w:r>
              <w:rPr>
                <w:rFonts w:hint="eastAsia" w:ascii="宋体" w:hAnsi="宋体" w:eastAsia="宋体" w:cs="宋体"/>
                <w:color w:val="auto"/>
                <w:spacing w:val="44"/>
                <w:sz w:val="24"/>
                <w:szCs w:val="24"/>
                <w:highlight w:val="none"/>
              </w:rPr>
              <w:t xml:space="preserve">判定值2</w:t>
            </w:r>
            <w:r>
              <w:rPr>
                <w:rFonts w:hint="eastAsia" w:cs="宋体"/>
                <w:color w:val="auto"/>
                <w:spacing w:val="44"/>
                <w:sz w:val="24"/>
                <w:szCs w:val="24"/>
                <w:highlight w:val="none"/>
                <w:lang w:eastAsia="zh-CN"/>
              </w:rPr>
              <w:t xml:space="preserve">）；</w:t>
            </w:r>
            <w:r>
              <w:rPr>
                <w:rFonts w:hint="eastAsia" w:ascii="宋体" w:hAnsi="宋体" w:eastAsia="宋体" w:cs="宋体"/>
                <w:color w:val="auto"/>
                <w:spacing w:val="44"/>
                <w:sz w:val="24"/>
                <w:szCs w:val="24"/>
                <w:highlight w:val="none"/>
              </w:rPr>
              <w:t xml:space="preserve">恩诺</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2"/>
                <w:sz w:val="24"/>
                <w:szCs w:val="24"/>
                <w:highlight w:val="none"/>
              </w:rPr>
              <w:t xml:space="preserve">沙星和环丙沙星之和：</w:t>
            </w:r>
            <w:r>
              <w:rPr>
                <w:rFonts w:hint="eastAsia" w:ascii="宋体" w:hAnsi="宋体" w:eastAsia="宋体" w:cs="宋体"/>
                <w:color w:val="auto"/>
                <w:sz w:val="24"/>
                <w:szCs w:val="24"/>
                <w:highlight w:val="none"/>
              </w:rPr>
              <w:t xml:space="preserve">100</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沙拉沙星：10</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仅</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 xml:space="preserve">判定鸡肉</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达氟沙星：</w:t>
            </w:r>
            <w:r>
              <w:rPr>
                <w:rFonts w:hint="eastAsia" w:ascii="宋体" w:hAnsi="宋体" w:eastAsia="宋体" w:cs="宋体"/>
                <w:color w:val="auto"/>
                <w:spacing w:val="-4"/>
                <w:sz w:val="24"/>
                <w:szCs w:val="24"/>
                <w:highlight w:val="none"/>
              </w:rPr>
              <w:t xml:space="preserve">200</w:t>
            </w:r>
            <w:r/>
          </w:p>
        </w:tc>
      </w:tr>
      <w:tr>
        <w:trPr>
          <w:trHeight w:val="429"/>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甲氧苄啶</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GB/T 21316-2007</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50</w:t>
            </w:r>
            <w:r/>
          </w:p>
        </w:tc>
      </w:tr>
      <w:tr>
        <w:trPr>
          <w:trHeight w:val="438"/>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多西环素</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GB</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2"/>
                <w:sz w:val="24"/>
                <w:szCs w:val="24"/>
                <w:highlight w:val="none"/>
              </w:rPr>
              <w:t xml:space="preserve">31658.17-2021</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100</w:t>
            </w:r>
            <w:r/>
          </w:p>
        </w:tc>
      </w:tr>
      <w:tr>
        <w:trPr>
          <w:trHeight w:val="1113"/>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硝基咪唑类</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甲硝唑、地美硝唑</w:t>
            </w:r>
            <w:r>
              <w:rPr>
                <w:rFonts w:hint="eastAsia" w:cs="宋体"/>
                <w:color w:val="auto"/>
                <w:spacing w:val="3"/>
                <w:sz w:val="24"/>
                <w:szCs w:val="24"/>
                <w:highlight w:val="none"/>
                <w:lang w:eastAsia="zh-CN"/>
              </w:rPr>
              <w:t xml:space="preserve">）</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GB</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12"/>
                <w:sz w:val="24"/>
                <w:szCs w:val="24"/>
                <w:highlight w:val="none"/>
              </w:rPr>
              <w:t xml:space="preserve">31658.23-2022、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rPr>
              <w:t xml:space="preserve">SN/T 2624-2010或参</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4"/>
                <w:sz w:val="24"/>
                <w:szCs w:val="24"/>
                <w:highlight w:val="none"/>
              </w:rPr>
              <w:t xml:space="preserve">照GB31658.23-2022</w:t>
            </w:r>
            <w:r/>
          </w:p>
        </w:tc>
        <w:tc>
          <w:tcPr>
            <w:tcW w:w="2650"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不得检出</w:t>
            </w:r>
            <w:r>
              <w:rPr>
                <w:rFonts w:hint="eastAsia"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判定限1.0</w:t>
            </w:r>
            <w:r>
              <w:rPr>
                <w:rFonts w:hint="eastAsia" w:cs="宋体"/>
                <w:color w:val="auto"/>
                <w:spacing w:val="4"/>
                <w:sz w:val="24"/>
                <w:szCs w:val="24"/>
                <w:highlight w:val="none"/>
                <w:lang w:eastAsia="zh-CN"/>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19" w:type="dxa"/>
            <w:vAlign w:val="center"/>
            <w:vMerge w:val="restart"/>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0"/>
                <w:sz w:val="24"/>
                <w:szCs w:val="24"/>
                <w:highlight w:val="none"/>
                <w:lang w:val="en-US" w:eastAsia="en-US" w:bidi="ar-SA"/>
              </w:rPr>
              <w:t xml:space="preserve">禽蛋</w:t>
            </w:r>
            <w:r>
              <w:rPr>
                <w:rFonts w:hint="eastAsia" w:ascii="宋体" w:hAnsi="宋体" w:eastAsia="宋体" w:cs="宋体"/>
                <w:color w:val="auto"/>
                <w:spacing w:val="-10"/>
                <w:sz w:val="24"/>
                <w:szCs w:val="24"/>
                <w:highlight w:val="none"/>
                <w:lang w:val="en-US" w:eastAsia="zh-CN" w:bidi="ar-SA"/>
              </w:rPr>
              <w:t xml:space="preserve">（</w:t>
            </w:r>
            <w:r>
              <w:rPr>
                <w:rFonts w:hint="eastAsia" w:ascii="宋体" w:hAnsi="宋体" w:eastAsia="宋体" w:cs="宋体"/>
                <w:color w:val="auto"/>
                <w:spacing w:val="-10"/>
                <w:sz w:val="24"/>
                <w:szCs w:val="24"/>
                <w:highlight w:val="none"/>
                <w:lang w:val="en-US" w:eastAsia="en-US" w:bidi="ar-SA"/>
              </w:rPr>
              <w:t xml:space="preserve">鸡</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15"/>
                <w:sz w:val="24"/>
                <w:szCs w:val="24"/>
                <w:highlight w:val="none"/>
                <w:lang w:val="en-US" w:eastAsia="en-US" w:bidi="ar-SA"/>
              </w:rPr>
              <w:t xml:space="preserve">蛋、鸭蛋、</w:t>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4"/>
                <w:sz w:val="24"/>
                <w:szCs w:val="24"/>
                <w:highlight w:val="none"/>
                <w:lang w:val="en-US" w:eastAsia="en-US" w:bidi="ar-SA"/>
              </w:rPr>
              <w:t xml:space="preserve">鹌鹑蛋</w:t>
            </w:r>
            <w:r>
              <w:rPr>
                <w:rFonts w:hint="eastAsia" w:ascii="宋体" w:hAnsi="宋体" w:eastAsia="宋体" w:cs="宋体"/>
                <w:color w:val="auto"/>
                <w:spacing w:val="-13"/>
                <w:sz w:val="24"/>
                <w:szCs w:val="24"/>
                <w:highlight w:val="none"/>
                <w:lang w:val="en-US" w:eastAsia="en-US" w:bidi="ar-SA"/>
              </w:rPr>
              <w:t xml:space="preserve">、</w:t>
            </w:r>
            <w:r>
              <w:rPr>
                <w:rFonts w:hint="eastAsia" w:ascii="宋体" w:hAnsi="宋体" w:eastAsia="宋体" w:cs="宋体"/>
                <w:color w:val="auto"/>
                <w:spacing w:val="-5"/>
                <w:sz w:val="24"/>
                <w:szCs w:val="24"/>
                <w:highlight w:val="none"/>
                <w:lang w:val="en-US" w:eastAsia="en-US" w:bidi="ar-SA"/>
              </w:rPr>
              <w:t xml:space="preserve">鸽</w:t>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en-US" w:bidi="ar-SA"/>
              </w:rPr>
              <w:t xml:space="preserve">蛋</w:t>
            </w:r>
            <w:r>
              <w:rPr>
                <w:rFonts w:hint="eastAsia" w:ascii="宋体" w:hAnsi="宋体" w:eastAsia="宋体" w:cs="宋体"/>
                <w:color w:val="auto"/>
                <w:spacing w:val="-20"/>
                <w:sz w:val="24"/>
                <w:szCs w:val="24"/>
                <w:highlight w:val="none"/>
                <w:lang w:val="en-US" w:eastAsia="en-US" w:bidi="ar-SA"/>
              </w:rPr>
              <w:t xml:space="preserve"> </w:t>
            </w:r>
            <w:r>
              <w:rPr>
                <w:rFonts w:hint="eastAsia" w:ascii="宋体" w:hAnsi="宋体" w:eastAsia="宋体" w:cs="宋体"/>
                <w:color w:val="auto"/>
                <w:spacing w:val="-20"/>
                <w:sz w:val="24"/>
                <w:szCs w:val="24"/>
                <w:highlight w:val="none"/>
                <w:lang w:val="en-US" w:eastAsia="zh-CN" w:bidi="ar-SA"/>
              </w:rPr>
              <w:t xml:space="preserve">）</w:t>
            </w:r>
            <w:r/>
          </w:p>
        </w:tc>
        <w:tc>
          <w:tcPr>
            <w:tcBorders>
              <w:left w:val="single" w:color="auto" w:sz="4" w:space="0"/>
            </w:tcBorders>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b/>
                <w:bCs/>
                <w:color w:val="auto"/>
                <w:spacing w:val="-2"/>
                <w:sz w:val="24"/>
                <w:szCs w:val="24"/>
                <w:highlight w:val="none"/>
              </w:rPr>
            </w:pPr>
            <w:r>
              <w:rPr>
                <w:rFonts w:hint="eastAsia" w:ascii="宋体" w:hAnsi="宋体" w:eastAsia="宋体" w:cs="宋体"/>
                <w:color w:val="auto"/>
                <w:spacing w:val="3"/>
                <w:sz w:val="24"/>
                <w:szCs w:val="24"/>
                <w:highlight w:val="none"/>
              </w:rPr>
              <w:t xml:space="preserve">金刚烷胺</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1"/>
                <w:sz w:val="24"/>
                <w:szCs w:val="24"/>
                <w:highlight w:val="none"/>
              </w:rPr>
              <w:t xml:space="preserve">GB 31660.5-2019</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 xml:space="preserve">不得检出</w:t>
            </w:r>
            <w:r>
              <w:rPr>
                <w:rFonts w:hint="eastAsia"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判定限2.0</w:t>
            </w:r>
            <w:r>
              <w:rPr>
                <w:rFonts w:hint="eastAsia" w:cs="宋体"/>
                <w:color w:val="auto"/>
                <w:spacing w:val="5"/>
                <w:sz w:val="24"/>
                <w:szCs w:val="24"/>
                <w:highlight w:val="none"/>
                <w:lang w:eastAsia="zh-CN"/>
              </w:rPr>
              <w:t xml:space="preserve">）</w:t>
            </w:r>
            <w:r/>
          </w:p>
        </w:tc>
      </w:tr>
      <w:tr>
        <w:trPr>
          <w:trHeight w:val="591"/>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酰胺醇类</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氯霉素，氟苯尼考、氟</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6"/>
                <w:sz w:val="24"/>
                <w:szCs w:val="24"/>
                <w:highlight w:val="none"/>
              </w:rPr>
              <w:t xml:space="preserve">苯尼考胺，甲砜霉素</w:t>
            </w:r>
            <w:r>
              <w:rPr>
                <w:rFonts w:hint="eastAsia" w:cs="宋体"/>
                <w:color w:val="auto"/>
                <w:spacing w:val="6"/>
                <w:sz w:val="24"/>
                <w:szCs w:val="24"/>
                <w:highlight w:val="none"/>
                <w:lang w:eastAsia="zh-CN"/>
              </w:rPr>
              <w:t xml:space="preserve">）</w:t>
            </w:r>
            <w:r/>
          </w:p>
        </w:tc>
        <w:tc>
          <w:tcPr>
            <w:tcW w:w="2087"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rPr>
              <w:t xml:space="preserve">GB</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 xml:space="preserve">31658.20-2022</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氯霉素：不得检出</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判定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限0.2</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氟苯尼考与氟苯</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1"/>
                <w:sz w:val="24"/>
                <w:szCs w:val="24"/>
                <w:highlight w:val="none"/>
              </w:rPr>
              <w:t xml:space="preserve">尼考胺之和：10</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甲砜霉</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rPr>
              <w:t xml:space="preserve">素：10</w:t>
            </w:r>
            <w:r/>
          </w:p>
        </w:tc>
      </w:tr>
      <w:tr>
        <w:trPr>
          <w:trHeight w:val="2035"/>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9"/>
                <w:sz w:val="24"/>
                <w:szCs w:val="24"/>
                <w:highlight w:val="none"/>
              </w:rPr>
              <w:t xml:space="preserve">氟喹诺酮类</w:t>
            </w:r>
            <w:r>
              <w:rPr>
                <w:rFonts w:hint="eastAsia"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rPr>
              <w:t xml:space="preserve">氧氟沙星、培氟沙星、</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1"/>
                <w:sz w:val="24"/>
                <w:szCs w:val="24"/>
                <w:highlight w:val="none"/>
              </w:rPr>
              <w:t xml:space="preserve">诺氟沙星、洛美沙星，恩诺沙星、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环丙沙星，沙拉沙星、达氟沙星</w:t>
            </w:r>
            <w:r>
              <w:rPr>
                <w:rFonts w:hint="eastAsia" w:cs="宋体"/>
                <w:color w:val="auto"/>
                <w:spacing w:val="-4"/>
                <w:sz w:val="24"/>
                <w:szCs w:val="24"/>
                <w:highlight w:val="none"/>
                <w:lang w:eastAsia="zh-CN"/>
              </w:rPr>
              <w:t xml:space="preserve">）</w:t>
            </w:r>
            <w:r/>
          </w:p>
        </w:tc>
        <w:tc>
          <w:tcPr>
            <w:tcW w:w="2087"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rPr>
              <w:t xml:space="preserve">GB/T 21312-2007</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氧氟沙星、培氟沙星、诺</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5"/>
                <w:sz w:val="24"/>
                <w:szCs w:val="24"/>
                <w:highlight w:val="none"/>
              </w:rPr>
              <w:t xml:space="preserve">氟沙星、洛美沙星：不得</w:t>
            </w:r>
            <w:r>
              <w:rPr>
                <w:rFonts w:hint="eastAsia" w:ascii="宋体" w:hAnsi="宋体" w:eastAsia="宋体" w:cs="宋体"/>
                <w:color w:val="auto"/>
                <w:spacing w:val="7"/>
                <w:sz w:val="24"/>
                <w:szCs w:val="24"/>
                <w:highlight w:val="none"/>
              </w:rPr>
              <w:t xml:space="preserve"> 检出</w:t>
            </w:r>
            <w:r>
              <w:rPr>
                <w:rFonts w:hint="eastAsia"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判定值2</w:t>
            </w:r>
            <w:r>
              <w:rPr>
                <w:rFonts w:hint="eastAsia"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恩诺</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沙星和环丙沙星之和：</w:t>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rPr>
              <w:t xml:space="preserve">10</w:t>
            </w:r>
            <w:r>
              <w:rPr>
                <w:rFonts w:hint="eastAsia"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沙拉沙星：5</w:t>
            </w:r>
            <w:r>
              <w:rPr>
                <w:rFonts w:hint="eastAsia"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仅判</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定鸡蛋</w:t>
            </w:r>
            <w:r>
              <w:rPr>
                <w:rFonts w:hint="eastAsia"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达氟沙星：10</w:t>
            </w:r>
            <w:r/>
          </w:p>
        </w:tc>
      </w:tr>
      <w:tr>
        <w:trPr>
          <w:trHeight w:val="775"/>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rPr>
              <w:t xml:space="preserve">多西环素</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rPr>
              <w:t xml:space="preserve">GB 31659.2-2022</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sz w:val="24"/>
                <w:szCs w:val="24"/>
                <w:highlight w:val="none"/>
              </w:rPr>
              <w:t xml:space="preserve">10</w:t>
            </w:r>
            <w:r/>
          </w:p>
        </w:tc>
      </w:tr>
      <w:tr>
        <w:trPr>
          <w:trHeight w:val="992"/>
        </w:trPr>
        <w:tc>
          <w:tcPr>
            <w:tcBorders>
              <w:top w:val="single" w:color="auto" w:sz="4" w:space="0"/>
              <w:left w:val="single" w:color="auto" w:sz="4" w:space="0"/>
              <w:bottom w:val="single" w:color="auto" w:sz="4" w:space="0"/>
              <w:right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tcBorders>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硝基咪唑类</w:t>
            </w:r>
            <w:r>
              <w:rPr>
                <w:rFonts w:hint="eastAsia"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甲硝唑、地美硝唑</w:t>
            </w:r>
            <w:r>
              <w:rPr>
                <w:rFonts w:hint="eastAsia" w:cs="宋体"/>
                <w:b/>
                <w:bCs/>
                <w:color w:val="auto"/>
                <w:sz w:val="24"/>
                <w:szCs w:val="24"/>
                <w:highlight w:val="none"/>
                <w:lang w:eastAsia="zh-CN"/>
              </w:rPr>
              <w:t xml:space="preserve">）</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rPr>
              <w:t xml:space="preserve">SN/T</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2"/>
                <w:sz w:val="24"/>
                <w:szCs w:val="24"/>
                <w:highlight w:val="none"/>
              </w:rPr>
              <w:t xml:space="preserve">2624-2010</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不得检出</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判定限1.0</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仅</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10"/>
                <w:sz w:val="24"/>
                <w:szCs w:val="24"/>
                <w:highlight w:val="none"/>
              </w:rPr>
              <w:t xml:space="preserve">判定鸡蛋</w:t>
            </w:r>
            <w:r>
              <w:rPr>
                <w:rFonts w:hint="eastAsia" w:cs="宋体"/>
                <w:color w:val="auto"/>
                <w:spacing w:val="10"/>
                <w:sz w:val="24"/>
                <w:szCs w:val="24"/>
                <w:highlight w:val="none"/>
                <w:lang w:eastAsia="zh-CN"/>
              </w:rPr>
              <w:t xml:space="preserve">）</w:t>
            </w:r>
            <w:r/>
          </w:p>
        </w:tc>
      </w:tr>
      <w:tr>
        <w:trPr>
          <w:trHeight w:val="658"/>
        </w:trPr>
        <w:tc>
          <w:tcPr>
            <w:tcBorders>
              <w:top w:val="single" w:color="auto" w:sz="4" w:space="0"/>
              <w:bottom w:val="single" w:color="auto" w:sz="4" w:space="0"/>
            </w:tcBorders>
            <w:tcW w:w="1319" w:type="dxa"/>
            <w:vAlign w:val="center"/>
            <w:vMerge w:val="restart"/>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生鲜牛乳</w:t>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pacing w:val="-2"/>
                <w:sz w:val="24"/>
                <w:szCs w:val="24"/>
                <w:highlight w:val="none"/>
              </w:rPr>
              <w:t xml:space="preserve">多西环素</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rPr>
              <w:t xml:space="preserve">GB/T 21317-2007</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rPr>
              <w:t xml:space="preserve">不得检出</w:t>
            </w:r>
            <w:r>
              <w:rPr>
                <w:rFonts w:hint="eastAsia"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判定限50</w:t>
            </w:r>
            <w:r>
              <w:rPr>
                <w:rFonts w:hint="eastAsia" w:cs="宋体"/>
                <w:color w:val="auto"/>
                <w:spacing w:val="5"/>
                <w:sz w:val="24"/>
                <w:szCs w:val="24"/>
                <w:highlight w:val="none"/>
                <w:lang w:eastAsia="zh-CN"/>
              </w:rPr>
              <w:t xml:space="preserve">）</w:t>
            </w:r>
            <w:r/>
          </w:p>
        </w:tc>
      </w:tr>
      <w:tr>
        <w:trPr>
          <w:trHeight w:val="651"/>
        </w:trPr>
        <w:tc>
          <w:tcPr>
            <w:tcBorders>
              <w:top w:val="single" w:color="auto" w:sz="4" w:space="0"/>
              <w:bottom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28"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rPr>
              <w:t xml:space="preserve">三聚氰胺</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rPr>
              <w:t xml:space="preserve">GB/T 22388-2008</w:t>
            </w:r>
            <w:r/>
          </w:p>
        </w:tc>
        <w:tc>
          <w:tcPr>
            <w:tcW w:w="2650"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4"/>
                <w:sz w:val="24"/>
                <w:szCs w:val="24"/>
                <w:highlight w:val="none"/>
              </w:rPr>
              <w:t xml:space="preserve">2.5</w:t>
            </w:r>
            <w:r/>
          </w:p>
        </w:tc>
      </w:tr>
      <w:tr>
        <w:trPr>
          <w:trHeight w:val="651"/>
        </w:trPr>
        <w:tc>
          <w:tcPr>
            <w:tcBorders>
              <w:top w:val="single" w:color="auto" w:sz="4" w:space="0"/>
              <w:bottom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rPr>
              <w:t xml:space="preserve">β-内酰胺酶</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rPr>
              <w:t xml:space="preserve">试剂盒快速筛选检测</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法；确定方法：NY/T</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4"/>
                <w:sz w:val="24"/>
                <w:szCs w:val="24"/>
                <w:highlight w:val="none"/>
              </w:rPr>
              <w:t xml:space="preserve">3313-2018</w:t>
            </w:r>
            <w:r/>
          </w:p>
        </w:tc>
        <w:tc>
          <w:tcPr>
            <w:tcW w:w="2650"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rPr>
              <w:t xml:space="preserve">4U/mL</w:t>
            </w:r>
            <w:r/>
          </w:p>
        </w:tc>
      </w:tr>
      <w:tr>
        <w:trPr>
          <w:trHeight w:val="651"/>
        </w:trPr>
        <w:tc>
          <w:tcPr>
            <w:tcBorders>
              <w:top w:val="single" w:color="auto" w:sz="4" w:space="0"/>
              <w:bottom w:val="single" w:color="auto" w:sz="4" w:space="0"/>
            </w:tcBorders>
            <w:tcW w:w="1319" w:type="dxa"/>
            <w:vAlign w:val="top"/>
            <w:vMerge w:val="continue"/>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W w:w="3128"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rPr>
              <w:t xml:space="preserve">碱类物质</w:t>
            </w:r>
            <w:r/>
          </w:p>
        </w:tc>
        <w:tc>
          <w:tcPr>
            <w:tcW w:w="2087" w:type="dxa"/>
            <w:vAlign w:val="top"/>
            <w:textDirection w:val="lrTb"/>
            <w:noWrap w:val="false"/>
          </w:tcPr>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rPr>
              <w:t xml:space="preserve">MRT</w:t>
            </w:r>
            <w:r>
              <w:rPr>
                <w:rFonts w:hint="eastAsia" w:ascii="宋体" w:hAnsi="宋体" w:eastAsia="宋体" w:cs="宋体"/>
                <w:color w:val="auto"/>
                <w:spacing w:val="57"/>
                <w:sz w:val="24"/>
                <w:szCs w:val="24"/>
                <w:highlight w:val="none"/>
              </w:rPr>
              <w:t xml:space="preserve">/B7生鲜乳中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碱类物质的测定方法</w:t>
            </w:r>
            <w:r/>
          </w:p>
        </w:tc>
        <w:tc>
          <w:tcPr>
            <w:tcW w:w="2650" w:type="dxa"/>
            <w:vAlign w:val="top"/>
            <w:textDirection w:val="lrTb"/>
            <w:noWrap w:val="false"/>
          </w:tcPr>
          <w:p>
            <w:pPr>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7"/>
              <w:ind w:left="0" w:right="0" w:firstLine="0"/>
              <w:jc w:val="both"/>
              <w:keepLines w:val="0"/>
              <w:keepNext w:val="0"/>
              <w:pageBreakBefore w:val="0"/>
              <w:spacing w:line="34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sz w:val="24"/>
                <w:szCs w:val="24"/>
                <w:highlight w:val="none"/>
              </w:rPr>
              <w:t xml:space="preserve">不得检出</w:t>
            </w:r>
            <w:r/>
          </w:p>
        </w:tc>
      </w:tr>
    </w:tbl>
    <w:p>
      <w:pPr>
        <w:spacing w:line="40" w:lineRule="exact"/>
        <w:rPr>
          <w:rFonts w:ascii="Arial"/>
          <w:color w:val="auto"/>
          <w:sz w:val="3"/>
          <w:highlight w:val="none"/>
        </w:rPr>
      </w:pPr>
      <w:r>
        <w:rPr>
          <w:rFonts w:ascii="Arial"/>
          <w:color w:val="auto"/>
          <w:sz w:val="3"/>
          <w:highlight w:val="none"/>
        </w:rPr>
      </w:r>
      <w:r/>
    </w:p>
    <w:p>
      <w:pPr>
        <w:ind w:left="225"/>
        <w:keepLines w:val="0"/>
        <w:keepNext w:val="0"/>
        <w:pageBreakBefore w:val="0"/>
        <w:spacing w:before="86"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注：1.检出β-受体激动剂阳性样品需24小时内送样至</w:t>
      </w:r>
      <w:r>
        <w:rPr>
          <w:rFonts w:hint="eastAsia" w:ascii="宋体" w:hAnsi="宋体" w:eastAsia="宋体" w:cs="宋体"/>
          <w:color w:val="auto"/>
          <w:spacing w:val="7"/>
          <w:sz w:val="24"/>
          <w:szCs w:val="24"/>
          <w:highlight w:val="none"/>
        </w:rPr>
        <w:t xml:space="preserve">省畜产品质检中心进行确证。</w:t>
      </w:r>
      <w:r/>
    </w:p>
    <w:p>
      <w:pPr>
        <w:numPr>
          <w:ilvl w:val="0"/>
          <w:numId w:val="7"/>
        </w:numPr>
        <w:ind w:left="415"/>
        <w:keepLines w:val="0"/>
        <w:keepNext w:val="0"/>
        <w:pageBreakBefore w:val="0"/>
        <w:spacing w:before="59" w:line="36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10"/>
          <w:sz w:val="24"/>
          <w:szCs w:val="24"/>
          <w:highlight w:val="none"/>
        </w:rPr>
        <w:t xml:space="preserve">国家现行有效方法也可以使用，但方法最低检出限必须满</w:t>
      </w:r>
      <w:r>
        <w:rPr>
          <w:rFonts w:hint="eastAsia" w:ascii="宋体" w:hAnsi="宋体" w:eastAsia="宋体" w:cs="宋体"/>
          <w:color w:val="auto"/>
          <w:spacing w:val="9"/>
          <w:sz w:val="24"/>
          <w:szCs w:val="24"/>
          <w:highlight w:val="none"/>
        </w:rPr>
        <w:t xml:space="preserve">足判定依据限量值。</w:t>
      </w:r>
      <w:r/>
    </w:p>
    <w:p>
      <w:pPr>
        <w:numPr>
          <w:ilvl w:val="0"/>
          <w:numId w:val="0"/>
        </w:numPr>
        <w:jc w:val="both"/>
        <w:spacing w:before="59" w:line="220" w:lineRule="auto"/>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r>
      <w:r/>
    </w:p>
    <w:p>
      <w:pPr>
        <w:numPr>
          <w:ilvl w:val="0"/>
          <w:numId w:val="0"/>
        </w:numPr>
        <w:jc w:val="both"/>
        <w:spacing w:before="59" w:line="220" w:lineRule="auto"/>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r>
      <w:r/>
    </w:p>
    <w:p>
      <w:pPr>
        <w:numPr>
          <w:ilvl w:val="0"/>
          <w:numId w:val="0"/>
        </w:numPr>
        <w:jc w:val="both"/>
        <w:spacing w:before="59" w:line="220" w:lineRule="auto"/>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r>
      <w:r/>
    </w:p>
    <w:p>
      <w:pPr>
        <w:jc w:val="both"/>
        <w:widowControl w:val="off"/>
        <w:rPr>
          <w:rFonts w:hint="eastAsia" w:ascii="宋体" w:hAnsi="宋体" w:eastAsia="宋体" w:cs="宋体"/>
          <w:b/>
          <w:bCs/>
          <w:color w:val="auto"/>
          <w:spacing w:val="-1"/>
          <w:sz w:val="24"/>
          <w:szCs w:val="24"/>
          <w:highlight w:val="none"/>
          <w:lang w:eastAsia="zh-CN"/>
        </w:rPr>
      </w:pPr>
      <w:r>
        <w:rPr>
          <w:rFonts w:hint="eastAsia" w:ascii="Times New Roman" w:hAnsi="Times New Roman" w:eastAsia="仿宋_GB2312" w:cs="Times New Roman"/>
          <w:b/>
          <w:bCs/>
          <w:color w:val="auto"/>
          <w:sz w:val="32"/>
          <w:szCs w:val="32"/>
          <w:highlight w:val="none"/>
          <w:lang w:val="en-US" w:eastAsia="zh-CN" w:bidi="ar-SA"/>
        </w:rPr>
        <w:t xml:space="preserve">附表3</w:t>
      </w:r>
      <w:r/>
    </w:p>
    <w:p>
      <w:pPr>
        <w:jc w:val="center"/>
        <w:spacing w:before="72" w:line="219" w:lineRule="auto"/>
        <w:rPr>
          <w:rFonts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eastAsia="zh-CN"/>
        </w:rPr>
        <w:t xml:space="preserve">三、</w:t>
      </w:r>
      <w:r>
        <w:rPr>
          <w:rFonts w:ascii="宋体" w:hAnsi="宋体" w:eastAsia="宋体" w:cs="宋体"/>
          <w:b/>
          <w:bCs/>
          <w:color w:val="auto"/>
          <w:spacing w:val="-1"/>
          <w:sz w:val="24"/>
          <w:szCs w:val="24"/>
          <w:highlight w:val="none"/>
        </w:rPr>
        <w:t xml:space="preserve">水产品检测方法和判定依据</w:t>
      </w:r>
      <w:r/>
    </w:p>
    <w:p>
      <w:pPr>
        <w:spacing w:line="27" w:lineRule="exact"/>
        <w:rPr>
          <w:color w:val="auto"/>
          <w:highlight w:val="none"/>
        </w:rPr>
      </w:pPr>
      <w:r>
        <w:rPr>
          <w:color w:val="auto"/>
          <w:highlight w:val="none"/>
        </w:rPr>
      </w:r>
      <w:r/>
    </w:p>
    <w:tbl>
      <w:tblPr>
        <w:tblStyle w:val="1058"/>
        <w:tblW w:w="89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52"/>
        <w:gridCol w:w="2102"/>
        <w:gridCol w:w="3396"/>
      </w:tblGrid>
      <w:tr>
        <w:trPr>
          <w:trHeight w:val="90"/>
        </w:trPr>
        <w:tc>
          <w:tcPr>
            <w:tcW w:w="3452" w:type="dxa"/>
            <w:vAlign w:val="top"/>
            <w:textDirection w:val="lrTb"/>
            <w:noWrap w:val="false"/>
          </w:tcPr>
          <w:p>
            <w:pPr>
              <w:pStyle w:val="1057"/>
              <w:ind w:left="666"/>
              <w:keepLines w:val="0"/>
              <w:keepNext w:val="0"/>
              <w:pageBreakBefore w:val="0"/>
              <w:spacing w:before="78" w:line="500" w:lineRule="exact"/>
              <w:widowControl w:val="off"/>
              <w:rPr>
                <w:color w:val="auto"/>
                <w:sz w:val="24"/>
                <w:szCs w:val="24"/>
                <w:highlight w:val="none"/>
              </w:rPr>
            </w:pPr>
            <w:r>
              <w:rPr>
                <w:b/>
                <w:bCs/>
                <w:color w:val="auto"/>
                <w:spacing w:val="3"/>
                <w:sz w:val="24"/>
                <w:szCs w:val="24"/>
                <w:highlight w:val="none"/>
              </w:rPr>
              <w:t xml:space="preserve">监测项目</w:t>
            </w:r>
            <w:r/>
          </w:p>
        </w:tc>
        <w:tc>
          <w:tcPr>
            <w:tcW w:w="2102" w:type="dxa"/>
            <w:vAlign w:val="top"/>
            <w:textDirection w:val="lrTb"/>
            <w:noWrap w:val="false"/>
          </w:tcPr>
          <w:p>
            <w:pPr>
              <w:pStyle w:val="1057"/>
              <w:ind w:left="304"/>
              <w:keepLines w:val="0"/>
              <w:keepNext w:val="0"/>
              <w:pageBreakBefore w:val="0"/>
              <w:spacing w:before="80" w:line="500" w:lineRule="exact"/>
              <w:widowControl w:val="off"/>
              <w:rPr>
                <w:color w:val="auto"/>
                <w:sz w:val="24"/>
                <w:szCs w:val="24"/>
                <w:highlight w:val="none"/>
              </w:rPr>
            </w:pPr>
            <w:r>
              <w:rPr>
                <w:color w:val="auto"/>
                <w:spacing w:val="-1"/>
                <w:sz w:val="24"/>
                <w:szCs w:val="24"/>
                <w:highlight w:val="none"/>
              </w:rPr>
              <w:t xml:space="preserve">检测方法</w:t>
            </w:r>
            <w:r/>
          </w:p>
        </w:tc>
        <w:tc>
          <w:tcPr>
            <w:tcW w:w="3396" w:type="dxa"/>
            <w:vAlign w:val="top"/>
            <w:textDirection w:val="lrTb"/>
            <w:noWrap w:val="false"/>
          </w:tcPr>
          <w:p>
            <w:pPr>
              <w:pStyle w:val="1057"/>
              <w:ind w:left="317"/>
              <w:keepLines w:val="0"/>
              <w:keepNext w:val="0"/>
              <w:pageBreakBefore w:val="0"/>
              <w:spacing w:before="75" w:line="500" w:lineRule="exact"/>
              <w:widowControl w:val="off"/>
              <w:rPr>
                <w:color w:val="auto"/>
                <w:sz w:val="24"/>
                <w:szCs w:val="24"/>
                <w:highlight w:val="none"/>
              </w:rPr>
            </w:pPr>
            <w:r>
              <w:rPr>
                <w:color w:val="auto"/>
                <w:spacing w:val="2"/>
                <w:sz w:val="24"/>
                <w:szCs w:val="24"/>
                <w:highlight w:val="none"/>
              </w:rPr>
              <w:t xml:space="preserve">判定限量</w:t>
            </w:r>
            <w:r>
              <w:rPr>
                <w:rFonts w:hint="eastAsia"/>
                <w:color w:val="auto"/>
                <w:spacing w:val="2"/>
                <w:sz w:val="24"/>
                <w:szCs w:val="24"/>
                <w:highlight w:val="none"/>
                <w:lang w:eastAsia="zh-CN"/>
              </w:rPr>
              <w:t xml:space="preserve">（</w:t>
            </w:r>
            <w:r>
              <w:rPr>
                <w:color w:val="auto"/>
                <w:spacing w:val="2"/>
                <w:sz w:val="24"/>
                <w:szCs w:val="24"/>
                <w:highlight w:val="none"/>
              </w:rPr>
              <w:t xml:space="preserve">μg/</w:t>
            </w:r>
            <w:r>
              <w:rPr>
                <w:color w:val="auto"/>
                <w:sz w:val="24"/>
                <w:szCs w:val="24"/>
                <w:highlight w:val="none"/>
              </w:rPr>
              <w:t xml:space="preserve">kg</w:t>
            </w:r>
            <w:r>
              <w:rPr>
                <w:rFonts w:hint="eastAsia"/>
                <w:color w:val="auto"/>
                <w:sz w:val="24"/>
                <w:szCs w:val="24"/>
                <w:highlight w:val="none"/>
                <w:lang w:eastAsia="zh-CN"/>
              </w:rPr>
              <w:t xml:space="preserve">）</w:t>
            </w:r>
            <w:r/>
          </w:p>
        </w:tc>
      </w:tr>
      <w:tr>
        <w:trPr>
          <w:trHeight w:val="705"/>
        </w:trPr>
        <w:tc>
          <w:tcPr>
            <w:tcW w:w="345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孔雀石绿</w:t>
            </w:r>
            <w:r>
              <w:rPr>
                <w:rFonts w:hint="eastAsia"/>
                <w:color w:val="auto"/>
                <w:spacing w:val="-1"/>
                <w:sz w:val="24"/>
                <w:szCs w:val="24"/>
                <w:highlight w:val="none"/>
                <w:lang w:eastAsia="zh-CN"/>
              </w:rPr>
              <w:t xml:space="preserve">（</w:t>
            </w:r>
            <w:r>
              <w:rPr>
                <w:color w:val="auto"/>
                <w:spacing w:val="-1"/>
                <w:sz w:val="24"/>
                <w:szCs w:val="24"/>
                <w:highlight w:val="none"/>
              </w:rPr>
              <w:t xml:space="preserve">包括有色孔雀石绿和无色</w:t>
            </w:r>
            <w:r>
              <w:rPr>
                <w:color w:val="auto"/>
                <w:spacing w:val="3"/>
                <w:sz w:val="24"/>
                <w:szCs w:val="24"/>
                <w:highlight w:val="none"/>
              </w:rPr>
              <w:t xml:space="preserve"> </w:t>
            </w:r>
            <w:r>
              <w:rPr>
                <w:color w:val="auto"/>
                <w:spacing w:val="10"/>
                <w:sz w:val="24"/>
                <w:szCs w:val="24"/>
                <w:highlight w:val="none"/>
              </w:rPr>
              <w:t xml:space="preserve">孔雀石绿</w:t>
            </w:r>
            <w:r>
              <w:rPr>
                <w:rFonts w:hint="eastAsia"/>
                <w:color w:val="auto"/>
                <w:spacing w:val="10"/>
                <w:sz w:val="24"/>
                <w:szCs w:val="24"/>
                <w:highlight w:val="none"/>
                <w:lang w:eastAsia="zh-CN"/>
              </w:rPr>
              <w:t xml:space="preserve">）</w:t>
            </w:r>
            <w:r/>
          </w:p>
        </w:tc>
        <w:tc>
          <w:tcPr>
            <w:tcW w:w="210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5"/>
                <w:sz w:val="24"/>
                <w:szCs w:val="24"/>
                <w:highlight w:val="none"/>
              </w:rPr>
              <w:t xml:space="preserve">GB/T</w:t>
            </w:r>
            <w:r>
              <w:rPr>
                <w:color w:val="auto"/>
                <w:spacing w:val="34"/>
                <w:sz w:val="24"/>
                <w:szCs w:val="24"/>
                <w:highlight w:val="none"/>
              </w:rPr>
              <w:t xml:space="preserve"> </w:t>
            </w:r>
            <w:r>
              <w:rPr>
                <w:color w:val="auto"/>
                <w:spacing w:val="-5"/>
                <w:sz w:val="24"/>
                <w:szCs w:val="24"/>
                <w:highlight w:val="none"/>
              </w:rPr>
              <w:t xml:space="preserve">20361-2006、</w:t>
            </w:r>
            <w:r>
              <w:rPr>
                <w:color w:val="auto"/>
                <w:sz w:val="24"/>
                <w:szCs w:val="24"/>
                <w:highlight w:val="none"/>
              </w:rPr>
              <w:t xml:space="preserve"> </w:t>
            </w:r>
            <w:r>
              <w:rPr>
                <w:color w:val="auto"/>
                <w:spacing w:val="-3"/>
                <w:sz w:val="24"/>
                <w:szCs w:val="24"/>
                <w:highlight w:val="none"/>
              </w:rPr>
              <w:t xml:space="preserve">GB/T</w:t>
            </w:r>
            <w:r>
              <w:rPr>
                <w:color w:val="auto"/>
                <w:spacing w:val="33"/>
                <w:sz w:val="24"/>
                <w:szCs w:val="24"/>
                <w:highlight w:val="none"/>
              </w:rPr>
              <w:t xml:space="preserve"> </w:t>
            </w:r>
            <w:r>
              <w:rPr>
                <w:color w:val="auto"/>
                <w:spacing w:val="-3"/>
                <w:sz w:val="24"/>
                <w:szCs w:val="24"/>
                <w:highlight w:val="none"/>
              </w:rPr>
              <w:t xml:space="preserve">19857-2005</w:t>
            </w:r>
            <w:r/>
          </w:p>
        </w:tc>
        <w:tc>
          <w:tcPr>
            <w:tcW w:w="3396"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不得检出</w:t>
            </w:r>
            <w:r>
              <w:rPr>
                <w:rFonts w:hint="eastAsia"/>
                <w:color w:val="auto"/>
                <w:spacing w:val="-3"/>
                <w:sz w:val="24"/>
                <w:szCs w:val="24"/>
                <w:highlight w:val="none"/>
                <w:lang w:eastAsia="zh-CN"/>
              </w:rPr>
              <w:t xml:space="preserve">（</w:t>
            </w:r>
            <w:r>
              <w:rPr>
                <w:color w:val="auto"/>
                <w:spacing w:val="-3"/>
                <w:sz w:val="24"/>
                <w:szCs w:val="24"/>
                <w:highlight w:val="none"/>
              </w:rPr>
              <w:t xml:space="preserve">判定限：1.0(有色孔</w:t>
            </w:r>
            <w:r>
              <w:rPr>
                <w:color w:val="auto"/>
                <w:sz w:val="24"/>
                <w:szCs w:val="24"/>
                <w:highlight w:val="none"/>
              </w:rPr>
              <w:t xml:space="preserve">  </w:t>
            </w:r>
            <w:r>
              <w:rPr>
                <w:color w:val="auto"/>
                <w:spacing w:val="-2"/>
                <w:sz w:val="24"/>
                <w:szCs w:val="24"/>
                <w:highlight w:val="none"/>
              </w:rPr>
              <w:t xml:space="preserve">雀石绿和无色孔雀石绿的总量))</w:t>
            </w:r>
            <w:r/>
          </w:p>
        </w:tc>
      </w:tr>
      <w:tr>
        <w:trPr>
          <w:trHeight w:val="1082"/>
        </w:trPr>
        <w:tc>
          <w:tcPr>
            <w:tcW w:w="345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硝基呋喃类代谢物</w:t>
            </w:r>
            <w:r>
              <w:rPr>
                <w:rFonts w:hint="eastAsia"/>
                <w:color w:val="auto"/>
                <w:spacing w:val="-1"/>
                <w:sz w:val="24"/>
                <w:szCs w:val="24"/>
                <w:highlight w:val="none"/>
                <w:lang w:eastAsia="zh-CN"/>
              </w:rPr>
              <w:t xml:space="preserve">（</w:t>
            </w:r>
            <w:r>
              <w:rPr>
                <w:color w:val="auto"/>
                <w:spacing w:val="-1"/>
                <w:sz w:val="24"/>
                <w:szCs w:val="24"/>
                <w:highlight w:val="none"/>
              </w:rPr>
              <w:t xml:space="preserve">呋喃唑酮代谢</w:t>
            </w:r>
            <w:r>
              <w:rPr>
                <w:color w:val="auto"/>
                <w:spacing w:val="-6"/>
                <w:sz w:val="24"/>
                <w:szCs w:val="24"/>
                <w:highlight w:val="none"/>
              </w:rPr>
              <w:t xml:space="preserve">物、呋喃它酮代谢物、呋喃西林代谢</w:t>
            </w:r>
            <w:r>
              <w:rPr>
                <w:color w:val="auto"/>
                <w:spacing w:val="5"/>
                <w:sz w:val="24"/>
                <w:szCs w:val="24"/>
                <w:highlight w:val="none"/>
              </w:rPr>
              <w:t xml:space="preserve">物、呋喃妥因代谢物</w:t>
            </w:r>
            <w:r>
              <w:rPr>
                <w:rFonts w:hint="eastAsia"/>
                <w:color w:val="auto"/>
                <w:spacing w:val="5"/>
                <w:sz w:val="24"/>
                <w:szCs w:val="24"/>
                <w:highlight w:val="none"/>
                <w:lang w:eastAsia="zh-CN"/>
              </w:rPr>
              <w:t xml:space="preserve">）</w:t>
            </w:r>
            <w:r/>
          </w:p>
        </w:tc>
        <w:tc>
          <w:tcPr>
            <w:tcW w:w="210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4"/>
                <w:sz w:val="24"/>
                <w:szCs w:val="24"/>
                <w:highlight w:val="none"/>
              </w:rPr>
              <w:t xml:space="preserve">GB</w:t>
            </w:r>
            <w:r>
              <w:rPr>
                <w:color w:val="auto"/>
                <w:spacing w:val="31"/>
                <w:sz w:val="24"/>
                <w:szCs w:val="24"/>
                <w:highlight w:val="none"/>
              </w:rPr>
              <w:t xml:space="preserve"> </w:t>
            </w:r>
            <w:r>
              <w:rPr>
                <w:color w:val="auto"/>
                <w:spacing w:val="-4"/>
                <w:sz w:val="24"/>
                <w:szCs w:val="24"/>
                <w:highlight w:val="none"/>
              </w:rPr>
              <w:t xml:space="preserve">31656.13-2021、</w:t>
            </w:r>
            <w:r>
              <w:rPr>
                <w:color w:val="auto"/>
                <w:sz w:val="24"/>
                <w:szCs w:val="24"/>
                <w:highlight w:val="none"/>
              </w:rPr>
              <w:t xml:space="preserve"> </w:t>
            </w:r>
            <w:r>
              <w:rPr>
                <w:color w:val="auto"/>
                <w:spacing w:val="1"/>
                <w:sz w:val="24"/>
                <w:szCs w:val="24"/>
                <w:highlight w:val="none"/>
              </w:rPr>
              <w:t xml:space="preserve">农业部783号公告</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-1-2006</w:t>
            </w:r>
            <w:r/>
          </w:p>
        </w:tc>
        <w:tc>
          <w:tcPr>
            <w:tcW w:w="3396"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不得检出(判定限：1.0</w:t>
            </w:r>
            <w:r>
              <w:rPr>
                <w:rFonts w:hint="eastAsia"/>
                <w:color w:val="auto"/>
                <w:sz w:val="24"/>
                <w:szCs w:val="24"/>
                <w:highlight w:val="none"/>
                <w:lang w:eastAsia="zh-CN"/>
              </w:rPr>
              <w:t xml:space="preserve">）（</w:t>
            </w:r>
            <w:r>
              <w:rPr>
                <w:color w:val="auto"/>
                <w:sz w:val="24"/>
                <w:szCs w:val="24"/>
                <w:highlight w:val="none"/>
              </w:rPr>
              <w:t xml:space="preserve">虾蟹</w:t>
            </w:r>
            <w:r>
              <w:rPr>
                <w:color w:val="auto"/>
                <w:spacing w:val="10"/>
                <w:sz w:val="24"/>
                <w:szCs w:val="24"/>
                <w:highlight w:val="none"/>
              </w:rPr>
              <w:t xml:space="preserve"> </w:t>
            </w:r>
            <w:r>
              <w:rPr>
                <w:color w:val="auto"/>
                <w:spacing w:val="1"/>
                <w:sz w:val="24"/>
                <w:szCs w:val="24"/>
                <w:highlight w:val="none"/>
              </w:rPr>
              <w:t xml:space="preserve">类呋喃西林代谢物</w:t>
            </w:r>
            <w:r>
              <w:rPr>
                <w:color w:val="auto"/>
                <w:sz w:val="24"/>
                <w:szCs w:val="24"/>
                <w:highlight w:val="none"/>
              </w:rPr>
              <w:t xml:space="preserve">SEM</w:t>
            </w:r>
            <w:r>
              <w:rPr>
                <w:color w:val="auto"/>
                <w:spacing w:val="1"/>
                <w:sz w:val="24"/>
                <w:szCs w:val="24"/>
                <w:highlight w:val="none"/>
              </w:rPr>
              <w:t xml:space="preserve">不作判  </w:t>
            </w:r>
            <w:r>
              <w:rPr>
                <w:color w:val="auto"/>
                <w:spacing w:val="-9"/>
                <w:sz w:val="24"/>
                <w:szCs w:val="24"/>
                <w:highlight w:val="none"/>
              </w:rPr>
              <w:t xml:space="preserve">定</w:t>
            </w:r>
            <w:r>
              <w:rPr>
                <w:color w:val="auto"/>
                <w:spacing w:val="-53"/>
                <w:sz w:val="24"/>
                <w:szCs w:val="24"/>
                <w:highlight w:val="none"/>
              </w:rPr>
              <w:t xml:space="preserve"> </w:t>
            </w:r>
            <w:r>
              <w:rPr>
                <w:rFonts w:hint="eastAsia"/>
                <w:color w:val="auto"/>
                <w:spacing w:val="-53"/>
                <w:sz w:val="24"/>
                <w:szCs w:val="24"/>
                <w:highlight w:val="none"/>
                <w:lang w:eastAsia="zh-CN"/>
              </w:rPr>
              <w:t xml:space="preserve">）</w:t>
            </w:r>
            <w:r/>
          </w:p>
        </w:tc>
      </w:tr>
      <w:tr>
        <w:trPr>
          <w:trHeight w:val="556"/>
        </w:trPr>
        <w:tc>
          <w:tcPr>
            <w:tcW w:w="345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6"/>
                <w:sz w:val="24"/>
                <w:szCs w:val="24"/>
                <w:highlight w:val="none"/>
              </w:rPr>
              <w:t xml:space="preserve">地西泮</w:t>
            </w:r>
            <w:r>
              <w:rPr>
                <w:rFonts w:hint="eastAsia"/>
                <w:color w:val="auto"/>
                <w:spacing w:val="6"/>
                <w:sz w:val="24"/>
                <w:szCs w:val="24"/>
                <w:highlight w:val="none"/>
                <w:lang w:eastAsia="zh-CN"/>
              </w:rPr>
              <w:t xml:space="preserve">（</w:t>
            </w:r>
            <w:r>
              <w:rPr>
                <w:color w:val="auto"/>
                <w:spacing w:val="6"/>
                <w:sz w:val="24"/>
                <w:szCs w:val="24"/>
                <w:highlight w:val="none"/>
              </w:rPr>
              <w:t xml:space="preserve">仅淡水鱼</w:t>
            </w:r>
            <w:r>
              <w:rPr>
                <w:rFonts w:hint="eastAsia"/>
                <w:color w:val="auto"/>
                <w:spacing w:val="6"/>
                <w:sz w:val="24"/>
                <w:szCs w:val="24"/>
                <w:highlight w:val="none"/>
                <w:lang w:eastAsia="zh-CN"/>
              </w:rPr>
              <w:t xml:space="preserve">）</w:t>
            </w:r>
            <w:r/>
          </w:p>
        </w:tc>
        <w:tc>
          <w:tcPr>
            <w:tcW w:w="210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SN/T3235-2012</w:t>
            </w:r>
            <w:r/>
          </w:p>
        </w:tc>
        <w:tc>
          <w:tcPr>
            <w:tcW w:w="3396"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不得检出</w:t>
            </w:r>
            <w:r>
              <w:rPr>
                <w:rFonts w:hint="eastAsia"/>
                <w:color w:val="auto"/>
                <w:spacing w:val="3"/>
                <w:sz w:val="24"/>
                <w:szCs w:val="24"/>
                <w:highlight w:val="none"/>
                <w:lang w:eastAsia="zh-CN"/>
              </w:rPr>
              <w:t xml:space="preserve">（</w:t>
            </w:r>
            <w:r>
              <w:rPr>
                <w:color w:val="auto"/>
                <w:spacing w:val="3"/>
                <w:sz w:val="24"/>
                <w:szCs w:val="24"/>
                <w:highlight w:val="none"/>
              </w:rPr>
              <w:t xml:space="preserve">判定限量值：0.5</w:t>
            </w:r>
            <w:r>
              <w:rPr>
                <w:rFonts w:hint="eastAsia"/>
                <w:color w:val="auto"/>
                <w:spacing w:val="3"/>
                <w:sz w:val="24"/>
                <w:szCs w:val="24"/>
                <w:highlight w:val="none"/>
                <w:lang w:eastAsia="zh-CN"/>
              </w:rPr>
              <w:t xml:space="preserve">）</w:t>
            </w:r>
            <w:r/>
          </w:p>
        </w:tc>
      </w:tr>
      <w:tr>
        <w:trPr>
          <w:trHeight w:val="1023"/>
        </w:trPr>
        <w:tc>
          <w:tcPr>
            <w:tcW w:w="3452"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酰胺醇类</w:t>
            </w:r>
            <w:r>
              <w:rPr>
                <w:rFonts w:hint="eastAsia"/>
                <w:color w:val="auto"/>
                <w:spacing w:val="-1"/>
                <w:sz w:val="24"/>
                <w:szCs w:val="24"/>
                <w:highlight w:val="none"/>
                <w:lang w:eastAsia="zh-CN"/>
              </w:rPr>
              <w:t xml:space="preserve">（</w:t>
            </w:r>
            <w:r>
              <w:rPr>
                <w:color w:val="auto"/>
                <w:spacing w:val="-1"/>
                <w:sz w:val="24"/>
                <w:szCs w:val="24"/>
                <w:highlight w:val="none"/>
              </w:rPr>
              <w:t xml:space="preserve">氯霉素，甲砜霉素、氟苯</w:t>
            </w:r>
            <w:r>
              <w:rPr>
                <w:color w:val="auto"/>
                <w:spacing w:val="3"/>
                <w:sz w:val="24"/>
                <w:szCs w:val="24"/>
                <w:highlight w:val="none"/>
              </w:rPr>
              <w:t xml:space="preserve"> </w:t>
            </w:r>
            <w:r>
              <w:rPr>
                <w:color w:val="auto"/>
                <w:spacing w:val="6"/>
                <w:sz w:val="24"/>
                <w:szCs w:val="24"/>
                <w:highlight w:val="none"/>
              </w:rPr>
              <w:t xml:space="preserve">尼考、氟苯尼考胺</w:t>
            </w:r>
            <w:r>
              <w:rPr>
                <w:rFonts w:hint="eastAsia"/>
                <w:color w:val="auto"/>
                <w:spacing w:val="6"/>
                <w:sz w:val="24"/>
                <w:szCs w:val="24"/>
                <w:highlight w:val="none"/>
                <w:lang w:eastAsia="zh-CN"/>
              </w:rPr>
              <w:t xml:space="preserve">）</w:t>
            </w:r>
            <w:r/>
          </w:p>
        </w:tc>
        <w:tc>
          <w:tcPr>
            <w:tcW w:w="210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5"/>
                <w:sz w:val="24"/>
                <w:szCs w:val="24"/>
                <w:highlight w:val="none"/>
              </w:rPr>
              <w:t xml:space="preserve">GB/T</w:t>
            </w:r>
            <w:r>
              <w:rPr>
                <w:color w:val="auto"/>
                <w:spacing w:val="34"/>
                <w:sz w:val="24"/>
                <w:szCs w:val="24"/>
                <w:highlight w:val="none"/>
              </w:rPr>
              <w:t xml:space="preserve"> </w:t>
            </w:r>
            <w:r>
              <w:rPr>
                <w:color w:val="auto"/>
                <w:spacing w:val="-5"/>
                <w:sz w:val="24"/>
                <w:szCs w:val="24"/>
                <w:highlight w:val="none"/>
              </w:rPr>
              <w:t xml:space="preserve">20756-2006、</w:t>
            </w:r>
            <w:r>
              <w:rPr>
                <w:color w:val="auto"/>
                <w:sz w:val="24"/>
                <w:szCs w:val="24"/>
                <w:highlight w:val="none"/>
              </w:rPr>
              <w:t xml:space="preserve"> </w:t>
            </w:r>
            <w:r>
              <w:rPr>
                <w:color w:val="auto"/>
                <w:spacing w:val="-1"/>
                <w:sz w:val="24"/>
                <w:szCs w:val="24"/>
                <w:highlight w:val="none"/>
              </w:rPr>
              <w:t xml:space="preserve">GB/T22338-2008</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4"/>
                <w:sz w:val="24"/>
                <w:szCs w:val="24"/>
                <w:highlight w:val="none"/>
              </w:rPr>
              <w:t xml:space="preserve">SN/T</w:t>
            </w:r>
            <w:r>
              <w:rPr>
                <w:color w:val="auto"/>
                <w:spacing w:val="64"/>
                <w:sz w:val="24"/>
                <w:szCs w:val="24"/>
                <w:highlight w:val="none"/>
              </w:rPr>
              <w:t xml:space="preserve"> </w:t>
            </w:r>
            <w:r>
              <w:rPr>
                <w:color w:val="auto"/>
                <w:spacing w:val="-4"/>
                <w:sz w:val="24"/>
                <w:szCs w:val="24"/>
                <w:highlight w:val="none"/>
              </w:rPr>
              <w:t xml:space="preserve">1865-2006</w:t>
            </w:r>
            <w:r/>
          </w:p>
        </w:tc>
        <w:tc>
          <w:tcPr>
            <w:tcW w:w="3396"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1"/>
                <w:sz w:val="24"/>
                <w:szCs w:val="24"/>
                <w:highlight w:val="none"/>
              </w:rPr>
              <w:t xml:space="preserve">氯霉素：不得检出</w:t>
            </w:r>
            <w:r>
              <w:rPr>
                <w:rFonts w:hint="eastAsia"/>
                <w:color w:val="auto"/>
                <w:spacing w:val="-11"/>
                <w:sz w:val="24"/>
                <w:szCs w:val="24"/>
                <w:highlight w:val="none"/>
                <w:lang w:eastAsia="zh-CN"/>
              </w:rPr>
              <w:t xml:space="preserve">（</w:t>
            </w:r>
            <w:r>
              <w:rPr>
                <w:color w:val="auto"/>
                <w:spacing w:val="-11"/>
                <w:sz w:val="24"/>
                <w:szCs w:val="24"/>
                <w:highlight w:val="none"/>
              </w:rPr>
              <w:t xml:space="preserve">判定限：0.2</w:t>
            </w:r>
            <w:r>
              <w:rPr>
                <w:rFonts w:hint="eastAsia"/>
                <w:color w:val="auto"/>
                <w:spacing w:val="-11"/>
                <w:sz w:val="24"/>
                <w:szCs w:val="24"/>
                <w:highlight w:val="none"/>
                <w:lang w:eastAsia="zh-CN"/>
              </w:rPr>
              <w:t xml:space="preserve">）</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甲砜霉素：50</w:t>
            </w:r>
            <w:r>
              <w:rPr>
                <w:rFonts w:hint="eastAsia"/>
                <w:color w:val="auto"/>
                <w:sz w:val="24"/>
                <w:szCs w:val="24"/>
                <w:highlight w:val="none"/>
                <w:lang w:eastAsia="zh-CN"/>
              </w:rPr>
              <w:t xml:space="preserve">；</w:t>
            </w:r>
            <w:r>
              <w:rPr>
                <w:color w:val="auto"/>
                <w:sz w:val="24"/>
                <w:szCs w:val="24"/>
                <w:highlight w:val="none"/>
              </w:rPr>
              <w:t xml:space="preserve">氟苯尼考和氟苯</w:t>
            </w:r>
            <w:r>
              <w:rPr>
                <w:color w:val="auto"/>
                <w:spacing w:val="1"/>
                <w:sz w:val="24"/>
                <w:szCs w:val="24"/>
                <w:highlight w:val="none"/>
              </w:rPr>
              <w:t xml:space="preserve">尼考胺总量：1000</w:t>
            </w:r>
            <w:r/>
          </w:p>
        </w:tc>
      </w:tr>
      <w:tr>
        <w:trPr>
          <w:trHeight w:val="1443"/>
        </w:trPr>
        <w:tc>
          <w:tcPr>
            <w:tcW w:w="345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氟喹诺酮类</w:t>
            </w:r>
            <w:r>
              <w:rPr>
                <w:rFonts w:hint="eastAsia"/>
                <w:color w:val="auto"/>
                <w:spacing w:val="3"/>
                <w:sz w:val="24"/>
                <w:szCs w:val="24"/>
                <w:highlight w:val="none"/>
                <w:lang w:eastAsia="zh-CN"/>
              </w:rPr>
              <w:t xml:space="preserve">（</w:t>
            </w:r>
            <w:r>
              <w:rPr>
                <w:color w:val="auto"/>
                <w:spacing w:val="3"/>
                <w:sz w:val="24"/>
                <w:szCs w:val="24"/>
                <w:highlight w:val="none"/>
              </w:rPr>
              <w:t xml:space="preserve">诺氟沙星、氧氟沙星、</w:t>
            </w:r>
            <w:r>
              <w:rPr>
                <w:color w:val="auto"/>
                <w:spacing w:val="2"/>
                <w:sz w:val="24"/>
                <w:szCs w:val="24"/>
                <w:highlight w:val="none"/>
              </w:rPr>
              <w:t xml:space="preserve"> </w:t>
            </w:r>
            <w:r>
              <w:rPr>
                <w:color w:val="auto"/>
                <w:spacing w:val="-10"/>
                <w:sz w:val="24"/>
                <w:szCs w:val="24"/>
                <w:highlight w:val="none"/>
              </w:rPr>
              <w:t xml:space="preserve">培氟沙星、洛美沙星，恩诺沙星、环</w:t>
            </w:r>
            <w:r>
              <w:rPr>
                <w:color w:val="auto"/>
                <w:spacing w:val="4"/>
                <w:sz w:val="24"/>
                <w:szCs w:val="24"/>
                <w:highlight w:val="none"/>
              </w:rPr>
              <w:t xml:space="preserve"> </w:t>
            </w:r>
            <w:r>
              <w:rPr>
                <w:color w:val="auto"/>
                <w:spacing w:val="8"/>
                <w:sz w:val="24"/>
                <w:szCs w:val="24"/>
                <w:highlight w:val="none"/>
              </w:rPr>
              <w:t xml:space="preserve">丙沙星</w:t>
            </w:r>
            <w:r>
              <w:rPr>
                <w:rFonts w:hint="eastAsia"/>
                <w:color w:val="auto"/>
                <w:spacing w:val="8"/>
                <w:sz w:val="24"/>
                <w:szCs w:val="24"/>
                <w:highlight w:val="none"/>
                <w:lang w:eastAsia="zh-CN"/>
              </w:rPr>
              <w:t xml:space="preserve">）</w:t>
            </w:r>
            <w:r/>
          </w:p>
        </w:tc>
        <w:tc>
          <w:tcPr>
            <w:tcW w:w="2102"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99"/>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农业部1077号公告-1 </w:t>
            </w:r>
            <w:r>
              <w:rPr>
                <w:color w:val="auto"/>
                <w:spacing w:val="-2"/>
                <w:sz w:val="24"/>
                <w:szCs w:val="24"/>
                <w:highlight w:val="none"/>
              </w:rPr>
              <w:t xml:space="preserve">-2008</w:t>
            </w:r>
            <w:r/>
          </w:p>
        </w:tc>
        <w:tc>
          <w:tcPr>
            <w:tcW w:w="3396" w:type="dxa"/>
            <w:vAlign w:val="top"/>
            <w:textDirection w:val="lrTb"/>
            <w:noWrap w:val="false"/>
          </w:tcPr>
          <w:p>
            <w:pPr>
              <w:pStyle w:val="1057"/>
              <w:ind w:left="0" w:right="0" w:firstLine="9"/>
              <w:jc w:val="both"/>
              <w:keepLines w:val="0"/>
              <w:keepNext w:val="0"/>
              <w:pageBreakBefore w:val="0"/>
              <w:spacing w:line="360" w:lineRule="exact"/>
              <w:widowControl w:val="off"/>
              <w:rPr>
                <w:color w:val="auto"/>
                <w:sz w:val="24"/>
                <w:szCs w:val="24"/>
                <w:highlight w:val="none"/>
              </w:rPr>
            </w:pPr>
            <w:r>
              <w:rPr>
                <w:color w:val="auto"/>
                <w:spacing w:val="-21"/>
                <w:sz w:val="24"/>
                <w:szCs w:val="24"/>
                <w:highlight w:val="none"/>
              </w:rPr>
              <w:t xml:space="preserve">诺氟沙星、氧氟沙星、培氟沙星、</w:t>
            </w:r>
            <w:r>
              <w:rPr>
                <w:color w:val="auto"/>
                <w:spacing w:val="8"/>
                <w:sz w:val="24"/>
                <w:szCs w:val="24"/>
                <w:highlight w:val="none"/>
              </w:rPr>
              <w:t xml:space="preserve"> </w:t>
            </w:r>
            <w:r>
              <w:rPr>
                <w:color w:val="auto"/>
                <w:spacing w:val="-9"/>
                <w:sz w:val="24"/>
                <w:szCs w:val="24"/>
                <w:highlight w:val="none"/>
              </w:rPr>
              <w:t xml:space="preserve">洛美沙星：食用动物中停止使</w:t>
            </w:r>
            <w:r>
              <w:rPr>
                <w:color w:val="auto"/>
                <w:spacing w:val="3"/>
                <w:sz w:val="24"/>
                <w:szCs w:val="24"/>
                <w:highlight w:val="none"/>
              </w:rPr>
              <w:t xml:space="preserve">   </w:t>
            </w:r>
            <w:r>
              <w:rPr>
                <w:color w:val="auto"/>
                <w:spacing w:val="-4"/>
                <w:sz w:val="24"/>
                <w:szCs w:val="24"/>
                <w:highlight w:val="none"/>
              </w:rPr>
              <w:t xml:space="preserve">用，不得检出</w:t>
            </w:r>
            <w:r>
              <w:rPr>
                <w:rFonts w:hint="eastAsia"/>
                <w:color w:val="auto"/>
                <w:spacing w:val="-4"/>
                <w:sz w:val="24"/>
                <w:szCs w:val="24"/>
                <w:highlight w:val="none"/>
                <w:lang w:eastAsia="zh-CN"/>
              </w:rPr>
              <w:t xml:space="preserve">（</w:t>
            </w:r>
            <w:r>
              <w:rPr>
                <w:color w:val="auto"/>
                <w:spacing w:val="-4"/>
                <w:sz w:val="24"/>
                <w:szCs w:val="24"/>
                <w:highlight w:val="none"/>
              </w:rPr>
              <w:t xml:space="preserve">判定限：2.0</w:t>
            </w:r>
            <w:r>
              <w:rPr>
                <w:rFonts w:hint="eastAsia"/>
                <w:color w:val="auto"/>
                <w:spacing w:val="-4"/>
                <w:sz w:val="24"/>
                <w:szCs w:val="24"/>
                <w:highlight w:val="none"/>
                <w:lang w:eastAsia="zh-CN"/>
              </w:rPr>
              <w:t xml:space="preserve">）</w:t>
            </w:r>
            <w:r>
              <w:rPr>
                <w:color w:val="auto"/>
                <w:spacing w:val="-4"/>
                <w:sz w:val="24"/>
                <w:szCs w:val="24"/>
                <w:highlight w:val="none"/>
              </w:rPr>
              <w:t xml:space="preserve">;</w:t>
            </w:r>
            <w:r>
              <w:rPr>
                <w:color w:val="auto"/>
                <w:sz w:val="24"/>
                <w:szCs w:val="24"/>
                <w:highlight w:val="none"/>
              </w:rPr>
              <w:t xml:space="preserve">   </w:t>
            </w:r>
            <w:r>
              <w:rPr>
                <w:color w:val="auto"/>
                <w:spacing w:val="-8"/>
                <w:sz w:val="24"/>
                <w:szCs w:val="24"/>
                <w:highlight w:val="none"/>
              </w:rPr>
              <w:t xml:space="preserve">恩诺沙星与环丙沙星之和：100</w:t>
            </w:r>
            <w:r/>
          </w:p>
        </w:tc>
      </w:tr>
      <w:tr>
        <w:trPr>
          <w:trHeight w:val="2387"/>
        </w:trPr>
        <w:tc>
          <w:tcPr>
            <w:tcW w:w="345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3"/>
                <w:sz w:val="24"/>
                <w:szCs w:val="24"/>
                <w:highlight w:val="none"/>
              </w:rPr>
              <w:t xml:space="preserve">磺胺类</w:t>
            </w:r>
            <w:r>
              <w:rPr>
                <w:rFonts w:hint="eastAsia"/>
                <w:color w:val="auto"/>
                <w:spacing w:val="-13"/>
                <w:sz w:val="24"/>
                <w:szCs w:val="24"/>
                <w:highlight w:val="none"/>
                <w:lang w:eastAsia="zh-CN"/>
              </w:rPr>
              <w:t xml:space="preserve">（</w:t>
            </w:r>
            <w:r>
              <w:rPr>
                <w:color w:val="auto"/>
                <w:spacing w:val="-13"/>
                <w:sz w:val="24"/>
                <w:szCs w:val="24"/>
                <w:highlight w:val="none"/>
              </w:rPr>
              <w:t xml:space="preserve">磺胺嘧啶、磺胺二甲基嘧啶、</w:t>
            </w:r>
            <w:r>
              <w:rPr>
                <w:color w:val="auto"/>
                <w:spacing w:val="1"/>
                <w:sz w:val="24"/>
                <w:szCs w:val="24"/>
                <w:highlight w:val="none"/>
              </w:rPr>
              <w:t xml:space="preserve"> </w:t>
            </w:r>
            <w:r>
              <w:rPr>
                <w:color w:val="auto"/>
                <w:spacing w:val="-13"/>
                <w:sz w:val="24"/>
                <w:szCs w:val="24"/>
                <w:highlight w:val="none"/>
              </w:rPr>
              <w:t xml:space="preserve">磺胺甲基异噁唑、磺胺异噁唑、磺胺</w:t>
            </w:r>
            <w:r>
              <w:rPr>
                <w:color w:val="auto"/>
                <w:spacing w:val="2"/>
                <w:sz w:val="24"/>
                <w:szCs w:val="24"/>
                <w:highlight w:val="none"/>
              </w:rPr>
              <w:t xml:space="preserve">  </w:t>
            </w:r>
            <w:r>
              <w:rPr>
                <w:color w:val="auto"/>
                <w:spacing w:val="-13"/>
                <w:sz w:val="24"/>
                <w:szCs w:val="24"/>
                <w:highlight w:val="none"/>
              </w:rPr>
              <w:t xml:space="preserve">间二甲氧嘧啶、磺胺噻唑、磺胺甲基</w:t>
            </w:r>
            <w:r>
              <w:rPr>
                <w:color w:val="auto"/>
                <w:spacing w:val="1"/>
                <w:sz w:val="24"/>
                <w:szCs w:val="24"/>
                <w:highlight w:val="none"/>
              </w:rPr>
              <w:t xml:space="preserve">  </w:t>
            </w:r>
            <w:r>
              <w:rPr>
                <w:color w:val="auto"/>
                <w:spacing w:val="-13"/>
                <w:sz w:val="24"/>
                <w:szCs w:val="24"/>
                <w:highlight w:val="none"/>
              </w:rPr>
              <w:t xml:space="preserve">嘧啶、磺胺多辛、磺胺喹噁啉、磺胺</w:t>
            </w:r>
            <w:r>
              <w:rPr>
                <w:color w:val="auto"/>
                <w:spacing w:val="2"/>
                <w:sz w:val="24"/>
                <w:szCs w:val="24"/>
                <w:highlight w:val="none"/>
              </w:rPr>
              <w:t xml:space="preserve">  </w:t>
            </w:r>
            <w:r>
              <w:rPr>
                <w:color w:val="auto"/>
                <w:spacing w:val="-13"/>
                <w:sz w:val="24"/>
                <w:szCs w:val="24"/>
                <w:highlight w:val="none"/>
              </w:rPr>
              <w:t xml:space="preserve">间甲氧嘧啶、磺胺氯哒嗪、磺胺甲噻</w:t>
            </w:r>
            <w:r>
              <w:rPr>
                <w:color w:val="auto"/>
                <w:spacing w:val="1"/>
                <w:sz w:val="24"/>
                <w:szCs w:val="24"/>
                <w:highlight w:val="none"/>
              </w:rPr>
              <w:t xml:space="preserve">  </w:t>
            </w:r>
            <w:r>
              <w:rPr>
                <w:color w:val="auto"/>
                <w:spacing w:val="-1"/>
                <w:sz w:val="24"/>
                <w:szCs w:val="24"/>
                <w:highlight w:val="none"/>
              </w:rPr>
              <w:t xml:space="preserve">二唑，甲氧苄啶</w:t>
            </w:r>
            <w:r>
              <w:rPr>
                <w:rFonts w:hint="eastAsia"/>
                <w:color w:val="auto"/>
                <w:spacing w:val="-1"/>
                <w:sz w:val="24"/>
                <w:szCs w:val="24"/>
                <w:highlight w:val="none"/>
                <w:lang w:eastAsia="zh-CN"/>
              </w:rPr>
              <w:t xml:space="preserve">）</w:t>
            </w:r>
            <w:r/>
          </w:p>
        </w:tc>
        <w:tc>
          <w:tcPr>
            <w:tcW w:w="2102"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GB</w:t>
            </w:r>
            <w:r>
              <w:rPr>
                <w:color w:val="auto"/>
                <w:spacing w:val="108"/>
                <w:sz w:val="24"/>
                <w:szCs w:val="24"/>
                <w:highlight w:val="none"/>
              </w:rPr>
              <w:t xml:space="preserve"> </w:t>
            </w:r>
            <w:r>
              <w:rPr>
                <w:color w:val="auto"/>
                <w:spacing w:val="-2"/>
                <w:sz w:val="24"/>
                <w:szCs w:val="24"/>
                <w:highlight w:val="none"/>
              </w:rPr>
              <w:t xml:space="preserve">29702-2013</w:t>
            </w:r>
            <w:r>
              <w:rPr>
                <w:color w:val="auto"/>
                <w:spacing w:val="91"/>
                <w:sz w:val="24"/>
                <w:szCs w:val="24"/>
                <w:highlight w:val="none"/>
              </w:rPr>
              <w:t xml:space="preserve"> </w:t>
            </w:r>
            <w:r>
              <w:rPr>
                <w:color w:val="auto"/>
                <w:spacing w:val="-2"/>
                <w:sz w:val="24"/>
                <w:szCs w:val="24"/>
                <w:highlight w:val="none"/>
              </w:rPr>
              <w:t xml:space="preserve">、</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GB/T 21316-2007、农</w:t>
            </w:r>
            <w:r>
              <w:rPr>
                <w:color w:val="auto"/>
                <w:spacing w:val="8"/>
                <w:sz w:val="24"/>
                <w:szCs w:val="24"/>
                <w:highlight w:val="none"/>
              </w:rPr>
              <w:t xml:space="preserve"> </w:t>
            </w:r>
            <w:r>
              <w:rPr>
                <w:color w:val="auto"/>
                <w:spacing w:val="-1"/>
                <w:sz w:val="24"/>
                <w:szCs w:val="24"/>
                <w:highlight w:val="none"/>
              </w:rPr>
              <w:t xml:space="preserve">业部1077号公告-1-</w:t>
            </w:r>
            <w:r>
              <w:rPr>
                <w:color w:val="auto"/>
                <w:spacing w:val="-3"/>
                <w:sz w:val="24"/>
                <w:szCs w:val="24"/>
                <w:highlight w:val="none"/>
              </w:rPr>
              <w:t xml:space="preserve">2008</w:t>
            </w:r>
            <w:r/>
          </w:p>
        </w:tc>
        <w:tc>
          <w:tcPr>
            <w:tcW w:w="3396"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磺胺类总量：100</w:t>
            </w:r>
            <w:r>
              <w:rPr>
                <w:rFonts w:hint="eastAsia"/>
                <w:color w:val="auto"/>
                <w:spacing w:val="-2"/>
                <w:sz w:val="24"/>
                <w:szCs w:val="24"/>
                <w:highlight w:val="none"/>
                <w:lang w:eastAsia="zh-CN"/>
              </w:rPr>
              <w:t xml:space="preserve">；</w:t>
            </w:r>
            <w:r>
              <w:rPr>
                <w:b/>
                <w:bCs/>
                <w:color w:val="auto"/>
                <w:spacing w:val="-2"/>
                <w:sz w:val="24"/>
                <w:szCs w:val="24"/>
                <w:highlight w:val="none"/>
              </w:rPr>
              <w:t xml:space="preserve">甲氧苄啶：</w:t>
            </w:r>
            <w:r>
              <w:rPr>
                <w:color w:val="auto"/>
                <w:spacing w:val="5"/>
                <w:sz w:val="24"/>
                <w:szCs w:val="24"/>
                <w:highlight w:val="none"/>
              </w:rPr>
              <w:t xml:space="preserve">50</w:t>
            </w:r>
            <w:r>
              <w:rPr>
                <w:rFonts w:hint="eastAsia"/>
                <w:color w:val="auto"/>
                <w:spacing w:val="5"/>
                <w:sz w:val="24"/>
                <w:szCs w:val="24"/>
                <w:highlight w:val="none"/>
                <w:lang w:eastAsia="zh-CN"/>
              </w:rPr>
              <w:t xml:space="preserve">（</w:t>
            </w:r>
            <w:r>
              <w:rPr>
                <w:color w:val="auto"/>
                <w:spacing w:val="5"/>
                <w:sz w:val="24"/>
                <w:szCs w:val="24"/>
                <w:highlight w:val="none"/>
              </w:rPr>
              <w:t xml:space="preserve">牛蛙不作判定</w:t>
            </w:r>
            <w:r>
              <w:rPr>
                <w:rFonts w:hint="eastAsia"/>
                <w:color w:val="auto"/>
                <w:spacing w:val="5"/>
                <w:sz w:val="24"/>
                <w:szCs w:val="24"/>
                <w:highlight w:val="none"/>
                <w:lang w:eastAsia="zh-CN"/>
              </w:rPr>
              <w:t xml:space="preserve">）</w:t>
            </w:r>
            <w:r/>
          </w:p>
        </w:tc>
      </w:tr>
      <w:tr>
        <w:trPr>
          <w:trHeight w:val="825"/>
        </w:trPr>
        <w:tc>
          <w:tcPr>
            <w:tcW w:w="345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3"/>
                <w:sz w:val="24"/>
                <w:szCs w:val="24"/>
                <w:highlight w:val="none"/>
              </w:rPr>
              <w:t xml:space="preserve">四环素类</w:t>
            </w:r>
            <w:r>
              <w:rPr>
                <w:rFonts w:hint="eastAsia"/>
                <w:color w:val="auto"/>
                <w:spacing w:val="-13"/>
                <w:sz w:val="24"/>
                <w:szCs w:val="24"/>
                <w:highlight w:val="none"/>
                <w:lang w:eastAsia="zh-CN"/>
              </w:rPr>
              <w:t xml:space="preserve">（</w:t>
            </w:r>
            <w:r>
              <w:rPr>
                <w:color w:val="auto"/>
                <w:spacing w:val="-13"/>
                <w:sz w:val="24"/>
                <w:szCs w:val="24"/>
                <w:highlight w:val="none"/>
              </w:rPr>
              <w:t xml:space="preserve">四环素、土霉素、金霉素、</w:t>
            </w:r>
            <w:r>
              <w:rPr>
                <w:color w:val="auto"/>
                <w:spacing w:val="1"/>
                <w:sz w:val="24"/>
                <w:szCs w:val="24"/>
                <w:highlight w:val="none"/>
              </w:rPr>
              <w:t xml:space="preserve"> </w:t>
            </w:r>
            <w:r>
              <w:rPr>
                <w:color w:val="auto"/>
                <w:spacing w:val="2"/>
                <w:sz w:val="24"/>
                <w:szCs w:val="24"/>
                <w:highlight w:val="none"/>
              </w:rPr>
              <w:t xml:space="preserve">多西环素</w:t>
            </w:r>
            <w:r>
              <w:rPr>
                <w:rFonts w:hint="eastAsia"/>
                <w:color w:val="auto"/>
                <w:spacing w:val="2"/>
                <w:sz w:val="24"/>
                <w:szCs w:val="24"/>
                <w:highlight w:val="none"/>
                <w:lang w:eastAsia="zh-CN"/>
              </w:rPr>
              <w:t xml:space="preserve">）</w:t>
            </w:r>
            <w:r/>
          </w:p>
        </w:tc>
        <w:tc>
          <w:tcPr>
            <w:tcW w:w="2102" w:type="dxa"/>
            <w:vAlign w:val="top"/>
            <w:textDirection w:val="lrTb"/>
            <w:noWrap w:val="false"/>
          </w:tcPr>
          <w:p>
            <w:pPr>
              <w:pStyle w:val="1057"/>
              <w:ind w:left="0" w:right="0" w:firstLine="99"/>
              <w:jc w:val="both"/>
              <w:keepLines w:val="0"/>
              <w:keepNext w:val="0"/>
              <w:pageBreakBefore w:val="0"/>
              <w:spacing w:line="360" w:lineRule="exact"/>
              <w:widowControl w:val="off"/>
              <w:rPr>
                <w:color w:val="auto"/>
                <w:sz w:val="24"/>
                <w:szCs w:val="24"/>
                <w:highlight w:val="none"/>
              </w:rPr>
            </w:pPr>
            <w:r>
              <w:rPr>
                <w:color w:val="auto"/>
                <w:spacing w:val="-5"/>
                <w:sz w:val="24"/>
                <w:szCs w:val="24"/>
                <w:highlight w:val="none"/>
              </w:rPr>
              <w:t xml:space="preserve">GB/T</w:t>
            </w:r>
            <w:r>
              <w:rPr>
                <w:color w:val="auto"/>
                <w:spacing w:val="34"/>
                <w:sz w:val="24"/>
                <w:szCs w:val="24"/>
                <w:highlight w:val="none"/>
              </w:rPr>
              <w:t xml:space="preserve"> </w:t>
            </w:r>
            <w:r>
              <w:rPr>
                <w:color w:val="auto"/>
                <w:spacing w:val="-5"/>
                <w:sz w:val="24"/>
                <w:szCs w:val="24"/>
                <w:highlight w:val="none"/>
              </w:rPr>
              <w:t xml:space="preserve">21317-2007、</w:t>
            </w:r>
            <w:r>
              <w:rPr>
                <w:color w:val="auto"/>
                <w:sz w:val="24"/>
                <w:szCs w:val="24"/>
                <w:highlight w:val="none"/>
              </w:rPr>
              <w:t xml:space="preserve"> </w:t>
            </w:r>
            <w:r>
              <w:rPr>
                <w:color w:val="auto"/>
                <w:spacing w:val="-2"/>
                <w:sz w:val="24"/>
                <w:szCs w:val="24"/>
                <w:highlight w:val="none"/>
              </w:rPr>
              <w:t xml:space="preserve">GB</w:t>
            </w:r>
            <w:r>
              <w:rPr>
                <w:color w:val="auto"/>
                <w:spacing w:val="56"/>
                <w:sz w:val="24"/>
                <w:szCs w:val="24"/>
                <w:highlight w:val="none"/>
              </w:rPr>
              <w:t xml:space="preserve"> </w:t>
            </w:r>
            <w:r>
              <w:rPr>
                <w:color w:val="auto"/>
                <w:spacing w:val="-2"/>
                <w:sz w:val="24"/>
                <w:szCs w:val="24"/>
                <w:highlight w:val="none"/>
              </w:rPr>
              <w:t xml:space="preserve">31656.11-2021</w:t>
            </w:r>
            <w:r/>
          </w:p>
        </w:tc>
        <w:tc>
          <w:tcPr>
            <w:tcW w:w="3396" w:type="dxa"/>
            <w:vAlign w:val="top"/>
            <w:textDirection w:val="lrTb"/>
            <w:noWrap w:val="false"/>
          </w:tcPr>
          <w:p>
            <w:pPr>
              <w:pStyle w:val="1057"/>
              <w:ind w:left="0" w:right="0" w:firstLine="19"/>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四环素、土霉素、金霉素：200</w:t>
            </w:r>
            <w:r>
              <w:rPr>
                <w:rFonts w:hint="eastAsia"/>
                <w:color w:val="auto"/>
                <w:sz w:val="24"/>
                <w:szCs w:val="24"/>
                <w:highlight w:val="none"/>
                <w:lang w:eastAsia="zh-CN"/>
              </w:rPr>
              <w:t xml:space="preserve">；</w:t>
            </w:r>
            <w:r>
              <w:rPr>
                <w:color w:val="auto"/>
                <w:spacing w:val="7"/>
                <w:sz w:val="24"/>
                <w:szCs w:val="24"/>
                <w:highlight w:val="none"/>
              </w:rPr>
              <w:t xml:space="preserve"> </w:t>
            </w:r>
            <w:r>
              <w:rPr>
                <w:color w:val="auto"/>
                <w:spacing w:val="1"/>
                <w:sz w:val="24"/>
                <w:szCs w:val="24"/>
                <w:highlight w:val="none"/>
              </w:rPr>
              <w:t xml:space="preserve">多西环素：100</w:t>
            </w:r>
            <w:r/>
          </w:p>
        </w:tc>
      </w:tr>
    </w:tbl>
    <w:p>
      <w:pPr>
        <w:ind w:left="185"/>
        <w:spacing w:before="63"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注 ：国家现行有效方法也可以使用，但方法最低检出限必须满足判定依据限量值。</w:t>
      </w:r>
      <w:r/>
    </w:p>
    <w:p>
      <w:pPr>
        <w:ind w:left="185"/>
        <w:spacing w:before="63" w:line="22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r>
      <w:r/>
    </w:p>
    <w:p>
      <w:pPr>
        <w:ind w:left="185"/>
        <w:spacing w:before="63" w:line="22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r>
      <w:r/>
    </w:p>
    <w:p>
      <w:pPr>
        <w:ind w:left="185"/>
        <w:spacing w:before="63" w:line="22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r>
      <w:r/>
    </w:p>
    <w:p>
      <w:pPr>
        <w:ind w:left="185"/>
        <w:spacing w:before="63" w:line="220" w:lineRule="auto"/>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r>
      <w:r/>
    </w:p>
    <w:p>
      <w:pPr>
        <w:jc w:val="both"/>
        <w:widowControl w:val="off"/>
        <w:rPr>
          <w:rFonts w:hint="eastAsia" w:ascii="Times New Roman" w:hAnsi="Times New Roman" w:eastAsia="宋体" w:cs="Times New Roman"/>
          <w:color w:val="auto"/>
          <w:szCs w:val="24"/>
          <w:highlight w:val="none"/>
          <w:lang w:eastAsia="zh-CN"/>
        </w:rPr>
      </w:pPr>
      <w:r>
        <w:rPr>
          <w:rFonts w:hint="eastAsia" w:ascii="Times New Roman" w:hAnsi="Times New Roman" w:eastAsia="仿宋_GB2312" w:cs="Times New Roman"/>
          <w:b/>
          <w:bCs/>
          <w:color w:val="auto"/>
          <w:sz w:val="32"/>
          <w:szCs w:val="32"/>
          <w:highlight w:val="none"/>
          <w:lang w:val="en-US" w:eastAsia="zh-CN" w:bidi="ar-SA"/>
        </w:rPr>
        <w:t xml:space="preserve">附表4</w:t>
      </w:r>
      <w:r/>
    </w:p>
    <w:p>
      <w:pPr>
        <w:jc w:val="center"/>
        <w:spacing w:line="560" w:lineRule="exact"/>
        <w:rPr>
          <w:rFonts w:hint="default" w:ascii="Times New Roman" w:hAnsi="Times New Roman" w:eastAsia="仿宋_GB2312" w:cs="Times New Roman"/>
          <w:b/>
          <w:bCs/>
          <w:color w:val="auto"/>
          <w:sz w:val="32"/>
          <w:szCs w:val="32"/>
          <w:highlight w:val="none"/>
          <w:lang w:val="en-US" w:eastAsia="zh-CN"/>
        </w:rPr>
      </w:pPr>
      <w:r>
        <w:rPr>
          <w:rFonts w:hint="eastAsia" w:ascii="Times New Roman" w:hAnsi="Times New Roman" w:eastAsia="仿宋_GB2312" w:cs="Times New Roman"/>
          <w:b/>
          <w:bCs/>
          <w:color w:val="auto"/>
          <w:sz w:val="32"/>
          <w:szCs w:val="32"/>
          <w:highlight w:val="none"/>
          <w:lang w:val="en-US" w:eastAsia="zh-CN"/>
        </w:rPr>
        <w:t xml:space="preserve">分包二：监督抽查检测方法和判定依据：</w:t>
      </w:r>
      <w:r/>
    </w:p>
    <w:p>
      <w:pPr>
        <w:ind w:left="436"/>
        <w:spacing w:before="192" w:line="219" w:lineRule="auto"/>
        <w:rPr>
          <w:rFonts w:ascii="宋体" w:hAnsi="宋体" w:eastAsia="宋体" w:cs="宋体"/>
          <w:color w:val="auto"/>
          <w:sz w:val="24"/>
          <w:szCs w:val="24"/>
          <w:highlight w:val="none"/>
        </w:rPr>
        <w:outlineLvl w:val="0"/>
      </w:pPr>
      <w:r>
        <w:rPr>
          <w:rFonts w:ascii="宋体" w:hAnsi="宋体" w:eastAsia="宋体" w:cs="宋体"/>
          <w:b/>
          <w:bCs/>
          <w:color w:val="auto"/>
          <w:spacing w:val="-5"/>
          <w:sz w:val="24"/>
          <w:szCs w:val="24"/>
          <w:highlight w:val="none"/>
        </w:rPr>
        <w:t xml:space="preserve">一、种植业产品</w:t>
      </w:r>
      <w:r/>
    </w:p>
    <w:p>
      <w:pPr>
        <w:spacing w:line="53" w:lineRule="auto"/>
        <w:rPr>
          <w:rFonts w:ascii="Arial"/>
          <w:color w:val="auto"/>
          <w:sz w:val="2"/>
          <w:highlight w:val="none"/>
        </w:rPr>
      </w:pPr>
      <w:r>
        <w:rPr>
          <w:rFonts w:ascii="Arial"/>
          <w:color w:val="auto"/>
          <w:sz w:val="2"/>
          <w:highlight w:val="none"/>
        </w:rPr>
      </w:r>
      <w:r/>
    </w:p>
    <w:tbl>
      <w:tblPr>
        <w:tblStyle w:val="1058"/>
        <w:tblW w:w="95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05"/>
        <w:gridCol w:w="3295"/>
        <w:gridCol w:w="1876"/>
      </w:tblGrid>
      <w:tr>
        <w:trPr>
          <w:trHeight w:val="654"/>
        </w:trPr>
        <w:tc>
          <w:tcPr>
            <w:tcW w:w="440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抽检参数</w:t>
            </w:r>
            <w:r/>
          </w:p>
        </w:tc>
        <w:tc>
          <w:tcPr>
            <w:tcW w:w="329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检测方法</w:t>
            </w:r>
            <w:r/>
          </w:p>
        </w:tc>
        <w:tc>
          <w:tcPr>
            <w:tcW w:w="1876"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判定依据</w:t>
            </w:r>
            <w:r/>
          </w:p>
        </w:tc>
      </w:tr>
      <w:tr>
        <w:trPr>
          <w:trHeight w:val="2341"/>
        </w:trPr>
        <w:tc>
          <w:tcPr>
            <w:tcW w:w="440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甲胺磷、甲拌磷</w:t>
            </w:r>
            <w:r>
              <w:rPr>
                <w:rFonts w:hint="eastAsia"/>
                <w:color w:val="auto"/>
                <w:sz w:val="24"/>
                <w:szCs w:val="24"/>
                <w:highlight w:val="none"/>
                <w:lang w:eastAsia="zh-CN"/>
              </w:rPr>
              <w:t xml:space="preserve">（</w:t>
            </w:r>
            <w:r>
              <w:rPr>
                <w:color w:val="auto"/>
                <w:sz w:val="24"/>
                <w:szCs w:val="24"/>
                <w:highlight w:val="none"/>
              </w:rPr>
              <w:t xml:space="preserve">包括甲拌磷砜和甲拌磷亚砜</w:t>
            </w:r>
            <w:r>
              <w:rPr>
                <w:rFonts w:hint="eastAsia"/>
                <w:color w:val="auto"/>
                <w:sz w:val="24"/>
                <w:szCs w:val="24"/>
                <w:highlight w:val="none"/>
                <w:lang w:eastAsia="zh-CN"/>
              </w:rPr>
              <w:t xml:space="preserve">）</w:t>
            </w:r>
            <w:r>
              <w:rPr>
                <w:color w:val="auto"/>
                <w:sz w:val="24"/>
                <w:szCs w:val="24"/>
                <w:highlight w:val="none"/>
              </w:rPr>
              <w:t xml:space="preserve">、氧乐果、水胺硫磷、甲基异柳磷、克百威</w:t>
            </w:r>
            <w:r>
              <w:rPr>
                <w:rFonts w:hint="eastAsia"/>
                <w:color w:val="auto"/>
                <w:sz w:val="24"/>
                <w:szCs w:val="24"/>
                <w:highlight w:val="none"/>
                <w:lang w:eastAsia="zh-CN"/>
              </w:rPr>
              <w:t xml:space="preserve">（</w:t>
            </w:r>
            <w:r>
              <w:rPr>
                <w:color w:val="auto"/>
                <w:sz w:val="24"/>
                <w:szCs w:val="24"/>
                <w:highlight w:val="none"/>
              </w:rPr>
              <w:t xml:space="preserve">包括3-羟基克百威</w:t>
            </w:r>
            <w:r>
              <w:rPr>
                <w:rFonts w:hint="eastAsia"/>
                <w:color w:val="auto"/>
                <w:sz w:val="24"/>
                <w:szCs w:val="24"/>
                <w:highlight w:val="none"/>
                <w:lang w:eastAsia="zh-CN"/>
              </w:rPr>
              <w:t xml:space="preserve">）</w:t>
            </w:r>
            <w:r>
              <w:rPr>
                <w:color w:val="auto"/>
                <w:sz w:val="24"/>
                <w:szCs w:val="24"/>
                <w:highlight w:val="none"/>
              </w:rPr>
              <w:t xml:space="preserve">、涕灭威</w:t>
            </w:r>
            <w:r>
              <w:rPr>
                <w:rFonts w:hint="eastAsia"/>
                <w:color w:val="auto"/>
                <w:sz w:val="24"/>
                <w:szCs w:val="24"/>
                <w:highlight w:val="none"/>
                <w:lang w:eastAsia="zh-CN"/>
              </w:rPr>
              <w:t xml:space="preserve">（</w:t>
            </w:r>
            <w:r>
              <w:rPr>
                <w:color w:val="auto"/>
                <w:sz w:val="24"/>
                <w:szCs w:val="24"/>
                <w:highlight w:val="none"/>
              </w:rPr>
              <w:t xml:space="preserve">包括</w:t>
            </w:r>
            <w:r>
              <w:rPr>
                <w:color w:val="auto"/>
                <w:spacing w:val="-2"/>
                <w:sz w:val="24"/>
                <w:szCs w:val="24"/>
                <w:highlight w:val="none"/>
              </w:rPr>
              <w:t xml:space="preserve">涕灭威砜和涕灭威亚砜</w:t>
            </w:r>
            <w:r>
              <w:rPr>
                <w:rFonts w:hint="eastAsia"/>
                <w:color w:val="auto"/>
                <w:spacing w:val="-2"/>
                <w:sz w:val="24"/>
                <w:szCs w:val="24"/>
                <w:highlight w:val="none"/>
                <w:lang w:eastAsia="zh-CN"/>
              </w:rPr>
              <w:t xml:space="preserve">）</w:t>
            </w:r>
            <w:r>
              <w:rPr>
                <w:color w:val="auto"/>
                <w:spacing w:val="-2"/>
                <w:sz w:val="24"/>
                <w:szCs w:val="24"/>
                <w:highlight w:val="none"/>
              </w:rPr>
              <w:t xml:space="preserve">、毒死蜱、三唑磷、</w:t>
            </w:r>
            <w:r>
              <w:rPr>
                <w:color w:val="auto"/>
                <w:sz w:val="24"/>
                <w:szCs w:val="24"/>
                <w:highlight w:val="none"/>
              </w:rPr>
              <w:t xml:space="preserve">乐果、乙酰甲胺磷、灭多威、腐霉利、多菌</w:t>
            </w:r>
            <w:r>
              <w:rPr>
                <w:color w:val="auto"/>
                <w:spacing w:val="6"/>
                <w:sz w:val="24"/>
                <w:szCs w:val="24"/>
                <w:highlight w:val="none"/>
              </w:rPr>
              <w:t xml:space="preserve">灵、吡虫啉、</w:t>
            </w:r>
            <w:r>
              <w:rPr>
                <w:b/>
                <w:bCs/>
                <w:color w:val="auto"/>
                <w:spacing w:val="6"/>
                <w:sz w:val="24"/>
                <w:szCs w:val="24"/>
                <w:highlight w:val="none"/>
              </w:rPr>
              <w:t xml:space="preserve">辛硫磷、氯氟氰菊酯、</w:t>
            </w:r>
            <w:r/>
          </w:p>
        </w:tc>
        <w:tc>
          <w:tcPr>
            <w:tcW w:w="3295" w:type="dxa"/>
            <w:vAlign w:val="top"/>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NY/T</w:t>
            </w:r>
            <w:r>
              <w:rPr>
                <w:color w:val="auto"/>
                <w:spacing w:val="20"/>
                <w:sz w:val="24"/>
                <w:szCs w:val="24"/>
                <w:highlight w:val="none"/>
              </w:rPr>
              <w:t xml:space="preserve"> </w:t>
            </w:r>
            <w:r>
              <w:rPr>
                <w:color w:val="auto"/>
                <w:spacing w:val="-2"/>
                <w:sz w:val="24"/>
                <w:szCs w:val="24"/>
                <w:highlight w:val="none"/>
              </w:rPr>
              <w:t xml:space="preserve">761-2008</w:t>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GB/T</w:t>
            </w:r>
            <w:r>
              <w:rPr>
                <w:color w:val="auto"/>
                <w:spacing w:val="42"/>
                <w:sz w:val="24"/>
                <w:szCs w:val="24"/>
                <w:highlight w:val="none"/>
              </w:rPr>
              <w:t xml:space="preserve"> </w:t>
            </w:r>
            <w:r>
              <w:rPr>
                <w:color w:val="auto"/>
                <w:spacing w:val="-2"/>
                <w:sz w:val="24"/>
                <w:szCs w:val="24"/>
                <w:highlight w:val="none"/>
              </w:rPr>
              <w:t xml:space="preserve">20769-2008</w:t>
            </w:r>
            <w:r/>
          </w:p>
          <w:p>
            <w:pPr>
              <w:pStyle w:val="1057"/>
              <w:ind w:left="0" w:right="0" w:firstLine="0"/>
              <w:jc w:val="both"/>
              <w:keepLines w:val="0"/>
              <w:keepNext w:val="0"/>
              <w:pageBreakBefore w:val="0"/>
              <w:spacing w:line="360" w:lineRule="exact"/>
              <w:widowControl w:val="off"/>
              <w:rPr>
                <w:color w:val="auto"/>
                <w:spacing w:val="3"/>
                <w:sz w:val="24"/>
                <w:szCs w:val="24"/>
                <w:highlight w:val="none"/>
              </w:rPr>
            </w:pPr>
            <w:r>
              <w:rPr>
                <w:color w:val="auto"/>
                <w:spacing w:val="-1"/>
                <w:sz w:val="24"/>
                <w:szCs w:val="24"/>
                <w:highlight w:val="none"/>
              </w:rPr>
              <w:t xml:space="preserve">GB23200.113-20</w:t>
            </w:r>
            <w:r>
              <w:rPr>
                <w:rFonts w:hint="eastAsia"/>
                <w:color w:val="auto"/>
                <w:spacing w:val="-1"/>
                <w:sz w:val="24"/>
                <w:szCs w:val="24"/>
                <w:highlight w:val="none"/>
                <w:lang w:val="en-US" w:eastAsia="zh-CN"/>
              </w:rPr>
              <w:t xml:space="preserve">26</w:t>
            </w:r>
            <w:r>
              <w:rPr>
                <w:color w:val="auto"/>
                <w:spacing w:val="3"/>
                <w:sz w:val="24"/>
                <w:szCs w:val="24"/>
                <w:highlight w:val="none"/>
              </w:rPr>
              <w:t xml:space="preserve">  </w:t>
            </w:r>
            <w:r/>
          </w:p>
          <w:p>
            <w:pPr>
              <w:pStyle w:val="1057"/>
              <w:ind w:left="0" w:right="0" w:firstLine="0"/>
              <w:jc w:val="both"/>
              <w:keepLines w:val="0"/>
              <w:keepNext w:val="0"/>
              <w:pageBreakBefore w:val="0"/>
              <w:spacing w:line="360" w:lineRule="exact"/>
              <w:widowControl w:val="off"/>
              <w:rPr>
                <w:rFonts w:hint="default" w:eastAsia="宋体"/>
                <w:color w:val="auto"/>
                <w:sz w:val="24"/>
                <w:szCs w:val="24"/>
                <w:highlight w:val="none"/>
                <w:lang w:val="en-US" w:eastAsia="zh-CN"/>
              </w:rPr>
            </w:pPr>
            <w:r>
              <w:rPr>
                <w:color w:val="auto"/>
                <w:spacing w:val="-2"/>
                <w:sz w:val="24"/>
                <w:szCs w:val="24"/>
                <w:highlight w:val="none"/>
              </w:rPr>
              <w:t xml:space="preserve">GB</w:t>
            </w:r>
            <w:r>
              <w:rPr>
                <w:color w:val="auto"/>
                <w:spacing w:val="57"/>
                <w:sz w:val="24"/>
                <w:szCs w:val="24"/>
                <w:highlight w:val="none"/>
              </w:rPr>
              <w:t xml:space="preserve"> </w:t>
            </w:r>
            <w:r>
              <w:rPr>
                <w:color w:val="auto"/>
                <w:spacing w:val="-2"/>
                <w:sz w:val="24"/>
                <w:szCs w:val="24"/>
                <w:highlight w:val="none"/>
              </w:rPr>
              <w:t xml:space="preserve">23200.121-20</w:t>
            </w:r>
            <w:r>
              <w:rPr>
                <w:rFonts w:hint="eastAsia"/>
                <w:color w:val="auto"/>
                <w:spacing w:val="-2"/>
                <w:sz w:val="24"/>
                <w:szCs w:val="24"/>
                <w:highlight w:val="none"/>
                <w:lang w:val="en-US" w:eastAsia="zh-CN"/>
              </w:rPr>
              <w:t xml:space="preserve">26</w:t>
            </w:r>
            <w:r/>
          </w:p>
        </w:tc>
        <w:tc>
          <w:tcPr>
            <w:tcBorders>
              <w:bottom w:val="none" w:color="000000" w:sz="4" w:space="0"/>
            </w:tcBorders>
            <w:tcW w:w="1876" w:type="dxa"/>
            <w:vAlign w:val="top"/>
            <w:vMerge w:val="restart"/>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60" w:lineRule="exact"/>
              <w:widowControl w:val="off"/>
              <w:rPr>
                <w:color w:val="auto"/>
                <w:spacing w:val="-6"/>
                <w:sz w:val="24"/>
                <w:szCs w:val="24"/>
                <w:highlight w:val="none"/>
              </w:rPr>
            </w:pPr>
            <w:r>
              <w:rPr>
                <w:color w:val="auto"/>
                <w:spacing w:val="-6"/>
                <w:sz w:val="24"/>
                <w:szCs w:val="24"/>
                <w:highlight w:val="none"/>
              </w:rPr>
              <w:t xml:space="preserve">GB</w:t>
            </w:r>
            <w:r>
              <w:rPr>
                <w:color w:val="auto"/>
                <w:spacing w:val="32"/>
                <w:sz w:val="24"/>
                <w:szCs w:val="24"/>
                <w:highlight w:val="none"/>
              </w:rPr>
              <w:t xml:space="preserve"> </w:t>
            </w:r>
            <w:r>
              <w:rPr>
                <w:color w:val="auto"/>
                <w:spacing w:val="-6"/>
                <w:sz w:val="24"/>
                <w:szCs w:val="24"/>
                <w:highlight w:val="none"/>
              </w:rPr>
              <w:t xml:space="preserve">2763-202</w:t>
            </w:r>
            <w:r>
              <w:rPr>
                <w:rFonts w:hint="eastAsia"/>
                <w:color w:val="auto"/>
                <w:spacing w:val="-6"/>
                <w:sz w:val="24"/>
                <w:szCs w:val="24"/>
                <w:highlight w:val="none"/>
                <w:lang w:val="en-US" w:eastAsia="zh-CN"/>
              </w:rPr>
              <w:t xml:space="preserve">6</w:t>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z w:val="24"/>
                <w:szCs w:val="24"/>
                <w:highlight w:val="none"/>
              </w:rPr>
            </w:r>
            <w:r/>
          </w:p>
        </w:tc>
      </w:tr>
      <w:tr>
        <w:trPr>
          <w:trHeight w:val="1507"/>
        </w:trPr>
        <w:tc>
          <w:tcPr>
            <w:tcW w:w="440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6"/>
                <w:sz w:val="24"/>
                <w:szCs w:val="24"/>
                <w:highlight w:val="none"/>
              </w:rPr>
              <w:t xml:space="preserve">氟虫腈</w:t>
            </w:r>
            <w:r>
              <w:rPr>
                <w:rFonts w:hint="eastAsia"/>
                <w:color w:val="auto"/>
                <w:spacing w:val="-6"/>
                <w:sz w:val="24"/>
                <w:szCs w:val="24"/>
                <w:highlight w:val="none"/>
                <w:lang w:eastAsia="zh-CN"/>
              </w:rPr>
              <w:t xml:space="preserve">（</w:t>
            </w:r>
            <w:r>
              <w:rPr>
                <w:color w:val="auto"/>
                <w:spacing w:val="-6"/>
                <w:sz w:val="24"/>
                <w:szCs w:val="24"/>
                <w:highlight w:val="none"/>
              </w:rPr>
              <w:t xml:space="preserve">包括氟甲腈、氟虫腈硫醚、氟虫腈</w:t>
            </w:r>
            <w:r>
              <w:rPr>
                <w:color w:val="auto"/>
                <w:spacing w:val="3"/>
                <w:sz w:val="24"/>
                <w:szCs w:val="24"/>
                <w:highlight w:val="none"/>
              </w:rPr>
              <w:t xml:space="preserve">  </w:t>
            </w:r>
            <w:r>
              <w:rPr>
                <w:color w:val="auto"/>
                <w:spacing w:val="-2"/>
                <w:sz w:val="24"/>
                <w:szCs w:val="24"/>
                <w:highlight w:val="none"/>
              </w:rPr>
              <w:t xml:space="preserve">砜</w:t>
            </w:r>
            <w:r>
              <w:rPr>
                <w:rFonts w:hint="eastAsia"/>
                <w:color w:val="auto"/>
                <w:spacing w:val="-2"/>
                <w:sz w:val="24"/>
                <w:szCs w:val="24"/>
                <w:highlight w:val="none"/>
                <w:lang w:eastAsia="zh-CN"/>
              </w:rPr>
              <w:t xml:space="preserve">）</w:t>
            </w:r>
            <w:r>
              <w:rPr>
                <w:color w:val="auto"/>
                <w:spacing w:val="-2"/>
                <w:sz w:val="24"/>
                <w:szCs w:val="24"/>
                <w:highlight w:val="none"/>
              </w:rPr>
              <w:t xml:space="preserve">、啶虫脒、嘧霉胺、烯酰吗啉、噻虫嗪、</w:t>
            </w:r>
            <w:r/>
          </w:p>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噻虫胺、甲氨基阿维菌素苯甲酸盐、哒螨</w:t>
            </w:r>
            <w:r>
              <w:rPr>
                <w:color w:val="auto"/>
                <w:spacing w:val="10"/>
                <w:sz w:val="24"/>
                <w:szCs w:val="24"/>
                <w:highlight w:val="none"/>
              </w:rPr>
              <w:t xml:space="preserve"> </w:t>
            </w:r>
            <w:r>
              <w:rPr>
                <w:b/>
                <w:bCs/>
                <w:color w:val="auto"/>
                <w:spacing w:val="-2"/>
                <w:sz w:val="24"/>
                <w:szCs w:val="24"/>
                <w:highlight w:val="none"/>
              </w:rPr>
              <w:t xml:space="preserve">灵、吡唑醚菌酯</w:t>
            </w:r>
            <w:r/>
          </w:p>
        </w:tc>
        <w:tc>
          <w:tcPr>
            <w:tcW w:w="3295" w:type="dxa"/>
            <w:vAlign w:val="top"/>
            <w:textDirection w:val="lrTb"/>
            <w:noWrap w:val="false"/>
          </w:tcPr>
          <w:p>
            <w:pPr>
              <w:pStyle w:val="1057"/>
              <w:ind w:left="0" w:right="0" w:firstLine="0"/>
              <w:jc w:val="left"/>
              <w:keepLines w:val="0"/>
              <w:keepNext w:val="0"/>
              <w:pageBreakBefore w:val="0"/>
              <w:spacing w:line="360" w:lineRule="exact"/>
              <w:widowControl w:val="off"/>
              <w:rPr>
                <w:color w:val="auto"/>
                <w:spacing w:val="3"/>
                <w:sz w:val="24"/>
                <w:szCs w:val="24"/>
                <w:highlight w:val="none"/>
              </w:rPr>
            </w:pPr>
            <w:r>
              <w:rPr>
                <w:color w:val="auto"/>
                <w:spacing w:val="-1"/>
                <w:sz w:val="24"/>
                <w:szCs w:val="24"/>
                <w:highlight w:val="none"/>
              </w:rPr>
              <w:t xml:space="preserve">GB</w:t>
            </w:r>
            <w:r>
              <w:rPr>
                <w:rFonts w:hint="eastAsia"/>
                <w:color w:val="auto"/>
                <w:spacing w:val="-1"/>
                <w:sz w:val="24"/>
                <w:szCs w:val="24"/>
                <w:highlight w:val="none"/>
                <w:lang w:val="en-US" w:eastAsia="zh-CN"/>
              </w:rPr>
              <w:t xml:space="preserve"> </w:t>
            </w:r>
            <w:r>
              <w:rPr>
                <w:color w:val="auto"/>
                <w:spacing w:val="-1"/>
                <w:sz w:val="24"/>
                <w:szCs w:val="24"/>
                <w:highlight w:val="none"/>
              </w:rPr>
              <w:t xml:space="preserve">23200.8-2016或</w:t>
            </w:r>
            <w:r>
              <w:rPr>
                <w:color w:val="auto"/>
                <w:spacing w:val="7"/>
                <w:sz w:val="24"/>
                <w:szCs w:val="24"/>
                <w:highlight w:val="none"/>
              </w:rPr>
              <w:t xml:space="preserve"> </w:t>
            </w:r>
            <w:r>
              <w:rPr>
                <w:color w:val="auto"/>
                <w:spacing w:val="-1"/>
                <w:sz w:val="24"/>
                <w:szCs w:val="24"/>
                <w:highlight w:val="none"/>
              </w:rPr>
              <w:t xml:space="preserve">GB/T20769-2008或</w:t>
            </w:r>
            <w:r>
              <w:rPr>
                <w:color w:val="auto"/>
                <w:spacing w:val="3"/>
                <w:sz w:val="24"/>
                <w:szCs w:val="24"/>
                <w:highlight w:val="none"/>
              </w:rPr>
              <w:t xml:space="preserve">  </w:t>
            </w:r>
            <w:r/>
          </w:p>
          <w:p>
            <w:pPr>
              <w:pStyle w:val="1057"/>
              <w:ind w:left="0" w:right="0" w:firstLine="0"/>
              <w:jc w:val="left"/>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GB</w:t>
            </w:r>
            <w:r>
              <w:rPr>
                <w:color w:val="auto"/>
                <w:spacing w:val="46"/>
                <w:sz w:val="24"/>
                <w:szCs w:val="24"/>
                <w:highlight w:val="none"/>
              </w:rPr>
              <w:t xml:space="preserve"> </w:t>
            </w:r>
            <w:r>
              <w:rPr>
                <w:color w:val="auto"/>
                <w:spacing w:val="-2"/>
                <w:sz w:val="24"/>
                <w:szCs w:val="24"/>
                <w:highlight w:val="none"/>
              </w:rPr>
              <w:t xml:space="preserve">23200.113-20</w:t>
            </w:r>
            <w:r>
              <w:rPr>
                <w:rFonts w:hint="eastAsia"/>
                <w:color w:val="auto"/>
                <w:spacing w:val="-2"/>
                <w:sz w:val="24"/>
                <w:szCs w:val="24"/>
                <w:highlight w:val="none"/>
                <w:lang w:val="en-US" w:eastAsia="zh-CN"/>
              </w:rPr>
              <w:t xml:space="preserve">26</w:t>
            </w:r>
            <w:r>
              <w:rPr>
                <w:color w:val="auto"/>
                <w:sz w:val="24"/>
                <w:szCs w:val="24"/>
                <w:highlight w:val="none"/>
              </w:rPr>
              <w:t xml:space="preserve"> </w:t>
            </w:r>
            <w:r/>
          </w:p>
          <w:p>
            <w:pPr>
              <w:pStyle w:val="1057"/>
              <w:ind w:left="0" w:right="0" w:firstLine="0"/>
              <w:jc w:val="left"/>
              <w:keepLines w:val="0"/>
              <w:keepNext w:val="0"/>
              <w:pageBreakBefore w:val="0"/>
              <w:spacing w:line="360" w:lineRule="exact"/>
              <w:widowControl w:val="off"/>
              <w:rPr>
                <w:rFonts w:hint="eastAsia" w:eastAsia="宋体"/>
                <w:color w:val="auto"/>
                <w:sz w:val="24"/>
                <w:szCs w:val="24"/>
                <w:highlight w:val="none"/>
                <w:lang w:eastAsia="zh-CN"/>
              </w:rPr>
            </w:pPr>
            <w:r>
              <w:rPr>
                <w:color w:val="auto"/>
                <w:spacing w:val="-2"/>
                <w:sz w:val="24"/>
                <w:szCs w:val="24"/>
                <w:highlight w:val="none"/>
              </w:rPr>
              <w:t xml:space="preserve">GB</w:t>
            </w:r>
            <w:r>
              <w:rPr>
                <w:color w:val="auto"/>
                <w:spacing w:val="57"/>
                <w:sz w:val="24"/>
                <w:szCs w:val="24"/>
                <w:highlight w:val="none"/>
              </w:rPr>
              <w:t xml:space="preserve"> </w:t>
            </w:r>
            <w:r>
              <w:rPr>
                <w:color w:val="auto"/>
                <w:spacing w:val="-2"/>
                <w:sz w:val="24"/>
                <w:szCs w:val="24"/>
                <w:highlight w:val="none"/>
              </w:rPr>
              <w:t xml:space="preserve">23200.121-202</w:t>
            </w:r>
            <w:r>
              <w:rPr>
                <w:rFonts w:hint="eastAsia"/>
                <w:color w:val="auto"/>
                <w:spacing w:val="-2"/>
                <w:sz w:val="24"/>
                <w:szCs w:val="24"/>
                <w:highlight w:val="none"/>
                <w:lang w:val="en-US" w:eastAsia="zh-CN"/>
              </w:rPr>
              <w:t xml:space="preserve">6</w:t>
            </w:r>
            <w:r/>
          </w:p>
        </w:tc>
        <w:tc>
          <w:tcPr>
            <w:tcBorders>
              <w:top w:val="none" w:color="000000" w:sz="4" w:space="0"/>
              <w:bottom w:val="none" w:color="000000" w:sz="4" w:space="0"/>
            </w:tcBorders>
            <w:tcW w:w="1876"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r>
      <w:tr>
        <w:trPr>
          <w:trHeight w:val="790"/>
        </w:trPr>
        <w:tc>
          <w:tcPr>
            <w:tcW w:w="440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4"/>
                <w:sz w:val="24"/>
                <w:szCs w:val="24"/>
                <w:highlight w:val="none"/>
              </w:rPr>
              <w:t xml:space="preserve">灭蝇胺</w:t>
            </w:r>
            <w:r/>
          </w:p>
        </w:tc>
        <w:tc>
          <w:tcPr>
            <w:tcW w:w="3295" w:type="dxa"/>
            <w:vAlign w:val="top"/>
            <w:textDirection w:val="lrTb"/>
            <w:noWrap w:val="false"/>
          </w:tcPr>
          <w:p>
            <w:pPr>
              <w:pStyle w:val="1057"/>
              <w:ind w:left="0" w:right="0" w:firstLine="0"/>
              <w:jc w:val="left"/>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NY/T1725-2009或GB/T</w:t>
            </w:r>
            <w:r>
              <w:rPr>
                <w:color w:val="auto"/>
                <w:spacing w:val="14"/>
                <w:sz w:val="24"/>
                <w:szCs w:val="24"/>
                <w:highlight w:val="none"/>
              </w:rPr>
              <w:t xml:space="preserve"> </w:t>
            </w:r>
            <w:r>
              <w:rPr>
                <w:color w:val="auto"/>
                <w:spacing w:val="-2"/>
                <w:sz w:val="24"/>
                <w:szCs w:val="24"/>
                <w:highlight w:val="none"/>
              </w:rPr>
              <w:t xml:space="preserve">20769-2008</w:t>
            </w:r>
            <w:r/>
          </w:p>
        </w:tc>
        <w:tc>
          <w:tcPr>
            <w:tcBorders>
              <w:top w:val="none" w:color="000000" w:sz="4" w:space="0"/>
              <w:bottom w:val="none" w:color="000000" w:sz="4" w:space="0"/>
            </w:tcBorders>
            <w:tcW w:w="1876"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r>
      <w:tr>
        <w:trPr>
          <w:trHeight w:val="785"/>
        </w:trPr>
        <w:tc>
          <w:tcPr>
            <w:tcW w:w="440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阿维菌素</w:t>
            </w:r>
            <w:r/>
          </w:p>
        </w:tc>
        <w:tc>
          <w:tcPr>
            <w:tcW w:w="3295"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GB/T</w:t>
            </w:r>
            <w:r>
              <w:rPr>
                <w:color w:val="auto"/>
                <w:spacing w:val="38"/>
                <w:sz w:val="24"/>
                <w:szCs w:val="24"/>
                <w:highlight w:val="none"/>
              </w:rPr>
              <w:t xml:space="preserve"> </w:t>
            </w:r>
            <w:r>
              <w:rPr>
                <w:color w:val="auto"/>
                <w:spacing w:val="-2"/>
                <w:sz w:val="24"/>
                <w:szCs w:val="24"/>
                <w:highlight w:val="none"/>
              </w:rPr>
              <w:t xml:space="preserve">23200.19</w:t>
            </w:r>
            <w:r/>
          </w:p>
          <w:p>
            <w:pPr>
              <w:pStyle w:val="1057"/>
              <w:ind w:left="0" w:right="0" w:firstLine="0"/>
              <w:jc w:val="both"/>
              <w:keepLines w:val="0"/>
              <w:keepNext w:val="0"/>
              <w:pageBreakBefore w:val="0"/>
              <w:spacing w:line="360" w:lineRule="exact"/>
              <w:widowControl w:val="off"/>
              <w:rPr>
                <w:rFonts w:hint="eastAsia" w:eastAsia="宋体"/>
                <w:color w:val="auto"/>
                <w:sz w:val="24"/>
                <w:szCs w:val="24"/>
                <w:highlight w:val="none"/>
                <w:lang w:eastAsia="zh-CN"/>
              </w:rPr>
            </w:pPr>
            <w:r>
              <w:rPr>
                <w:color w:val="auto"/>
                <w:spacing w:val="-2"/>
                <w:sz w:val="24"/>
                <w:szCs w:val="24"/>
                <w:highlight w:val="none"/>
              </w:rPr>
              <w:t xml:space="preserve">GB</w:t>
            </w:r>
            <w:r>
              <w:rPr>
                <w:color w:val="auto"/>
                <w:spacing w:val="57"/>
                <w:sz w:val="24"/>
                <w:szCs w:val="24"/>
                <w:highlight w:val="none"/>
              </w:rPr>
              <w:t xml:space="preserve"> </w:t>
            </w:r>
            <w:r>
              <w:rPr>
                <w:color w:val="auto"/>
                <w:spacing w:val="-2"/>
                <w:sz w:val="24"/>
                <w:szCs w:val="24"/>
                <w:highlight w:val="none"/>
              </w:rPr>
              <w:t xml:space="preserve">23200.121-202</w:t>
            </w:r>
            <w:r>
              <w:rPr>
                <w:rFonts w:hint="eastAsia"/>
                <w:color w:val="auto"/>
                <w:spacing w:val="-2"/>
                <w:sz w:val="24"/>
                <w:szCs w:val="24"/>
                <w:highlight w:val="none"/>
                <w:lang w:val="en-US" w:eastAsia="zh-CN"/>
              </w:rPr>
              <w:t xml:space="preserve">6</w:t>
            </w:r>
            <w:r/>
          </w:p>
        </w:tc>
        <w:tc>
          <w:tcPr>
            <w:tcBorders>
              <w:top w:val="none" w:color="000000" w:sz="4" w:space="0"/>
            </w:tcBorders>
            <w:tcW w:w="1876"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r>
    </w:tbl>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spacing w:line="320" w:lineRule="auto"/>
        <w:rPr>
          <w:rFonts w:ascii="Arial"/>
          <w:color w:val="auto"/>
          <w:sz w:val="21"/>
          <w:highlight w:val="none"/>
        </w:rPr>
      </w:pPr>
      <w:r>
        <w:rPr>
          <w:rFonts w:ascii="Arial"/>
          <w:color w:val="auto"/>
          <w:sz w:val="21"/>
          <w:highlight w:val="none"/>
        </w:rPr>
      </w:r>
      <w:r/>
    </w:p>
    <w:p>
      <w:pPr>
        <w:jc w:val="both"/>
        <w:widowControl w:val="off"/>
        <w:rPr>
          <w:rFonts w:ascii="Arial"/>
          <w:color w:val="auto"/>
          <w:sz w:val="21"/>
          <w:highlight w:val="none"/>
        </w:rPr>
      </w:pPr>
      <w:r>
        <w:rPr>
          <w:rFonts w:hint="eastAsia" w:ascii="Times New Roman" w:hAnsi="Times New Roman" w:eastAsia="仿宋_GB2312" w:cs="Times New Roman"/>
          <w:b/>
          <w:bCs/>
          <w:color w:val="auto"/>
          <w:sz w:val="32"/>
          <w:szCs w:val="32"/>
          <w:highlight w:val="none"/>
          <w:lang w:val="en-US" w:eastAsia="zh-CN" w:bidi="ar-SA"/>
        </w:rPr>
        <w:t xml:space="preserve">附表5</w:t>
      </w:r>
      <w:r/>
    </w:p>
    <w:p>
      <w:pPr>
        <w:ind w:left="427"/>
        <w:spacing w:before="46" w:line="213" w:lineRule="auto"/>
        <w:rPr>
          <w:rFonts w:ascii="宋体" w:hAnsi="宋体" w:eastAsia="宋体" w:cs="宋体"/>
          <w:color w:val="auto"/>
          <w:sz w:val="24"/>
          <w:szCs w:val="24"/>
          <w:highlight w:val="none"/>
        </w:rPr>
        <w:outlineLvl w:val="4"/>
      </w:pPr>
      <w:r>
        <w:rPr>
          <w:rFonts w:ascii="宋体" w:hAnsi="宋体" w:eastAsia="宋体" w:cs="宋体"/>
          <w:b/>
          <w:bCs/>
          <w:color w:val="auto"/>
          <w:spacing w:val="-3"/>
          <w:sz w:val="24"/>
          <w:szCs w:val="24"/>
          <w:highlight w:val="none"/>
        </w:rPr>
        <w:t xml:space="preserve">二、畜牧业产品</w:t>
      </w:r>
      <w:r/>
    </w:p>
    <w:tbl>
      <w:tblPr>
        <w:tblStyle w:val="1058"/>
        <w:tblW w:w="92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01"/>
        <w:gridCol w:w="2493"/>
        <w:gridCol w:w="3073"/>
      </w:tblGrid>
      <w:tr>
        <w:trPr>
          <w:trHeight w:val="463"/>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抽检参数</w:t>
            </w:r>
            <w:r/>
          </w:p>
        </w:tc>
        <w:tc>
          <w:tcPr>
            <w:tcW w:w="2493"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检测方法</w:t>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b/>
                <w:bCs/>
                <w:color w:val="auto"/>
                <w:spacing w:val="-3"/>
                <w:sz w:val="24"/>
                <w:szCs w:val="24"/>
                <w:highlight w:val="none"/>
              </w:rPr>
              <w:t xml:space="preserve">判定依据</w:t>
            </w:r>
            <w:r/>
          </w:p>
        </w:tc>
      </w:tr>
      <w:tr>
        <w:trPr>
          <w:trHeight w:val="576"/>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克伦特罗、沙丁胺醇、莱克多巴胺</w:t>
            </w:r>
            <w:r/>
          </w:p>
        </w:tc>
        <w:tc>
          <w:tcPr>
            <w:tcW w:w="2493" w:type="dxa"/>
            <w:vAlign w:val="top"/>
            <w:vMerge w:val="restart"/>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4"/>
                <w:sz w:val="24"/>
                <w:szCs w:val="24"/>
                <w:highlight w:val="none"/>
              </w:rPr>
              <w:t xml:space="preserve">国家现行有效的检测方</w:t>
            </w:r>
            <w:r>
              <w:rPr>
                <w:color w:val="auto"/>
                <w:sz w:val="24"/>
                <w:szCs w:val="24"/>
                <w:highlight w:val="none"/>
              </w:rPr>
              <w:t xml:space="preserve">  </w:t>
            </w:r>
            <w:r>
              <w:rPr>
                <w:color w:val="auto"/>
                <w:spacing w:val="-8"/>
                <w:sz w:val="24"/>
                <w:szCs w:val="24"/>
                <w:highlight w:val="none"/>
              </w:rPr>
              <w:t xml:space="preserve">法，但方法最低检出限必</w:t>
            </w:r>
            <w:r>
              <w:rPr>
                <w:color w:val="auto"/>
                <w:sz w:val="24"/>
                <w:szCs w:val="24"/>
                <w:highlight w:val="none"/>
              </w:rPr>
              <w:t xml:space="preserve"> </w:t>
            </w:r>
            <w:r>
              <w:rPr>
                <w:color w:val="auto"/>
                <w:spacing w:val="-5"/>
                <w:sz w:val="24"/>
                <w:szCs w:val="24"/>
                <w:highlight w:val="none"/>
              </w:rPr>
              <w:t xml:space="preserve">须满足判定依据限量值。</w:t>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农业农村部公告第250号</w:t>
            </w:r>
            <w:r/>
          </w:p>
        </w:tc>
      </w:tr>
      <w:tr>
        <w:trPr>
          <w:trHeight w:val="1033"/>
        </w:trPr>
        <w:tc>
          <w:tcPr>
            <w:tcW w:w="3701" w:type="dxa"/>
            <w:vAlign w:val="top"/>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氯霉素、甲砜霉素、氟苯尼考</w:t>
            </w:r>
            <w:r>
              <w:rPr>
                <w:b/>
                <w:bCs/>
                <w:color w:val="auto"/>
                <w:spacing w:val="-2"/>
                <w:sz w:val="24"/>
                <w:szCs w:val="24"/>
                <w:highlight w:val="none"/>
              </w:rPr>
              <w:t xml:space="preserve">和氟苯</w:t>
            </w:r>
            <w:r>
              <w:rPr>
                <w:color w:val="auto"/>
                <w:spacing w:val="14"/>
                <w:sz w:val="24"/>
                <w:szCs w:val="24"/>
                <w:highlight w:val="none"/>
              </w:rPr>
              <w:t xml:space="preserve"> </w:t>
            </w:r>
            <w:r>
              <w:rPr>
                <w:b/>
                <w:bCs/>
                <w:color w:val="auto"/>
                <w:spacing w:val="-6"/>
                <w:sz w:val="24"/>
                <w:szCs w:val="24"/>
                <w:highlight w:val="none"/>
              </w:rPr>
              <w:t xml:space="preserve">尼考胺</w:t>
            </w:r>
            <w:r/>
          </w:p>
        </w:tc>
        <w:tc>
          <w:tcPr>
            <w:tcW w:w="2493"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农业农村部公告第250</w:t>
            </w:r>
            <w:r>
              <w:rPr>
                <w:color w:val="auto"/>
                <w:sz w:val="24"/>
                <w:szCs w:val="24"/>
                <w:highlight w:val="none"/>
              </w:rPr>
              <w:t xml:space="preserve"> 号</w:t>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GB31650-2019</w:t>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GB</w:t>
            </w:r>
            <w:r>
              <w:rPr>
                <w:color w:val="auto"/>
                <w:spacing w:val="43"/>
                <w:sz w:val="24"/>
                <w:szCs w:val="24"/>
                <w:highlight w:val="none"/>
              </w:rPr>
              <w:t xml:space="preserve"> </w:t>
            </w:r>
            <w:r>
              <w:rPr>
                <w:color w:val="auto"/>
                <w:spacing w:val="-3"/>
                <w:sz w:val="24"/>
                <w:szCs w:val="24"/>
                <w:highlight w:val="none"/>
              </w:rPr>
              <w:t xml:space="preserve">31650.1-</w:t>
            </w:r>
            <w:r>
              <w:rPr>
                <w:color w:val="auto"/>
                <w:sz w:val="24"/>
                <w:szCs w:val="24"/>
                <w:highlight w:val="none"/>
              </w:rPr>
              <w:t xml:space="preserve"> </w:t>
            </w:r>
            <w:r>
              <w:rPr>
                <w:color w:val="auto"/>
                <w:spacing w:val="-3"/>
                <w:sz w:val="24"/>
                <w:szCs w:val="24"/>
                <w:highlight w:val="none"/>
              </w:rPr>
              <w:t xml:space="preserve">2022</w:t>
            </w:r>
            <w:r/>
          </w:p>
        </w:tc>
      </w:tr>
      <w:tr>
        <w:trPr>
          <w:trHeight w:val="984"/>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恩诺沙星、环丙沙星、诺氟沙星、氧</w:t>
            </w:r>
            <w:r>
              <w:rPr>
                <w:color w:val="auto"/>
                <w:spacing w:val="10"/>
                <w:sz w:val="24"/>
                <w:szCs w:val="24"/>
                <w:highlight w:val="none"/>
              </w:rPr>
              <w:t xml:space="preserve"> </w:t>
            </w:r>
            <w:r>
              <w:rPr>
                <w:color w:val="auto"/>
                <w:spacing w:val="1"/>
                <w:sz w:val="24"/>
                <w:szCs w:val="24"/>
                <w:highlight w:val="none"/>
              </w:rPr>
              <w:t xml:space="preserve">氟沙星、培氟沙星、洛美沙星</w:t>
            </w:r>
            <w:r/>
          </w:p>
        </w:tc>
        <w:tc>
          <w:tcPr>
            <w:tcW w:w="2493"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GB31650-2019</w:t>
            </w:r>
            <w:r/>
          </w:p>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GB31650.1-2022</w:t>
            </w:r>
            <w:r/>
          </w:p>
        </w:tc>
      </w:tr>
      <w:tr>
        <w:trPr>
          <w:trHeight w:val="523"/>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金刚烷胺</w:t>
            </w:r>
            <w:r/>
          </w:p>
        </w:tc>
        <w:tc>
          <w:tcPr>
            <w:tcW w:w="2493"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农业农村部公告第560号</w:t>
            </w:r>
            <w:r/>
          </w:p>
        </w:tc>
      </w:tr>
      <w:tr>
        <w:trPr>
          <w:trHeight w:val="703"/>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color w:val="auto"/>
                <w:spacing w:val="-2"/>
                <w:sz w:val="24"/>
                <w:szCs w:val="24"/>
                <w:highlight w:val="none"/>
              </w:rPr>
            </w:pPr>
            <w:r>
              <w:rPr>
                <w:color w:val="auto"/>
                <w:spacing w:val="12"/>
                <w:sz w:val="24"/>
                <w:szCs w:val="24"/>
                <w:highlight w:val="none"/>
              </w:rPr>
              <w:t xml:space="preserve">硝基呋喃类代谢物</w:t>
            </w:r>
            <w:r>
              <w:rPr>
                <w:rFonts w:hint="eastAsia"/>
                <w:color w:val="auto"/>
                <w:spacing w:val="12"/>
                <w:sz w:val="24"/>
                <w:szCs w:val="24"/>
                <w:highlight w:val="none"/>
                <w:lang w:eastAsia="zh-CN"/>
              </w:rPr>
              <w:t xml:space="preserve">（</w:t>
            </w:r>
            <w:r>
              <w:rPr>
                <w:color w:val="auto"/>
                <w:sz w:val="24"/>
                <w:szCs w:val="24"/>
                <w:highlight w:val="none"/>
              </w:rPr>
              <w:t xml:space="preserve">AOZ</w:t>
            </w:r>
            <w:r>
              <w:rPr>
                <w:color w:val="auto"/>
                <w:spacing w:val="12"/>
                <w:sz w:val="24"/>
                <w:szCs w:val="24"/>
                <w:highlight w:val="none"/>
              </w:rPr>
              <w:t xml:space="preserve">、</w:t>
            </w:r>
            <w:r>
              <w:rPr>
                <w:color w:val="auto"/>
                <w:sz w:val="24"/>
                <w:szCs w:val="24"/>
                <w:highlight w:val="none"/>
              </w:rPr>
              <w:t xml:space="preserve">SEM</w:t>
            </w:r>
            <w:r>
              <w:rPr>
                <w:color w:val="auto"/>
                <w:spacing w:val="12"/>
                <w:sz w:val="24"/>
                <w:szCs w:val="24"/>
                <w:highlight w:val="none"/>
              </w:rPr>
              <w:t xml:space="preserve">、</w:t>
            </w:r>
            <w:r>
              <w:rPr>
                <w:color w:val="auto"/>
                <w:spacing w:val="6"/>
                <w:sz w:val="24"/>
                <w:szCs w:val="24"/>
                <w:highlight w:val="none"/>
              </w:rPr>
              <w:t xml:space="preserve"> </w:t>
            </w:r>
            <w:r>
              <w:rPr>
                <w:color w:val="auto"/>
                <w:spacing w:val="-6"/>
                <w:sz w:val="24"/>
                <w:szCs w:val="24"/>
                <w:highlight w:val="none"/>
              </w:rPr>
              <w:t xml:space="preserve">A</w:t>
            </w:r>
            <w:r>
              <w:rPr>
                <w:color w:val="auto"/>
                <w:spacing w:val="-56"/>
                <w:sz w:val="24"/>
                <w:szCs w:val="24"/>
                <w:highlight w:val="none"/>
              </w:rPr>
              <w:t xml:space="preserve"> </w:t>
            </w:r>
            <w:r>
              <w:rPr>
                <w:color w:val="auto"/>
                <w:spacing w:val="-6"/>
                <w:sz w:val="24"/>
                <w:szCs w:val="24"/>
                <w:highlight w:val="none"/>
              </w:rPr>
              <w:t xml:space="preserve">M</w:t>
            </w:r>
            <w:r>
              <w:rPr>
                <w:color w:val="auto"/>
                <w:spacing w:val="-52"/>
                <w:sz w:val="24"/>
                <w:szCs w:val="24"/>
                <w:highlight w:val="none"/>
              </w:rPr>
              <w:t xml:space="preserve"> </w:t>
            </w:r>
            <w:r>
              <w:rPr>
                <w:color w:val="auto"/>
                <w:spacing w:val="-6"/>
                <w:sz w:val="24"/>
                <w:szCs w:val="24"/>
                <w:highlight w:val="none"/>
              </w:rPr>
              <w:t xml:space="preserve">O</w:t>
            </w:r>
            <w:r>
              <w:rPr>
                <w:color w:val="auto"/>
                <w:spacing w:val="-52"/>
                <w:sz w:val="24"/>
                <w:szCs w:val="24"/>
                <w:highlight w:val="none"/>
              </w:rPr>
              <w:t xml:space="preserve"> </w:t>
            </w:r>
            <w:r>
              <w:rPr>
                <w:color w:val="auto"/>
                <w:spacing w:val="-6"/>
                <w:sz w:val="24"/>
                <w:szCs w:val="24"/>
                <w:highlight w:val="none"/>
              </w:rPr>
              <w:t xml:space="preserve">Z</w:t>
            </w:r>
            <w:r>
              <w:rPr>
                <w:color w:val="auto"/>
                <w:spacing w:val="-50"/>
                <w:sz w:val="24"/>
                <w:szCs w:val="24"/>
                <w:highlight w:val="none"/>
              </w:rPr>
              <w:t xml:space="preserve"> </w:t>
            </w:r>
            <w:r>
              <w:rPr>
                <w:color w:val="auto"/>
                <w:spacing w:val="-6"/>
                <w:sz w:val="24"/>
                <w:szCs w:val="24"/>
                <w:highlight w:val="none"/>
              </w:rPr>
              <w:t xml:space="preserve">和</w:t>
            </w:r>
            <w:r>
              <w:rPr>
                <w:color w:val="auto"/>
                <w:spacing w:val="-60"/>
                <w:sz w:val="24"/>
                <w:szCs w:val="24"/>
                <w:highlight w:val="none"/>
              </w:rPr>
              <w:t xml:space="preserve"> </w:t>
            </w:r>
            <w:r>
              <w:rPr>
                <w:color w:val="auto"/>
                <w:spacing w:val="-6"/>
                <w:sz w:val="24"/>
                <w:szCs w:val="24"/>
                <w:highlight w:val="none"/>
              </w:rPr>
              <w:t xml:space="preserve">A</w:t>
            </w:r>
            <w:r>
              <w:rPr>
                <w:color w:val="auto"/>
                <w:spacing w:val="-58"/>
                <w:sz w:val="24"/>
                <w:szCs w:val="24"/>
                <w:highlight w:val="none"/>
              </w:rPr>
              <w:t xml:space="preserve"> </w:t>
            </w:r>
            <w:r>
              <w:rPr>
                <w:color w:val="auto"/>
                <w:spacing w:val="-6"/>
                <w:sz w:val="24"/>
                <w:szCs w:val="24"/>
                <w:highlight w:val="none"/>
              </w:rPr>
              <w:t xml:space="preserve">H</w:t>
            </w:r>
            <w:r>
              <w:rPr>
                <w:color w:val="auto"/>
                <w:spacing w:val="-56"/>
                <w:sz w:val="24"/>
                <w:szCs w:val="24"/>
                <w:highlight w:val="none"/>
              </w:rPr>
              <w:t xml:space="preserve"> </w:t>
            </w:r>
            <w:r>
              <w:rPr>
                <w:color w:val="auto"/>
                <w:spacing w:val="-6"/>
                <w:sz w:val="24"/>
                <w:szCs w:val="24"/>
                <w:highlight w:val="none"/>
              </w:rPr>
              <w:t xml:space="preserve">D</w:t>
            </w:r>
            <w:r>
              <w:rPr>
                <w:color w:val="auto"/>
                <w:spacing w:val="-50"/>
                <w:sz w:val="24"/>
                <w:szCs w:val="24"/>
                <w:highlight w:val="none"/>
              </w:rPr>
              <w:t xml:space="preserve"> </w:t>
            </w:r>
            <w:r>
              <w:rPr>
                <w:rFonts w:hint="eastAsia"/>
                <w:color w:val="auto"/>
                <w:spacing w:val="-50"/>
                <w:sz w:val="24"/>
                <w:szCs w:val="24"/>
                <w:highlight w:val="none"/>
                <w:lang w:eastAsia="zh-CN"/>
              </w:rPr>
              <w:t xml:space="preserve">）</w:t>
            </w:r>
            <w:r/>
          </w:p>
        </w:tc>
        <w:tc>
          <w:tcPr>
            <w:tcW w:w="2493"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pacing w:val="-3"/>
                <w:sz w:val="24"/>
                <w:szCs w:val="24"/>
                <w:highlight w:val="none"/>
              </w:rPr>
            </w:pPr>
            <w:r>
              <w:rPr>
                <w:color w:val="auto"/>
                <w:sz w:val="24"/>
                <w:szCs w:val="24"/>
                <w:highlight w:val="none"/>
              </w:rPr>
              <w:t xml:space="preserve">农业农村部公告第250号</w:t>
            </w:r>
            <w:r/>
          </w:p>
        </w:tc>
      </w:tr>
      <w:tr>
        <w:trPr>
          <w:trHeight w:val="553"/>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color w:val="auto"/>
                <w:spacing w:val="5"/>
                <w:sz w:val="24"/>
                <w:szCs w:val="24"/>
                <w:highlight w:val="none"/>
              </w:rPr>
            </w:pPr>
            <w:r>
              <w:rPr>
                <w:b/>
                <w:bCs/>
                <w:color w:val="auto"/>
                <w:spacing w:val="-2"/>
                <w:sz w:val="24"/>
                <w:szCs w:val="24"/>
                <w:highlight w:val="none"/>
              </w:rPr>
              <w:t xml:space="preserve">多西环素</w:t>
            </w:r>
            <w:r/>
          </w:p>
        </w:tc>
        <w:tc>
          <w:tcPr>
            <w:tcW w:w="2493"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c>
          <w:tcPr>
            <w:tcW w:w="3073" w:type="dxa"/>
            <w:vAlign w:val="top"/>
            <w:textDirection w:val="lrTb"/>
            <w:noWrap w:val="false"/>
          </w:tcPr>
          <w:p>
            <w:pPr>
              <w:pStyle w:val="1057"/>
              <w:ind w:left="0" w:right="0" w:firstLine="0"/>
              <w:jc w:val="both"/>
              <w:keepLines w:val="0"/>
              <w:keepNext w:val="0"/>
              <w:pageBreakBefore w:val="0"/>
              <w:spacing w:line="360" w:lineRule="exact"/>
              <w:widowControl w:val="off"/>
              <w:rPr>
                <w:color w:val="auto"/>
                <w:spacing w:val="-5"/>
                <w:sz w:val="24"/>
                <w:szCs w:val="24"/>
                <w:highlight w:val="none"/>
              </w:rPr>
            </w:pPr>
            <w:r>
              <w:rPr>
                <w:color w:val="auto"/>
                <w:spacing w:val="-1"/>
                <w:sz w:val="24"/>
                <w:szCs w:val="24"/>
                <w:highlight w:val="none"/>
              </w:rPr>
              <w:t xml:space="preserve">GB31650-2019</w:t>
            </w:r>
            <w:r/>
          </w:p>
        </w:tc>
      </w:tr>
      <w:tr>
        <w:trPr>
          <w:trHeight w:val="923"/>
        </w:trPr>
        <w:tc>
          <w:tcPr>
            <w:tcW w:w="3701" w:type="dxa"/>
            <w:vAlign w:val="top"/>
            <w:textDirection w:val="lrTb"/>
            <w:noWrap w:val="false"/>
          </w:tcPr>
          <w:p>
            <w:pPr>
              <w:pStyle w:val="1057"/>
              <w:ind w:left="0" w:right="0" w:firstLine="0"/>
              <w:jc w:val="both"/>
              <w:keepLines w:val="0"/>
              <w:keepNext w:val="0"/>
              <w:pageBreakBefore w:val="0"/>
              <w:spacing w:line="360" w:lineRule="exact"/>
              <w:widowControl w:val="off"/>
              <w:rPr>
                <w:b/>
                <w:bCs/>
                <w:color w:val="auto"/>
                <w:spacing w:val="-4"/>
                <w:sz w:val="24"/>
                <w:szCs w:val="24"/>
                <w:highlight w:val="none"/>
              </w:rPr>
            </w:pPr>
            <w:r>
              <w:rPr>
                <w:color w:val="auto"/>
                <w:spacing w:val="2"/>
                <w:sz w:val="24"/>
                <w:szCs w:val="24"/>
                <w:highlight w:val="none"/>
              </w:rPr>
              <w:t xml:space="preserve">磺胺类</w:t>
            </w:r>
            <w:r>
              <w:rPr>
                <w:rFonts w:hint="eastAsia"/>
                <w:color w:val="auto"/>
                <w:spacing w:val="2"/>
                <w:sz w:val="24"/>
                <w:szCs w:val="24"/>
                <w:highlight w:val="none"/>
                <w:lang w:eastAsia="zh-CN"/>
              </w:rPr>
              <w:t xml:space="preserve">（</w:t>
            </w:r>
            <w:r>
              <w:rPr>
                <w:color w:val="auto"/>
                <w:spacing w:val="2"/>
                <w:sz w:val="24"/>
                <w:szCs w:val="24"/>
                <w:highlight w:val="none"/>
              </w:rPr>
              <w:t xml:space="preserve">磺胺间甲氧嘧啶、磺胺二甲</w:t>
            </w:r>
            <w:r>
              <w:rPr>
                <w:color w:val="auto"/>
                <w:spacing w:val="1"/>
                <w:sz w:val="24"/>
                <w:szCs w:val="24"/>
                <w:highlight w:val="none"/>
              </w:rPr>
              <w:t xml:space="preserve"> </w:t>
            </w:r>
            <w:r>
              <w:rPr>
                <w:color w:val="auto"/>
                <w:spacing w:val="2"/>
                <w:sz w:val="24"/>
                <w:szCs w:val="24"/>
                <w:highlight w:val="none"/>
              </w:rPr>
              <w:t xml:space="preserve">嘧啶、磺胺甲噁唑、磺胺(间)二甲</w:t>
            </w:r>
            <w:r>
              <w:rPr>
                <w:color w:val="auto"/>
                <w:spacing w:val="1"/>
                <w:sz w:val="24"/>
                <w:szCs w:val="24"/>
                <w:highlight w:val="none"/>
              </w:rPr>
              <w:t xml:space="preserve">  </w:t>
            </w:r>
            <w:r>
              <w:rPr>
                <w:color w:val="auto"/>
                <w:spacing w:val="4"/>
                <w:sz w:val="24"/>
                <w:szCs w:val="24"/>
                <w:highlight w:val="none"/>
              </w:rPr>
              <w:t xml:space="preserve">氧嘧啶、磺胺喹噁啉，甲氧苄啶</w:t>
            </w:r>
            <w:r>
              <w:rPr>
                <w:rFonts w:hint="eastAsia"/>
                <w:color w:val="auto"/>
                <w:spacing w:val="4"/>
                <w:sz w:val="24"/>
                <w:szCs w:val="24"/>
                <w:highlight w:val="none"/>
                <w:lang w:eastAsia="zh-CN"/>
              </w:rPr>
              <w:t xml:space="preserve">）</w:t>
            </w:r>
            <w:r/>
          </w:p>
        </w:tc>
        <w:tc>
          <w:tcPr>
            <w:tcW w:w="2493" w:type="dxa"/>
            <w:vAlign w:val="top"/>
            <w:vMerge w:val="continue"/>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tc>
        <w:tc>
          <w:tcPr>
            <w:tcW w:w="3073" w:type="dxa"/>
            <w:vAlign w:val="top"/>
            <w:textDirection w:val="lrTb"/>
            <w:noWrap w:val="false"/>
          </w:tcPr>
          <w:p>
            <w:pPr>
              <w:ind w:left="0" w:right="0" w:firstLine="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firstLine="0"/>
              <w:jc w:val="both"/>
              <w:keepLines w:val="0"/>
              <w:keepNext w:val="0"/>
              <w:pageBreakBefore w:val="0"/>
              <w:spacing w:line="360" w:lineRule="exact"/>
              <w:widowControl w:val="off"/>
              <w:rPr>
                <w:color w:val="auto"/>
                <w:spacing w:val="-1"/>
                <w:sz w:val="24"/>
                <w:szCs w:val="24"/>
                <w:highlight w:val="none"/>
              </w:rPr>
            </w:pPr>
            <w:r>
              <w:rPr>
                <w:color w:val="auto"/>
                <w:spacing w:val="-3"/>
                <w:sz w:val="24"/>
                <w:szCs w:val="24"/>
                <w:highlight w:val="none"/>
              </w:rPr>
              <w:t xml:space="preserve">GB</w:t>
            </w:r>
            <w:r>
              <w:rPr>
                <w:color w:val="auto"/>
                <w:spacing w:val="50"/>
                <w:sz w:val="24"/>
                <w:szCs w:val="24"/>
                <w:highlight w:val="none"/>
              </w:rPr>
              <w:t xml:space="preserve"> </w:t>
            </w:r>
            <w:r>
              <w:rPr>
                <w:color w:val="auto"/>
                <w:spacing w:val="-3"/>
                <w:sz w:val="24"/>
                <w:szCs w:val="24"/>
                <w:highlight w:val="none"/>
              </w:rPr>
              <w:t xml:space="preserve">31650-2019</w:t>
            </w:r>
            <w:r/>
          </w:p>
        </w:tc>
      </w:tr>
    </w:tbl>
    <w:p>
      <w:pPr>
        <w:spacing w:line="93" w:lineRule="exact"/>
        <w:rPr>
          <w:rFonts w:ascii="Arial"/>
          <w:color w:val="auto"/>
          <w:sz w:val="8"/>
          <w:highlight w:val="none"/>
        </w:rPr>
      </w:pPr>
      <w:r>
        <w:rPr>
          <w:rFonts w:ascii="Arial"/>
          <w:color w:val="auto"/>
          <w:sz w:val="8"/>
          <w:highlight w:val="none"/>
        </w:rPr>
      </w:r>
      <w:r/>
    </w:p>
    <w:p>
      <w:pPr>
        <w:ind w:left="304"/>
        <w:spacing w:before="147" w:line="22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注：未规定具体限量值的检测参数按照方法定量限判定。</w:t>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spacing w:line="322" w:lineRule="auto"/>
        <w:rPr>
          <w:rFonts w:ascii="Arial"/>
          <w:color w:val="auto"/>
          <w:sz w:val="21"/>
          <w:highlight w:val="none"/>
        </w:rPr>
      </w:pPr>
      <w:r>
        <w:rPr>
          <w:rFonts w:ascii="Arial"/>
          <w:color w:val="auto"/>
          <w:sz w:val="21"/>
          <w:highlight w:val="none"/>
        </w:rPr>
      </w:r>
      <w:r/>
    </w:p>
    <w:p>
      <w:pPr>
        <w:jc w:val="both"/>
        <w:widowControl w:val="off"/>
        <w:rPr>
          <w:rFonts w:ascii="Arial"/>
          <w:color w:val="auto"/>
          <w:sz w:val="21"/>
          <w:highlight w:val="none"/>
        </w:rPr>
      </w:pPr>
      <w:r>
        <w:rPr>
          <w:rFonts w:hint="eastAsia" w:ascii="Times New Roman" w:hAnsi="Times New Roman" w:eastAsia="仿宋_GB2312" w:cs="Times New Roman"/>
          <w:b/>
          <w:bCs/>
          <w:color w:val="auto"/>
          <w:sz w:val="32"/>
          <w:szCs w:val="32"/>
          <w:highlight w:val="none"/>
          <w:lang w:val="en-US" w:eastAsia="zh-CN" w:bidi="ar-SA"/>
        </w:rPr>
        <w:t xml:space="preserve">附表6</w:t>
      </w:r>
      <w:r/>
    </w:p>
    <w:p>
      <w:pPr>
        <w:ind w:left="426"/>
        <w:spacing w:before="46" w:line="213" w:lineRule="auto"/>
        <w:rPr>
          <w:rFonts w:ascii="宋体" w:hAnsi="宋体" w:eastAsia="宋体" w:cs="宋体"/>
          <w:color w:val="auto"/>
          <w:sz w:val="24"/>
          <w:szCs w:val="24"/>
          <w:highlight w:val="none"/>
        </w:rPr>
        <w:outlineLvl w:val="4"/>
      </w:pPr>
      <w:r>
        <w:rPr>
          <w:rFonts w:ascii="宋体" w:hAnsi="宋体" w:eastAsia="宋体" w:cs="宋体"/>
          <w:b/>
          <w:bCs/>
          <w:color w:val="auto"/>
          <w:spacing w:val="-3"/>
          <w:sz w:val="24"/>
          <w:szCs w:val="24"/>
          <w:highlight w:val="none"/>
        </w:rPr>
        <w:t xml:space="preserve">三、水产品</w:t>
      </w:r>
      <w:r/>
    </w:p>
    <w:tbl>
      <w:tblPr>
        <w:tblStyle w:val="1058"/>
        <w:tblW w:w="871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69"/>
        <w:gridCol w:w="2892"/>
        <w:gridCol w:w="2248"/>
        <w:gridCol w:w="1809"/>
      </w:tblGrid>
      <w:tr>
        <w:trPr>
          <w:trHeight w:val="446"/>
        </w:trPr>
        <w:tc>
          <w:tcPr>
            <w:tcW w:w="1769" w:type="dxa"/>
            <w:vAlign w:val="top"/>
            <w:textDirection w:val="lrTb"/>
            <w:noWrap w:val="false"/>
          </w:tcPr>
          <w:p>
            <w:pPr>
              <w:pStyle w:val="1057"/>
              <w:ind w:left="206"/>
              <w:spacing w:before="128" w:line="219" w:lineRule="auto"/>
              <w:rPr>
                <w:color w:val="auto"/>
                <w:sz w:val="24"/>
                <w:szCs w:val="24"/>
                <w:highlight w:val="none"/>
              </w:rPr>
            </w:pPr>
            <w:r>
              <w:rPr>
                <w:b/>
                <w:bCs/>
                <w:color w:val="auto"/>
                <w:spacing w:val="-3"/>
                <w:sz w:val="24"/>
                <w:szCs w:val="24"/>
                <w:highlight w:val="none"/>
              </w:rPr>
              <w:t xml:space="preserve">抽检参数</w:t>
            </w:r>
            <w:r/>
          </w:p>
        </w:tc>
        <w:tc>
          <w:tcPr>
            <w:tcW w:w="2892" w:type="dxa"/>
            <w:vAlign w:val="top"/>
            <w:textDirection w:val="lrTb"/>
            <w:noWrap w:val="false"/>
          </w:tcPr>
          <w:p>
            <w:pPr>
              <w:pStyle w:val="1057"/>
              <w:ind w:left="513"/>
              <w:spacing w:before="128" w:line="219" w:lineRule="auto"/>
              <w:rPr>
                <w:color w:val="auto"/>
                <w:sz w:val="24"/>
                <w:szCs w:val="24"/>
                <w:highlight w:val="none"/>
              </w:rPr>
            </w:pPr>
            <w:r>
              <w:rPr>
                <w:b/>
                <w:bCs/>
                <w:color w:val="auto"/>
                <w:spacing w:val="-3"/>
                <w:sz w:val="24"/>
                <w:szCs w:val="24"/>
                <w:highlight w:val="none"/>
              </w:rPr>
              <w:t xml:space="preserve">检测方法</w:t>
            </w:r>
            <w:r/>
          </w:p>
        </w:tc>
        <w:tc>
          <w:tcPr>
            <w:tcW w:w="2248" w:type="dxa"/>
            <w:vAlign w:val="top"/>
            <w:textDirection w:val="lrTb"/>
            <w:noWrap w:val="false"/>
          </w:tcPr>
          <w:p>
            <w:pPr>
              <w:pStyle w:val="1057"/>
              <w:ind w:left="177"/>
              <w:spacing w:before="124" w:line="214" w:lineRule="auto"/>
              <w:rPr>
                <w:color w:val="auto"/>
                <w:sz w:val="24"/>
                <w:szCs w:val="24"/>
                <w:highlight w:val="none"/>
              </w:rPr>
            </w:pPr>
            <w:r>
              <w:rPr>
                <w:b/>
                <w:bCs/>
                <w:color w:val="auto"/>
                <w:spacing w:val="1"/>
                <w:sz w:val="24"/>
                <w:szCs w:val="24"/>
                <w:highlight w:val="none"/>
              </w:rPr>
              <w:t xml:space="preserve">判定值</w:t>
            </w:r>
            <w:r>
              <w:rPr>
                <w:rFonts w:hint="eastAsia"/>
                <w:b/>
                <w:bCs/>
                <w:color w:val="auto"/>
                <w:spacing w:val="1"/>
                <w:sz w:val="24"/>
                <w:szCs w:val="24"/>
                <w:highlight w:val="none"/>
                <w:lang w:eastAsia="zh-CN"/>
              </w:rPr>
              <w:t xml:space="preserve">（</w:t>
            </w:r>
            <w:r>
              <w:rPr>
                <w:b/>
                <w:bCs/>
                <w:color w:val="auto"/>
                <w:spacing w:val="1"/>
                <w:sz w:val="24"/>
                <w:szCs w:val="24"/>
                <w:highlight w:val="none"/>
              </w:rPr>
              <w:t xml:space="preserve">μ</w:t>
            </w:r>
            <w:r>
              <w:rPr>
                <w:b/>
                <w:bCs/>
                <w:color w:val="auto"/>
                <w:sz w:val="24"/>
                <w:szCs w:val="24"/>
                <w:highlight w:val="none"/>
              </w:rPr>
              <w:t xml:space="preserve">ekg</w:t>
            </w:r>
            <w:r>
              <w:rPr>
                <w:rFonts w:hint="eastAsia"/>
                <w:b/>
                <w:bCs/>
                <w:color w:val="auto"/>
                <w:sz w:val="24"/>
                <w:szCs w:val="24"/>
                <w:highlight w:val="none"/>
                <w:lang w:eastAsia="zh-CN"/>
              </w:rPr>
              <w:t xml:space="preserve">）</w:t>
            </w:r>
            <w:r/>
          </w:p>
        </w:tc>
        <w:tc>
          <w:tcPr>
            <w:tcW w:w="1809" w:type="dxa"/>
            <w:vAlign w:val="top"/>
            <w:textDirection w:val="lrTb"/>
            <w:noWrap w:val="false"/>
          </w:tcPr>
          <w:p>
            <w:pPr>
              <w:pStyle w:val="1057"/>
              <w:ind w:left="240"/>
              <w:spacing w:before="127" w:line="219" w:lineRule="auto"/>
              <w:rPr>
                <w:color w:val="auto"/>
                <w:sz w:val="24"/>
                <w:szCs w:val="24"/>
                <w:highlight w:val="none"/>
              </w:rPr>
            </w:pPr>
            <w:r>
              <w:rPr>
                <w:b/>
                <w:bCs/>
                <w:color w:val="auto"/>
                <w:spacing w:val="-3"/>
                <w:sz w:val="24"/>
                <w:szCs w:val="24"/>
                <w:highlight w:val="none"/>
              </w:rPr>
              <w:t xml:space="preserve">判定依据</w:t>
            </w:r>
            <w:r/>
          </w:p>
        </w:tc>
      </w:tr>
      <w:tr>
        <w:trPr>
          <w:trHeight w:val="959"/>
        </w:trPr>
        <w:tc>
          <w:tcPr>
            <w:tcW w:w="1769"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氯霉素</w:t>
            </w:r>
            <w:r/>
          </w:p>
        </w:tc>
        <w:tc>
          <w:tcPr>
            <w:tcW w:w="289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GB/T</w:t>
            </w:r>
            <w:r>
              <w:rPr>
                <w:color w:val="auto"/>
                <w:spacing w:val="50"/>
                <w:sz w:val="24"/>
                <w:szCs w:val="24"/>
                <w:highlight w:val="none"/>
              </w:rPr>
              <w:t xml:space="preserve"> </w:t>
            </w:r>
            <w:r>
              <w:rPr>
                <w:color w:val="auto"/>
                <w:spacing w:val="-2"/>
                <w:sz w:val="24"/>
                <w:szCs w:val="24"/>
                <w:highlight w:val="none"/>
              </w:rPr>
              <w:t xml:space="preserve">20756-2006、GB/T</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22338-2008、农业部781号公</w:t>
            </w:r>
            <w:r>
              <w:rPr>
                <w:color w:val="auto"/>
                <w:spacing w:val="16"/>
                <w:sz w:val="24"/>
                <w:szCs w:val="24"/>
                <w:highlight w:val="none"/>
              </w:rPr>
              <w:t xml:space="preserve"> </w:t>
            </w:r>
            <w:r>
              <w:rPr>
                <w:color w:val="auto"/>
                <w:spacing w:val="1"/>
                <w:sz w:val="24"/>
                <w:szCs w:val="24"/>
                <w:highlight w:val="none"/>
              </w:rPr>
              <w:t xml:space="preserve">告-2-2006</w:t>
            </w:r>
            <w:r/>
          </w:p>
        </w:tc>
        <w:tc>
          <w:tcPr>
            <w:tcW w:w="2248"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2"/>
                <w:sz w:val="24"/>
                <w:szCs w:val="24"/>
                <w:highlight w:val="none"/>
              </w:rPr>
              <w:t xml:space="preserve">不得检出</w:t>
            </w:r>
            <w:r>
              <w:rPr>
                <w:rFonts w:hint="eastAsia"/>
                <w:color w:val="auto"/>
                <w:spacing w:val="-22"/>
                <w:sz w:val="24"/>
                <w:szCs w:val="24"/>
                <w:highlight w:val="none"/>
                <w:lang w:eastAsia="zh-CN"/>
              </w:rPr>
              <w:t xml:space="preserve">（</w:t>
            </w:r>
            <w:r>
              <w:rPr>
                <w:color w:val="auto"/>
                <w:spacing w:val="-22"/>
                <w:sz w:val="24"/>
                <w:szCs w:val="24"/>
                <w:highlight w:val="none"/>
              </w:rPr>
              <w:t xml:space="preserve">判定值≤0.2</w:t>
            </w:r>
            <w:r>
              <w:rPr>
                <w:rFonts w:hint="eastAsia"/>
                <w:color w:val="auto"/>
                <w:spacing w:val="-22"/>
                <w:sz w:val="24"/>
                <w:szCs w:val="24"/>
                <w:highlight w:val="none"/>
                <w:lang w:eastAsia="zh-CN"/>
              </w:rPr>
              <w:t xml:space="preserve">）</w:t>
            </w:r>
            <w:r/>
          </w:p>
        </w:tc>
        <w:tc>
          <w:tcPr>
            <w:tcW w:w="180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农业农村部第</w:t>
            </w:r>
            <w:r>
              <w:rPr>
                <w:color w:val="auto"/>
                <w:spacing w:val="3"/>
                <w:sz w:val="24"/>
                <w:szCs w:val="24"/>
                <w:highlight w:val="none"/>
              </w:rPr>
              <w:t xml:space="preserve"> 250号公告</w:t>
            </w:r>
            <w:r/>
          </w:p>
        </w:tc>
      </w:tr>
      <w:tr>
        <w:trPr>
          <w:trHeight w:val="961"/>
        </w:trPr>
        <w:tc>
          <w:tcPr>
            <w:tcW w:w="1769"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孔雀石绿</w:t>
            </w:r>
            <w:r/>
          </w:p>
        </w:tc>
        <w:tc>
          <w:tcPr>
            <w:tcW w:w="2892"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GB/T19857-2005</w:t>
            </w:r>
            <w:r/>
          </w:p>
        </w:tc>
        <w:tc>
          <w:tcPr>
            <w:tcW w:w="2248" w:type="dxa"/>
            <w:vAlign w:val="top"/>
            <w:textDirection w:val="lrTb"/>
            <w:noWrap w:val="false"/>
          </w:tcPr>
          <w:p>
            <w:pPr>
              <w:pStyle w:val="1057"/>
              <w:ind w:left="0" w:right="0" w:hanging="49"/>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不得检出</w:t>
            </w:r>
            <w:r>
              <w:rPr>
                <w:rFonts w:hint="eastAsia"/>
                <w:color w:val="auto"/>
                <w:spacing w:val="-2"/>
                <w:sz w:val="24"/>
                <w:szCs w:val="24"/>
                <w:highlight w:val="none"/>
                <w:lang w:eastAsia="zh-CN"/>
              </w:rPr>
              <w:t xml:space="preserve">（</w:t>
            </w:r>
            <w:r>
              <w:rPr>
                <w:color w:val="auto"/>
                <w:spacing w:val="-2"/>
                <w:sz w:val="24"/>
                <w:szCs w:val="24"/>
                <w:highlight w:val="none"/>
              </w:rPr>
              <w:t xml:space="preserve">判定值有色</w:t>
            </w:r>
            <w:r>
              <w:rPr>
                <w:color w:val="auto"/>
                <w:spacing w:val="5"/>
                <w:sz w:val="24"/>
                <w:szCs w:val="24"/>
                <w:highlight w:val="none"/>
              </w:rPr>
              <w:t xml:space="preserve"> </w:t>
            </w:r>
            <w:r>
              <w:rPr>
                <w:color w:val="auto"/>
                <w:spacing w:val="2"/>
                <w:sz w:val="24"/>
                <w:szCs w:val="24"/>
                <w:highlight w:val="none"/>
              </w:rPr>
              <w:t xml:space="preserve">孔雀石绿和无色孔雀</w:t>
            </w:r>
            <w:r>
              <w:rPr>
                <w:color w:val="auto"/>
                <w:spacing w:val="6"/>
                <w:sz w:val="24"/>
                <w:szCs w:val="24"/>
                <w:highlight w:val="none"/>
              </w:rPr>
              <w:t xml:space="preserve"> </w:t>
            </w:r>
            <w:r>
              <w:rPr>
                <w:color w:val="auto"/>
                <w:spacing w:val="5"/>
                <w:sz w:val="24"/>
                <w:szCs w:val="24"/>
                <w:highlight w:val="none"/>
              </w:rPr>
              <w:t xml:space="preserve">石绿的总量≤1.0</w:t>
            </w:r>
            <w:r>
              <w:rPr>
                <w:rFonts w:hint="eastAsia"/>
                <w:color w:val="auto"/>
                <w:spacing w:val="5"/>
                <w:sz w:val="24"/>
                <w:szCs w:val="24"/>
                <w:highlight w:val="none"/>
                <w:lang w:eastAsia="zh-CN"/>
              </w:rPr>
              <w:t xml:space="preserve">）</w:t>
            </w:r>
            <w:r/>
          </w:p>
        </w:tc>
        <w:tc>
          <w:tcPr>
            <w:tcW w:w="180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农业农村部第</w:t>
            </w:r>
            <w:r>
              <w:rPr>
                <w:color w:val="auto"/>
                <w:spacing w:val="3"/>
                <w:sz w:val="24"/>
                <w:szCs w:val="24"/>
                <w:highlight w:val="none"/>
              </w:rPr>
              <w:t xml:space="preserve"> 250号公告</w:t>
            </w:r>
            <w:r/>
          </w:p>
        </w:tc>
      </w:tr>
      <w:tr>
        <w:trPr>
          <w:trHeight w:val="958"/>
        </w:trPr>
        <w:tc>
          <w:tcPr>
            <w:tcW w:w="176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硝基呋喃类代谢</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32"/>
                <w:sz w:val="24"/>
                <w:szCs w:val="24"/>
                <w:highlight w:val="none"/>
              </w:rPr>
              <w:t xml:space="preserve">物</w:t>
            </w:r>
            <w:r>
              <w:rPr>
                <w:rFonts w:hint="eastAsia"/>
                <w:color w:val="auto"/>
                <w:spacing w:val="32"/>
                <w:sz w:val="24"/>
                <w:szCs w:val="24"/>
                <w:highlight w:val="none"/>
                <w:lang w:eastAsia="zh-CN"/>
              </w:rPr>
              <w:t xml:space="preserve">（</w:t>
            </w:r>
            <w:r>
              <w:rPr>
                <w:color w:val="auto"/>
                <w:sz w:val="24"/>
                <w:szCs w:val="24"/>
                <w:highlight w:val="none"/>
              </w:rPr>
              <w:t xml:space="preserve">AOZ</w:t>
            </w:r>
            <w:r>
              <w:rPr>
                <w:color w:val="auto"/>
                <w:spacing w:val="32"/>
                <w:sz w:val="24"/>
                <w:szCs w:val="24"/>
                <w:highlight w:val="none"/>
              </w:rPr>
              <w:t xml:space="preserve">、</w:t>
            </w:r>
            <w:r>
              <w:rPr>
                <w:color w:val="auto"/>
                <w:sz w:val="24"/>
                <w:szCs w:val="24"/>
                <w:highlight w:val="none"/>
              </w:rPr>
              <w:t xml:space="preserve">SEM</w:t>
            </w:r>
            <w:r>
              <w:rPr>
                <w:color w:val="auto"/>
                <w:spacing w:val="32"/>
                <w:sz w:val="24"/>
                <w:szCs w:val="24"/>
                <w:highlight w:val="none"/>
              </w:rPr>
              <w:t xml:space="preserve">、</w:t>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AMOZ、AHD</w:t>
            </w:r>
            <w:r>
              <w:rPr>
                <w:rFonts w:hint="eastAsia"/>
                <w:color w:val="auto"/>
                <w:spacing w:val="-1"/>
                <w:sz w:val="24"/>
                <w:szCs w:val="24"/>
                <w:highlight w:val="none"/>
                <w:lang w:eastAsia="zh-CN"/>
              </w:rPr>
              <w:t xml:space="preserve">）</w:t>
            </w:r>
            <w:r/>
          </w:p>
        </w:tc>
        <w:tc>
          <w:tcPr>
            <w:tcW w:w="2892"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农业部783号公告-1-2006</w:t>
            </w:r>
            <w:r/>
          </w:p>
        </w:tc>
        <w:tc>
          <w:tcPr>
            <w:tcW w:w="2248" w:type="dxa"/>
            <w:vAlign w:val="top"/>
            <w:textDirection w:val="lrTb"/>
            <w:noWrap w:val="false"/>
          </w:tcPr>
          <w:p>
            <w:pPr>
              <w:pStyle w:val="1057"/>
              <w:ind w:left="0" w:right="0" w:firstLine="19"/>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不得检出</w:t>
            </w:r>
            <w:r>
              <w:rPr>
                <w:rFonts w:hint="eastAsia"/>
                <w:color w:val="auto"/>
                <w:sz w:val="24"/>
                <w:szCs w:val="24"/>
                <w:highlight w:val="none"/>
                <w:lang w:eastAsia="zh-CN"/>
              </w:rPr>
              <w:t xml:space="preserve">（</w:t>
            </w:r>
            <w:r>
              <w:rPr>
                <w:color w:val="auto"/>
                <w:sz w:val="24"/>
                <w:szCs w:val="24"/>
                <w:highlight w:val="none"/>
              </w:rPr>
              <w:t xml:space="preserve">判定值各为</w:t>
            </w:r>
            <w:r>
              <w:rPr>
                <w:color w:val="auto"/>
                <w:spacing w:val="6"/>
                <w:sz w:val="24"/>
                <w:szCs w:val="24"/>
                <w:highlight w:val="none"/>
              </w:rPr>
              <w:t xml:space="preserve"> </w:t>
            </w:r>
            <w:r>
              <w:rPr>
                <w:color w:val="auto"/>
                <w:spacing w:val="-5"/>
                <w:sz w:val="24"/>
                <w:szCs w:val="24"/>
                <w:highlight w:val="none"/>
              </w:rPr>
              <w:t xml:space="preserve">≤1.0</w:t>
            </w:r>
            <w:r>
              <w:rPr>
                <w:rFonts w:hint="eastAsia"/>
                <w:color w:val="auto"/>
                <w:spacing w:val="-5"/>
                <w:sz w:val="24"/>
                <w:szCs w:val="24"/>
                <w:highlight w:val="none"/>
                <w:lang w:eastAsia="zh-CN"/>
              </w:rPr>
              <w:t xml:space="preserve">）</w:t>
            </w:r>
            <w:r/>
          </w:p>
        </w:tc>
        <w:tc>
          <w:tcPr>
            <w:tcW w:w="180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农业农村部第</w:t>
            </w:r>
            <w:r>
              <w:rPr>
                <w:color w:val="auto"/>
                <w:spacing w:val="3"/>
                <w:sz w:val="24"/>
                <w:szCs w:val="24"/>
                <w:highlight w:val="none"/>
              </w:rPr>
              <w:t xml:space="preserve"> 250号公告</w:t>
            </w:r>
            <w:r/>
          </w:p>
        </w:tc>
      </w:tr>
      <w:tr>
        <w:trPr>
          <w:trHeight w:val="627"/>
        </w:trPr>
        <w:tc>
          <w:tcPr>
            <w:tcW w:w="176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3"/>
                <w:sz w:val="24"/>
                <w:szCs w:val="24"/>
                <w:highlight w:val="none"/>
              </w:rPr>
              <w:t xml:space="preserve">地西泮</w:t>
            </w:r>
            <w:r/>
          </w:p>
        </w:tc>
        <w:tc>
          <w:tcPr>
            <w:tcW w:w="289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SN/T3235-2012</w:t>
            </w:r>
            <w:r/>
          </w:p>
        </w:tc>
        <w:tc>
          <w:tcPr>
            <w:tcW w:w="2248" w:type="dxa"/>
            <w:vAlign w:val="top"/>
            <w:textDirection w:val="lrTb"/>
            <w:noWrap w:val="false"/>
          </w:tcPr>
          <w:p>
            <w:pPr>
              <w:pStyle w:val="1057"/>
              <w:ind w:left="0" w:right="0" w:firstLine="7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不得检出</w:t>
            </w:r>
            <w:r>
              <w:rPr>
                <w:rFonts w:hint="eastAsia"/>
                <w:color w:val="auto"/>
                <w:spacing w:val="1"/>
                <w:sz w:val="24"/>
                <w:szCs w:val="24"/>
                <w:highlight w:val="none"/>
                <w:lang w:eastAsia="zh-CN"/>
              </w:rPr>
              <w:t xml:space="preserve">（</w:t>
            </w:r>
            <w:r>
              <w:rPr>
                <w:color w:val="auto"/>
                <w:spacing w:val="1"/>
                <w:sz w:val="24"/>
                <w:szCs w:val="24"/>
                <w:highlight w:val="none"/>
              </w:rPr>
              <w:t xml:space="preserve">判定限量</w:t>
            </w:r>
            <w:r>
              <w:rPr>
                <w:color w:val="auto"/>
                <w:spacing w:val="4"/>
                <w:sz w:val="24"/>
                <w:szCs w:val="24"/>
                <w:highlight w:val="none"/>
              </w:rPr>
              <w:t xml:space="preserve"> </w:t>
            </w:r>
            <w:r>
              <w:rPr>
                <w:color w:val="auto"/>
                <w:spacing w:val="9"/>
                <w:sz w:val="24"/>
                <w:szCs w:val="24"/>
                <w:highlight w:val="none"/>
              </w:rPr>
              <w:t xml:space="preserve">值：0.5</w:t>
            </w:r>
            <w:r>
              <w:rPr>
                <w:rFonts w:hint="eastAsia"/>
                <w:color w:val="auto"/>
                <w:spacing w:val="9"/>
                <w:sz w:val="24"/>
                <w:szCs w:val="24"/>
                <w:highlight w:val="none"/>
                <w:lang w:eastAsia="zh-CN"/>
              </w:rPr>
              <w:t xml:space="preserve">）</w:t>
            </w:r>
            <w:r/>
          </w:p>
        </w:tc>
        <w:tc>
          <w:tcPr>
            <w:tcW w:w="180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GB</w:t>
            </w:r>
            <w:r>
              <w:rPr>
                <w:color w:val="auto"/>
                <w:spacing w:val="41"/>
                <w:sz w:val="24"/>
                <w:szCs w:val="24"/>
                <w:highlight w:val="none"/>
              </w:rPr>
              <w:t xml:space="preserve"> </w:t>
            </w:r>
            <w:r>
              <w:rPr>
                <w:color w:val="auto"/>
                <w:spacing w:val="-2"/>
                <w:sz w:val="24"/>
                <w:szCs w:val="24"/>
                <w:highlight w:val="none"/>
              </w:rPr>
              <w:t xml:space="preserve">31650-2019</w:t>
            </w:r>
            <w:r/>
          </w:p>
        </w:tc>
      </w:tr>
      <w:tr>
        <w:trPr>
          <w:trHeight w:val="951"/>
        </w:trPr>
        <w:tc>
          <w:tcPr>
            <w:tcW w:w="1769" w:type="dxa"/>
            <w:vAlign w:val="top"/>
            <w:textDirection w:val="lrTb"/>
            <w:noWrap w:val="false"/>
          </w:tcPr>
          <w:p>
            <w:pPr>
              <w:pStyle w:val="1057"/>
              <w:ind w:left="0" w:right="0" w:firstLine="75"/>
              <w:jc w:val="both"/>
              <w:keepLines w:val="0"/>
              <w:keepNext w:val="0"/>
              <w:pageBreakBefore w:val="0"/>
              <w:spacing w:line="360" w:lineRule="exact"/>
              <w:widowControl w:val="off"/>
              <w:rPr>
                <w:color w:val="auto"/>
                <w:sz w:val="24"/>
                <w:szCs w:val="24"/>
                <w:highlight w:val="none"/>
              </w:rPr>
            </w:pPr>
            <w:r>
              <w:rPr>
                <w:color w:val="auto"/>
                <w:spacing w:val="-13"/>
                <w:sz w:val="24"/>
                <w:szCs w:val="24"/>
                <w:highlight w:val="none"/>
              </w:rPr>
              <w:t xml:space="preserve">诺氟沙星、氧氟</w:t>
            </w:r>
            <w:r>
              <w:rPr>
                <w:color w:val="auto"/>
                <w:sz w:val="24"/>
                <w:szCs w:val="24"/>
                <w:highlight w:val="none"/>
              </w:rPr>
              <w:t xml:space="preserve">  </w:t>
            </w:r>
            <w:r>
              <w:rPr>
                <w:color w:val="auto"/>
                <w:spacing w:val="-8"/>
                <w:sz w:val="24"/>
                <w:szCs w:val="24"/>
                <w:highlight w:val="none"/>
              </w:rPr>
              <w:t xml:space="preserve">沙星、培氟沙星、</w:t>
            </w:r>
            <w:r>
              <w:rPr>
                <w:color w:val="auto"/>
                <w:sz w:val="24"/>
                <w:szCs w:val="24"/>
                <w:highlight w:val="none"/>
              </w:rPr>
              <w:t xml:space="preserve"> </w:t>
            </w:r>
            <w:r>
              <w:rPr>
                <w:color w:val="auto"/>
                <w:spacing w:val="5"/>
                <w:sz w:val="24"/>
                <w:szCs w:val="24"/>
                <w:highlight w:val="none"/>
              </w:rPr>
              <w:t xml:space="preserve">洛美沙星</w:t>
            </w:r>
            <w:r/>
          </w:p>
        </w:tc>
        <w:tc>
          <w:tcPr>
            <w:tcW w:w="2892"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农业部1077号公告-1-2008</w:t>
            </w:r>
            <w:r/>
          </w:p>
        </w:tc>
        <w:tc>
          <w:tcPr>
            <w:tcW w:w="2248" w:type="dxa"/>
            <w:vAlign w:val="top"/>
            <w:textDirection w:val="lrTb"/>
            <w:noWrap w:val="false"/>
          </w:tcPr>
          <w:p>
            <w:pPr>
              <w:pStyle w:val="1057"/>
              <w:ind w:left="0" w:right="0" w:firstLine="19"/>
              <w:jc w:val="both"/>
              <w:keepLines w:val="0"/>
              <w:keepNext w:val="0"/>
              <w:pageBreakBefore w:val="0"/>
              <w:spacing w:line="360" w:lineRule="exact"/>
              <w:widowControl w:val="off"/>
              <w:rPr>
                <w:color w:val="auto"/>
                <w:sz w:val="24"/>
                <w:szCs w:val="24"/>
                <w:highlight w:val="none"/>
              </w:rPr>
            </w:pPr>
            <w:r>
              <w:rPr>
                <w:color w:val="auto"/>
                <w:sz w:val="24"/>
                <w:szCs w:val="24"/>
                <w:highlight w:val="none"/>
              </w:rPr>
              <w:t xml:space="preserve">不得检出</w:t>
            </w:r>
            <w:r>
              <w:rPr>
                <w:rFonts w:hint="eastAsia"/>
                <w:color w:val="auto"/>
                <w:sz w:val="24"/>
                <w:szCs w:val="24"/>
                <w:highlight w:val="none"/>
                <w:lang w:eastAsia="zh-CN"/>
              </w:rPr>
              <w:t xml:space="preserve">（</w:t>
            </w:r>
            <w:r>
              <w:rPr>
                <w:color w:val="auto"/>
                <w:sz w:val="24"/>
                <w:szCs w:val="24"/>
                <w:highlight w:val="none"/>
              </w:rPr>
              <w:t xml:space="preserve">判定值各为</w:t>
            </w:r>
            <w:r>
              <w:rPr>
                <w:color w:val="auto"/>
                <w:spacing w:val="6"/>
                <w:sz w:val="24"/>
                <w:szCs w:val="24"/>
                <w:highlight w:val="none"/>
              </w:rPr>
              <w:t xml:space="preserve"> </w:t>
            </w:r>
            <w:r>
              <w:rPr>
                <w:color w:val="auto"/>
                <w:spacing w:val="-5"/>
                <w:sz w:val="24"/>
                <w:szCs w:val="24"/>
                <w:highlight w:val="none"/>
              </w:rPr>
              <w:t xml:space="preserve">≤2.0</w:t>
            </w:r>
            <w:r>
              <w:rPr>
                <w:rFonts w:hint="eastAsia"/>
                <w:color w:val="auto"/>
                <w:spacing w:val="-5"/>
                <w:sz w:val="24"/>
                <w:szCs w:val="24"/>
                <w:highlight w:val="none"/>
                <w:lang w:eastAsia="zh-CN"/>
              </w:rPr>
              <w:t xml:space="preserve">）</w:t>
            </w:r>
            <w:r/>
          </w:p>
        </w:tc>
        <w:tc>
          <w:tcPr>
            <w:tcW w:w="1809" w:type="dxa"/>
            <w:vAlign w:val="top"/>
            <w:textDirection w:val="lrTb"/>
            <w:noWrap w:val="false"/>
          </w:tcPr>
          <w:p>
            <w:pPr>
              <w:ind w:left="0" w:right="0"/>
              <w:jc w:val="both"/>
              <w:keepLines w:val="0"/>
              <w:keepNext w:val="0"/>
              <w:pageBreakBefore w:val="0"/>
              <w:spacing w:line="360" w:lineRule="exact"/>
              <w:widowControl w:val="off"/>
              <w:rPr>
                <w:rFonts w:ascii="Arial"/>
                <w:color w:val="auto"/>
                <w:sz w:val="24"/>
                <w:szCs w:val="24"/>
                <w:highlight w:val="none"/>
              </w:rPr>
            </w:pPr>
            <w:r>
              <w:rPr>
                <w:rFonts w:ascii="Arial"/>
                <w:color w:val="auto"/>
                <w:sz w:val="24"/>
                <w:szCs w:val="24"/>
                <w:highlight w:val="none"/>
              </w:rPr>
            </w:r>
            <w:r/>
          </w:p>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GB31650.1-2022</w:t>
            </w:r>
            <w:r/>
          </w:p>
        </w:tc>
      </w:tr>
      <w:tr>
        <w:trPr>
          <w:trHeight w:val="662"/>
        </w:trPr>
        <w:tc>
          <w:tcPr>
            <w:tcW w:w="1769" w:type="dxa"/>
            <w:vAlign w:val="top"/>
            <w:textDirection w:val="lrTb"/>
            <w:noWrap w:val="false"/>
          </w:tcPr>
          <w:p>
            <w:pPr>
              <w:pStyle w:val="1057"/>
              <w:ind w:left="0" w:right="0" w:firstLine="10"/>
              <w:jc w:val="both"/>
              <w:keepLines w:val="0"/>
              <w:keepNext w:val="0"/>
              <w:pageBreakBefore w:val="0"/>
              <w:spacing w:line="360" w:lineRule="exact"/>
              <w:widowControl w:val="off"/>
              <w:rPr>
                <w:color w:val="auto"/>
                <w:sz w:val="24"/>
                <w:szCs w:val="24"/>
                <w:highlight w:val="none"/>
              </w:rPr>
            </w:pPr>
            <w:r>
              <w:rPr>
                <w:color w:val="auto"/>
                <w:spacing w:val="2"/>
                <w:sz w:val="24"/>
                <w:szCs w:val="24"/>
                <w:highlight w:val="none"/>
              </w:rPr>
              <w:t xml:space="preserve">恩诺沙星和环丙</w:t>
            </w:r>
            <w:r>
              <w:rPr>
                <w:color w:val="auto"/>
                <w:spacing w:val="1"/>
                <w:sz w:val="24"/>
                <w:szCs w:val="24"/>
                <w:highlight w:val="none"/>
              </w:rPr>
              <w:t xml:space="preserve"> </w:t>
            </w:r>
            <w:r>
              <w:rPr>
                <w:color w:val="auto"/>
                <w:spacing w:val="7"/>
                <w:sz w:val="24"/>
                <w:szCs w:val="24"/>
                <w:highlight w:val="none"/>
              </w:rPr>
              <w:t xml:space="preserve">沙星</w:t>
            </w:r>
            <w:r/>
          </w:p>
        </w:tc>
        <w:tc>
          <w:tcPr>
            <w:tcW w:w="2892"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农业部1077号公告-1-2008</w:t>
            </w:r>
            <w:r/>
          </w:p>
        </w:tc>
        <w:tc>
          <w:tcPr>
            <w:tcW w:w="2248"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总量≤100</w:t>
            </w:r>
            <w:r/>
          </w:p>
        </w:tc>
        <w:tc>
          <w:tcPr>
            <w:tcW w:w="1809" w:type="dxa"/>
            <w:vAlign w:val="top"/>
            <w:textDirection w:val="lrTb"/>
            <w:noWrap w:val="false"/>
          </w:tcPr>
          <w:p>
            <w:pPr>
              <w:pStyle w:val="1057"/>
              <w:ind w:left="0" w:right="0"/>
              <w:jc w:val="both"/>
              <w:keepLines w:val="0"/>
              <w:keepNext w:val="0"/>
              <w:pageBreakBefore w:val="0"/>
              <w:spacing w:line="360" w:lineRule="exact"/>
              <w:widowControl w:val="off"/>
              <w:rPr>
                <w:color w:val="auto"/>
                <w:sz w:val="24"/>
                <w:szCs w:val="24"/>
                <w:highlight w:val="none"/>
              </w:rPr>
            </w:pPr>
            <w:r>
              <w:rPr>
                <w:color w:val="auto"/>
                <w:spacing w:val="-1"/>
                <w:sz w:val="24"/>
                <w:szCs w:val="24"/>
                <w:highlight w:val="none"/>
              </w:rPr>
              <w:t xml:space="preserve">GB31650-2019</w:t>
            </w:r>
            <w:r/>
          </w:p>
        </w:tc>
      </w:tr>
    </w:tbl>
    <w:p>
      <w:pPr>
        <w:ind w:left="314"/>
        <w:spacing w:before="157"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注：1.虾蟹类呋喃西林代谢物</w:t>
      </w:r>
      <w:r>
        <w:rPr>
          <w:rFonts w:hint="eastAsia" w:ascii="宋体" w:hAnsi="宋体" w:eastAsia="宋体" w:cs="宋体"/>
          <w:color w:val="auto"/>
          <w:sz w:val="24"/>
          <w:szCs w:val="24"/>
          <w:highlight w:val="none"/>
        </w:rPr>
        <w:t xml:space="preserve">SEM</w:t>
      </w:r>
      <w:r>
        <w:rPr>
          <w:rFonts w:hint="eastAsia" w:ascii="宋体" w:hAnsi="宋体" w:eastAsia="宋体" w:cs="宋体"/>
          <w:color w:val="auto"/>
          <w:spacing w:val="7"/>
          <w:sz w:val="24"/>
          <w:szCs w:val="24"/>
          <w:highlight w:val="none"/>
        </w:rPr>
        <w:t xml:space="preserve">  不作判定。</w:t>
      </w:r>
      <w:r/>
    </w:p>
    <w:p>
      <w:pPr>
        <w:ind w:left="524"/>
        <w:spacing w:before="10"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2.只有淡水鱼类检测地西泮。</w:t>
      </w:r>
      <w:r/>
    </w:p>
    <w:p>
      <w:pPr>
        <w:ind w:left="524"/>
        <w:spacing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9"/>
          <w:sz w:val="24"/>
          <w:szCs w:val="24"/>
          <w:highlight w:val="none"/>
        </w:rPr>
        <w:t xml:space="preserve">3. 国家现行有效方法也可以使用，但方法最低检出限必须满足判定依</w:t>
      </w:r>
      <w:r>
        <w:rPr>
          <w:rFonts w:hint="eastAsia" w:ascii="宋体" w:hAnsi="宋体" w:eastAsia="宋体" w:cs="宋体"/>
          <w:color w:val="auto"/>
          <w:spacing w:val="8"/>
          <w:sz w:val="24"/>
          <w:szCs w:val="24"/>
          <w:highlight w:val="none"/>
        </w:rPr>
        <w:t xml:space="preserve">据限量值。</w:t>
      </w:r>
      <w:r/>
    </w:p>
    <w:p>
      <w:pPr>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pStyle w:val="926"/>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ind w:left="0" w:firstLine="482"/>
        <w:jc w:val="both"/>
        <w:keepLines w:val="0"/>
        <w:keepNext w:val="0"/>
        <w:pageBreakBefore w:val="0"/>
        <w:spacing w:line="480" w:lineRule="exact"/>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CN"/>
        </w:rPr>
        <w:t xml:space="preserve">五</w:t>
      </w:r>
      <w:r>
        <w:rPr>
          <w:rFonts w:hint="eastAsia" w:ascii="宋体" w:hAnsi="宋体" w:eastAsia="宋体" w:cs="宋体"/>
          <w:b/>
          <w:bCs/>
          <w:color w:val="auto"/>
          <w:sz w:val="24"/>
          <w:szCs w:val="24"/>
          <w:highlight w:val="none"/>
          <w:lang w:val="zh-TW" w:eastAsia="zh-TW"/>
        </w:rPr>
        <w:t xml:space="preserve">、服务要求</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1、基本要求：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①抽样时间：按照采购方实际需求确定时间。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②抽样地点：根据实际工作要求，由采购方确定具体抽样地点。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③抽样人员：每次抽检由中标人安排2 名以上工作人员配合采购方抽样，承诺配备能同时出动2组或以上专业抽样人员。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④抽样办法：根据检验项目及国家标准中规定的采样方法及采样数量抽取样品。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⑤ 样品运输：由中标人负责，并确保样品运送过程中保持样品状态，不影响检测结果的准 确性。</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⑥ 样品检验：由中标人负责，并对样品检验结果负责。</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2、工作要求：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①中标人负责提供每次抽检所需的交通工作，积极配合抽检工作。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②实验室检验设备、检验人员充实，能满足农产品检验的特殊要求，能按时按质完成抽检任务，出具合法有效的检验报告。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③中标人技术服务水平高，采样操作规范，实验室质量控制严格，中标人须以承诺函的形式承诺近3 年无食品农产品检验数据严重质量问题。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中标人应按照专业操守尽职尽责，根据国际国内的相关标准进行样品的抽样、检验及判定工作，并且按当次抽检方案约定日期出具具体检验报告；在采购方与第三方同等的条件下，中标人应优先完成对采购方的抽检和监测任务。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⑤中标人对检验结果的真实性负责，由于虚假、错误检验数据和结论而给被检人造成损 失的，或者给社会带来不良影响的，取消其承检资格，并承担赔偿责任及相应法律责任。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⑥涉及抽样的全部情况包括数据及结果，投标人必须对抽检监测的结果及数据等信息保密，不得向除采购方外的任何单位与个人透露，否则取消其承检资格；如造成经济损失及不良影响的，追究其经济赔偿责任和法律责任。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⑦中标人对其抽取的样品负责，检验结果反映送检样品的真实状况。 </w:t>
      </w:r>
      <w:r/>
    </w:p>
    <w:p>
      <w:pPr>
        <w:ind w:firstLine="480"/>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⑧中标人应针对每次任务提供承接项目的质量保障计划、措施和结果，保证原始记录规范完整，并接受甲方组织的专家检验及评估。</w:t>
      </w:r>
      <w:r/>
    </w:p>
    <w:p>
      <w:pPr>
        <w:ind w:firstLine="480"/>
        <w:jc w:val="both"/>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⑨对中标人在开展抽检监测过程中弄虚作假或不配合采购人开展工作的，取消其承检资格。</w:t>
      </w:r>
      <w:r/>
    </w:p>
    <w:p>
      <w:pPr>
        <w:pStyle w:val="1027"/>
        <w:ind w:firstLine="482"/>
        <w:pageBreakBefore w:val="0"/>
        <w:spacing w:before="0" w:after="0" w:line="480" w:lineRule="exact"/>
        <w:rPr>
          <w:rFonts w:hint="eastAsia"/>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TW" w:eastAsia="zh-TW"/>
        </w:rPr>
        <w:t xml:space="preserve">、验收要求</w:t>
      </w:r>
      <w:r>
        <w:rPr>
          <w:rFonts w:hint="eastAsia" w:ascii="宋体" w:hAnsi="宋体" w:eastAsia="宋体" w:cs="宋体"/>
          <w:b/>
          <w:bCs/>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bidi="ar"/>
        </w:rPr>
        <w:t xml:space="preserve">出具检测报告与综合分析报告，并符合国家相关文件要求。</w:t>
      </w:r>
      <w:r/>
    </w:p>
    <w:p>
      <w:pPr>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r>
      <w:r/>
    </w:p>
    <w:p>
      <w:pPr>
        <w:jc w:val="center"/>
        <w:keepNext/>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br w:type="page" w:clear="all"/>
      </w:r>
      <w:r>
        <w:rPr>
          <w:rFonts w:hint="eastAsia" w:ascii="Times New Roman" w:hAnsi="Times New Roman" w:eastAsia="黑体"/>
          <w:bCs/>
          <w:color w:val="auto"/>
          <w:sz w:val="44"/>
          <w:szCs w:val="28"/>
          <w:highlight w:val="none"/>
        </w:rPr>
        <w:t xml:space="preserve">第五章  </w:t>
      </w:r>
      <w:r>
        <w:rPr>
          <w:rFonts w:hint="eastAsia" w:ascii="Times New Roman" w:hAnsi="Times New Roman" w:eastAsia="黑体"/>
          <w:b/>
          <w:bCs/>
          <w:color w:val="auto"/>
          <w:sz w:val="44"/>
          <w:szCs w:val="28"/>
          <w:highlight w:val="none"/>
        </w:rPr>
        <w:t xml:space="preserve">评审方法与评审标准</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numPr>
          <w:ilvl w:val="0"/>
          <w:numId w:val="0"/>
        </w:numPr>
        <w:ind w:firstLine="562"/>
        <w:jc w:val="left"/>
        <w:spacing w:line="500" w:lineRule="exact"/>
        <w:rPr>
          <w:rFonts w:ascii="Times New Roman" w:hAnsi="Times New Roman" w:eastAsia="宋体"/>
          <w:color w:val="auto"/>
          <w:sz w:val="24"/>
          <w:highlight w:val="none"/>
        </w:rPr>
      </w:pPr>
      <w:r>
        <w:rPr>
          <w:rFonts w:hint="eastAsia" w:ascii="仿宋_GB2312" w:hAnsi="Times New Roman" w:eastAsia="仿宋_GB2312" w:cs="Times New Roman"/>
          <w:b/>
          <w:color w:val="auto"/>
          <w:sz w:val="28"/>
          <w:szCs w:val="22"/>
          <w:highlight w:val="none"/>
          <w:lang w:val="en-US" w:eastAsia="zh-CN"/>
        </w:rPr>
        <w:t xml:space="preserve">一、资格审查。</w:t>
      </w:r>
      <w:r>
        <w:rPr>
          <w:rFonts w:hint="eastAsia" w:ascii="Times New Roman" w:hAnsi="Times New Roman" w:eastAsia="宋体"/>
          <w:color w:val="auto"/>
          <w:sz w:val="24"/>
          <w:highlight w:val="none"/>
        </w:rPr>
        <w:t xml:space="preserve">资格审查人员按照下列指标对各</w:t>
      </w:r>
      <w:r>
        <w:rPr>
          <w:rFonts w:hint="eastAsia" w:ascii="Times New Roman" w:hAnsi="Times New Roman" w:eastAsia="宋体" w:cs="Times New Roman"/>
          <w:color w:val="auto"/>
          <w:sz w:val="24"/>
          <w:highlight w:val="none"/>
        </w:rPr>
        <w:t xml:space="preserve">供应商</w:t>
      </w:r>
      <w:r>
        <w:rPr>
          <w:rFonts w:hint="eastAsia" w:ascii="Times New Roman" w:hAnsi="Times New Roman" w:eastAsia="宋体"/>
          <w:color w:val="auto"/>
          <w:sz w:val="24"/>
          <w:highlight w:val="none"/>
        </w:rPr>
        <w:t xml:space="preserve">的资格进行审查，未通过审查的为无效标，不参与</w:t>
      </w:r>
      <w:r>
        <w:rPr>
          <w:rFonts w:hint="eastAsia" w:ascii="Times New Roman" w:hAnsi="Times New Roman" w:eastAsia="宋体" w:cs="Times New Roman"/>
          <w:color w:val="auto"/>
          <w:sz w:val="24"/>
          <w:highlight w:val="none"/>
        </w:rPr>
        <w:t xml:space="preserve">评审</w:t>
      </w:r>
      <w:r>
        <w:rPr>
          <w:rFonts w:hint="eastAsia" w:ascii="Times New Roman" w:hAnsi="Times New Roman" w:eastAsia="宋体"/>
          <w:color w:val="auto"/>
          <w:sz w:val="24"/>
          <w:highlight w:val="none"/>
        </w:rPr>
        <w:t xml:space="preserve">。</w:t>
      </w:r>
      <w:r/>
    </w:p>
    <w:tbl>
      <w:tblPr>
        <w:tblStyle w:val="925"/>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hint="eastAsia"/>
                <w:caps w:val="0"/>
                <w:color w:val="auto"/>
                <w:sz w:val="24"/>
                <w:szCs w:val="24"/>
                <w:highlight w:val="none"/>
                <w:rtl w:val="0"/>
                <w:lang w:val="en-US" w:eastAsia="zh-CN" w:bidi="ar-SA"/>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aps w:val="0"/>
                <w:color w:val="auto"/>
                <w:sz w:val="24"/>
                <w:szCs w:val="24"/>
                <w:highlight w:val="none"/>
                <w:rtl w:val="0"/>
                <w:lang w:val="en-US" w:eastAsia="zh-CN" w:bidi="ar-SA"/>
              </w:rPr>
              <w:t xml:space="preserve">符合</w:t>
            </w:r>
            <w:r>
              <w:rPr>
                <w:rFonts w:hint="eastAsia" w:ascii="Times New Roman" w:hAnsi="Times New Roman"/>
                <w:caps w:val="0"/>
                <w:color w:val="auto"/>
                <w:sz w:val="24"/>
                <w:szCs w:val="24"/>
                <w:highlight w:val="none"/>
                <w:rtl w:val="0"/>
                <w:lang w:val="en-US" w:eastAsia="zh-CN" w:bidi="ar-SA"/>
              </w:rPr>
              <w:t xml:space="preserve">磋商</w:t>
            </w:r>
            <w:r>
              <w:rPr>
                <w:rFonts w:ascii="Times New Roman" w:hAnsi="Times New Roman"/>
                <w:caps w:val="0"/>
                <w:color w:val="auto"/>
                <w:sz w:val="24"/>
                <w:szCs w:val="24"/>
                <w:highlight w:val="none"/>
                <w:rtl w:val="0"/>
                <w:lang w:val="en-US" w:eastAsia="zh-CN" w:bidi="ar-SA"/>
              </w:rPr>
              <w:t xml:space="preserve">文件要求</w:t>
            </w:r>
            <w:r/>
          </w:p>
        </w:tc>
      </w:tr>
    </w:tbl>
    <w:p>
      <w:pPr>
        <w:numPr>
          <w:ilvl w:val="0"/>
          <w:numId w:val="0"/>
        </w:numPr>
        <w:ind w:firstLine="562"/>
        <w:jc w:val="left"/>
        <w:spacing w:line="500" w:lineRule="exact"/>
        <w:rPr>
          <w:rFonts w:ascii="Times New Roman" w:hAnsi="Times New Roman" w:eastAsia="仿宋_GB2312"/>
          <w:color w:val="auto"/>
          <w:sz w:val="24"/>
          <w:highlight w:val="none"/>
        </w:rPr>
      </w:pPr>
      <w:r>
        <w:rPr>
          <w:rFonts w:hint="eastAsia" w:ascii="仿宋_GB2312" w:hAnsi="Times New Roman" w:eastAsia="仿宋_GB2312" w:cs="Times New Roman"/>
          <w:b/>
          <w:color w:val="auto"/>
          <w:sz w:val="28"/>
          <w:szCs w:val="22"/>
          <w:highlight w:val="none"/>
          <w:lang w:val="en-US" w:eastAsia="zh-CN"/>
        </w:rPr>
        <w:t xml:space="preserve">二、</w:t>
      </w:r>
      <w:r>
        <w:rPr>
          <w:rFonts w:hint="eastAsia" w:ascii="仿宋_GB2312" w:eastAsia="仿宋_GB2312"/>
          <w:b/>
          <w:color w:val="auto"/>
          <w:sz w:val="28"/>
          <w:szCs w:val="22"/>
          <w:highlight w:val="none"/>
        </w:rPr>
        <w:t xml:space="preserve">符合性审查。</w:t>
      </w:r>
      <w:r>
        <w:rPr>
          <w:rFonts w:hint="eastAsia" w:ascii="Times New Roman" w:hAnsi="Times New Roman" w:eastAsia="宋体" w:cs="Times New Roman"/>
          <w:color w:val="auto"/>
          <w:sz w:val="24"/>
          <w:highlight w:val="none"/>
        </w:rPr>
        <w:t xml:space="preserve">磋商小组首先按照下列指标对各供应商进行初步评审，未通过评审的为无效标，不再参与评审。</w:t>
      </w:r>
      <w:r/>
    </w:p>
    <w:tbl>
      <w:tblPr>
        <w:tblStyle w:val="925"/>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72"/>
        <w:gridCol w:w="5020"/>
      </w:tblGrid>
      <w:tr>
        <w:trPr/>
        <w:tc>
          <w:tcPr>
            <w:tcBorders>
              <w:top w:val="single" w:color="000000" w:sz="6" w:space="0"/>
              <w:left w:val="single" w:color="000000" w:sz="6" w:space="0"/>
              <w:bottom w:val="single" w:color="000000" w:sz="6" w:space="0"/>
              <w:right w:val="single" w:color="000000" w:sz="6" w:space="0"/>
            </w:tcBorders>
            <w:tcW w:w="3872"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020"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872"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020"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872"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020"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872"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020" w:type="dxa"/>
            <w:vAlign w:val="center"/>
            <w:textDirection w:val="lrTb"/>
            <w:noWrap w:val="false"/>
          </w:tcPr>
          <w:p>
            <w:pPr>
              <w:jc w:val="left"/>
              <w:rPr>
                <w:rFonts w:ascii="Times New Roman" w:hAnsi="Times New Roman"/>
                <w:color w:val="auto"/>
                <w:sz w:val="24"/>
                <w:szCs w:val="24"/>
                <w:highlight w:val="none"/>
              </w:rPr>
            </w:pPr>
            <w:r>
              <w:rPr>
                <w:rFonts w:ascii="Times New Roman" w:hAnsi="Times New Roman"/>
                <w:color w:val="auto"/>
                <w:sz w:val="24"/>
                <w:szCs w:val="24"/>
                <w:highlight w:val="none"/>
              </w:rPr>
              <w:t xml:space="preserve">符合磋商文件要求</w:t>
            </w:r>
            <w:r/>
          </w:p>
        </w:tc>
      </w:tr>
    </w:tbl>
    <w:p>
      <w:pPr>
        <w:ind w:firstLine="562"/>
        <w:jc w:val="both"/>
        <w:spacing w:line="500" w:lineRule="exact"/>
        <w:rPr>
          <w:rFonts w:hint="eastAsia" w:ascii="仿宋_GB2312" w:hAnsi="Times New Roman" w:eastAsia="仿宋_GB2312" w:cs="Times New Roman"/>
          <w:b/>
          <w:color w:val="auto"/>
          <w:sz w:val="28"/>
          <w:szCs w:val="22"/>
          <w:highlight w:val="none"/>
          <w:lang w:val="en-US" w:eastAsia="zh-CN"/>
        </w:rPr>
      </w:pPr>
      <w:r>
        <w:rPr>
          <w:rFonts w:hint="eastAsia" w:ascii="仿宋_GB2312" w:hAnsi="Times New Roman" w:eastAsia="仿宋_GB2312" w:cs="Times New Roman"/>
          <w:b/>
          <w:color w:val="auto"/>
          <w:sz w:val="28"/>
          <w:szCs w:val="22"/>
          <w:highlight w:val="none"/>
          <w:lang w:val="en-US" w:eastAsia="zh-CN"/>
        </w:rPr>
        <w:t xml:space="preserve">三、评分办法—综合评分法</w:t>
      </w:r>
      <w:r/>
    </w:p>
    <w:p>
      <w:pPr>
        <w:numPr>
          <w:ilvl w:val="0"/>
          <w:numId w:val="0"/>
        </w:numPr>
        <w:ind w:firstLine="482"/>
        <w:jc w:val="left"/>
        <w:spacing w:line="500" w:lineRule="exact"/>
        <w:rPr>
          <w:rFonts w:ascii="Times New Roman" w:hAnsi="Times New Roman" w:eastAsia="宋体"/>
          <w:color w:val="auto"/>
          <w:sz w:val="24"/>
          <w:highlight w:val="none"/>
        </w:rPr>
      </w:pPr>
      <w:r>
        <w:rPr>
          <w:rFonts w:hint="eastAsia" w:ascii="Times New Roman" w:hAnsi="Times New Roman" w:eastAsia="仿宋_GB2312"/>
          <w:b/>
          <w:color w:val="auto"/>
          <w:sz w:val="24"/>
          <w:highlight w:val="none"/>
          <w:lang w:val="en-US" w:eastAsia="zh-CN"/>
        </w:rPr>
        <w:t xml:space="preserve">（一）</w:t>
      </w:r>
      <w:r>
        <w:rPr>
          <w:rFonts w:hint="eastAsia" w:ascii="Times New Roman" w:hAnsi="Times New Roman" w:eastAsia="仿宋_GB2312"/>
          <w:b/>
          <w:color w:val="auto"/>
          <w:sz w:val="24"/>
          <w:highlight w:val="none"/>
        </w:rPr>
        <w:t xml:space="preserve">评标办法：</w:t>
      </w:r>
      <w:r>
        <w:rPr>
          <w:rFonts w:ascii="Times New Roman" w:hAnsi="Times New Roman" w:eastAsia="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eastAsia="宋体"/>
          <w:color w:val="auto"/>
          <w:sz w:val="24"/>
          <w:highlight w:val="none"/>
        </w:rPr>
        <w:t xml:space="preserve">按得分高低顺序推荐成交候选人。得分相同的，按报价从低到高顺序排列；得分且报价相同的，按技术指标优劣顺序排列。</w:t>
      </w:r>
      <w:r/>
    </w:p>
    <w:p>
      <w:pPr>
        <w:ind w:firstLine="480"/>
        <w:jc w:val="left"/>
        <w:spacing w:line="500" w:lineRule="exact"/>
        <w:rPr>
          <w:rFonts w:hint="default"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磋商小组</w:t>
      </w:r>
      <w:r>
        <w:rPr>
          <w:rFonts w:hint="eastAsia" w:ascii="Times New Roman" w:hAnsi="Times New Roman" w:eastAsia="宋体"/>
          <w:color w:val="auto"/>
          <w:sz w:val="24"/>
          <w:highlight w:val="none"/>
        </w:rPr>
        <w:t xml:space="preserve">根据评审后</w:t>
      </w:r>
      <w:r>
        <w:rPr>
          <w:rFonts w:hint="eastAsia" w:ascii="Times New Roman" w:hAnsi="Times New Roman" w:eastAsia="宋体"/>
          <w:color w:val="auto"/>
          <w:sz w:val="24"/>
          <w:highlight w:val="none"/>
          <w:lang w:val="en-US" w:eastAsia="zh-CN"/>
        </w:rPr>
        <w:t xml:space="preserve">供应商</w:t>
      </w:r>
      <w:r>
        <w:rPr>
          <w:rFonts w:hint="eastAsia" w:ascii="Times New Roman" w:hAnsi="Times New Roman" w:eastAsia="宋体"/>
          <w:color w:val="auto"/>
          <w:sz w:val="24"/>
          <w:highlight w:val="none"/>
        </w:rPr>
        <w:t xml:space="preserve">排序推荐</w:t>
      </w:r>
      <w:r>
        <w:rPr>
          <w:rFonts w:hint="eastAsia" w:ascii="Times New Roman" w:hAnsi="Times New Roman" w:eastAsia="宋体"/>
          <w:color w:val="auto"/>
          <w:sz w:val="24"/>
          <w:highlight w:val="none"/>
          <w:lang w:val="en-US" w:eastAsia="zh-CN"/>
        </w:rPr>
        <w:t xml:space="preserve">3名成交</w:t>
      </w:r>
      <w:r>
        <w:rPr>
          <w:rFonts w:hint="eastAsia" w:ascii="Times New Roman" w:hAnsi="Times New Roman" w:eastAsia="宋体"/>
          <w:color w:val="auto"/>
          <w:sz w:val="24"/>
          <w:highlight w:val="none"/>
        </w:rPr>
        <w:t xml:space="preserve">候选人。</w:t>
      </w:r>
      <w:r>
        <w:rPr>
          <w:rFonts w:hint="eastAsia" w:ascii="Times New Roman" w:hAnsi="Times New Roman" w:eastAsia="宋体"/>
          <w:color w:val="auto"/>
          <w:sz w:val="24"/>
          <w:highlight w:val="none"/>
          <w:lang w:val="en-US" w:eastAsia="zh-CN"/>
        </w:rPr>
        <w:t xml:space="preserve">响应</w:t>
      </w:r>
      <w:r>
        <w:rPr>
          <w:rFonts w:hint="eastAsia" w:ascii="Times New Roman" w:hAnsi="Times New Roman" w:eastAsia="宋体"/>
          <w:color w:val="auto"/>
          <w:sz w:val="24"/>
          <w:highlight w:val="none"/>
        </w:rPr>
        <w:t xml:space="preserve">文件满足</w:t>
      </w:r>
      <w:r>
        <w:rPr>
          <w:rFonts w:hint="eastAsia" w:ascii="Times New Roman" w:hAnsi="Times New Roman" w:eastAsia="宋体"/>
          <w:color w:val="auto"/>
          <w:sz w:val="24"/>
          <w:highlight w:val="none"/>
          <w:lang w:val="en-US" w:eastAsia="zh-CN"/>
        </w:rPr>
        <w:t xml:space="preserve">磋商</w:t>
      </w:r>
      <w:r>
        <w:rPr>
          <w:rFonts w:hint="eastAsia" w:ascii="Times New Roman" w:hAnsi="Times New Roman" w:eastAsia="宋体"/>
          <w:color w:val="auto"/>
          <w:sz w:val="24"/>
          <w:highlight w:val="none"/>
        </w:rPr>
        <w:t xml:space="preserve">文件全部实质性要求，且评审后排序第一的</w:t>
      </w:r>
      <w:r>
        <w:rPr>
          <w:rFonts w:hint="eastAsia" w:ascii="Times New Roman" w:hAnsi="Times New Roman" w:eastAsia="宋体"/>
          <w:color w:val="auto"/>
          <w:sz w:val="24"/>
          <w:highlight w:val="none"/>
          <w:lang w:val="en-US" w:eastAsia="zh-CN"/>
        </w:rPr>
        <w:t xml:space="preserve">供应商</w:t>
      </w:r>
      <w:r>
        <w:rPr>
          <w:rFonts w:hint="eastAsia" w:ascii="Times New Roman" w:hAnsi="Times New Roman" w:eastAsia="宋体"/>
          <w:color w:val="auto"/>
          <w:sz w:val="24"/>
          <w:highlight w:val="none"/>
        </w:rPr>
        <w:t xml:space="preserve">为第一</w:t>
      </w:r>
      <w:r>
        <w:rPr>
          <w:rFonts w:hint="eastAsia" w:ascii="Times New Roman" w:hAnsi="Times New Roman" w:eastAsia="宋体"/>
          <w:color w:val="auto"/>
          <w:sz w:val="24"/>
          <w:highlight w:val="none"/>
          <w:lang w:val="en-US" w:eastAsia="zh-CN"/>
        </w:rPr>
        <w:t xml:space="preserve">成交</w:t>
      </w:r>
      <w:r>
        <w:rPr>
          <w:rFonts w:hint="eastAsia" w:ascii="Times New Roman" w:hAnsi="Times New Roman" w:eastAsia="宋体"/>
          <w:color w:val="auto"/>
          <w:sz w:val="24"/>
          <w:highlight w:val="none"/>
        </w:rPr>
        <w:t xml:space="preserve">候选人，依次类推。</w:t>
      </w:r>
      <w:r/>
    </w:p>
    <w:p>
      <w:pPr>
        <w:ind w:firstLine="480"/>
        <w:jc w:val="left"/>
        <w:spacing w:line="50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综合评分保留至小数点后两位。 </w:t>
      </w:r>
      <w:r/>
    </w:p>
    <w:p>
      <w:pPr>
        <w:numPr>
          <w:ilvl w:val="0"/>
          <w:numId w:val="0"/>
        </w:numPr>
        <w:ind w:firstLine="482"/>
        <w:jc w:val="left"/>
        <w:spacing w:line="500" w:lineRule="exac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lang w:val="en-US" w:eastAsia="zh-CN"/>
        </w:rPr>
        <w:t xml:space="preserve">（二）</w:t>
      </w:r>
      <w:r>
        <w:rPr>
          <w:rFonts w:hint="eastAsia" w:ascii="Times New Roman" w:hAnsi="Times New Roman" w:eastAsia="仿宋_GB2312"/>
          <w:b/>
          <w:color w:val="auto"/>
          <w:sz w:val="24"/>
          <w:highlight w:val="none"/>
        </w:rPr>
        <w:t xml:space="preserve">详细评审。</w:t>
      </w:r>
      <w:r>
        <w:rPr>
          <w:rFonts w:hint="eastAsia" w:ascii="Times New Roman" w:hAnsi="Times New Roman" w:eastAsia="宋体" w:cs="Times New Roman"/>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925"/>
        <w:tblW w:w="518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8"/>
        <w:gridCol w:w="1611"/>
        <w:gridCol w:w="1219"/>
        <w:gridCol w:w="5317"/>
      </w:tblGrid>
      <w:tr>
        <w:trPr/>
        <w:tc>
          <w:tcPr>
            <w:gridSpan w:val="2"/>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评审因素</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分数</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评审标准</w:t>
            </w:r>
            <w:r/>
          </w:p>
        </w:tc>
      </w:tr>
      <w:tr>
        <w:trPr/>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restart"/>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年1月1日以来（以合同签订时间为准）承担过类似</w:t>
            </w:r>
            <w:r>
              <w:rPr>
                <w:rFonts w:hint="eastAsia" w:ascii="宋体" w:hAnsi="宋体" w:eastAsia="宋体" w:cs="宋体"/>
                <w:color w:val="auto"/>
                <w:sz w:val="21"/>
                <w:szCs w:val="21"/>
                <w:highlight w:val="none"/>
                <w:lang w:val="en-US" w:eastAsia="zh-CN"/>
              </w:rPr>
              <w:t xml:space="preserve">农产品抽检</w:t>
            </w:r>
            <w:r>
              <w:rPr>
                <w:rFonts w:hint="eastAsia" w:ascii="宋体" w:hAnsi="宋体" w:eastAsia="宋体" w:cs="宋体"/>
                <w:color w:val="auto"/>
                <w:sz w:val="21"/>
                <w:szCs w:val="21"/>
                <w:highlight w:val="none"/>
              </w:rPr>
              <w:t xml:space="preserve">项目业绩，每有一个得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总得分最高12分。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注：须提供中标（成交）通知书</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业绩合同扫描件，业绩合同中主要内容、标的等需清晰可见，未提供或字迹模糊不清不得分；业绩材料电子件上传至投标文件；未提供或提供不完整不得分。</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eastAsia="zh-CN"/>
              </w:rPr>
              <w:t xml:space="preserve">企业信誉</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8.00</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供应商具有由中国绿色食品发展中心确认的绿色食品（产品及产地环境）定点检测机构资质，得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分；供应商由农业农村部农产品质量安全中心确认为“全国名特优新农产品营养品质评价鉴定技术机构”的，得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分，满分</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分。注：投标人需提供有效期内证书或有效证明文件证明材料原件扫描件上传至投标文件中，不上传或上传不齐或模糊不清无法辨认的不予计分。</w:t>
            </w:r>
            <w:r/>
          </w:p>
        </w:tc>
      </w:tr>
      <w:tr>
        <w:trPr>
          <w:trHeight w:val="275"/>
        </w:trPr>
        <w:tc>
          <w:tcPr>
            <w:tcBorders>
              <w:top w:val="single" w:color="auto" w:sz="4" w:space="0"/>
              <w:left w:val="single" w:color="auto" w:sz="4" w:space="0"/>
              <w:bottom w:val="single" w:color="auto" w:sz="4" w:space="0"/>
              <w:right w:val="single" w:color="auto" w:sz="4" w:space="0"/>
            </w:tcBorders>
            <w:tcW w:w="114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检测设备</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根据供应商提供的与所投检测项目相适应的检验检测仪器设备等情况进行评价：</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基础设备配置（满分14分）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具备以下7类核心设备：液相色谱-质谱联用仪、气相色谱-质谱联用仪、液相色谱仪、气相色谱仪、电感耦合等离子体质谱仪（ICP-MS）、原子吸收分光光度计、原子荧光分光光度计。每缺1类扣2分。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注：提供有效的检定或校准证书、检验原始记录等表明能有效应用在食品检验检测上的证明材料、购置发票（或者设备租赁合同），未同时提供上述证明材料或证明材不全的不得分。</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样品采集、制备、保存及返回方案</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tl w:val="0"/>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根据投标人提供的样品采集、制备、保存及返回方案，制定的方案详细程度进行综合得分：</w:t>
            </w:r>
            <w:r/>
          </w:p>
          <w:p>
            <w:pPr>
              <w:numPr>
                <w:ilvl w:val="0"/>
                <w:numId w:val="8"/>
              </w:numPr>
              <w:jc w:val="left"/>
              <w:rPr>
                <w:rFonts w:hint="eastAsia" w:ascii="宋体" w:hAnsi="宋体" w:eastAsia="宋体" w:cs="宋体"/>
                <w:color w:val="auto"/>
                <w:sz w:val="21"/>
                <w:szCs w:val="21"/>
                <w:highlight w:val="none"/>
                <w:rtl w:val="0"/>
                <w:lang w:val="en-US" w:eastAsia="zh-CN" w:bidi="ar-SA"/>
              </w:rPr>
            </w:pPr>
            <w:r>
              <w:rPr>
                <w:rFonts w:hint="eastAsia" w:ascii="宋体" w:hAnsi="宋体" w:eastAsia="宋体" w:cs="宋体"/>
                <w:color w:val="auto"/>
                <w:sz w:val="21"/>
                <w:szCs w:val="21"/>
                <w:highlight w:val="none"/>
                <w:rtl w:val="0"/>
                <w:lang w:val="en-US" w:eastAsia="zh-CN" w:bidi="ar-SA"/>
              </w:rPr>
              <w:t xml:space="preserve">方案内容详实、清晰合理、可操作性强、优于采购需求的得12分；</w:t>
            </w:r>
            <w:r/>
          </w:p>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bidi="ar-SA"/>
              </w:rPr>
              <w:t xml:space="preserve">方案内容较详实、基本清晰合理、可操作性较强、满足采购需求的得8分；</w:t>
            </w:r>
            <w:r/>
          </w:p>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bidi="ar-SA"/>
              </w:rPr>
              <w:t xml:space="preserve">方案内容不全、可操作性低、通过后期优化可以满足采购需求的得5分；</w:t>
            </w:r>
            <w:r/>
          </w:p>
          <w:p>
            <w:pPr>
              <w:numPr>
                <w:ilvl w:val="0"/>
                <w:numId w:val="8"/>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bidi="ar-SA"/>
              </w:rPr>
              <w:t xml:space="preserve">没有内容或不满足招标文件需求的不得分。</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样品检测分析方案</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根据投标人提供的样品检测分析方案准确性方面得分：</w:t>
            </w:r>
            <w:r/>
          </w:p>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1、方案科学合理、安全严密、符合国家相关标准，优于采购需求得 </w:t>
            </w:r>
            <w:r>
              <w:rPr>
                <w:rFonts w:hint="eastAsia" w:ascii="Calibri" w:hAnsi="Calibri" w:eastAsia="宋体" w:cs="Calibri"/>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 </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方案科学、安全、符合国家相关标准，</w:t>
            </w:r>
            <w:r>
              <w:rPr>
                <w:rFonts w:hint="eastAsia" w:ascii="宋体" w:hAnsi="宋体" w:eastAsia="宋体" w:cs="宋体"/>
                <w:color w:val="auto"/>
                <w:sz w:val="21"/>
                <w:szCs w:val="21"/>
                <w:highlight w:val="none"/>
                <w:rtl w:val="0"/>
                <w:lang w:val="en-US" w:eastAsia="zh-CN" w:bidi="ar-SA"/>
              </w:rPr>
              <w:t xml:space="preserve">满足采购需求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方案科学、符合国家相关标准，</w:t>
            </w:r>
            <w:r>
              <w:rPr>
                <w:rFonts w:hint="eastAsia" w:ascii="宋体" w:hAnsi="宋体" w:eastAsia="宋体" w:cs="宋体"/>
                <w:color w:val="auto"/>
                <w:sz w:val="21"/>
                <w:szCs w:val="21"/>
                <w:highlight w:val="none"/>
                <w:rtl w:val="0"/>
                <w:lang w:val="en-US" w:eastAsia="zh-CN" w:bidi="ar-SA"/>
              </w:rPr>
              <w:t xml:space="preserve">通过后期优化可以满足采购需求的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bidi="ar-SA"/>
              </w:rPr>
              <w:t xml:space="preserve">4、没有内容或不满足招标文件需求的不得分。</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档案管理及分析报告编制方</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案</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档案管理及分析报告编制方案，根据要求，结合本项目实际情况，充分合理利用现有数据及资料，分析本项目重</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点、难点工作，并能高质量地完成本项目提出合理化建议。</w:t>
            </w:r>
            <w:r/>
          </w:p>
          <w:p>
            <w:pPr>
              <w:numPr>
                <w:ilvl w:val="0"/>
                <w:numId w:val="9"/>
              </w:num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内容完整，分析透彻，应对策略具体合理、切实可行</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9"/>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内容较完整，分析</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透彻，应对策略</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合理、较切实可行</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9"/>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内容不够完整，分析不够透彻，应对策略不合理、不可行，与项目需求不够相符得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9"/>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bidi="ar-SA"/>
              </w:rPr>
              <w:t xml:space="preserve">没有内容或不满足招标文件需求的不得分。</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样品采集、加工、保存及检测分析过程中的质量保证措施</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12.00分</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提供样品采集、加工、保存及检测分析过程中的质量保证措施，根据项目实施要求，合理安排工期，确保按时序进度完成本项目。</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对可能产生的质量问题分析归纳条理清楚，采取的质量保障措施具体、有效且优于采购需求得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分析归纳详细、质量保证措施完整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满足采购需求得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措施有欠缺，</w:t>
            </w:r>
            <w:r>
              <w:rPr>
                <w:rFonts w:hint="eastAsia" w:ascii="宋体" w:hAnsi="宋体" w:eastAsia="宋体" w:cs="宋体"/>
                <w:color w:val="auto"/>
                <w:sz w:val="21"/>
                <w:szCs w:val="21"/>
                <w:highlight w:val="none"/>
                <w:rtl w:val="0"/>
                <w:lang w:val="en-US" w:eastAsia="zh-CN" w:bidi="ar-SA"/>
              </w:rPr>
              <w:t xml:space="preserve">通过后期优化可以满足采购需求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4、没有内容或不满足招标文件需求的不得分。</w:t>
            </w:r>
            <w:r/>
          </w:p>
        </w:tc>
      </w:tr>
      <w:tr>
        <w:trPr/>
        <w:tc>
          <w:tcPr>
            <w:tcBorders>
              <w:top w:val="single" w:color="auto" w:sz="4" w:space="0"/>
              <w:left w:val="single" w:color="auto" w:sz="4" w:space="0"/>
              <w:bottom w:val="single" w:color="auto" w:sz="4" w:space="0"/>
              <w:right w:val="single" w:color="auto" w:sz="4" w:space="0"/>
            </w:tcBorders>
            <w:tcW w:w="11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Times New Roman" w:hAnsi="Times New Roman" w:eastAsia="宋体" w:cs="Times New Roman"/>
                <w:color w:val="auto"/>
                <w:szCs w:val="21"/>
                <w:highlight w:val="none"/>
              </w:rPr>
              <w:t xml:space="preserve">应急处置预案</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10.</w:t>
            </w:r>
            <w:r>
              <w:rPr>
                <w:rFonts w:hint="default" w:ascii="Times New Roman" w:hAnsi="Times New Roman" w:eastAsia="宋体" w:cs="Times New Roman"/>
                <w:color w:val="auto"/>
                <w:szCs w:val="21"/>
                <w:highlight w:val="none"/>
              </w:rPr>
              <w:t xml:space="preserve">00</w:t>
            </w:r>
            <w:r/>
          </w:p>
        </w:tc>
        <w:tc>
          <w:tcPr>
            <w:tcBorders>
              <w:top w:val="single" w:color="auto" w:sz="4" w:space="0"/>
              <w:left w:val="single" w:color="auto" w:sz="4" w:space="0"/>
              <w:bottom w:val="single" w:color="auto" w:sz="4" w:space="0"/>
              <w:right w:val="single" w:color="auto" w:sz="4" w:space="0"/>
            </w:tcBorders>
            <w:tcW w:w="5312" w:type="dxa"/>
            <w:vAlign w:val="center"/>
            <w:textDirection w:val="lrTb"/>
            <w:noWrap w:val="false"/>
          </w:tcPr>
          <w:p>
            <w:pPr>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lang w:val="en-US" w:eastAsia="zh-CN" w:bidi="ar-SA"/>
              </w:rPr>
              <w:t xml:space="preserve">对供应商提供的突发事件应急处置预案进行打分，重点评估疫情防控情况下，抽检、检测过程中可能遇到的各类突发情况，以及对应的应急解决处置措施进行打分：</w:t>
            </w:r>
            <w:r/>
          </w:p>
          <w:p>
            <w:pPr>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lang w:val="en-US" w:eastAsia="zh-CN" w:bidi="ar-SA"/>
              </w:rPr>
              <w:t xml:space="preserve">1、预案内容考虑全面，处置应对措施科学有效，可操作性强，得10分；</w:t>
            </w:r>
            <w:r/>
          </w:p>
          <w:p>
            <w:pPr>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lang w:val="en-US" w:eastAsia="zh-CN" w:bidi="ar-SA"/>
              </w:rPr>
              <w:t xml:space="preserve">2、预案内容考虑较全面，处置应对措施较科学，较有效，可操作性较强，得6分；</w:t>
            </w:r>
            <w:r/>
          </w:p>
          <w:p>
            <w:pPr>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lang w:val="en-US" w:eastAsia="zh-CN" w:bidi="ar-SA"/>
              </w:rPr>
              <w:t xml:space="preserve">3、预案内容不全面，处置应对措施科学性、有效性有欠缺，可操作性不强，得3分；</w:t>
            </w:r>
            <w:r/>
          </w:p>
          <w:p>
            <w:pPr>
              <w:jc w:val="left"/>
              <w:rPr>
                <w:rFonts w:hint="eastAsia" w:ascii="宋体" w:hAnsi="宋体" w:eastAsia="宋体" w:cs="宋体"/>
                <w:color w:val="auto"/>
                <w:sz w:val="21"/>
                <w:szCs w:val="21"/>
                <w:highlight w:val="none"/>
              </w:rPr>
            </w:pPr>
            <w:r>
              <w:rPr>
                <w:rFonts w:hint="eastAsia" w:ascii="宋体" w:hAnsi="宋体" w:eastAsia="宋体" w:cs="宋体"/>
                <w:caps w:val="0"/>
                <w:color w:val="auto"/>
                <w:sz w:val="21"/>
                <w:szCs w:val="22"/>
                <w:highlight w:val="none"/>
                <w:lang w:val="en-US" w:eastAsia="zh-CN" w:bidi="ar-SA"/>
              </w:rPr>
              <w:t xml:space="preserve">4、未提供不得分。</w:t>
            </w:r>
            <w:r/>
          </w:p>
        </w:tc>
      </w:tr>
    </w:tbl>
    <w:p>
      <w:pPr>
        <w:keepLines w:val="0"/>
        <w:keepNext w:val="0"/>
        <w:pageBreakBefore w:val="0"/>
        <w:spacing w:afterAutospacing="0" w:line="560" w:lineRule="exact"/>
        <w:widowControl w:val="off"/>
        <w:rPr>
          <w:rFonts w:ascii="Times New Roman" w:hAnsi="Times New Roman"/>
          <w:b/>
          <w:color w:val="auto"/>
          <w:sz w:val="24"/>
          <w:szCs w:val="24"/>
          <w:highlight w:val="none"/>
        </w:rPr>
      </w:pPr>
      <w:r>
        <w:rPr>
          <w:rFonts w:hint="eastAsia" w:ascii="Times New Roman" w:hAnsi="Times New Roman" w:eastAsia="仿宋_GB2312" w:cs="Times New Roman"/>
          <w:b/>
          <w:color w:val="auto"/>
          <w:sz w:val="24"/>
          <w:highlight w:val="none"/>
          <w:lang w:val="en-US" w:eastAsia="zh-CN"/>
        </w:rPr>
        <w:t xml:space="preserve">（三）评标结果。</w:t>
      </w:r>
      <w:r>
        <w:rPr>
          <w:rFonts w:hint="eastAsia" w:ascii="Times New Roman" w:hAnsi="Times New Roman" w:eastAsia="宋体" w:cs="Times New Roman"/>
          <w:color w:val="auto"/>
          <w:sz w:val="24"/>
          <w:highlight w:val="none"/>
        </w:rPr>
        <w:t xml:space="preserve">磋商小组按照本办法规定推荐成交候选人，并形成评标报告。</w:t>
      </w:r>
      <w:r/>
    </w:p>
    <w:p>
      <w:pPr>
        <w:numPr>
          <w:ilvl w:val="0"/>
          <w:numId w:val="0"/>
        </w:numPr>
        <w:keepLines w:val="0"/>
        <w:keepNext w:val="0"/>
        <w:pageBreakBefore w:val="0"/>
        <w:spacing w:afterAutospacing="0" w:line="560" w:lineRule="exact"/>
        <w:widowControl w:val="off"/>
        <w:rPr>
          <w:rFonts w:hint="eastAsia" w:ascii="Times New Roman" w:hAnsi="Times New Roman" w:eastAsia="仿宋_GB2312" w:cs="Times New Roman"/>
          <w:b/>
          <w:color w:val="auto"/>
          <w:sz w:val="24"/>
          <w:highlight w:val="none"/>
          <w:lang w:val="en-US" w:eastAsia="zh-CN"/>
        </w:rPr>
      </w:pPr>
      <w:r>
        <w:rPr>
          <w:rFonts w:hint="eastAsia" w:ascii="Times New Roman" w:hAnsi="Times New Roman" w:eastAsia="仿宋_GB2312" w:cs="Times New Roman"/>
          <w:b/>
          <w:color w:val="auto"/>
          <w:sz w:val="24"/>
          <w:highlight w:val="none"/>
          <w:lang w:val="en-US" w:eastAsia="zh-CN"/>
        </w:rPr>
        <w:t xml:space="preserve">（四）政府采购政策功能落实</w:t>
      </w:r>
      <w:r/>
    </w:p>
    <w:p>
      <w:pPr>
        <w:numPr>
          <w:ilvl w:val="0"/>
          <w:numId w:val="0"/>
        </w:numPr>
        <w:ind w:firstLine="241"/>
        <w:keepLines w:val="0"/>
        <w:keepNext w:val="0"/>
        <w:pageBreakBefore w:val="0"/>
        <w:spacing w:line="440" w:lineRule="exact"/>
        <w:widowControl w:val="off"/>
        <w:rPr>
          <w:rFonts w:hint="default" w:ascii="Times New Roman" w:hAnsi="Times New Roman"/>
          <w:b/>
          <w:color w:val="auto"/>
          <w:sz w:val="24"/>
          <w:highlight w:val="none"/>
          <w:lang w:val="en-US"/>
        </w:rPr>
      </w:pPr>
      <w:r>
        <w:rPr>
          <w:rFonts w:hint="eastAsia" w:ascii="Times New Roman" w:hAnsi="Times New Roman" w:eastAsia="仿宋_GB2312"/>
          <w:b/>
          <w:bCs/>
          <w:color w:val="auto"/>
          <w:sz w:val="24"/>
          <w:highlight w:val="none"/>
        </w:rPr>
        <w:t xml:space="preserve">本项目落实的政府采购政策</w:t>
      </w:r>
      <w:r>
        <w:rPr>
          <w:rFonts w:hint="eastAsia" w:ascii="Times New Roman" w:hAnsi="Times New Roman" w:eastAsia="仿宋_GB2312"/>
          <w:b/>
          <w:bCs/>
          <w:color w:val="auto"/>
          <w:sz w:val="24"/>
          <w:highlight w:val="none"/>
          <w:lang w:val="en-US" w:eastAsia="zh-CN"/>
        </w:rPr>
        <w:t xml:space="preserve">对应以下序号为</w:t>
      </w:r>
      <w:r>
        <w:rPr>
          <w:rFonts w:hint="eastAsia" w:ascii="Times New Roman" w:hAnsi="Times New Roman" w:eastAsia="宋体" w:cs="仿宋_GB2312"/>
          <w:caps w:val="0"/>
          <w:color w:val="auto"/>
          <w:sz w:val="24"/>
          <w:highlight w:val="none"/>
          <w:u w:val="single"/>
          <w:lang w:val="en-US" w:eastAsia="zh-CN"/>
        </w:rPr>
        <w:t xml:space="preserve">1、2</w:t>
      </w:r>
      <w:r/>
    </w:p>
    <w:p>
      <w:pPr>
        <w:numPr>
          <w:ilvl w:val="0"/>
          <w:numId w:val="0"/>
        </w:numPr>
        <w:ind w:firstLine="480"/>
        <w:keepLines w:val="0"/>
        <w:keepNext w:val="0"/>
        <w:pageBreakBefore w:val="0"/>
        <w:spacing w:line="440" w:lineRule="exact"/>
        <w:widowControl w:val="off"/>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 xml:space="preserve">1.</w:t>
      </w:r>
      <w:r>
        <w:rPr>
          <w:rFonts w:hint="eastAsia" w:ascii="Times New Roman" w:hAnsi="Times New Roman" w:eastAsia="宋体" w:cs="仿宋_GB2312"/>
          <w:color w:val="auto"/>
          <w:sz w:val="24"/>
          <w:highlight w:val="none"/>
        </w:rPr>
        <w:t xml:space="preserve">采购本国货物、工程和服务</w:t>
      </w:r>
      <w:r/>
    </w:p>
    <w:p>
      <w:pPr>
        <w:ind w:firstLine="480"/>
        <w:keepLines w:val="0"/>
        <w:keepNext w:val="0"/>
        <w:pageBreakBefore w:val="0"/>
        <w:spacing w:line="440" w:lineRule="exact"/>
        <w:widowControl w:val="off"/>
        <w:rPr>
          <w:rFonts w:hint="default" w:ascii="Times New Roman" w:hAnsi="Times New Roman" w:eastAsia="宋体" w:cs="仿宋_GB2312"/>
          <w:color w:val="auto"/>
          <w:sz w:val="24"/>
          <w:highlight w:val="none"/>
          <w:lang w:val="en-US" w:eastAsia="zh-CN"/>
        </w:rPr>
      </w:pPr>
      <w:r>
        <w:rPr>
          <w:rFonts w:hint="eastAsia" w:ascii="Times New Roman" w:hAnsi="Times New Roman" w:eastAsia="宋体"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auto"/>
          <w:sz w:val="24"/>
          <w:highlight w:val="none"/>
          <w:lang w:val="en-US" w:eastAsia="zh-CN"/>
        </w:rPr>
        <w:t xml:space="preserve">是否采购进口产品以采购需求中确定的为准。</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 xml:space="preserve">2.</w:t>
      </w:r>
      <w:r>
        <w:rPr>
          <w:rFonts w:ascii="Times New Roman" w:hAnsi="Times New Roman" w:eastAsia="宋体" w:cs="仿宋_GB2312"/>
          <w:color w:val="auto"/>
          <w:sz w:val="24"/>
          <w:highlight w:val="none"/>
        </w:rPr>
        <w:t xml:space="preserve">中小企业政策</w:t>
      </w:r>
      <w:r/>
    </w:p>
    <w:p>
      <w:pPr>
        <w:ind w:firstLine="480"/>
        <w:keepLines w:val="0"/>
        <w:keepNext w:val="0"/>
        <w:pageBreakBefore w:val="0"/>
        <w:spacing w:line="440" w:lineRule="exact"/>
        <w:widowControl w:val="off"/>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 xml:space="preserve">本项目按以下第</w:t>
      </w:r>
      <w:r>
        <w:rPr>
          <w:rFonts w:hint="eastAsia" w:eastAsia="宋体"/>
          <w:b/>
          <w:bCs/>
          <w:caps w:val="0"/>
          <w:color w:val="auto"/>
          <w:sz w:val="24"/>
          <w:highlight w:val="none"/>
          <w:u w:val="single"/>
          <w:lang w:val="en-US" w:eastAsia="zh-CN"/>
        </w:rPr>
        <w:t xml:space="preserve">（1）</w:t>
      </w:r>
      <w:r>
        <w:rPr>
          <w:rFonts w:hint="eastAsia" w:ascii="Times New Roman" w:hAnsi="Times New Roman" w:eastAsia="宋体"/>
          <w:color w:val="auto"/>
          <w:sz w:val="24"/>
          <w:highlight w:val="none"/>
          <w:lang w:val="en-US" w:eastAsia="zh-CN"/>
        </w:rPr>
        <w:t xml:space="preserve">种政策确定本项目落实的中小企业政策：</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（1）</w:t>
      </w:r>
      <w:r>
        <w:rPr>
          <w:rFonts w:hint="eastAsia" w:ascii="Times New Roman" w:hAnsi="Times New Roman" w:eastAsia="宋体"/>
          <w:color w:val="auto"/>
          <w:sz w:val="24"/>
          <w:highlight w:val="non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Times New Roman" w:hAnsi="Times New Roman" w:eastAsia="宋体" w:cs="仿宋_GB2312"/>
          <w:color w:val="auto"/>
          <w:sz w:val="24"/>
          <w:highlight w:val="none"/>
        </w:rPr>
      </w:pPr>
      <w:r>
        <w:rPr>
          <w:rFonts w:hint="eastAsia" w:ascii="Times New Roman" w:hAnsi="Times New Roman" w:eastAsia="宋体"/>
          <w:color w:val="auto"/>
          <w:sz w:val="24"/>
          <w:highlight w:val="none"/>
          <w:lang w:val="en-US" w:eastAsia="zh-CN"/>
        </w:rPr>
        <w:t xml:space="preserve">（2）</w:t>
      </w:r>
      <w:r>
        <w:rPr>
          <w:rFonts w:hint="eastAsia" w:ascii="Times New Roman" w:hAnsi="Times New Roman" w:eastAsia="宋体" w:cs="仿宋_GB2312"/>
          <w:color w:val="auto"/>
          <w:sz w:val="24"/>
          <w:highlight w:val="none"/>
        </w:rPr>
        <w:t xml:space="preserve">投标人提供的货物、工程或者服务符合下列情形的，对小微企业报价给予</w:t>
      </w:r>
      <w:r>
        <w:rPr>
          <w:rFonts w:hint="eastAsia" w:eastAsia="宋体" w:cs="仿宋_GB2312"/>
          <w:caps w:val="0"/>
          <w:color w:val="auto"/>
          <w:sz w:val="24"/>
          <w:highlight w:val="none"/>
          <w:u w:val="single"/>
          <w:lang w:val="en-US" w:eastAsia="zh-CN"/>
        </w:rPr>
        <w:t xml:space="preserve">10</w:t>
      </w:r>
      <w:r>
        <w:rPr>
          <w:rFonts w:hint="eastAsia" w:ascii="Times New Roman" w:hAnsi="Times New Roman" w:eastAsia="宋体" w:cs="仿宋_GB2312"/>
          <w:caps w:val="0"/>
          <w:color w:val="auto"/>
          <w:sz w:val="24"/>
          <w:highlight w:val="none"/>
          <w:u w:val="single"/>
        </w:rPr>
        <w:t xml:space="preserve"> </w:t>
      </w:r>
      <w:r>
        <w:rPr>
          <w:rFonts w:hint="eastAsia" w:ascii="Times New Roman" w:hAnsi="Times New Roman" w:eastAsia="宋体" w:cs="仿宋_GB2312"/>
          <w:color w:val="auto"/>
          <w:sz w:val="24"/>
          <w:highlight w:val="none"/>
        </w:rPr>
        <w:t xml:space="preserve">%（工程项目为</w:t>
      </w:r>
      <w:r>
        <w:rPr>
          <w:rFonts w:hint="eastAsia" w:ascii="Times New Roman" w:hAnsi="Times New Roman" w:eastAsia="宋体" w:cs="仿宋_GB2312"/>
          <w:color w:val="auto"/>
          <w:sz w:val="24"/>
          <w:highlight w:val="none"/>
          <w:u w:val="single"/>
          <w:lang w:val="en-US" w:eastAsia="zh-CN"/>
        </w:rPr>
        <w:t xml:space="preserve">5</w:t>
      </w:r>
      <w:r>
        <w:rPr>
          <w:rFonts w:hint="eastAsia" w:ascii="Times New Roman" w:hAnsi="Times New Roman" w:eastAsia="宋体" w:cs="仿宋_GB2312"/>
          <w:color w:val="auto"/>
          <w:sz w:val="24"/>
          <w:highlight w:val="none"/>
        </w:rPr>
        <w:t xml:space="preserve">%）的扣除，用扣除后的价格参加评审。    </w:t>
      </w:r>
      <w:r/>
    </w:p>
    <w:p>
      <w:pPr>
        <w:ind w:firstLine="480"/>
        <w:keepLines w:val="0"/>
        <w:keepNext w:val="0"/>
        <w:pageBreakBefore w:val="0"/>
        <w:spacing w:line="440" w:lineRule="exact"/>
        <w:widowControl w:val="off"/>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（二）在工程采购项目中，工程由中小企业承建，即工程施工单位为中小企业；</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含新疆生产建设兵团</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出具的属于监狱企业的证明文件</w:t>
      </w:r>
      <w:r>
        <w:rPr>
          <w:rFonts w:hint="eastAsia" w:ascii="Times New Roman" w:hAnsi="Times New Roman" w:eastAsia="宋体" w:cs="仿宋_GB2312"/>
          <w:color w:val="auto"/>
          <w:sz w:val="24"/>
          <w:highlight w:val="none"/>
          <w:lang w:eastAsia="zh-CN"/>
        </w:rPr>
        <w:t xml:space="preserve">（在</w:t>
      </w:r>
      <w:r>
        <w:rPr>
          <w:rFonts w:hint="eastAsia" w:ascii="Times New Roman" w:hAnsi="Times New Roman" w:eastAsia="宋体" w:cs="仿宋_GB2312"/>
          <w:color w:val="auto"/>
          <w:sz w:val="24"/>
          <w:highlight w:val="none"/>
        </w:rPr>
        <w:t xml:space="preserve">投标文件中上传加盖出具单位公章的电子件）。</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auto"/>
          <w:sz w:val="24"/>
          <w:highlight w:val="none"/>
          <w:lang w:val="en-US" w:eastAsia="zh-CN"/>
        </w:rPr>
        <w:t xml:space="preserve">5</w:t>
      </w:r>
      <w:r>
        <w:rPr>
          <w:rFonts w:hint="eastAsia" w:ascii="Times New Roman" w:hAnsi="Times New Roman" w:eastAsia="宋体" w:cs="仿宋_GB2312"/>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lang w:val="en-US" w:eastAsia="zh-CN"/>
        </w:rPr>
        <w:t xml:space="preserve">供应商须知</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“采购需求”相关内容为准。）</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 xml:space="preserve">3.</w:t>
      </w:r>
      <w:r>
        <w:rPr>
          <w:rFonts w:hint="eastAsia" w:ascii="Times New Roman" w:hAnsi="Times New Roman" w:eastAsia="宋体" w:cs="仿宋_GB2312"/>
          <w:color w:val="auto"/>
          <w:sz w:val="24"/>
          <w:highlight w:val="none"/>
        </w:rPr>
        <w:t xml:space="preserve">政府采购节能产品、环境标志产品</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lang w:val="en-US" w:eastAsia="zh-CN"/>
        </w:rPr>
        <w:t xml:space="preserve">1</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 xml:space="preserve">（2</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lang w:val="en-US" w:eastAsia="zh-CN"/>
        </w:rPr>
        <w:t xml:space="preserve">3</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采用综合评分法的项目，对提供有效节能环保证书的投标人加分。</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 xml:space="preserve">4.</w:t>
      </w:r>
      <w:r>
        <w:rPr>
          <w:rFonts w:hint="eastAsia" w:ascii="Times New Roman" w:hAnsi="Times New Roman" w:eastAsia="宋体" w:cs="仿宋_GB2312"/>
          <w:color w:val="auto"/>
          <w:sz w:val="24"/>
          <w:highlight w:val="none"/>
        </w:rPr>
        <w:t xml:space="preserve">商品包装、快递包装政府采购需求标准（试行）</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为助力打好污染防治攻坚战，推广使用绿色包装，根据财政部印发的《商品包装政府采购需求标准（试行）</w:t>
      </w:r>
      <w:r>
        <w:rPr>
          <w:rFonts w:hint="eastAsia" w:ascii="Times New Roman" w:hAnsi="Times New Roman" w:eastAsia="宋体" w:cs="仿宋_GB2312"/>
          <w:color w:val="auto"/>
          <w:sz w:val="24"/>
          <w:highlight w:val="none"/>
          <w:lang w:eastAsia="zh-CN"/>
        </w:rPr>
        <w:t xml:space="preserve">》《</w:t>
      </w:r>
      <w:r>
        <w:rPr>
          <w:rFonts w:hint="eastAsia" w:ascii="Times New Roman" w:hAnsi="Times New Roman" w:eastAsia="宋体" w:cs="仿宋_GB2312"/>
          <w:color w:val="auto"/>
          <w:sz w:val="24"/>
          <w:highlight w:val="none"/>
        </w:rPr>
        <w:t xml:space="preserve">快递包装政府采购需求标准（试行）》，如本项目涉及商品包装和快递包装的，具体需求详见第四</w:t>
      </w:r>
      <w:r>
        <w:rPr>
          <w:rFonts w:hint="eastAsia" w:ascii="Times New Roman" w:hAnsi="Times New Roman" w:eastAsia="宋体" w:cs="仿宋_GB2312"/>
          <w:color w:val="auto"/>
          <w:sz w:val="24"/>
          <w:highlight w:val="none"/>
          <w:lang w:val="en-US" w:eastAsia="zh-CN"/>
        </w:rPr>
        <w:t xml:space="preserve">章</w:t>
      </w:r>
      <w:r>
        <w:rPr>
          <w:rFonts w:hint="eastAsia" w:ascii="Times New Roman" w:hAnsi="Times New Roman" w:eastAsia="宋体" w:cs="仿宋_GB2312"/>
          <w:color w:val="auto"/>
          <w:sz w:val="24"/>
          <w:highlight w:val="none"/>
        </w:rPr>
        <w:t xml:space="preserve">采购需求。</w:t>
      </w:r>
      <w:r/>
    </w:p>
    <w:p>
      <w:pPr>
        <w:ind w:firstLine="480"/>
        <w:keepLines w:val="0"/>
        <w:keepNext w:val="0"/>
        <w:pageBreakBefore w:val="0"/>
        <w:spacing w:line="440" w:lineRule="exact"/>
        <w:widowControl w:val="off"/>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 xml:space="preserve">5、</w:t>
      </w:r>
      <w:r>
        <w:rPr>
          <w:rFonts w:hint="eastAsia" w:ascii="Times New Roman" w:hAnsi="Times New Roman" w:eastAsia="宋体" w:cs="仿宋_GB2312"/>
          <w:color w:val="auto"/>
          <w:sz w:val="24"/>
          <w:highlight w:val="none"/>
        </w:rPr>
        <w:t xml:space="preserve">绿色数据中心政府采购需求标准（试行）</w:t>
      </w:r>
      <w:r/>
    </w:p>
    <w:p>
      <w:pPr>
        <w:ind w:firstLine="480"/>
        <w:jc w:val="left"/>
        <w:keepLines w:val="0"/>
        <w:keepNext w:val="0"/>
        <w:pageBreakBefore w:val="0"/>
        <w:spacing w:line="440" w:lineRule="exact"/>
        <w:widowControl w:val="off"/>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auto"/>
          <w:sz w:val="24"/>
          <w:highlight w:val="none"/>
          <w:lang w:val="en-US" w:eastAsia="zh-CN"/>
        </w:rPr>
        <w:t xml:space="preserve">章</w:t>
      </w:r>
      <w:r>
        <w:rPr>
          <w:rFonts w:hint="eastAsia" w:ascii="Times New Roman" w:hAnsi="Times New Roman" w:eastAsia="宋体" w:cs="仿宋_GB2312"/>
          <w:color w:val="auto"/>
          <w:sz w:val="24"/>
          <w:highlight w:val="none"/>
        </w:rPr>
        <w:t xml:space="preserve">采购需求。</w:t>
      </w:r>
      <w:r/>
    </w:p>
    <w:p>
      <w:pPr>
        <w:ind w:firstLine="480"/>
        <w:jc w:val="left"/>
        <w:keepLines w:val="0"/>
        <w:keepNext w:val="0"/>
        <w:pageBreakBefore w:val="0"/>
        <w:spacing w:line="440" w:lineRule="exact"/>
        <w:widowControl w:val="off"/>
        <w:rPr>
          <w:rFonts w:hint="eastAsia" w:ascii="Times New Roman" w:hAnsi="Times New Roman" w:eastAsia="宋体" w:cs="仿宋_GB2312"/>
          <w:color w:val="auto"/>
          <w:sz w:val="24"/>
          <w:highlight w:val="none"/>
          <w:lang w:val="en-US" w:eastAsia="zh-CN"/>
        </w:rPr>
      </w:pPr>
      <w:r>
        <w:rPr>
          <w:rFonts w:hint="eastAsia" w:ascii="Times New Roman" w:hAnsi="Times New Roman" w:eastAsia="宋体" w:cs="仿宋_GB2312"/>
          <w:color w:val="auto"/>
          <w:sz w:val="24"/>
          <w:highlight w:val="none"/>
          <w:lang w:val="en-US" w:eastAsia="zh-CN"/>
        </w:rPr>
        <w:t xml:space="preserve">6、</w:t>
      </w:r>
      <w:r>
        <w:rPr>
          <w:rFonts w:hint="eastAsia" w:ascii="Times New Roman" w:hAnsi="Times New Roman" w:eastAsia="宋体" w:cs="仿宋_GB2312"/>
          <w:color w:val="auto"/>
          <w:sz w:val="24"/>
          <w:highlight w:val="none"/>
        </w:rPr>
        <w:t xml:space="preserve">本项目落实“关于推动解决政府采购异常低价问题相关工作的通知(苏财购〔2025〕62号)”文件规定。</w:t>
      </w:r>
      <w:r/>
    </w:p>
    <w:p>
      <w:pPr>
        <w:rPr>
          <w:rFonts w:hint="eastAsia" w:ascii="Times New Roman" w:hAnsi="Times New Roman"/>
          <w:color w:val="auto"/>
          <w:szCs w:val="21"/>
          <w:highlight w:val="none"/>
        </w:rPr>
      </w:pPr>
      <w:r>
        <w:rPr>
          <w:rFonts w:hint="eastAsia" w:ascii="Times New Roman" w:hAnsi="Times New Roman"/>
          <w:color w:val="auto"/>
          <w:szCs w:val="21"/>
          <w:highlight w:val="none"/>
        </w:rPr>
        <w:br w:type="page" w:clear="all"/>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Next/>
        <w:rPr>
          <w:rFonts w:hint="eastAsia"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t xml:space="preserve">第六章  </w:t>
      </w:r>
      <w:bookmarkEnd w:id="186"/>
      <w:r/>
      <w:bookmarkEnd w:id="187"/>
      <w:r/>
      <w:bookmarkEnd w:id="188"/>
      <w:r>
        <w:rPr>
          <w:rFonts w:hint="eastAsia" w:ascii="Times New Roman" w:hAnsi="Times New Roman" w:eastAsia="黑体"/>
          <w:bCs/>
          <w:color w:val="auto"/>
          <w:sz w:val="44"/>
          <w:szCs w:val="28"/>
          <w:highlight w:val="none"/>
        </w:rPr>
        <w:t xml:space="preserve">响应文件格式 </w:t>
      </w:r>
      <w:r/>
    </w:p>
    <w:p>
      <w:pPr>
        <w:jc w:val="center"/>
        <w:rPr>
          <w:rFonts w:hint="eastAsia" w:ascii="Times New Roman" w:hAnsi="Times New Roman"/>
          <w:b/>
          <w:color w:val="auto"/>
          <w:sz w:val="72"/>
          <w:szCs w:val="21"/>
          <w:highlight w:val="none"/>
        </w:rPr>
      </w:pPr>
      <w:r/>
      <w:bookmarkStart w:id="190" w:name="_Hlt26671244"/>
      <w:r/>
      <w:bookmarkEnd w:id="190"/>
      <w:r/>
      <w:bookmarkStart w:id="191" w:name="_Hlt26955039"/>
      <w:r/>
      <w:bookmarkEnd w:id="191"/>
      <w:r/>
      <w:bookmarkStart w:id="192" w:name="_Toc49090576"/>
      <w:r/>
      <w:bookmarkStart w:id="193" w:name="_Toc120614282"/>
      <w:r/>
      <w:bookmarkStart w:id="194" w:name="_Toc26554094"/>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jc w:val="center"/>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ind w:firstLine="1084"/>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响应文件目录</w:t>
      </w:r>
      <w:r/>
    </w:p>
    <w:p>
      <w:pPr>
        <w:jc w:val="center"/>
        <w:spacing w:line="44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磋商申请及声明</w:t>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供应商基本信息</w:t>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特定资格要求的证明文件</w:t>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中小</w:t>
      </w:r>
      <w:r>
        <w:rPr>
          <w:rFonts w:hint="eastAsia" w:ascii="宋体" w:hAnsi="宋体" w:eastAsia="宋体" w:cs="宋体"/>
          <w:color w:val="auto"/>
          <w:sz w:val="24"/>
          <w:szCs w:val="21"/>
          <w:highlight w:val="none"/>
        </w:rPr>
        <w:t xml:space="preserve">企业声明函</w:t>
      </w:r>
      <w:r/>
    </w:p>
    <w:p>
      <w:pPr>
        <w:ind w:firstLine="480"/>
        <w:spacing w:line="44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开标一览表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七</w:t>
      </w:r>
      <w:r>
        <w:rPr>
          <w:rFonts w:hint="eastAsia" w:ascii="宋体" w:hAnsi="宋体" w:eastAsia="宋体" w:cs="宋体"/>
          <w:color w:val="auto"/>
          <w:sz w:val="24"/>
          <w:szCs w:val="21"/>
          <w:highlight w:val="none"/>
        </w:rPr>
        <w:t xml:space="preserve">、分项报价表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八、</w:t>
      </w:r>
      <w:r>
        <w:rPr>
          <w:rFonts w:hint="eastAsia" w:ascii="宋体" w:hAnsi="宋体" w:eastAsia="宋体" w:cs="宋体"/>
          <w:color w:val="auto"/>
          <w:sz w:val="24"/>
          <w:szCs w:val="21"/>
          <w:highlight w:val="none"/>
        </w:rPr>
        <w:t xml:space="preserve">项目实施方案</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项目组人员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十、企业业绩</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w:t>
      </w:r>
      <w:r>
        <w:rPr>
          <w:rFonts w:hint="eastAsia" w:ascii="宋体" w:hAnsi="宋体" w:eastAsia="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、磋商所需其他材料</w:t>
      </w:r>
      <w:r/>
    </w:p>
    <w:p>
      <w:pPr>
        <w:ind w:firstLine="480"/>
        <w:spacing w:line="440" w:lineRule="exact"/>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rPr>
          <w:rFonts w:ascii="Times New Roman" w:hAnsi="Times New Roman" w:eastAsia="黑体"/>
          <w:i w:val="0"/>
          <w:iCs/>
          <w:color w:val="auto"/>
          <w:sz w:val="32"/>
          <w:szCs w:val="32"/>
          <w:highlight w:val="none"/>
          <w:u w:val="none"/>
        </w:rPr>
      </w:pPr>
      <w:r>
        <w:rPr>
          <w:rFonts w:hint="eastAsia" w:ascii="Times New Roman" w:hAnsi="Times New Roman" w:eastAsia="黑体"/>
          <w:i w:val="0"/>
          <w:iCs/>
          <w:color w:val="auto"/>
          <w:sz w:val="32"/>
          <w:szCs w:val="32"/>
          <w:highlight w:val="none"/>
          <w:u w:val="none"/>
        </w:rPr>
        <w:t xml:space="preserve">一、</w:t>
      </w:r>
      <w:r>
        <w:rPr>
          <w:rFonts w:ascii="Times New Roman" w:hAnsi="Times New Roman" w:eastAsia="黑体"/>
          <w:i w:val="0"/>
          <w:iCs/>
          <w:color w:val="auto"/>
          <w:sz w:val="32"/>
          <w:szCs w:val="32"/>
          <w:highlight w:val="none"/>
          <w:u w:val="none"/>
        </w:rPr>
        <w:t xml:space="preserve">磋商申请及声明</w:t>
      </w:r>
      <w:r/>
    </w:p>
    <w:p>
      <w:pPr>
        <w:pStyle w:val="1032"/>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响应声明及承诺函</w:t>
      </w:r>
      <w:r/>
    </w:p>
    <w:p>
      <w:pPr>
        <w:pStyle w:val="1032"/>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项目的竞争性磋商文件，我单位在参加本项目竞争性磋商活动中，特做出如下承诺：</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三、我方按磋商文件要求提交响应文件，响应磋商文件规定的响应有效期；</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032"/>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32"/>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32"/>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供应商名称：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ind w:firstLine="480"/>
        <w:spacing w:line="44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日期：    年    月   日</w:t>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hint="eastAsia" w:ascii="Times New Roman" w:hAnsi="Times New Roman" w:eastAsia="方正仿宋_GBK"/>
          <w:color w:val="auto"/>
          <w:sz w:val="24"/>
          <w:szCs w:val="24"/>
          <w:highlight w:val="none"/>
          <w:lang w:val="en-US" w:eastAsia="zh-CN"/>
        </w:rPr>
      </w:pPr>
      <w:r>
        <w:rPr>
          <w:rFonts w:hint="eastAsia" w:ascii="Times New Roman" w:hAnsi="Times New Roman" w:eastAsia="方正仿宋_GBK"/>
          <w:color w:val="auto"/>
          <w:sz w:val="24"/>
          <w:szCs w:val="24"/>
          <w:highlight w:val="none"/>
          <w:lang w:val="en-US" w:eastAsia="zh-CN"/>
        </w:rPr>
      </w:r>
      <w:r/>
    </w:p>
    <w:p>
      <w:pPr>
        <w:ind w:firstLine="480"/>
        <w:spacing w:line="440" w:lineRule="exact"/>
        <w:rPr>
          <w:rFonts w:hint="eastAsia" w:ascii="Times New Roman" w:hAnsi="Times New Roman" w:eastAsia="方正仿宋_GBK"/>
          <w:color w:val="auto"/>
          <w:sz w:val="24"/>
          <w:szCs w:val="24"/>
          <w:highlight w:val="none"/>
          <w:lang w:val="en-US" w:eastAsia="zh-CN"/>
        </w:rPr>
      </w:pPr>
      <w:r>
        <w:rPr>
          <w:rFonts w:hint="eastAsia" w:ascii="Times New Roman" w:hAnsi="Times New Roman" w:eastAsia="方正仿宋_GBK"/>
          <w:color w:val="auto"/>
          <w:sz w:val="24"/>
          <w:szCs w:val="24"/>
          <w:highlight w:val="none"/>
          <w:lang w:val="en-US" w:eastAsia="zh-CN"/>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bookmarkEnd w:id="192"/>
      <w:r/>
      <w:bookmarkEnd w:id="193"/>
      <w:r/>
      <w:bookmarkEnd w:id="194"/>
      <w:r/>
      <w:r/>
    </w:p>
    <w:p>
      <w:pPr>
        <w:pStyle w:val="1045"/>
        <w:rPr>
          <w:rFonts w:hint="eastAsia" w:ascii="Times New Roman" w:hAnsi="Times New Roman" w:cs="Times New Roman"/>
          <w:i w:val="0"/>
          <w:iCs/>
          <w:color w:val="auto"/>
          <w:sz w:val="32"/>
          <w:szCs w:val="32"/>
          <w:highlight w:val="none"/>
          <w:u w:val="none"/>
          <w:lang w:val="en-US" w:eastAsia="zh-CN"/>
        </w:rPr>
        <w:outlineLvl w:val="1"/>
      </w:pPr>
      <w:r/>
      <w:bookmarkStart w:id="195" w:name="_Toc27399"/>
      <w:r/>
      <w:bookmarkStart w:id="196" w:name="_Toc120614284"/>
      <w:r/>
      <w:r/>
    </w:p>
    <w:p>
      <w:pPr>
        <w:pStyle w:val="1045"/>
        <w:rPr>
          <w:rFonts w:hint="eastAsia" w:ascii="Times New Roman" w:hAnsi="Times New Roman" w:cs="Times New Roman"/>
          <w:i w:val="0"/>
          <w:iCs/>
          <w:color w:val="auto"/>
          <w:sz w:val="32"/>
          <w:szCs w:val="32"/>
          <w:highlight w:val="none"/>
          <w:u w:val="none"/>
          <w:lang w:val="en-US" w:eastAsia="zh-CN"/>
        </w:rPr>
        <w:outlineLvl w:val="1"/>
      </w:pPr>
      <w:r>
        <w:rPr>
          <w:rFonts w:hint="eastAsia" w:ascii="Times New Roman" w:hAnsi="Times New Roman" w:cs="Times New Roman"/>
          <w:i w:val="0"/>
          <w:iCs/>
          <w:color w:val="auto"/>
          <w:sz w:val="32"/>
          <w:szCs w:val="32"/>
          <w:highlight w:val="none"/>
          <w:u w:val="none"/>
          <w:lang w:val="en-US" w:eastAsia="zh-CN"/>
        </w:rPr>
      </w:r>
      <w:r/>
    </w:p>
    <w:p>
      <w:pPr>
        <w:pStyle w:val="1045"/>
        <w:rPr>
          <w:color w:val="auto"/>
          <w:highlight w:val="none"/>
        </w:rPr>
        <w:outlineLvl w:val="1"/>
      </w:pPr>
      <w:r>
        <w:rPr>
          <w:rFonts w:hint="eastAsia" w:ascii="Times New Roman" w:hAnsi="Times New Roman" w:cs="Times New Roman"/>
          <w:i w:val="0"/>
          <w:iCs/>
          <w:color w:val="auto"/>
          <w:sz w:val="32"/>
          <w:szCs w:val="32"/>
          <w:highlight w:val="none"/>
          <w:u w:val="none"/>
          <w:lang w:val="en-US" w:eastAsia="zh-CN"/>
        </w:rPr>
        <w:t xml:space="preserve">二</w:t>
      </w:r>
      <w:r>
        <w:rPr>
          <w:color w:val="auto"/>
          <w:highlight w:val="none"/>
        </w:rPr>
        <w:t xml:space="preserve">、供应商基本信息</w:t>
      </w:r>
      <w:bookmarkEnd w:id="195"/>
      <w:r/>
      <w:r/>
    </w:p>
    <w:p>
      <w:pPr>
        <w:pStyle w:val="1046"/>
        <w:jc w:val="center"/>
        <w:rPr>
          <w:rFonts w:ascii="宋体" w:hAnsi="宋体"/>
          <w:color w:val="auto"/>
          <w:sz w:val="44"/>
          <w:szCs w:val="44"/>
          <w:highlight w:val="none"/>
        </w:rPr>
      </w:pPr>
      <w:r>
        <w:rPr>
          <w:rFonts w:hint="eastAsia" w:ascii="宋体" w:hAnsi="宋体"/>
          <w:color w:val="auto"/>
          <w:sz w:val="44"/>
          <w:szCs w:val="44"/>
          <w:highlight w:val="none"/>
        </w:rPr>
        <w:t xml:space="preserve">供应商基本情况表</w:t>
      </w:r>
      <w:r/>
    </w:p>
    <w:tbl>
      <w:tblPr>
        <w:tblStyle w:val="925"/>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供应商名称</w:t>
            </w:r>
            <w:r/>
          </w:p>
        </w:tc>
        <w:tc>
          <w:tcPr>
            <w:gridSpan w:val="3"/>
            <w:tcW w:w="699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注册地区</w:t>
            </w:r>
            <w:r/>
          </w:p>
        </w:tc>
        <w:tc>
          <w:tcPr>
            <w:tcW w:w="2604"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地址</w:t>
            </w:r>
            <w:r/>
          </w:p>
        </w:tc>
        <w:tc>
          <w:tcPr>
            <w:tcW w:w="311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邮政编码</w:t>
            </w:r>
            <w:r/>
          </w:p>
        </w:tc>
        <w:tc>
          <w:tcPr>
            <w:tcW w:w="2604"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成立时间</w:t>
            </w:r>
            <w:r/>
          </w:p>
        </w:tc>
        <w:tc>
          <w:tcPr>
            <w:tcW w:w="311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单位性质</w:t>
            </w:r>
            <w:r/>
          </w:p>
        </w:tc>
        <w:tc>
          <w:tcPr>
            <w:tcW w:w="2604"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供应商类别</w:t>
            </w:r>
            <w:r/>
          </w:p>
        </w:tc>
        <w:tc>
          <w:tcPr>
            <w:gridSpan w:val="3"/>
            <w:tcW w:w="699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开户银行</w:t>
            </w:r>
            <w:r/>
          </w:p>
        </w:tc>
        <w:tc>
          <w:tcPr>
            <w:tcW w:w="311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账号</w:t>
            </w:r>
            <w:r/>
          </w:p>
        </w:tc>
        <w:tc>
          <w:tcPr>
            <w:tcW w:w="2604"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联系人</w:t>
            </w:r>
            <w:r/>
          </w:p>
        </w:tc>
        <w:tc>
          <w:tcPr>
            <w:tcW w:w="3118"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联系电话</w:t>
            </w:r>
            <w:r/>
          </w:p>
        </w:tc>
        <w:tc>
          <w:tcPr>
            <w:tcW w:w="2604" w:type="dxa"/>
            <w:vAlign w:val="center"/>
            <w:textDirection w:val="lrTb"/>
            <w:noWrap w:val="false"/>
          </w:tcPr>
          <w:p>
            <w:pPr>
              <w:pStyle w:val="1046"/>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046"/>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经营范围</w:t>
            </w:r>
            <w:r/>
          </w:p>
        </w:tc>
        <w:tc>
          <w:tcPr>
            <w:gridSpan w:val="3"/>
            <w:tcW w:w="6998" w:type="dxa"/>
            <w:vAlign w:val="top"/>
            <w:textDirection w:val="lrTb"/>
            <w:noWrap w:val="false"/>
          </w:tcPr>
          <w:p>
            <w:pPr>
              <w:pStyle w:val="1046"/>
              <w:ind w:firstLine="1433"/>
              <w:spacing w:line="56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046"/>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046"/>
              <w:jc w:val="center"/>
              <w:spacing w:line="5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无需提供营业执照等资料，填表即可</w:t>
            </w:r>
            <w:r/>
          </w:p>
        </w:tc>
      </w:tr>
    </w:tbl>
    <w:p>
      <w:pPr>
        <w:rPr>
          <w:rFonts w:hint="eastAsia" w:ascii="Times New Roman" w:hAnsi="Times New Roman" w:eastAsia="黑体"/>
          <w:i/>
          <w:caps w:val="0"/>
          <w:color w:val="auto"/>
          <w:sz w:val="32"/>
          <w:szCs w:val="32"/>
          <w:highlight w:val="none"/>
          <w:u w:val="single"/>
        </w:rPr>
      </w:pPr>
      <w:r>
        <w:rPr>
          <w:rFonts w:hint="eastAsia" w:ascii="Times New Roman" w:hAnsi="Times New Roman" w:eastAsia="黑体" w:cs="Times New Roman"/>
          <w:i w:val="0"/>
          <w:iCs/>
          <w:color w:val="auto"/>
          <w:sz w:val="32"/>
          <w:szCs w:val="32"/>
          <w:highlight w:val="none"/>
          <w:u w:val="none"/>
        </w:rPr>
        <w:br w:type="page" w:clear="all"/>
      </w:r>
      <w:r>
        <w:rPr>
          <w:rFonts w:hint="eastAsia" w:ascii="Times New Roman" w:hAnsi="Times New Roman" w:eastAsia="黑体" w:cs="Times New Roman"/>
          <w:b/>
          <w:i w:val="0"/>
          <w:iCs/>
          <w:color w:val="auto"/>
          <w:sz w:val="32"/>
          <w:szCs w:val="32"/>
          <w:highlight w:val="none"/>
          <w:u w:val="none"/>
          <w:lang w:val="en-US" w:eastAsia="zh-CN"/>
        </w:rPr>
        <w:t xml:space="preserve">三、特定资格要求的证明文件</w:t>
      </w:r>
      <w:r/>
    </w:p>
    <w:p>
      <w:pPr>
        <w:spacing w:line="460" w:lineRule="exact"/>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    如果本项目申请人的特定资格要求中要求提供的，必须提供。</w:t>
      </w:r>
      <w:r/>
    </w:p>
    <w:p>
      <w:pPr>
        <w:rPr>
          <w:rFonts w:hint="eastAsia" w:ascii="Times New Roman" w:hAnsi="Times New Roman" w:eastAsia="黑体" w:cs="Times New Roman"/>
          <w:i w:val="0"/>
          <w:iCs/>
          <w:color w:val="auto"/>
          <w:sz w:val="32"/>
          <w:szCs w:val="32"/>
          <w:highlight w:val="none"/>
          <w:u w:val="none"/>
        </w:rPr>
      </w:pPr>
      <w:r>
        <w:rPr>
          <w:rFonts w:hint="eastAsia" w:ascii="Times New Roman" w:hAnsi="Times New Roman" w:eastAsia="黑体" w:cs="Times New Roman"/>
          <w:i w:val="0"/>
          <w:iCs/>
          <w:color w:val="auto"/>
          <w:sz w:val="32"/>
          <w:szCs w:val="32"/>
          <w:highlight w:val="none"/>
          <w:u w:val="none"/>
        </w:rPr>
        <w:br w:type="page" w:clear="all"/>
      </w:r>
      <w:r>
        <w:rPr>
          <w:rFonts w:hint="eastAsia" w:ascii="Times New Roman" w:hAnsi="Times New Roman" w:eastAsia="黑体" w:cs="Times New Roman"/>
          <w:b/>
          <w:i w:val="0"/>
          <w:iCs/>
          <w:color w:val="auto"/>
          <w:sz w:val="32"/>
          <w:szCs w:val="32"/>
          <w:highlight w:val="none"/>
          <w:u w:val="none"/>
          <w:lang w:val="en-US" w:eastAsia="zh-CN"/>
        </w:rPr>
        <w:t xml:space="preserve">四、法人授权书</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197" w:name="_格式3__银行出具的资信证明"/>
      <w:r/>
      <w:bookmarkEnd w:id="197"/>
      <w:r/>
      <w:bookmarkStart w:id="198" w:name="_Hlt26955070"/>
      <w:r/>
      <w:bookmarkEnd w:id="198"/>
      <w:r/>
      <w:bookmarkStart w:id="199" w:name="_Hlt26671380"/>
      <w:r/>
      <w:bookmarkEnd w:id="199"/>
      <w:r>
        <w:rPr>
          <w:rFonts w:hint="eastAsia" w:ascii="Times New Roman" w:hAnsi="Times New Roman"/>
          <w:color w:val="auto"/>
          <w:sz w:val="24"/>
          <w:szCs w:val="24"/>
          <w:highlight w:val="none"/>
          <w:u w:val="single"/>
        </w:rPr>
        <w:t xml:space="preserve">                                         </w:t>
      </w:r>
      <w:r/>
    </w:p>
    <w:p>
      <w:pPr>
        <w:spacing w:line="46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560" w:lineRule="exact"/>
        <w:rPr>
          <w:rFonts w:hint="eastAsia" w:ascii="Times New Roman" w:hAnsi="Times New Roman" w:eastAsia="黑体" w:cs="Times New Roman"/>
          <w:i w:val="0"/>
          <w:iCs/>
          <w:color w:val="auto"/>
          <w:sz w:val="32"/>
          <w:szCs w:val="32"/>
          <w:highlight w:val="none"/>
          <w:u w:val="none"/>
        </w:rPr>
      </w:pPr>
      <w:r>
        <w:rPr>
          <w:rFonts w:ascii="Times New Roman" w:hAnsi="Times New Roman" w:eastAsia="幼圆" w:cs="Arial"/>
          <w:b/>
          <w:color w:val="auto"/>
          <w:sz w:val="24"/>
          <w:szCs w:val="44"/>
          <w:highlight w:val="none"/>
        </w:rPr>
        <w:br w:type="page" w:clear="all"/>
      </w:r>
      <w:r>
        <w:rPr>
          <w:rFonts w:hint="eastAsia" w:ascii="Times New Roman" w:hAnsi="Times New Roman" w:eastAsia="黑体" w:cs="Times New Roman"/>
          <w:b/>
          <w:i w:val="0"/>
          <w:iCs/>
          <w:color w:val="auto"/>
          <w:sz w:val="32"/>
          <w:szCs w:val="32"/>
          <w:highlight w:val="none"/>
          <w:u w:val="none"/>
          <w:lang w:val="en-US" w:eastAsia="zh-CN"/>
        </w:rPr>
        <w:t xml:space="preserve">五、中小（微）企业声明函（服务）</w:t>
      </w:r>
      <w:r/>
    </w:p>
    <w:p>
      <w:pPr>
        <w:ind w:firstLine="36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财库</w:t>
      </w:r>
      <w:r>
        <w:rPr>
          <w:rFonts w:hint="eastAsia" w:ascii="Times New Roman" w:hAnsi="Times New Roman"/>
          <w:color w:val="auto"/>
          <w:sz w:val="24"/>
          <w:szCs w:val="24"/>
          <w:highlight w:val="none"/>
          <w:lang w:eastAsia="zh-CN"/>
        </w:rPr>
        <w:t xml:space="preserve">〔2020〕46号）</w:t>
      </w:r>
      <w:r>
        <w:rPr>
          <w:rFonts w:hint="eastAsia" w:ascii="Times New Roman" w:hAnsi="Times New Roman"/>
          <w:color w:val="auto"/>
          <w:sz w:val="24"/>
          <w:szCs w:val="24"/>
          <w:highlight w:val="none"/>
        </w:rPr>
        <w:t xml:space="preserve">的规定，本公司（联合体）参加</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szCs w:val="24"/>
          <w:highlight w:val="none"/>
        </w:rPr>
        <w:t xml:space="preserve">采购编号为</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rPr>
        <w:t xml:space="preserve">（项目名称）（分包号：**）</w:t>
      </w:r>
      <w:r>
        <w:rPr>
          <w:rFonts w:hint="eastAsia" w:ascii="Times New Roman" w:hAnsi="Times New Roman"/>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eastAsia" w:ascii="Times New Roman" w:hAnsi="Times New Roman"/>
          <w:color w:val="auto"/>
          <w:sz w:val="24"/>
          <w:szCs w:val="24"/>
          <w:highlight w:val="none"/>
        </w:rPr>
        <w:t xml:space="preserve">的规定，相关企业（含联合体中的小微企业、签订分包意向协议的小微企业）的具体情况如下：</w:t>
      </w:r>
      <w:r/>
    </w:p>
    <w:p>
      <w:pPr>
        <w:ind w:firstLine="360"/>
        <w:spacing w:line="560" w:lineRule="exact"/>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行业；承接企业为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vertAlign w:val="superscript"/>
        </w:rPr>
        <w:t xml:space="preserve">1</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（小型企业、微型企业）；</w:t>
      </w:r>
      <w:r/>
    </w:p>
    <w:p>
      <w:pPr>
        <w:ind w:firstLine="360"/>
        <w:spacing w:line="560" w:lineRule="exact"/>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行业；承接企业为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vertAlign w:val="superscript"/>
        </w:rPr>
        <w:t xml:space="preserve">1</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（小型企业、微型企业）；</w:t>
      </w:r>
      <w:r/>
    </w:p>
    <w:p>
      <w:pPr>
        <w:ind w:firstLine="36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36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right="180" w:firstLine="360"/>
        <w:jc w:val="right"/>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企业名称（加盖CA电子公章）：</w:t>
      </w:r>
      <w:r/>
    </w:p>
    <w:p>
      <w:pPr>
        <w:ind w:right="480" w:firstLine="540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日  期：</w:t>
      </w:r>
      <w:r/>
    </w:p>
    <w:p>
      <w:pPr>
        <w:ind w:firstLine="24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备注2：供应商如不提供此声明函，价格将不做相应扣除。</w:t>
      </w:r>
      <w:r/>
    </w:p>
    <w:p>
      <w:pPr>
        <w:jc w:val="center"/>
        <w:spacing w:line="460" w:lineRule="exact"/>
        <w:rPr>
          <w:rFonts w:hint="eastAsia" w:ascii="Times New Roman" w:hAnsi="Times New Roman" w:eastAsia="黑体"/>
          <w:b/>
          <w:color w:val="auto"/>
          <w:sz w:val="32"/>
          <w:szCs w:val="32"/>
          <w:highlight w:val="none"/>
        </w:rPr>
      </w:pPr>
      <w:r>
        <w:rPr>
          <w:rFonts w:ascii="Times New Roman" w:hAnsi="Times New Roman" w:eastAsia="黑体"/>
          <w:b/>
          <w:color w:val="auto"/>
          <w:sz w:val="32"/>
          <w:szCs w:val="32"/>
          <w:highlight w:val="none"/>
        </w:rPr>
        <w:br w:type="page" w:clear="all"/>
      </w:r>
      <w:r>
        <w:rPr>
          <w:rFonts w:hint="eastAsia" w:ascii="Times New Roman" w:hAnsi="Times New Roman" w:eastAsia="黑体"/>
          <w:b/>
          <w:color w:val="auto"/>
          <w:sz w:val="32"/>
          <w:szCs w:val="32"/>
          <w:highlight w:val="none"/>
        </w:rPr>
        <w:t xml:space="preserve">残疾人福利性单位声明函</w:t>
      </w:r>
      <w:r/>
    </w:p>
    <w:p>
      <w:pPr>
        <w:ind w:firstLine="480"/>
        <w:spacing w:line="588"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本单位郑重声明，根据《财政部 民政部 中国残疾人联合会关于促进残疾人就业政府采购政策的通知》（财库</w:t>
      </w:r>
      <w:r>
        <w:rPr>
          <w:rFonts w:hint="eastAsia" w:ascii="Times New Roman" w:hAnsi="Times New Roman"/>
          <w:color w:val="auto"/>
          <w:sz w:val="24"/>
          <w:szCs w:val="21"/>
          <w:highlight w:val="none"/>
          <w:lang w:eastAsia="zh-CN"/>
        </w:rPr>
        <w:t xml:space="preserve">〔2017〕141号</w:t>
      </w:r>
      <w:r>
        <w:rPr>
          <w:rFonts w:hint="eastAsia" w:ascii="Times New Roman" w:hAnsi="Times New Roman"/>
          <w:color w:val="auto"/>
          <w:sz w:val="24"/>
          <w:szCs w:val="21"/>
          <w:highlight w:val="none"/>
        </w:rPr>
        <w:t xml:space="preserve">）的规定，本单位为符合条件的残疾人福利性单位，且本单位参加______单位的采购文件编号为______的</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本单位对上述声明的真实性负责。如有虚假，将依法承担相应责任。</w:t>
      </w:r>
      <w:r/>
    </w:p>
    <w:p>
      <w:pPr>
        <w:ind w:firstLine="480"/>
        <w:spacing w:line="588"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Times New Roman" w:hAnsi="Times New Roman" w:eastAsia="仿宋_GB2312"/>
          <w:color w:val="auto"/>
          <w:spacing w:val="6"/>
          <w:sz w:val="30"/>
          <w:szCs w:val="30"/>
          <w:highlight w:val="none"/>
        </w:rPr>
      </w:pPr>
      <w:r>
        <w:rPr>
          <w:rFonts w:ascii="Times New Roman"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eastAsia="仿宋_GB2312"/>
          <w:color w:val="auto"/>
          <w:spacing w:val="6"/>
          <w:sz w:val="30"/>
          <w:szCs w:val="30"/>
          <w:highlight w:val="none"/>
        </w:rPr>
        <w:t xml:space="preserve">             </w:t>
      </w:r>
      <w:r>
        <w:rPr>
          <w:rFonts w:hint="eastAsia" w:ascii="Times New Roman" w:hAnsi="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jc w:val="center"/>
        <w:spacing w:line="560" w:lineRule="exact"/>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t xml:space="preserve">六、开标一览表</w:t>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投标人全称（加盖CA电子签章）：</w:t>
      </w:r>
      <w:r/>
    </w:p>
    <w:p>
      <w:pPr>
        <w:ind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项目名称：</w:t>
      </w:r>
      <w:r/>
    </w:p>
    <w:p>
      <w:pPr>
        <w:ind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招标编号：                                   分包号：</w:t>
      </w:r>
      <w:r/>
    </w:p>
    <w:tbl>
      <w:tblPr>
        <w:tblStyle w:val="9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auto"/>
                <w:sz w:val="24"/>
                <w:szCs w:val="24"/>
                <w:highlight w:val="none"/>
              </w:rPr>
            </w:pPr>
            <w:r>
              <w:rPr>
                <w:rFonts w:hint="eastAsia" w:ascii="Times New Roman" w:hAnsi="Times New Roman" w:cs="宋体"/>
                <w:caps w:val="0"/>
                <w:color w:val="auto"/>
                <w:sz w:val="24"/>
                <w:szCs w:val="24"/>
                <w:highlight w:val="none"/>
              </w:rPr>
              <w:t xml:space="preserve">                      </w:t>
            </w:r>
            <w:r>
              <w:rPr>
                <w:rFonts w:hint="eastAsia" w:ascii="Times New Roman" w:hAnsi="Times New Roman"/>
                <w:caps w:val="0"/>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01"/>
              <w:ind w:firstLine="0"/>
              <w:spacing w:before="0" w:after="0" w:line="500" w:lineRule="exact"/>
              <w:rPr>
                <w:rFonts w:hint="eastAsia" w:ascii="Times New Roman" w:hAnsi="Times New Roman"/>
                <w:caps w:val="0"/>
                <w:color w:val="auto"/>
                <w:szCs w:val="21"/>
                <w:highlight w:val="none"/>
              </w:rPr>
            </w:pPr>
            <w:r>
              <w:rPr>
                <w:rFonts w:hint="eastAsia" w:ascii="Times New Roman" w:hAnsi="Times New Roman" w:cs="宋体"/>
                <w:caps w:val="0"/>
                <w:color w:val="auto"/>
                <w:highlight w:val="none"/>
              </w:rPr>
              <w:t xml:space="preserve">小写：                             （人民币：元）</w:t>
            </w:r>
            <w:r/>
          </w:p>
        </w:tc>
      </w:tr>
    </w:tbl>
    <w:p>
      <w:pPr>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日期：  </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月</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日</w:t>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pStyle w:val="990"/>
        <w:rPr>
          <w:rFonts w:hint="eastAsia"/>
          <w:color w:val="auto"/>
          <w:highlight w:val="none"/>
          <w:lang w:val="en-US" w:eastAsia="zh-CN"/>
        </w:rPr>
      </w:pPr>
      <w:r>
        <w:rPr>
          <w:rFonts w:hint="eastAsia"/>
          <w:color w:val="auto"/>
          <w:highlight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t xml:space="preserve">七、分项报价表（分包号：**）（服务类）</w:t>
      </w:r>
      <w:r/>
    </w:p>
    <w:tbl>
      <w:tblPr>
        <w:tblStyle w:val="92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7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分项</w:t>
            </w:r>
            <w:r/>
          </w:p>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分项</w:t>
            </w:r>
            <w:r/>
          </w:p>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8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8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8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总报价（人民币：元）</w:t>
            </w:r>
            <w:r/>
          </w:p>
        </w:tc>
        <w:tc>
          <w:tcPr>
            <w:tcW w:w="1798" w:type="dxa"/>
            <w:vAlign w:val="top"/>
            <w:textDirection w:val="lrTb"/>
            <w:noWrap w:val="false"/>
          </w:tcPr>
          <w:p>
            <w:pPr>
              <w:spacing w:line="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bl>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备注： 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w:t>
      </w:r>
      <w:r>
        <w:rPr>
          <w:rFonts w:hint="eastAsia" w:ascii="Times New Roman" w:hAnsi="Times New Roman"/>
          <w:color w:val="auto"/>
          <w:sz w:val="24"/>
          <w:szCs w:val="24"/>
          <w:highlight w:val="none"/>
          <w:lang w:eastAsia="zh-CN"/>
        </w:rPr>
        <w:t xml:space="preserve">其他所有</w:t>
      </w:r>
      <w:r>
        <w:rPr>
          <w:rFonts w:hint="eastAsia" w:ascii="Times New Roman" w:hAnsi="Times New Roman"/>
          <w:color w:val="auto"/>
          <w:sz w:val="24"/>
          <w:szCs w:val="24"/>
          <w:highlight w:val="none"/>
        </w:rPr>
        <w:t xml:space="preserve">费用。</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bookmarkEnd w:id="184"/>
      <w:r/>
      <w:bookmarkEnd w:id="185"/>
      <w:r/>
      <w:bookmarkEnd w:id="196"/>
      <w:r/>
      <w:r/>
    </w:p>
    <w:p>
      <w:pPr>
        <w:jc w:val="left"/>
        <w:widowControl/>
        <w:rPr>
          <w:rFonts w:ascii="黑体" w:hAnsi="黑体" w:eastAsia="黑体"/>
          <w:b/>
          <w:color w:val="auto"/>
          <w:sz w:val="32"/>
          <w:szCs w:val="24"/>
          <w:highlight w:val="none"/>
          <w:lang w:val="en-US" w:eastAsia="zh-CN"/>
        </w:rPr>
        <w:outlineLvl w:val="1"/>
      </w:pPr>
      <w:r>
        <w:rPr>
          <w:rFonts w:hint="eastAsia" w:ascii="黑体" w:hAnsi="黑体" w:eastAsia="黑体" w:cs="Times New Roman"/>
          <w:b/>
          <w:color w:val="auto"/>
          <w:sz w:val="32"/>
          <w:szCs w:val="24"/>
          <w:highlight w:val="none"/>
          <w:lang w:val="en-US" w:eastAsia="zh-CN"/>
        </w:rPr>
        <w:t xml:space="preserve">八、</w:t>
      </w:r>
      <w:bookmarkStart w:id="200" w:name="_Toc158117322"/>
      <w:r>
        <w:rPr>
          <w:rFonts w:ascii="黑体" w:hAnsi="黑体" w:eastAsia="黑体" w:cs="Times New Roman"/>
          <w:b/>
          <w:color w:val="auto"/>
          <w:sz w:val="32"/>
          <w:szCs w:val="24"/>
          <w:highlight w:val="none"/>
          <w:lang w:val="en-US" w:eastAsia="zh-CN"/>
        </w:rPr>
        <w:t xml:space="preserve">项</w:t>
      </w:r>
      <w:r>
        <w:rPr>
          <w:rFonts w:ascii="黑体" w:hAnsi="黑体" w:eastAsia="黑体"/>
          <w:b/>
          <w:color w:val="auto"/>
          <w:sz w:val="32"/>
          <w:szCs w:val="24"/>
          <w:highlight w:val="none"/>
          <w:lang w:val="en-US" w:eastAsia="zh-CN"/>
        </w:rPr>
        <w:t xml:space="preserve">目实施方案</w:t>
      </w:r>
      <w:bookmarkEnd w:id="200"/>
      <w:r/>
      <w:r/>
    </w:p>
    <w:p>
      <w:pPr>
        <w:spacing w:line="588"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color w:val="auto"/>
          <w:sz w:val="24"/>
          <w:szCs w:val="21"/>
          <w:highlight w:val="none"/>
        </w:rPr>
      </w:pPr>
      <w:r/>
      <w:bookmarkStart w:id="201" w:name="_Hlt26609389"/>
      <w:r/>
      <w:bookmarkEnd w:id="201"/>
      <w:r/>
      <w:bookmarkStart w:id="202" w:name="_Hlt26955066"/>
      <w:r/>
      <w:bookmarkEnd w:id="202"/>
      <w:r/>
      <w:bookmarkStart w:id="203" w:name="_Hlt26671374"/>
      <w:r/>
      <w:bookmarkEnd w:id="203"/>
      <w:r/>
      <w:bookmarkStart w:id="204" w:name="_Toc462564146"/>
      <w:r/>
      <w:bookmarkEnd w:id="204"/>
      <w:r/>
      <w:r/>
    </w:p>
    <w:p>
      <w:pPr>
        <w:pStyle w:val="1038"/>
        <w:rPr>
          <w:rFonts w:hint="eastAsia" w:ascii="宋体" w:hAnsi="宋体" w:eastAsia="宋体" w:cs="宋体"/>
          <w:color w:val="auto"/>
          <w:highlight w:val="none"/>
        </w:rPr>
        <w:outlineLvl w:val="1"/>
      </w:pPr>
      <w:r/>
      <w:bookmarkStart w:id="205" w:name="_格式2__法定代表人授权书"/>
      <w:r/>
      <w:bookmarkEnd w:id="205"/>
      <w:r>
        <w:rPr>
          <w:rFonts w:hint="eastAsia" w:ascii="宋体" w:hAnsi="宋体" w:eastAsia="宋体" w:cs="宋体"/>
          <w:b w:val="0"/>
          <w:color w:val="auto"/>
          <w:sz w:val="32"/>
          <w:szCs w:val="32"/>
          <w:highlight w:val="none"/>
        </w:rPr>
        <w:br w:type="page" w:clear="all"/>
      </w: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项目组人员</w:t>
      </w:r>
      <w:r/>
    </w:p>
    <w:p>
      <w:pPr>
        <w:pStyle w:val="953"/>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92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9"/>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3"/>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3"/>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3"/>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9"/>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953"/>
        <w:ind w:firstLine="398"/>
        <w:spacing w:line="460" w:lineRule="exact"/>
        <w:rPr>
          <w:rFonts w:hint="eastAsia" w:ascii="宋体" w:hAnsi="宋体" w:eastAsia="宋体" w:cs="宋体"/>
          <w:color w:val="auto"/>
          <w:szCs w:val="24"/>
          <w:highlight w:val="none"/>
        </w:rPr>
      </w:pPr>
      <w:r>
        <w:rPr>
          <w:rFonts w:hint="eastAsia" w:ascii="宋体" w:hAnsi="宋体" w:eastAsia="宋体" w:cs="宋体"/>
          <w:b/>
          <w:color w:val="auto"/>
          <w:szCs w:val="24"/>
          <w:highlight w:val="none"/>
          <w:lang w:bidi="ar"/>
        </w:rPr>
        <w:t xml:space="preserve">注：如供应商</w:t>
      </w:r>
      <w:r>
        <w:rPr>
          <w:rFonts w:hint="eastAsia" w:ascii="宋体" w:hAnsi="宋体" w:eastAsia="宋体" w:cs="宋体"/>
          <w:b/>
          <w:color w:val="auto"/>
          <w:szCs w:val="24"/>
          <w:highlight w:val="none"/>
          <w:lang w:val="en-US" w:eastAsia="zh-CN" w:bidi="ar"/>
        </w:rPr>
        <w:t xml:space="preserve">成交</w:t>
      </w:r>
      <w:r>
        <w:rPr>
          <w:rFonts w:hint="eastAsia" w:ascii="宋体" w:hAnsi="宋体" w:eastAsia="宋体" w:cs="宋体"/>
          <w:b/>
          <w:color w:val="auto"/>
          <w:szCs w:val="24"/>
          <w:highlight w:val="none"/>
          <w:lang w:bidi="ar"/>
        </w:rPr>
        <w:t xml:space="preserve">，项目组成员必须按本表承诺人员操作，不得随意更换。按</w:t>
      </w:r>
      <w:r>
        <w:rPr>
          <w:rFonts w:hint="eastAsia" w:ascii="宋体" w:hAnsi="宋体" w:eastAsia="宋体" w:cs="宋体"/>
          <w:b/>
          <w:color w:val="auto"/>
          <w:szCs w:val="24"/>
          <w:highlight w:val="none"/>
          <w:lang w:val="en-US" w:eastAsia="zh-CN" w:bidi="ar"/>
        </w:rPr>
        <w:t xml:space="preserve">磋商</w:t>
      </w:r>
      <w:r>
        <w:rPr>
          <w:rFonts w:hint="eastAsia" w:ascii="宋体" w:hAnsi="宋体" w:eastAsia="宋体" w:cs="宋体"/>
          <w:b/>
          <w:color w:val="auto"/>
          <w:szCs w:val="24"/>
          <w:highlight w:val="none"/>
          <w:lang w:bidi="ar"/>
        </w:rPr>
        <w:t xml:space="preserve">文件要求附相关人员证书。</w:t>
      </w:r>
      <w:r/>
    </w:p>
    <w:p>
      <w:pPr>
        <w:pStyle w:val="953"/>
        <w:ind w:firstLine="2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4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06" w:name="_Toc11176"/>
      <w:r>
        <w:rPr>
          <w:rFonts w:hint="eastAsia" w:ascii="宋体" w:hAnsi="宋体" w:eastAsia="宋体" w:cs="宋体"/>
          <w:b/>
          <w:color w:val="auto"/>
          <w:sz w:val="32"/>
          <w:highlight w:val="none"/>
          <w:lang w:val="en-US" w:eastAsia="zh-CN"/>
        </w:rPr>
        <w:t xml:space="preserve">十</w:t>
      </w:r>
      <w:r>
        <w:rPr>
          <w:rFonts w:hint="eastAsia" w:ascii="宋体" w:hAnsi="宋体" w:eastAsia="宋体" w:cs="宋体"/>
          <w:b/>
          <w:color w:val="auto"/>
          <w:sz w:val="32"/>
          <w:highlight w:val="none"/>
        </w:rPr>
        <w:t xml:space="preserve">、</w:t>
      </w:r>
      <w:bookmarkEnd w:id="206"/>
      <w:r>
        <w:rPr>
          <w:rFonts w:hint="eastAsia" w:ascii="宋体" w:hAnsi="宋体" w:eastAsia="宋体" w:cs="宋体"/>
          <w:b/>
          <w:color w:val="auto"/>
          <w:sz w:val="32"/>
          <w:highlight w:val="none"/>
        </w:rPr>
        <w:t xml:space="preserve">企业业绩</w:t>
      </w:r>
      <w:r/>
    </w:p>
    <w:p>
      <w:pPr>
        <w:pStyle w:val="104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92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4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4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4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42"/>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41"/>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both"/>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32"/>
          <w:highlight w:val="none"/>
        </w:rPr>
        <w:br w:type="page" w:clear="all"/>
      </w:r>
      <w:bookmarkStart w:id="207" w:name="_Toc28140"/>
      <w:r>
        <w:rPr>
          <w:rFonts w:hint="eastAsia" w:ascii="宋体" w:hAnsi="宋体" w:eastAsia="宋体" w:cs="宋体"/>
          <w:b/>
          <w:color w:val="auto"/>
          <w:sz w:val="32"/>
          <w:szCs w:val="24"/>
          <w:highlight w:val="none"/>
          <w:lang w:val="en-US" w:eastAsia="zh-CN" w:bidi="ar-SA"/>
        </w:rPr>
        <w:t xml:space="preserve">十一、磋商所需其他材料</w:t>
      </w:r>
      <w:bookmarkEnd w:id="207"/>
      <w:r/>
      <w:r/>
    </w:p>
    <w:p>
      <w:pPr>
        <w:pStyle w:val="1037"/>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br w:type="page" w:clear="all"/>
      </w:r>
      <w:r>
        <w:rPr>
          <w:rFonts w:hint="eastAsia" w:ascii="Times New Roman" w:hAnsi="Times New Roman" w:cs="仿宋"/>
          <w:b/>
          <w:bCs/>
          <w:color w:val="auto"/>
          <w:sz w:val="32"/>
          <w:szCs w:val="32"/>
          <w:highlight w:val="none"/>
        </w:rPr>
        <w:t xml:space="preserve">质疑函范本</w:t>
      </w:r>
      <w:r/>
    </w:p>
    <w:p>
      <w:pPr>
        <w:spacing w:before="290"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一、质疑供应商基本信息</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质疑供应商：</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授权代表：</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ascii="Times New Roman" w:hAnsi="Times New Roman" w:cs="仿宋"/>
          <w:color w:val="auto"/>
          <w:sz w:val="24"/>
          <w:szCs w:val="24"/>
          <w:highlight w:val="none"/>
        </w:rPr>
        <w:t xml:space="preserve">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二、质疑项目基本情况</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质疑项目的编号：</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包号：</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采购人名称：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采购文件获取日期：</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三、质疑事项具体内容</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质疑事项1：</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事实依据：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法律依据：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质疑事项2</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四、与质疑事项相关的质疑请求</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请求：</w:t>
      </w:r>
      <w:r>
        <w:rPr>
          <w:rFonts w:hint="eastAsia" w:ascii="Times New Roman" w:hAnsi="Times New Roman" w:cs="仿宋"/>
          <w:color w:val="auto"/>
          <w:sz w:val="24"/>
          <w:szCs w:val="24"/>
          <w:highlight w:val="none"/>
          <w:u w:val="single"/>
        </w:rPr>
        <w:t xml:space="preserve">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签字</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签章</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                   公章：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w:t>
      </w:r>
      <w:r/>
    </w:p>
    <w:p>
      <w:pPr>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highlight w:val="none"/>
        </w:rPr>
      </w:pPr>
      <w:r>
        <w:rPr>
          <w:rFonts w:ascii="Times New Roman" w:hAnsi="Times New Roman"/>
          <w:color w:val="auto"/>
          <w:highlight w:val="none"/>
        </w:rPr>
      </w:r>
      <w:r/>
    </w:p>
    <w:sectPr>
      <w:footerReference w:type="default" r:id="rId12"/>
      <w:footerReference w:type="first" r:id="rId13"/>
      <w:footnotePr/>
      <w:endnotePr/>
      <w:type w:val="nextPage"/>
      <w:pgSz w:w="11906" w:h="16838" w:orient="portrait"/>
      <w:pgMar w:top="1247"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１</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2"/>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１</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2"/>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0"/>
      <w:isLgl w:val="false"/>
      <w:suff w:val="nothing"/>
      <w:lvlText w:val=""/>
      <w:lvlJc w:val="left"/>
      <w:pPr>
        <w:ind w:left="0" w:firstLine="0"/>
      </w:pPr>
      <w:rPr>
        <w:rFonts w:hint="eastAsia"/>
      </w:rPr>
    </w:lvl>
    <w:lvl w:ilvl="6">
      <w:start w:val="1"/>
      <w:numFmt w:val="none"/>
      <w:pStyle w:val="921"/>
      <w:isLgl w:val="false"/>
      <w:suff w:val="nothing"/>
      <w:lvlText w:val=""/>
      <w:lvlJc w:val="left"/>
      <w:pPr>
        <w:ind w:left="0" w:firstLine="0"/>
      </w:pPr>
      <w:rPr>
        <w:rFonts w:hint="eastAsia"/>
      </w:rPr>
    </w:lvl>
    <w:lvl w:ilvl="7">
      <w:start w:val="1"/>
      <w:numFmt w:val="none"/>
      <w:pStyle w:val="922"/>
      <w:isLgl w:val="false"/>
      <w:suff w:val="nothing"/>
      <w:lvlText w:val=""/>
      <w:lvlJc w:val="left"/>
      <w:pPr>
        <w:ind w:left="0" w:firstLine="0"/>
      </w:pPr>
      <w:rPr>
        <w:rFonts w:hint="eastAsia"/>
      </w:rPr>
    </w:lvl>
    <w:lvl w:ilvl="8">
      <w:start w:val="1"/>
      <w:numFmt w:val="none"/>
      <w:pStyle w:val="923"/>
      <w:isLgl w:val="false"/>
      <w:suff w:val="nothing"/>
      <w:lvlText w:val=""/>
      <w:lvlJc w:val="left"/>
      <w:pPr>
        <w:ind w:left="0" w:firstLine="0"/>
      </w:pPr>
      <w:rPr>
        <w:rFonts w:hint="eastAsia"/>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8"/>
  </w:num>
  <w:num w:numId="5">
    <w:abstractNumId w:val="2"/>
  </w:num>
  <w:num w:numId="6">
    <w:abstractNumId w:val="0"/>
  </w:num>
  <w:num w:numId="7">
    <w:abstractNumId w:val="3"/>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24"/>
    <w:link w:val="915"/>
    <w:uiPriority w:val="9"/>
    <w:rPr>
      <w:rFonts w:ascii="Arial" w:hAnsi="Arial" w:eastAsia="Arial" w:cs="Arial"/>
      <w:sz w:val="40"/>
      <w:szCs w:val="40"/>
    </w:rPr>
  </w:style>
  <w:style w:type="character" w:styleId="762">
    <w:name w:val="Heading 2 Char"/>
    <w:basedOn w:val="924"/>
    <w:link w:val="916"/>
    <w:uiPriority w:val="9"/>
    <w:rPr>
      <w:rFonts w:ascii="Arial" w:hAnsi="Arial" w:eastAsia="Arial" w:cs="Arial"/>
      <w:sz w:val="34"/>
    </w:rPr>
  </w:style>
  <w:style w:type="character" w:styleId="763">
    <w:name w:val="Heading 3 Char"/>
    <w:basedOn w:val="924"/>
    <w:link w:val="917"/>
    <w:uiPriority w:val="9"/>
    <w:rPr>
      <w:rFonts w:ascii="Arial" w:hAnsi="Arial" w:eastAsia="Arial" w:cs="Arial"/>
      <w:sz w:val="30"/>
      <w:szCs w:val="30"/>
    </w:rPr>
  </w:style>
  <w:style w:type="character" w:styleId="764">
    <w:name w:val="Heading 4 Char"/>
    <w:basedOn w:val="924"/>
    <w:link w:val="918"/>
    <w:uiPriority w:val="9"/>
    <w:rPr>
      <w:rFonts w:ascii="Arial" w:hAnsi="Arial" w:eastAsia="Arial" w:cs="Arial"/>
      <w:b/>
      <w:bCs/>
      <w:sz w:val="26"/>
      <w:szCs w:val="26"/>
    </w:rPr>
  </w:style>
  <w:style w:type="character" w:styleId="765">
    <w:name w:val="Heading 5 Char"/>
    <w:basedOn w:val="924"/>
    <w:link w:val="919"/>
    <w:uiPriority w:val="9"/>
    <w:rPr>
      <w:rFonts w:ascii="Arial" w:hAnsi="Arial" w:eastAsia="Arial" w:cs="Arial"/>
      <w:b/>
      <w:bCs/>
      <w:sz w:val="24"/>
      <w:szCs w:val="24"/>
    </w:rPr>
  </w:style>
  <w:style w:type="character" w:styleId="766">
    <w:name w:val="Heading 6 Char"/>
    <w:basedOn w:val="924"/>
    <w:link w:val="920"/>
    <w:uiPriority w:val="9"/>
    <w:rPr>
      <w:rFonts w:ascii="Arial" w:hAnsi="Arial" w:eastAsia="Arial" w:cs="Arial"/>
      <w:b/>
      <w:bCs/>
      <w:sz w:val="22"/>
      <w:szCs w:val="22"/>
    </w:rPr>
  </w:style>
  <w:style w:type="character" w:styleId="767">
    <w:name w:val="Heading 7 Char"/>
    <w:basedOn w:val="924"/>
    <w:link w:val="921"/>
    <w:uiPriority w:val="9"/>
    <w:rPr>
      <w:rFonts w:ascii="Arial" w:hAnsi="Arial" w:eastAsia="Arial" w:cs="Arial"/>
      <w:b/>
      <w:bCs/>
      <w:i/>
      <w:iCs/>
      <w:sz w:val="22"/>
      <w:szCs w:val="22"/>
    </w:rPr>
  </w:style>
  <w:style w:type="character" w:styleId="768">
    <w:name w:val="Heading 8 Char"/>
    <w:basedOn w:val="924"/>
    <w:link w:val="922"/>
    <w:uiPriority w:val="9"/>
    <w:rPr>
      <w:rFonts w:ascii="Arial" w:hAnsi="Arial" w:eastAsia="Arial" w:cs="Arial"/>
      <w:i/>
      <w:iCs/>
      <w:sz w:val="22"/>
      <w:szCs w:val="22"/>
    </w:rPr>
  </w:style>
  <w:style w:type="character" w:styleId="769">
    <w:name w:val="Heading 9 Char"/>
    <w:basedOn w:val="924"/>
    <w:link w:val="923"/>
    <w:uiPriority w:val="9"/>
    <w:rPr>
      <w:rFonts w:ascii="Arial" w:hAnsi="Arial" w:eastAsia="Arial" w:cs="Arial"/>
      <w:i/>
      <w:iCs/>
      <w:sz w:val="21"/>
      <w:szCs w:val="21"/>
    </w:rPr>
  </w:style>
  <w:style w:type="paragraph" w:styleId="770">
    <w:name w:val="Title"/>
    <w:basedOn w:val="914"/>
    <w:next w:val="914"/>
    <w:link w:val="771"/>
    <w:uiPriority w:val="10"/>
    <w:qFormat/>
    <w:pPr>
      <w:contextualSpacing/>
      <w:spacing w:before="300" w:after="200"/>
    </w:pPr>
    <w:rPr>
      <w:sz w:val="48"/>
      <w:szCs w:val="48"/>
    </w:rPr>
  </w:style>
  <w:style w:type="character" w:styleId="771">
    <w:name w:val="Title Char"/>
    <w:basedOn w:val="924"/>
    <w:link w:val="770"/>
    <w:uiPriority w:val="10"/>
    <w:rPr>
      <w:sz w:val="48"/>
      <w:szCs w:val="48"/>
    </w:rPr>
  </w:style>
  <w:style w:type="paragraph" w:styleId="772">
    <w:name w:val="Subtitle"/>
    <w:basedOn w:val="914"/>
    <w:next w:val="914"/>
    <w:link w:val="773"/>
    <w:uiPriority w:val="11"/>
    <w:qFormat/>
    <w:pPr>
      <w:spacing w:before="200" w:after="200"/>
    </w:pPr>
    <w:rPr>
      <w:sz w:val="24"/>
      <w:szCs w:val="24"/>
    </w:rPr>
  </w:style>
  <w:style w:type="character" w:styleId="773">
    <w:name w:val="Subtitle Char"/>
    <w:basedOn w:val="924"/>
    <w:link w:val="772"/>
    <w:uiPriority w:val="11"/>
    <w:rPr>
      <w:sz w:val="24"/>
      <w:szCs w:val="24"/>
    </w:rPr>
  </w:style>
  <w:style w:type="paragraph" w:styleId="774">
    <w:name w:val="Quote"/>
    <w:basedOn w:val="914"/>
    <w:next w:val="914"/>
    <w:link w:val="775"/>
    <w:uiPriority w:val="29"/>
    <w:qFormat/>
    <w:pPr>
      <w:ind w:left="720" w:right="720"/>
    </w:pPr>
    <w:rPr>
      <w:i/>
    </w:rPr>
  </w:style>
  <w:style w:type="character" w:styleId="775">
    <w:name w:val="Quote Char"/>
    <w:link w:val="774"/>
    <w:uiPriority w:val="29"/>
    <w:rPr>
      <w:i/>
    </w:rPr>
  </w:style>
  <w:style w:type="paragraph" w:styleId="776">
    <w:name w:val="Intense Quote"/>
    <w:basedOn w:val="914"/>
    <w:next w:val="91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4"/>
    <w:link w:val="943"/>
    <w:uiPriority w:val="99"/>
  </w:style>
  <w:style w:type="character" w:styleId="779">
    <w:name w:val="Footer Char"/>
    <w:basedOn w:val="924"/>
    <w:link w:val="942"/>
    <w:uiPriority w:val="99"/>
  </w:style>
  <w:style w:type="paragraph" w:styleId="780">
    <w:name w:val="Caption"/>
    <w:basedOn w:val="914"/>
    <w:next w:val="914"/>
    <w:uiPriority w:val="35"/>
    <w:semiHidden/>
    <w:unhideWhenUsed/>
    <w:qFormat/>
    <w:pPr>
      <w:spacing w:line="276" w:lineRule="auto"/>
    </w:pPr>
    <w:rPr>
      <w:b/>
      <w:bCs/>
      <w:color w:val="4f81bd" w:themeColor="accent1"/>
      <w:sz w:val="18"/>
      <w:szCs w:val="18"/>
    </w:rPr>
  </w:style>
  <w:style w:type="character" w:styleId="781">
    <w:name w:val="Caption Char"/>
    <w:basedOn w:val="780"/>
    <w:link w:val="942"/>
    <w:uiPriority w:val="99"/>
  </w:style>
  <w:style w:type="table" w:styleId="782">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7">
    <w:name w:val="footnote text"/>
    <w:basedOn w:val="91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4"/>
    <w:uiPriority w:val="99"/>
    <w:unhideWhenUsed/>
    <w:rPr>
      <w:vertAlign w:val="superscript"/>
    </w:rPr>
  </w:style>
  <w:style w:type="paragraph" w:styleId="910">
    <w:name w:val="endnote text"/>
    <w:basedOn w:val="91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4"/>
    <w:uiPriority w:val="99"/>
    <w:semiHidden/>
    <w:unhideWhenUsed/>
    <w:rPr>
      <w:vertAlign w:val="superscript"/>
    </w:rPr>
  </w:style>
  <w:style w:type="paragraph" w:styleId="913">
    <w:name w:val="TOC Heading"/>
    <w:uiPriority w:val="39"/>
    <w:unhideWhenUsed/>
  </w:style>
  <w:style w:type="paragraph" w:styleId="914" w:default="1">
    <w:name w:val="Normal"/>
    <w:next w:val="926"/>
    <w:uiPriority w:val="0"/>
    <w:qFormat/>
    <w:pPr>
      <w:jc w:val="both"/>
      <w:widowControl w:val="off"/>
    </w:pPr>
    <w:rPr>
      <w:rFonts w:ascii="Times New Roman" w:hAnsi="Times New Roman" w:eastAsia="宋体" w:cs="Times New Roman"/>
      <w:sz w:val="21"/>
      <w:szCs w:val="22"/>
      <w:lang w:val="en-US" w:eastAsia="zh-CN" w:bidi="ar-SA"/>
    </w:rPr>
  </w:style>
  <w:style w:type="paragraph" w:styleId="915">
    <w:name w:val="Heading 1"/>
    <w:basedOn w:val="914"/>
    <w:next w:val="914"/>
    <w:link w:val="965"/>
    <w:uiPriority w:val="0"/>
    <w:qFormat/>
    <w:pPr>
      <w:jc w:val="center"/>
      <w:keepNext/>
      <w:outlineLvl w:val="0"/>
    </w:pPr>
    <w:rPr>
      <w:rFonts w:ascii="楷体_GB2312" w:hAnsi="Times New Roman" w:eastAsia="楷体_GB2312" w:cs="Times New Roman"/>
      <w:sz w:val="28"/>
      <w:szCs w:val="28"/>
    </w:rPr>
  </w:style>
  <w:style w:type="paragraph" w:styleId="916">
    <w:name w:val="Heading 2"/>
    <w:basedOn w:val="914"/>
    <w:next w:val="914"/>
    <w:link w:val="9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7">
    <w:name w:val="Heading 3"/>
    <w:basedOn w:val="914"/>
    <w:next w:val="927"/>
    <w:link w:val="96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8">
    <w:name w:val="Heading 4"/>
    <w:basedOn w:val="914"/>
    <w:next w:val="927"/>
    <w:link w:val="969"/>
    <w:uiPriority w:val="0"/>
    <w:qFormat/>
    <w:pPr>
      <w:keepLines/>
      <w:keepNext/>
      <w:spacing w:before="280" w:after="290" w:line="376" w:lineRule="auto"/>
      <w:outlineLvl w:val="3"/>
    </w:pPr>
    <w:rPr>
      <w:rFonts w:ascii="Arial" w:hAnsi="Arial" w:eastAsia="黑体" w:cs="Arial"/>
      <w:b/>
      <w:bCs/>
      <w:sz w:val="28"/>
      <w:szCs w:val="28"/>
    </w:rPr>
  </w:style>
  <w:style w:type="paragraph" w:styleId="919">
    <w:name w:val="Heading 5"/>
    <w:basedOn w:val="914"/>
    <w:next w:val="927"/>
    <w:link w:val="970"/>
    <w:uiPriority w:val="0"/>
    <w:qFormat/>
    <w:pPr>
      <w:keepNext/>
      <w:outlineLvl w:val="4"/>
    </w:pPr>
    <w:rPr>
      <w:rFonts w:ascii="宋体" w:hAnsi="Times New Roman" w:eastAsia="宋体" w:cs="Times New Roman"/>
      <w:color w:val="000000"/>
      <w:sz w:val="28"/>
      <w:szCs w:val="28"/>
    </w:rPr>
  </w:style>
  <w:style w:type="paragraph" w:styleId="920">
    <w:name w:val="Heading 6"/>
    <w:basedOn w:val="914"/>
    <w:next w:val="914"/>
    <w:link w:val="97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name w:val="Heading 7"/>
    <w:basedOn w:val="914"/>
    <w:next w:val="914"/>
    <w:link w:val="97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name w:val="Heading 8"/>
    <w:basedOn w:val="914"/>
    <w:next w:val="914"/>
    <w:link w:val="97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name w:val="Heading 9"/>
    <w:basedOn w:val="914"/>
    <w:next w:val="914"/>
    <w:link w:val="97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default="1">
    <w:name w:val="Default Paragraph Font"/>
    <w:uiPriority w:val="1"/>
    <w:unhideWhenUsed/>
    <w:qFormat/>
  </w:style>
  <w:style w:type="table" w:styleId="925" w:default="1">
    <w:name w:val="Normal Table"/>
    <w:uiPriority w:val="99"/>
    <w:unhideWhenUsed/>
    <w:qFormat/>
    <w:tblPr>
      <w:tblCellMar>
        <w:left w:w="108" w:type="dxa"/>
        <w:top w:w="0" w:type="dxa"/>
        <w:right w:w="108" w:type="dxa"/>
        <w:bottom w:w="0" w:type="dxa"/>
      </w:tblCellMar>
    </w:tblPr>
  </w:style>
  <w:style w:type="paragraph" w:styleId="926">
    <w:name w:val="Body Text"/>
    <w:basedOn w:val="914"/>
    <w:link w:val="964"/>
    <w:uiPriority w:val="0"/>
    <w:qFormat/>
    <w:rPr>
      <w:rFonts w:ascii="楷体_GB2312" w:hAnsi="Arial" w:eastAsia="楷体_GB2312" w:cs="Times New Roman"/>
      <w:sz w:val="28"/>
      <w:szCs w:val="28"/>
    </w:rPr>
  </w:style>
  <w:style w:type="paragraph" w:styleId="927">
    <w:name w:val="Normal Indent"/>
    <w:basedOn w:val="914"/>
    <w:link w:val="968"/>
    <w:uiPriority w:val="0"/>
    <w:qFormat/>
    <w:pPr>
      <w:ind w:firstLine="420"/>
    </w:pPr>
    <w:rPr>
      <w:szCs w:val="21"/>
    </w:rPr>
  </w:style>
  <w:style w:type="paragraph" w:styleId="928">
    <w:name w:val="List 3"/>
    <w:basedOn w:val="914"/>
    <w:uiPriority w:val="0"/>
    <w:qFormat/>
    <w:pPr>
      <w:ind w:left="100" w:hanging="200"/>
    </w:pPr>
    <w:rPr>
      <w:rFonts w:ascii="Times New Roman" w:hAnsi="Times New Roman" w:eastAsia="宋体" w:cs="Times New Roman"/>
      <w:szCs w:val="21"/>
    </w:rPr>
  </w:style>
  <w:style w:type="paragraph" w:styleId="929">
    <w:name w:val="toc 7"/>
    <w:basedOn w:val="914"/>
    <w:next w:val="914"/>
    <w:uiPriority w:val="0"/>
    <w:semiHidden/>
    <w:qFormat/>
    <w:pPr>
      <w:ind w:left="1260"/>
      <w:jc w:val="left"/>
    </w:pPr>
    <w:rPr>
      <w:rFonts w:ascii="Times New Roman" w:hAnsi="Times New Roman" w:eastAsia="宋体" w:cs="Times New Roman"/>
      <w:szCs w:val="21"/>
    </w:rPr>
  </w:style>
  <w:style w:type="paragraph" w:styleId="930">
    <w:name w:val="Document Map"/>
    <w:basedOn w:val="914"/>
    <w:link w:val="975"/>
    <w:uiPriority w:val="0"/>
    <w:semiHidden/>
    <w:qFormat/>
    <w:pPr>
      <w:shd w:val="clear" w:color="auto" w:fill="000080"/>
    </w:pPr>
    <w:rPr>
      <w:rFonts w:ascii="Times New Roman" w:hAnsi="Times New Roman" w:eastAsia="宋体" w:cs="Times New Roman"/>
      <w:szCs w:val="21"/>
    </w:rPr>
  </w:style>
  <w:style w:type="paragraph" w:styleId="931">
    <w:name w:val="annotation text"/>
    <w:basedOn w:val="914"/>
    <w:link w:val="976"/>
    <w:uiPriority w:val="0"/>
    <w:unhideWhenUsed/>
    <w:qFormat/>
    <w:pPr>
      <w:jc w:val="left"/>
    </w:pPr>
  </w:style>
  <w:style w:type="paragraph" w:styleId="932">
    <w:name w:val="Body Text 3"/>
    <w:basedOn w:val="914"/>
    <w:link w:val="977"/>
    <w:uiPriority w:val="0"/>
    <w:qFormat/>
    <w:rPr>
      <w:rFonts w:ascii="仿宋_GB2312" w:hAnsi="Arial" w:eastAsia="仿宋_GB2312" w:cs="Times New Roman"/>
      <w:sz w:val="32"/>
      <w:szCs w:val="32"/>
    </w:rPr>
  </w:style>
  <w:style w:type="paragraph" w:styleId="933">
    <w:name w:val="Body Text Indent"/>
    <w:basedOn w:val="914"/>
    <w:link w:val="978"/>
    <w:uiPriority w:val="0"/>
    <w:unhideWhenUsed/>
    <w:qFormat/>
    <w:pPr>
      <w:ind w:left="420"/>
      <w:spacing w:after="120"/>
    </w:pPr>
  </w:style>
  <w:style w:type="paragraph" w:styleId="934">
    <w:name w:val="List 2"/>
    <w:basedOn w:val="914"/>
    <w:uiPriority w:val="0"/>
    <w:qFormat/>
    <w:pPr>
      <w:ind w:left="100" w:hanging="200"/>
    </w:pPr>
    <w:rPr>
      <w:rFonts w:ascii="Times New Roman" w:hAnsi="Times New Roman" w:eastAsia="宋体" w:cs="Times New Roman"/>
      <w:szCs w:val="21"/>
    </w:rPr>
  </w:style>
  <w:style w:type="paragraph" w:styleId="935">
    <w:name w:val="toc 5"/>
    <w:basedOn w:val="914"/>
    <w:next w:val="914"/>
    <w:uiPriority w:val="0"/>
    <w:semiHidden/>
    <w:qFormat/>
    <w:pPr>
      <w:ind w:left="840"/>
      <w:jc w:val="left"/>
    </w:pPr>
    <w:rPr>
      <w:rFonts w:ascii="Times New Roman" w:hAnsi="Times New Roman" w:eastAsia="宋体" w:cs="Times New Roman"/>
      <w:szCs w:val="21"/>
    </w:rPr>
  </w:style>
  <w:style w:type="paragraph" w:styleId="936">
    <w:name w:val="toc 3"/>
    <w:basedOn w:val="914"/>
    <w:next w:val="914"/>
    <w:uiPriority w:val="0"/>
    <w:semiHidden/>
    <w:qFormat/>
    <w:pPr>
      <w:ind w:left="420"/>
      <w:jc w:val="left"/>
    </w:pPr>
    <w:rPr>
      <w:rFonts w:ascii="Times New Roman" w:hAnsi="Times New Roman" w:eastAsia="宋体" w:cs="Times New Roman"/>
      <w:i/>
      <w:iCs/>
      <w:szCs w:val="24"/>
    </w:rPr>
  </w:style>
  <w:style w:type="paragraph" w:styleId="937">
    <w:name w:val="Plain Text"/>
    <w:basedOn w:val="914"/>
    <w:link w:val="979"/>
    <w:uiPriority w:val="0"/>
    <w:qFormat/>
    <w:rPr>
      <w:rFonts w:ascii="宋体" w:hAnsi="Courier New" w:eastAsia="宋体" w:cs="Courier New"/>
      <w:szCs w:val="21"/>
    </w:rPr>
  </w:style>
  <w:style w:type="paragraph" w:styleId="938">
    <w:name w:val="toc 8"/>
    <w:basedOn w:val="914"/>
    <w:next w:val="914"/>
    <w:uiPriority w:val="0"/>
    <w:semiHidden/>
    <w:qFormat/>
    <w:pPr>
      <w:ind w:left="1470"/>
      <w:jc w:val="left"/>
    </w:pPr>
    <w:rPr>
      <w:rFonts w:ascii="Times New Roman" w:hAnsi="Times New Roman" w:eastAsia="宋体" w:cs="Times New Roman"/>
      <w:szCs w:val="21"/>
    </w:rPr>
  </w:style>
  <w:style w:type="paragraph" w:styleId="939">
    <w:name w:val="Date"/>
    <w:basedOn w:val="914"/>
    <w:next w:val="914"/>
    <w:link w:val="980"/>
    <w:uiPriority w:val="0"/>
    <w:qFormat/>
    <w:rPr>
      <w:rFonts w:ascii="Times New Roman" w:hAnsi="Times New Roman" w:eastAsia="宋体" w:cs="Times New Roman"/>
      <w:sz w:val="24"/>
      <w:szCs w:val="24"/>
    </w:rPr>
  </w:style>
  <w:style w:type="paragraph" w:styleId="940">
    <w:name w:val="Body Text Indent 2"/>
    <w:basedOn w:val="914"/>
    <w:link w:val="981"/>
    <w:uiPriority w:val="0"/>
    <w:qFormat/>
    <w:pPr>
      <w:ind w:left="630" w:firstLine="645"/>
    </w:pPr>
    <w:rPr>
      <w:rFonts w:ascii="Arial" w:hAnsi="Arial" w:eastAsia="仿宋_GB2312" w:cs="Arial"/>
      <w:sz w:val="32"/>
      <w:szCs w:val="32"/>
    </w:rPr>
  </w:style>
  <w:style w:type="paragraph" w:styleId="941">
    <w:name w:val="Balloon Text"/>
    <w:basedOn w:val="914"/>
    <w:link w:val="982"/>
    <w:uiPriority w:val="0"/>
    <w:semiHidden/>
    <w:qFormat/>
    <w:rPr>
      <w:rFonts w:ascii="Times New Roman" w:hAnsi="Times New Roman" w:eastAsia="宋体" w:cs="Times New Roman"/>
      <w:sz w:val="18"/>
      <w:szCs w:val="18"/>
    </w:rPr>
  </w:style>
  <w:style w:type="paragraph" w:styleId="942">
    <w:name w:val="Footer"/>
    <w:basedOn w:val="914"/>
    <w:link w:val="98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43">
    <w:name w:val="Header"/>
    <w:basedOn w:val="914"/>
    <w:link w:val="98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44">
    <w:name w:val="toc 1"/>
    <w:basedOn w:val="914"/>
    <w:next w:val="91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5">
    <w:name w:val="toc 4"/>
    <w:basedOn w:val="914"/>
    <w:next w:val="914"/>
    <w:uiPriority w:val="0"/>
    <w:semiHidden/>
    <w:qFormat/>
    <w:pPr>
      <w:ind w:left="630"/>
      <w:jc w:val="left"/>
    </w:pPr>
    <w:rPr>
      <w:rFonts w:ascii="Times New Roman" w:hAnsi="Times New Roman" w:eastAsia="宋体" w:cs="Times New Roman"/>
      <w:szCs w:val="21"/>
    </w:rPr>
  </w:style>
  <w:style w:type="paragraph" w:styleId="946">
    <w:name w:val="List"/>
    <w:basedOn w:val="914"/>
    <w:uiPriority w:val="0"/>
    <w:qFormat/>
    <w:pPr>
      <w:ind w:left="200" w:hanging="200"/>
    </w:pPr>
    <w:rPr>
      <w:rFonts w:ascii="Times New Roman" w:hAnsi="Times New Roman" w:eastAsia="宋体" w:cs="Times New Roman"/>
      <w:szCs w:val="21"/>
    </w:rPr>
  </w:style>
  <w:style w:type="paragraph" w:styleId="947">
    <w:name w:val="toc 6"/>
    <w:basedOn w:val="914"/>
    <w:next w:val="914"/>
    <w:uiPriority w:val="0"/>
    <w:semiHidden/>
    <w:qFormat/>
    <w:pPr>
      <w:ind w:left="1050"/>
      <w:jc w:val="left"/>
    </w:pPr>
    <w:rPr>
      <w:rFonts w:ascii="Times New Roman" w:hAnsi="Times New Roman" w:eastAsia="宋体" w:cs="Times New Roman"/>
      <w:szCs w:val="21"/>
    </w:rPr>
  </w:style>
  <w:style w:type="paragraph" w:styleId="948">
    <w:name w:val="Body Text Indent 3"/>
    <w:basedOn w:val="914"/>
    <w:link w:val="985"/>
    <w:uiPriority w:val="0"/>
    <w:qFormat/>
    <w:pPr>
      <w:ind w:left="645" w:firstLine="645"/>
    </w:pPr>
    <w:rPr>
      <w:rFonts w:ascii="Arial" w:hAnsi="Arial" w:eastAsia="仿宋_GB2312" w:cs="Arial"/>
      <w:color w:val="ffff00"/>
      <w:sz w:val="32"/>
      <w:szCs w:val="32"/>
    </w:rPr>
  </w:style>
  <w:style w:type="paragraph" w:styleId="949">
    <w:name w:val="table of figures"/>
    <w:basedOn w:val="914"/>
    <w:next w:val="914"/>
    <w:uiPriority w:val="0"/>
    <w:semiHidden/>
    <w:qFormat/>
    <w:pPr>
      <w:ind w:left="840" w:hanging="420"/>
    </w:pPr>
    <w:rPr>
      <w:rFonts w:ascii="Times New Roman" w:hAnsi="Times New Roman" w:eastAsia="宋体" w:cs="Times New Roman"/>
      <w:szCs w:val="21"/>
    </w:rPr>
  </w:style>
  <w:style w:type="paragraph" w:styleId="950">
    <w:name w:val="toc 2"/>
    <w:basedOn w:val="914"/>
    <w:next w:val="914"/>
    <w:uiPriority w:val="0"/>
    <w:semiHidden/>
    <w:qFormat/>
    <w:pPr>
      <w:ind w:left="210"/>
      <w:jc w:val="left"/>
    </w:pPr>
    <w:rPr>
      <w:rFonts w:ascii="Times New Roman" w:hAnsi="Times New Roman" w:eastAsia="宋体" w:cs="Times New Roman"/>
      <w:smallCaps/>
      <w:szCs w:val="24"/>
    </w:rPr>
  </w:style>
  <w:style w:type="paragraph" w:styleId="951">
    <w:name w:val="toc 9"/>
    <w:basedOn w:val="914"/>
    <w:next w:val="914"/>
    <w:uiPriority w:val="0"/>
    <w:semiHidden/>
    <w:qFormat/>
    <w:pPr>
      <w:ind w:left="1680"/>
      <w:jc w:val="left"/>
    </w:pPr>
    <w:rPr>
      <w:rFonts w:ascii="Times New Roman" w:hAnsi="Times New Roman" w:eastAsia="宋体" w:cs="Times New Roman"/>
      <w:szCs w:val="21"/>
    </w:rPr>
  </w:style>
  <w:style w:type="paragraph" w:styleId="952">
    <w:name w:val="Body Text 2"/>
    <w:basedOn w:val="914"/>
    <w:link w:val="986"/>
    <w:uiPriority w:val="0"/>
    <w:qFormat/>
    <w:pPr>
      <w:jc w:val="center"/>
      <w:widowControl/>
    </w:pPr>
    <w:rPr>
      <w:rFonts w:ascii="楷体_GB2312" w:hAnsi="Times New Roman" w:eastAsia="楷体_GB2312" w:cs="Times New Roman"/>
      <w:sz w:val="28"/>
      <w:szCs w:val="28"/>
    </w:rPr>
  </w:style>
  <w:style w:type="paragraph" w:styleId="953">
    <w:name w:val="Normal (Web)"/>
    <w:basedOn w:val="914"/>
    <w:uiPriority w:val="99"/>
    <w:qFormat/>
    <w:pPr>
      <w:jc w:val="left"/>
      <w:spacing w:before="100" w:beforeAutospacing="1" w:after="100" w:afterAutospacing="1"/>
      <w:widowControl/>
    </w:pPr>
    <w:rPr>
      <w:rFonts w:ascii="宋体" w:hAnsi="宋体" w:eastAsia="宋体" w:cs="宋体"/>
      <w:sz w:val="24"/>
      <w:szCs w:val="24"/>
    </w:rPr>
  </w:style>
  <w:style w:type="paragraph" w:styleId="954">
    <w:name w:val="index 1"/>
    <w:basedOn w:val="914"/>
    <w:next w:val="914"/>
    <w:uiPriority w:val="0"/>
    <w:semiHidden/>
    <w:qFormat/>
    <w:pPr>
      <w:spacing w:line="240" w:lineRule="atLeast"/>
    </w:pPr>
    <w:rPr>
      <w:rFonts w:ascii="Times New Roman" w:hAnsi="Times New Roman" w:eastAsia="宋体" w:cs="Times New Roman"/>
      <w:b/>
      <w:bCs/>
      <w:szCs w:val="21"/>
    </w:rPr>
  </w:style>
  <w:style w:type="paragraph" w:styleId="955">
    <w:name w:val="annotation subject"/>
    <w:basedOn w:val="931"/>
    <w:next w:val="931"/>
    <w:link w:val="987"/>
    <w:uiPriority w:val="0"/>
    <w:semiHidden/>
    <w:qFormat/>
    <w:rPr>
      <w:rFonts w:ascii="Times New Roman" w:hAnsi="Times New Roman" w:eastAsia="宋体" w:cs="Times New Roman"/>
      <w:b/>
      <w:bCs/>
      <w:szCs w:val="21"/>
    </w:rPr>
  </w:style>
  <w:style w:type="paragraph" w:styleId="956">
    <w:name w:val="Body Text First Indent"/>
    <w:basedOn w:val="914"/>
    <w:link w:val="988"/>
    <w:uiPriority w:val="0"/>
    <w:qFormat/>
    <w:pPr>
      <w:ind w:firstLine="200"/>
      <w:spacing w:line="360" w:lineRule="auto"/>
    </w:pPr>
    <w:rPr>
      <w:rFonts w:ascii="仿宋_GB2312" w:hAnsi="Times New Roman" w:eastAsia="仿宋_GB2312" w:cs="Times New Roman"/>
      <w:sz w:val="30"/>
      <w:szCs w:val="30"/>
    </w:rPr>
  </w:style>
  <w:style w:type="paragraph" w:styleId="957">
    <w:name w:val="Body Text First Indent 2"/>
    <w:basedOn w:val="933"/>
    <w:link w:val="989"/>
    <w:uiPriority w:val="0"/>
    <w:qFormat/>
    <w:pPr>
      <w:ind w:left="0" w:firstLine="420"/>
      <w:spacing w:after="0" w:line="360" w:lineRule="auto"/>
    </w:pPr>
    <w:rPr>
      <w:rFonts w:ascii="宋体" w:hAnsi="宋体" w:eastAsia="宋体" w:cs="Times New Roman"/>
      <w:szCs w:val="20"/>
    </w:rPr>
  </w:style>
  <w:style w:type="table" w:styleId="958">
    <w:name w:val="Table Grid"/>
    <w:basedOn w:val="92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name w:val="Strong"/>
    <w:uiPriority w:val="0"/>
    <w:qFormat/>
    <w:rPr>
      <w:b/>
      <w:bCs/>
    </w:rPr>
  </w:style>
  <w:style w:type="character" w:styleId="960">
    <w:name w:val="page number"/>
    <w:uiPriority w:val="0"/>
    <w:qFormat/>
  </w:style>
  <w:style w:type="character" w:styleId="961">
    <w:name w:val="FollowedHyperlink"/>
    <w:basedOn w:val="924"/>
    <w:uiPriority w:val="0"/>
    <w:qFormat/>
    <w:rPr>
      <w:color w:val="333333"/>
      <w:u w:val="none"/>
    </w:rPr>
  </w:style>
  <w:style w:type="character" w:styleId="962">
    <w:name w:val="Hyperlink"/>
    <w:basedOn w:val="924"/>
    <w:uiPriority w:val="0"/>
    <w:qFormat/>
    <w:rPr>
      <w:color w:val="333333"/>
      <w:u w:val="none"/>
    </w:rPr>
  </w:style>
  <w:style w:type="character" w:styleId="963">
    <w:name w:val="annotation reference"/>
    <w:uiPriority w:val="0"/>
    <w:semiHidden/>
    <w:qFormat/>
    <w:rPr>
      <w:sz w:val="21"/>
      <w:szCs w:val="21"/>
    </w:rPr>
  </w:style>
  <w:style w:type="character" w:styleId="964" w:customStyle="1">
    <w:name w:val="正文文本 Char"/>
    <w:link w:val="926"/>
    <w:uiPriority w:val="0"/>
    <w:qFormat/>
    <w:rPr>
      <w:rFonts w:ascii="楷体_GB2312" w:hAnsi="Arial" w:eastAsia="楷体_GB2312" w:cs="Times New Roman"/>
      <w:sz w:val="28"/>
      <w:szCs w:val="28"/>
    </w:rPr>
  </w:style>
  <w:style w:type="character" w:styleId="965" w:customStyle="1">
    <w:name w:val="标题 1 Char"/>
    <w:link w:val="915"/>
    <w:uiPriority w:val="0"/>
    <w:qFormat/>
    <w:rPr>
      <w:rFonts w:ascii="楷体_GB2312" w:hAnsi="Times New Roman" w:eastAsia="楷体_GB2312" w:cs="Times New Roman"/>
      <w:sz w:val="28"/>
      <w:szCs w:val="28"/>
    </w:rPr>
  </w:style>
  <w:style w:type="character" w:styleId="966" w:customStyle="1">
    <w:name w:val="标题 2 Char"/>
    <w:link w:val="916"/>
    <w:uiPriority w:val="0"/>
    <w:qFormat/>
    <w:rPr>
      <w:rFonts w:ascii="Arial" w:hAnsi="Arial" w:eastAsia="幼圆" w:cs="Arial"/>
      <w:b/>
      <w:bCs/>
      <w:sz w:val="44"/>
      <w:szCs w:val="44"/>
    </w:rPr>
  </w:style>
  <w:style w:type="character" w:styleId="967" w:customStyle="1">
    <w:name w:val="标题 3 Char"/>
    <w:link w:val="917"/>
    <w:uiPriority w:val="0"/>
    <w:qFormat/>
    <w:rPr>
      <w:rFonts w:ascii="Times New Roman" w:hAnsi="Times New Roman" w:eastAsia="宋体" w:cs="Times New Roman"/>
      <w:b/>
      <w:bCs/>
      <w:sz w:val="32"/>
      <w:szCs w:val="32"/>
    </w:rPr>
  </w:style>
  <w:style w:type="character" w:styleId="968" w:customStyle="1">
    <w:name w:val="正文缩进 Char"/>
    <w:link w:val="927"/>
    <w:uiPriority w:val="0"/>
    <w:qFormat/>
    <w:rPr>
      <w:szCs w:val="21"/>
    </w:rPr>
  </w:style>
  <w:style w:type="character" w:styleId="969" w:customStyle="1">
    <w:name w:val="标题 4 Char"/>
    <w:link w:val="918"/>
    <w:uiPriority w:val="0"/>
    <w:qFormat/>
    <w:rPr>
      <w:rFonts w:ascii="Arial" w:hAnsi="Arial" w:eastAsia="黑体" w:cs="Arial"/>
      <w:b/>
      <w:bCs/>
      <w:sz w:val="28"/>
      <w:szCs w:val="28"/>
    </w:rPr>
  </w:style>
  <w:style w:type="character" w:styleId="970" w:customStyle="1">
    <w:name w:val="标题 5 Char"/>
    <w:link w:val="919"/>
    <w:uiPriority w:val="0"/>
    <w:qFormat/>
    <w:rPr>
      <w:rFonts w:ascii="宋体" w:hAnsi="Times New Roman" w:eastAsia="宋体" w:cs="Times New Roman"/>
      <w:color w:val="000000"/>
      <w:sz w:val="28"/>
      <w:szCs w:val="28"/>
    </w:rPr>
  </w:style>
  <w:style w:type="character" w:styleId="971" w:customStyle="1">
    <w:name w:val="标题 6 Char"/>
    <w:link w:val="920"/>
    <w:uiPriority w:val="0"/>
    <w:qFormat/>
    <w:rPr>
      <w:rFonts w:ascii="Arial" w:hAnsi="Arial" w:eastAsia="黑体" w:cs="Times New Roman"/>
      <w:b/>
      <w:bCs/>
      <w:sz w:val="24"/>
      <w:szCs w:val="24"/>
    </w:rPr>
  </w:style>
  <w:style w:type="character" w:styleId="972" w:customStyle="1">
    <w:name w:val="标题 7 Char"/>
    <w:link w:val="921"/>
    <w:uiPriority w:val="0"/>
    <w:qFormat/>
    <w:rPr>
      <w:rFonts w:ascii="Times New Roman" w:hAnsi="Times New Roman" w:eastAsia="宋体" w:cs="Times New Roman"/>
      <w:b/>
      <w:bCs/>
      <w:sz w:val="24"/>
      <w:szCs w:val="24"/>
    </w:rPr>
  </w:style>
  <w:style w:type="character" w:styleId="973" w:customStyle="1">
    <w:name w:val="标题 8 Char"/>
    <w:link w:val="922"/>
    <w:uiPriority w:val="0"/>
    <w:qFormat/>
    <w:rPr>
      <w:rFonts w:ascii="Arial" w:hAnsi="Arial" w:eastAsia="黑体" w:cs="Times New Roman"/>
      <w:sz w:val="24"/>
      <w:szCs w:val="24"/>
    </w:rPr>
  </w:style>
  <w:style w:type="character" w:styleId="974" w:customStyle="1">
    <w:name w:val="标题 9 Char"/>
    <w:link w:val="923"/>
    <w:uiPriority w:val="0"/>
    <w:qFormat/>
    <w:rPr>
      <w:rFonts w:ascii="Arial" w:hAnsi="Arial" w:eastAsia="黑体" w:cs="Times New Roman"/>
      <w:szCs w:val="21"/>
    </w:rPr>
  </w:style>
  <w:style w:type="character" w:styleId="975" w:customStyle="1">
    <w:name w:val="文档结构图 Char"/>
    <w:link w:val="930"/>
    <w:uiPriority w:val="0"/>
    <w:semiHidden/>
    <w:qFormat/>
    <w:rPr>
      <w:rFonts w:ascii="Times New Roman" w:hAnsi="Times New Roman" w:eastAsia="宋体" w:cs="Times New Roman"/>
      <w:szCs w:val="21"/>
      <w:shd w:val="clear" w:color="auto" w:fill="000080"/>
    </w:rPr>
  </w:style>
  <w:style w:type="character" w:styleId="976" w:customStyle="1">
    <w:name w:val="批注文字 Char"/>
    <w:basedOn w:val="924"/>
    <w:link w:val="931"/>
    <w:uiPriority w:val="99"/>
    <w:semiHidden/>
    <w:qFormat/>
  </w:style>
  <w:style w:type="character" w:styleId="977" w:customStyle="1">
    <w:name w:val="正文文本 3 Char"/>
    <w:link w:val="932"/>
    <w:uiPriority w:val="0"/>
    <w:qFormat/>
    <w:rPr>
      <w:rFonts w:ascii="仿宋_GB2312" w:hAnsi="Arial" w:eastAsia="仿宋_GB2312" w:cs="Times New Roman"/>
      <w:sz w:val="32"/>
      <w:szCs w:val="32"/>
    </w:rPr>
  </w:style>
  <w:style w:type="character" w:styleId="978" w:customStyle="1">
    <w:name w:val="正文文本缩进 Char"/>
    <w:basedOn w:val="924"/>
    <w:link w:val="933"/>
    <w:uiPriority w:val="99"/>
    <w:semiHidden/>
    <w:qFormat/>
  </w:style>
  <w:style w:type="character" w:styleId="979" w:customStyle="1">
    <w:name w:val="纯文本 Char"/>
    <w:link w:val="937"/>
    <w:uiPriority w:val="0"/>
    <w:qFormat/>
    <w:rPr>
      <w:rFonts w:ascii="宋体" w:hAnsi="Courier New" w:eastAsia="宋体" w:cs="Courier New"/>
      <w:szCs w:val="21"/>
    </w:rPr>
  </w:style>
  <w:style w:type="character" w:styleId="980" w:customStyle="1">
    <w:name w:val="日期 Char"/>
    <w:link w:val="939"/>
    <w:uiPriority w:val="0"/>
    <w:qFormat/>
    <w:rPr>
      <w:rFonts w:ascii="Times New Roman" w:hAnsi="Times New Roman" w:eastAsia="宋体" w:cs="Times New Roman"/>
      <w:sz w:val="24"/>
      <w:szCs w:val="24"/>
    </w:rPr>
  </w:style>
  <w:style w:type="character" w:styleId="981" w:customStyle="1">
    <w:name w:val="正文文本缩进 2 Char"/>
    <w:link w:val="940"/>
    <w:uiPriority w:val="0"/>
    <w:qFormat/>
    <w:rPr>
      <w:rFonts w:ascii="Arial" w:hAnsi="Arial" w:eastAsia="仿宋_GB2312" w:cs="Arial"/>
      <w:sz w:val="32"/>
      <w:szCs w:val="32"/>
    </w:rPr>
  </w:style>
  <w:style w:type="character" w:styleId="982" w:customStyle="1">
    <w:name w:val="批注框文本 Char"/>
    <w:link w:val="941"/>
    <w:uiPriority w:val="0"/>
    <w:semiHidden/>
    <w:qFormat/>
    <w:rPr>
      <w:rFonts w:ascii="Times New Roman" w:hAnsi="Times New Roman" w:eastAsia="宋体" w:cs="Times New Roman"/>
      <w:sz w:val="18"/>
      <w:szCs w:val="18"/>
    </w:rPr>
  </w:style>
  <w:style w:type="character" w:styleId="983" w:customStyle="1">
    <w:name w:val="页脚 Char"/>
    <w:link w:val="942"/>
    <w:uiPriority w:val="0"/>
    <w:qFormat/>
    <w:rPr>
      <w:rFonts w:ascii="Times New Roman" w:hAnsi="Times New Roman" w:eastAsia="宋体" w:cs="Times New Roman"/>
      <w:sz w:val="18"/>
      <w:szCs w:val="18"/>
    </w:rPr>
  </w:style>
  <w:style w:type="character" w:styleId="984" w:customStyle="1">
    <w:name w:val="页眉 Char"/>
    <w:link w:val="943"/>
    <w:uiPriority w:val="0"/>
    <w:qFormat/>
    <w:rPr>
      <w:rFonts w:ascii="Times New Roman" w:hAnsi="Times New Roman" w:eastAsia="宋体" w:cs="Times New Roman"/>
      <w:sz w:val="18"/>
      <w:szCs w:val="18"/>
    </w:rPr>
  </w:style>
  <w:style w:type="character" w:styleId="985" w:customStyle="1">
    <w:name w:val="正文文本缩进 3 Char"/>
    <w:link w:val="948"/>
    <w:uiPriority w:val="0"/>
    <w:qFormat/>
    <w:rPr>
      <w:rFonts w:ascii="Arial" w:hAnsi="Arial" w:eastAsia="仿宋_GB2312" w:cs="Arial"/>
      <w:color w:val="ffff00"/>
      <w:sz w:val="32"/>
      <w:szCs w:val="32"/>
    </w:rPr>
  </w:style>
  <w:style w:type="character" w:styleId="986" w:customStyle="1">
    <w:name w:val="正文文本 2 Char"/>
    <w:link w:val="952"/>
    <w:uiPriority w:val="0"/>
    <w:qFormat/>
    <w:rPr>
      <w:rFonts w:ascii="楷体_GB2312" w:hAnsi="Times New Roman" w:eastAsia="楷体_GB2312" w:cs="Times New Roman"/>
      <w:sz w:val="28"/>
      <w:szCs w:val="28"/>
    </w:rPr>
  </w:style>
  <w:style w:type="character" w:styleId="987" w:customStyle="1">
    <w:name w:val="批注主题 Char"/>
    <w:link w:val="955"/>
    <w:uiPriority w:val="0"/>
    <w:semiHidden/>
    <w:qFormat/>
    <w:rPr>
      <w:rFonts w:ascii="Times New Roman" w:hAnsi="Times New Roman" w:eastAsia="宋体" w:cs="Times New Roman"/>
      <w:b/>
      <w:bCs/>
      <w:szCs w:val="21"/>
    </w:rPr>
  </w:style>
  <w:style w:type="character" w:styleId="988" w:customStyle="1">
    <w:name w:val="正文首行缩进 Char"/>
    <w:link w:val="956"/>
    <w:uiPriority w:val="0"/>
    <w:qFormat/>
    <w:rPr>
      <w:rFonts w:ascii="仿宋_GB2312" w:hAnsi="Times New Roman" w:eastAsia="仿宋_GB2312" w:cs="Times New Roman"/>
      <w:sz w:val="30"/>
      <w:szCs w:val="30"/>
    </w:rPr>
  </w:style>
  <w:style w:type="character" w:styleId="989" w:customStyle="1">
    <w:name w:val="正文首行缩进 2 Char"/>
    <w:link w:val="957"/>
    <w:uiPriority w:val="0"/>
    <w:qFormat/>
    <w:rPr>
      <w:rFonts w:ascii="宋体" w:hAnsi="宋体" w:eastAsia="宋体" w:cs="Times New Roman"/>
      <w:szCs w:val="20"/>
    </w:rPr>
  </w:style>
  <w:style w:type="paragraph" w:styleId="99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rPr>
  </w:style>
  <w:style w:type="paragraph" w:styleId="993" w:customStyle="1">
    <w:name w:val="二级目录"/>
    <w:next w:val="914"/>
    <w:link w:val="99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914"/>
    <w:link w:val="994"/>
    <w:uiPriority w:val="0"/>
    <w:qFormat/>
    <w:pPr>
      <w:contextualSpacing/>
      <w:ind w:left="720"/>
      <w:jc w:val="left"/>
      <w:widowControl/>
    </w:pPr>
    <w:rPr>
      <w:rFonts w:ascii="Calibri" w:hAnsi="Calibri"/>
      <w:sz w:val="24"/>
      <w:szCs w:val="24"/>
      <w:lang w:eastAsia="en-US" w:bidi="en-US"/>
    </w:rPr>
  </w:style>
  <w:style w:type="paragraph" w:styleId="996" w:customStyle="1">
    <w:name w:val="Body Text(ch)"/>
    <w:basedOn w:val="914"/>
    <w:next w:val="926"/>
    <w:uiPriority w:val="0"/>
    <w:qFormat/>
    <w:pPr>
      <w:spacing w:after="120"/>
    </w:pPr>
    <w:rPr>
      <w:rFonts w:ascii="宋体" w:hAnsi="Arial" w:eastAsia="宋体" w:cs="Times New Roman"/>
      <w:bCs/>
      <w:iCs/>
      <w:szCs w:val="24"/>
    </w:rPr>
  </w:style>
  <w:style w:type="paragraph" w:styleId="997" w:customStyle="1">
    <w:name w:val="xl27"/>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8" w:customStyle="1">
    <w:name w:val="xl26"/>
    <w:basedOn w:val="9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9" w:customStyle="1">
    <w:name w:val="Char"/>
    <w:basedOn w:val="914"/>
    <w:uiPriority w:val="0"/>
    <w:qFormat/>
    <w:pPr>
      <w:ind w:firstLine="200"/>
      <w:tabs>
        <w:tab w:val="left" w:pos="360" w:leader="none"/>
      </w:tabs>
    </w:pPr>
    <w:rPr>
      <w:rFonts w:ascii="Times New Roman" w:hAnsi="Times New Roman" w:eastAsia="宋体" w:cs="Times New Roman"/>
      <w:sz w:val="28"/>
      <w:szCs w:val="30"/>
    </w:rPr>
  </w:style>
  <w:style w:type="paragraph" w:styleId="1000" w:customStyle="1">
    <w:name w:val=" Char"/>
    <w:basedOn w:val="930"/>
    <w:uiPriority w:val="0"/>
    <w:qFormat/>
    <w:rPr>
      <w:rFonts w:ascii="Tahoma" w:hAnsi="Tahoma"/>
      <w:sz w:val="24"/>
      <w:szCs w:val="24"/>
    </w:rPr>
  </w:style>
  <w:style w:type="paragraph" w:styleId="1001" w:customStyle="1">
    <w:name w:val="普通正文"/>
    <w:basedOn w:val="914"/>
    <w:uiPriority w:val="0"/>
    <w:qFormat/>
    <w:pPr>
      <w:ind w:firstLine="480"/>
      <w:jc w:val="left"/>
      <w:spacing w:before="120" w:after="120" w:line="360" w:lineRule="auto"/>
    </w:pPr>
    <w:rPr>
      <w:rFonts w:ascii="Arial" w:hAnsi="Arial" w:eastAsia="宋体" w:cs="Times New Roman"/>
      <w:sz w:val="24"/>
      <w:szCs w:val="24"/>
    </w:rPr>
  </w:style>
  <w:style w:type="paragraph" w:styleId="1002" w:customStyle="1">
    <w:name w:val="table_lines"/>
    <w:basedOn w:val="914"/>
    <w:uiPriority w:val="0"/>
    <w:qFormat/>
    <w:pPr>
      <w:jc w:val="left"/>
      <w:widowControl/>
    </w:pPr>
    <w:rPr>
      <w:rFonts w:ascii="Times New Roman" w:hAnsi="Times New Roman" w:eastAsia="宋体" w:cs="Times New Roman"/>
      <w:sz w:val="20"/>
      <w:szCs w:val="20"/>
      <w:lang w:val="de-DE" w:eastAsia="de-DE"/>
    </w:rPr>
  </w:style>
  <w:style w:type="paragraph" w:styleId="100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4" w:customStyle="1">
    <w:name w:val="font7"/>
    <w:basedOn w:val="91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5" w:customStyle="1">
    <w:name w:val=" Char Char Char Char"/>
    <w:basedOn w:val="930"/>
    <w:uiPriority w:val="0"/>
    <w:qFormat/>
    <w:pPr>
      <w:spacing w:line="360" w:lineRule="auto"/>
    </w:pPr>
    <w:rPr>
      <w:rFonts w:ascii="Tahoma" w:hAnsi="Tahoma"/>
      <w:sz w:val="24"/>
      <w:szCs w:val="24"/>
    </w:rPr>
  </w:style>
  <w:style w:type="paragraph" w:styleId="1006">
    <w:name w:val="List Paragraph"/>
    <w:basedOn w:val="914"/>
    <w:uiPriority w:val="0"/>
    <w:qFormat/>
    <w:pPr>
      <w:contextualSpacing/>
      <w:ind w:left="720"/>
      <w:jc w:val="left"/>
      <w:widowControl/>
    </w:pPr>
    <w:rPr>
      <w:rFonts w:ascii="Calibri" w:hAnsi="Calibri" w:eastAsia="宋体" w:cs="Times New Roman"/>
      <w:sz w:val="24"/>
      <w:szCs w:val="24"/>
      <w:lang w:eastAsia="en-US" w:bidi="en-US"/>
    </w:rPr>
  </w:style>
  <w:style w:type="paragraph" w:styleId="1007" w:customStyle="1">
    <w:name w:val="4"/>
    <w:basedOn w:val="914"/>
    <w:next w:val="948"/>
    <w:uiPriority w:val="0"/>
    <w:qFormat/>
    <w:pPr>
      <w:ind w:firstLine="420"/>
      <w:spacing w:line="360" w:lineRule="auto"/>
    </w:pPr>
    <w:rPr>
      <w:rFonts w:ascii="Times New Roman" w:hAnsi="Times New Roman" w:eastAsia="宋体" w:cs="Times New Roman"/>
      <w:color w:val="ff0000"/>
      <w:sz w:val="24"/>
      <w:szCs w:val="24"/>
    </w:rPr>
  </w:style>
  <w:style w:type="paragraph" w:styleId="1008" w:customStyle="1">
    <w:name w:val="普通 (Web)"/>
    <w:basedOn w:val="914"/>
    <w:uiPriority w:val="0"/>
    <w:qFormat/>
    <w:pPr>
      <w:jc w:val="left"/>
      <w:spacing w:before="100" w:beforeAutospacing="1" w:after="100" w:afterAutospacing="1"/>
      <w:widowControl/>
    </w:pPr>
    <w:rPr>
      <w:rFonts w:ascii="宋体" w:hAnsi="宋体" w:eastAsia="宋体" w:cs="Times New Roman"/>
      <w:sz w:val="24"/>
      <w:szCs w:val="24"/>
    </w:rPr>
  </w:style>
  <w:style w:type="paragraph" w:styleId="1009" w:customStyle="1">
    <w:name w:val=" Char Char Char Char Char Char Char Char Char Char"/>
    <w:basedOn w:val="914"/>
    <w:uiPriority w:val="0"/>
    <w:qFormat/>
    <w:pPr>
      <w:spacing w:line="360" w:lineRule="auto"/>
    </w:pPr>
    <w:rPr>
      <w:rFonts w:ascii="Times New Roman" w:hAnsi="Times New Roman" w:eastAsia="宋体" w:cs="Times New Roman"/>
      <w:sz w:val="24"/>
      <w:szCs w:val="20"/>
    </w:rPr>
  </w:style>
  <w:style w:type="paragraph" w:styleId="1010" w:customStyle="1">
    <w:name w:val="样式1"/>
    <w:basedOn w:val="914"/>
    <w:uiPriority w:val="0"/>
    <w:qFormat/>
    <w:pPr>
      <w:numPr>
        <w:ilvl w:val="0"/>
        <w:numId w:val="3"/>
      </w:numPr>
    </w:pPr>
    <w:rPr>
      <w:rFonts w:ascii="宋体" w:hAnsi="宋体" w:eastAsia="宋体" w:cs="Times New Roman"/>
      <w:szCs w:val="21"/>
    </w:rPr>
  </w:style>
  <w:style w:type="paragraph" w:styleId="1011" w:customStyle="1">
    <w:name w:val="font6"/>
    <w:basedOn w:val="91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2" w:customStyle="1">
    <w:name w:val="xl25"/>
    <w:basedOn w:val="9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914"/>
    <w:next w:val="91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4" w:customStyle="1">
    <w:name w:val="标题3"/>
    <w:basedOn w:val="914"/>
    <w:next w:val="914"/>
    <w:uiPriority w:val="0"/>
    <w:qFormat/>
    <w:pPr>
      <w:ind w:firstLine="624"/>
      <w:spacing w:line="590" w:lineRule="atLeast"/>
    </w:pPr>
    <w:rPr>
      <w:rFonts w:ascii="方正黑体_GBK" w:hAnsi="Times New Roman" w:eastAsia="方正黑体_GBK" w:cs="Times New Roman"/>
      <w:sz w:val="32"/>
      <w:szCs w:val="32"/>
    </w:rPr>
  </w:style>
  <w:style w:type="paragraph" w:styleId="1015" w:customStyle="1">
    <w:name w:val="xl24"/>
    <w:basedOn w:val="9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16" w:customStyle="1">
    <w:name w:val="xl29"/>
    <w:basedOn w:val="91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17" w:customStyle="1">
    <w:name w:val="Char Char Char Char Char Char Char Char"/>
    <w:basedOn w:val="914"/>
    <w:uiPriority w:val="0"/>
    <w:qFormat/>
    <w:pPr>
      <w:jc w:val="left"/>
      <w:spacing w:after="160" w:line="240" w:lineRule="exact"/>
      <w:widowControl/>
    </w:pPr>
    <w:rPr>
      <w:rFonts w:ascii="Verdana" w:hAnsi="Verdana" w:eastAsia="宋体" w:cs="Times New Roman"/>
      <w:sz w:val="20"/>
      <w:szCs w:val="20"/>
      <w:lang w:eastAsia="en-US"/>
    </w:rPr>
  </w:style>
  <w:style w:type="paragraph" w:styleId="1018" w:customStyle="1">
    <w:name w:val="xl28"/>
    <w:basedOn w:val="9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19" w:customStyle="1">
    <w:name w:val=" Char Char Char Char Char Char Char Char"/>
    <w:basedOn w:val="914"/>
    <w:uiPriority w:val="0"/>
    <w:qFormat/>
    <w:pPr>
      <w:jc w:val="left"/>
      <w:spacing w:after="160" w:line="240" w:lineRule="exact"/>
      <w:widowControl/>
    </w:pPr>
    <w:rPr>
      <w:rFonts w:ascii="Verdana" w:hAnsi="Verdana" w:eastAsia="宋体" w:cs="Times New Roman"/>
      <w:sz w:val="20"/>
      <w:szCs w:val="20"/>
      <w:lang w:eastAsia="en-US"/>
    </w:rPr>
  </w:style>
  <w:style w:type="paragraph" w:styleId="1020" w:customStyle="1">
    <w:name w:val="xl30"/>
    <w:basedOn w:val="91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1" w:customStyle="1">
    <w:name w:val="Char Char Char Char"/>
    <w:basedOn w:val="930"/>
    <w:uiPriority w:val="0"/>
    <w:qFormat/>
    <w:pPr>
      <w:spacing w:line="360" w:lineRule="auto"/>
    </w:pPr>
    <w:rPr>
      <w:rFonts w:ascii="Tahoma" w:hAnsi="Tahoma"/>
      <w:sz w:val="24"/>
      <w:szCs w:val="24"/>
    </w:rPr>
  </w:style>
  <w:style w:type="paragraph" w:styleId="1022" w:customStyle="1">
    <w:name w:val="table_1stline"/>
    <w:basedOn w:val="91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3" w:customStyle="1">
    <w:name w:val="font5"/>
    <w:basedOn w:val="91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4" w:customStyle="1">
    <w:name w:val="标题1"/>
    <w:basedOn w:val="914"/>
    <w:next w:val="91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customStyle="1">
    <w:name w:val="_Style 111"/>
    <w:uiPriority w:val="99"/>
    <w:semiHidden/>
    <w:qFormat/>
    <w:rPr>
      <w:rFonts w:ascii="Times New Roman" w:hAnsi="Times New Roman" w:eastAsia="宋体" w:cs="Times New Roman"/>
      <w:sz w:val="21"/>
      <w:szCs w:val="21"/>
      <w:lang w:val="en-US" w:eastAsia="zh-CN" w:bidi="ar-SA"/>
    </w:rPr>
  </w:style>
  <w:style w:type="paragraph" w:styleId="102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7" w:customStyle="1">
    <w:name w:val="标题 21"/>
    <w:basedOn w:val="914"/>
    <w:next w:val="914"/>
    <w:link w:val="1028"/>
    <w:uiPriority w:val="0"/>
    <w:qFormat/>
    <w:pPr>
      <w:keepLines/>
      <w:keepNext/>
      <w:spacing w:before="260" w:after="260" w:line="413" w:lineRule="auto"/>
      <w:outlineLvl w:val="1"/>
    </w:pPr>
    <w:rPr>
      <w:rFonts w:ascii="Arial" w:hAnsi="Arial" w:eastAsia="黑体"/>
      <w:b/>
      <w:sz w:val="32"/>
      <w:szCs w:val="20"/>
    </w:rPr>
  </w:style>
  <w:style w:type="character" w:styleId="1028" w:customStyle="1">
    <w:name w:val="标题 2 字符"/>
    <w:link w:val="1027"/>
    <w:uiPriority w:val="0"/>
    <w:qFormat/>
    <w:rPr>
      <w:rFonts w:ascii="Arial" w:hAnsi="Arial" w:eastAsia="黑体"/>
      <w:b/>
      <w:sz w:val="32"/>
    </w:rPr>
  </w:style>
  <w:style w:type="paragraph" w:styleId="1029" w:customStyle="1">
    <w:name w:val="批注文字1"/>
    <w:basedOn w:val="914"/>
    <w:link w:val="1030"/>
    <w:uiPriority w:val="99"/>
    <w:qFormat/>
    <w:pPr>
      <w:jc w:val="left"/>
    </w:pPr>
    <w:rPr>
      <w:szCs w:val="20"/>
    </w:rPr>
  </w:style>
  <w:style w:type="character" w:styleId="1030" w:customStyle="1">
    <w:name w:val="批注文字 字符"/>
    <w:link w:val="1029"/>
    <w:uiPriority w:val="99"/>
    <w:qFormat/>
    <w:rPr>
      <w:sz w:val="21"/>
    </w:rPr>
  </w:style>
  <w:style w:type="paragraph" w:styleId="1031" w:customStyle="1">
    <w:name w:val="Normal_0_1"/>
    <w:uiPriority w:val="0"/>
    <w:qFormat/>
    <w:rPr>
      <w:rFonts w:ascii="黑体" w:hAnsi="黑体" w:eastAsia="黑体" w:cs="Times New Roman"/>
      <w:b/>
      <w:sz w:val="32"/>
      <w:szCs w:val="24"/>
      <w:lang w:val="en-US" w:eastAsia="zh-CN" w:bidi="ar-SA"/>
    </w:rPr>
  </w:style>
  <w:style w:type="paragraph" w:styleId="1032"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103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空2字"/>
    <w:basedOn w:val="91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35" w:customStyle="1">
    <w:name w:val="标题 4 字符"/>
    <w:uiPriority w:val="0"/>
    <w:qFormat/>
    <w:rPr>
      <w:rFonts w:ascii="Arial" w:hAnsi="Arial" w:eastAsia="黑体" w:cs="Arial"/>
      <w:b/>
      <w:bCs/>
      <w:sz w:val="28"/>
      <w:szCs w:val="28"/>
    </w:rPr>
  </w:style>
  <w:style w:type="paragraph" w:styleId="1036" w:customStyle="1">
    <w:name w:val="Normal_20"/>
    <w:uiPriority w:val="0"/>
    <w:qFormat/>
    <w:rPr>
      <w:rFonts w:hint="default" w:ascii="黑体" w:hAnsi="黑体" w:eastAsia="黑体" w:cs="黑体"/>
      <w:b/>
      <w:sz w:val="32"/>
      <w:szCs w:val="24"/>
      <w:lang w:val="en-US" w:eastAsia="zh-CN" w:bidi="ar-SA"/>
    </w:rPr>
  </w:style>
  <w:style w:type="paragraph" w:styleId="103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18_0"/>
    <w:uiPriority w:val="0"/>
    <w:qFormat/>
    <w:rPr>
      <w:rFonts w:hint="default" w:ascii="黑体" w:hAnsi="黑体" w:eastAsia="黑体" w:cs="黑体"/>
      <w:b/>
      <w:sz w:val="32"/>
      <w:szCs w:val="24"/>
      <w:lang w:val="en-US" w:eastAsia="zh-CN" w:bidi="ar-SA"/>
    </w:rPr>
  </w:style>
  <w:style w:type="paragraph" w:styleId="1039" w:customStyle="1">
    <w:name w:val="正文_12_0_0_0_0"/>
    <w:basedOn w:val="914"/>
    <w:uiPriority w:val="0"/>
    <w:qFormat/>
    <w:rPr>
      <w:rFonts w:ascii="Times New Roman" w:hAnsi="Times New Roman"/>
      <w:szCs w:val="24"/>
    </w:rPr>
  </w:style>
  <w:style w:type="paragraph" w:styleId="104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1_0"/>
    <w:uiPriority w:val="0"/>
    <w:qFormat/>
    <w:pPr>
      <w:jc w:val="both"/>
      <w:widowControl w:val="off"/>
    </w:pPr>
    <w:rPr>
      <w:rFonts w:ascii="Times New Roman" w:hAnsi="Times New Roman" w:eastAsia="宋体" w:cs="Times New Roman"/>
      <w:szCs w:val="24"/>
    </w:rPr>
  </w:style>
  <w:style w:type="paragraph" w:styleId="1044" w:customStyle="1">
    <w:name w:val="正文_16_0_0"/>
    <w:next w:val="1043"/>
    <w:uiPriority w:val="0"/>
    <w:qFormat/>
    <w:pPr>
      <w:jc w:val="both"/>
      <w:widowControl w:val="off"/>
    </w:pPr>
    <w:rPr>
      <w:rFonts w:ascii="Calibri" w:hAnsi="Calibri" w:eastAsia="宋体" w:cs="Times New Roman"/>
      <w:sz w:val="21"/>
      <w:szCs w:val="22"/>
    </w:rPr>
  </w:style>
  <w:style w:type="paragraph" w:styleId="1045" w:customStyle="1">
    <w:name w:val="Normal_3_0"/>
    <w:uiPriority w:val="0"/>
    <w:qFormat/>
    <w:rPr>
      <w:rFonts w:hint="default" w:ascii="黑体" w:hAnsi="黑体" w:eastAsia="黑体" w:cs="Times New Roman"/>
      <w:b/>
      <w:sz w:val="32"/>
      <w:szCs w:val="24"/>
    </w:rPr>
  </w:style>
  <w:style w:type="paragraph" w:styleId="1046" w:customStyle="1">
    <w:name w:val="Normal_4_0"/>
    <w:uiPriority w:val="0"/>
    <w:qFormat/>
    <w:pPr>
      <w:jc w:val="both"/>
      <w:widowControl w:val="off"/>
    </w:pPr>
    <w:rPr>
      <w:rFonts w:hint="default" w:ascii="Calibri" w:hAnsi="Calibri" w:eastAsia="宋体" w:cs="Times New Roman"/>
      <w:sz w:val="21"/>
      <w:szCs w:val="22"/>
    </w:rPr>
  </w:style>
  <w:style w:type="paragraph" w:styleId="1047" w:customStyle="1">
    <w:name w:val="List Paragraph_0"/>
    <w:basedOn w:val="1036"/>
    <w:uiPriority w:val="34"/>
    <w:qFormat/>
    <w:pPr>
      <w:ind w:firstLine="420"/>
    </w:pPr>
    <w:rPr>
      <w:rFonts w:eastAsia="Times New Roman"/>
    </w:rPr>
  </w:style>
  <w:style w:type="paragraph" w:styleId="1048" w:customStyle="1">
    <w:name w:val="Normal_19"/>
    <w:next w:val="1036"/>
    <w:uiPriority w:val="0"/>
    <w:qFormat/>
    <w:rPr>
      <w:rFonts w:ascii="Times New Roman" w:hAnsi="Times New Roman" w:eastAsia="Times New Roman" w:cs="Times New Roman"/>
      <w:sz w:val="24"/>
      <w:szCs w:val="24"/>
      <w:lang w:val="en-US" w:eastAsia="zh-CN" w:bidi="ar-SA"/>
    </w:rPr>
  </w:style>
  <w:style w:type="paragraph" w:styleId="1049" w:customStyle="1">
    <w:name w:val="正文_16_0"/>
    <w:next w:val="1050"/>
    <w:uiPriority w:val="0"/>
    <w:qFormat/>
    <w:pPr>
      <w:jc w:val="both"/>
      <w:widowControl w:val="off"/>
    </w:pPr>
    <w:rPr>
      <w:rFonts w:ascii="Calibri" w:hAnsi="Calibri" w:eastAsia="宋体" w:cs="Times New Roman"/>
      <w:sz w:val="21"/>
      <w:szCs w:val="22"/>
      <w:lang w:val="en-US" w:eastAsia="zh-CN" w:bidi="ar-SA"/>
    </w:rPr>
  </w:style>
  <w:style w:type="paragraph" w:styleId="1050" w:customStyle="1">
    <w:name w:val="正文缩进_2"/>
    <w:basedOn w:val="1049"/>
    <w:uiPriority w:val="0"/>
    <w:unhideWhenUsed/>
    <w:qFormat/>
    <w:pPr>
      <w:ind w:firstLine="420"/>
      <w:jc w:val="left"/>
      <w:widowControl/>
    </w:pPr>
    <w:rPr>
      <w:sz w:val="20"/>
    </w:rPr>
  </w:style>
  <w:style w:type="paragraph" w:styleId="1051" w:customStyle="1">
    <w:name w:val="正文1"/>
    <w:basedOn w:val="914"/>
    <w:next w:val="914"/>
    <w:uiPriority w:val="0"/>
    <w:qFormat/>
    <w:pPr>
      <w:ind w:left="357" w:firstLine="420"/>
      <w:jc w:val="left"/>
      <w:spacing w:line="360" w:lineRule="auto"/>
      <w:widowControl/>
    </w:pPr>
    <w:rPr>
      <w:rFonts w:cs="Arial"/>
      <w:szCs w:val="20"/>
    </w:rPr>
  </w:style>
  <w:style w:type="paragraph" w:styleId="1052"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1054" w:customStyle="1">
    <w:name w:val="正文_3"/>
    <w:uiPriority w:val="0"/>
    <w:qFormat/>
    <w:pPr>
      <w:jc w:val="both"/>
      <w:widowControl w:val="off"/>
    </w:pPr>
    <w:rPr>
      <w:rFonts w:ascii="Calibri" w:hAnsi="Calibri" w:eastAsia="宋体" w:cs="Times New Roman"/>
      <w:lang w:val="en-US" w:eastAsia="zh-CN" w:bidi="ar-SA"/>
    </w:rPr>
  </w:style>
  <w:style w:type="paragraph" w:styleId="1055" w:customStyle="1">
    <w:name w:val="正文_0_0_1"/>
    <w:uiPriority w:val="0"/>
    <w:qFormat/>
    <w:pPr>
      <w:jc w:val="both"/>
      <w:widowControl w:val="off"/>
    </w:pPr>
    <w:rPr>
      <w:rFonts w:ascii="Times New Roman" w:hAnsi="Times New Roman" w:eastAsia="宋体" w:cs="Times New Roman"/>
      <w:szCs w:val="24"/>
      <w:lang w:val="en-US" w:eastAsia="zh-CN" w:bidi="ar-SA"/>
    </w:rPr>
  </w:style>
  <w:style w:type="paragraph" w:styleId="1056" w:customStyle="1">
    <w:name w:val="正文_1_0_0"/>
    <w:uiPriority w:val="0"/>
    <w:qFormat/>
    <w:pPr>
      <w:jc w:val="both"/>
      <w:widowControl w:val="off"/>
    </w:pPr>
    <w:rPr>
      <w:rFonts w:ascii="Calibri" w:hAnsi="Calibri" w:eastAsia="宋体" w:cs="Times New Roman"/>
      <w:lang w:val="en-US" w:eastAsia="zh-CN" w:bidi="ar-SA"/>
    </w:rPr>
  </w:style>
  <w:style w:type="paragraph" w:styleId="1057" w:customStyle="1">
    <w:name w:val="Table Text"/>
    <w:basedOn w:val="914"/>
    <w:uiPriority w:val="0"/>
    <w:semiHidden/>
    <w:qFormat/>
    <w:rPr>
      <w:rFonts w:ascii="宋体" w:hAnsi="宋体" w:eastAsia="宋体" w:cs="宋体"/>
      <w:sz w:val="12"/>
      <w:szCs w:val="12"/>
      <w:lang w:val="en-US" w:eastAsia="en-US" w:bidi="ar-SA"/>
    </w:rPr>
  </w:style>
  <w:style w:type="table" w:styleId="1058" w:customStyle="1">
    <w:name w:val="Table Normal"/>
    <w:uiPriority w:val="0"/>
    <w:unhideWhenUsed/>
    <w:qFormat/>
    <w:tblPr>
      <w:tblCellMar>
        <w:left w:w="0" w:type="dxa"/>
        <w:top w:w="0" w:type="dxa"/>
        <w:right w:w="0" w:type="dxa"/>
        <w:bottom w:w="0" w:type="dxa"/>
      </w:tblCellMar>
    </w:tblPr>
  </w:style>
  <w:style w:type="character" w:styleId="1059" w:customStyle="1">
    <w:name w:val="disabled"/>
    <w:basedOn w:val="924"/>
    <w:uiPriority w:val="0"/>
    <w:qFormat/>
    <w:rPr>
      <w:color w:val="dddddd"/>
    </w:rPr>
  </w:style>
  <w:style w:type="character" w:styleId="1060" w:customStyle="1">
    <w:name w:val="disabled1"/>
    <w:basedOn w:val="924"/>
    <w:uiPriority w:val="0"/>
    <w:qFormat/>
    <w:rPr>
      <w:color w:val="dddddd"/>
    </w:rPr>
  </w:style>
  <w:style w:type="character" w:styleId="1061" w:customStyle="1">
    <w:name w:val="current"/>
    <w:basedOn w:val="924"/>
    <w:uiPriority w:val="0"/>
    <w:qFormat/>
    <w:rPr>
      <w:b/>
      <w:bCs/>
      <w:color w:val="ffffff"/>
      <w:shd w:val="clear" w:color="auto" w:fill="0075cc"/>
    </w:rPr>
  </w:style>
  <w:style w:type="character" w:styleId="1062" w:customStyle="1">
    <w:name w:val="current1"/>
    <w:basedOn w:val="924"/>
    <w:uiPriority w:val="0"/>
    <w:qFormat/>
    <w:rPr>
      <w:b/>
      <w:bCs/>
      <w:color w:val="ffffff"/>
      <w:shd w:val="clear" w:color="auto" w:fill="0075cc"/>
    </w:rPr>
  </w:style>
  <w:style w:type="character" w:styleId="1063" w:customStyle="1">
    <w:name w:val="current2"/>
    <w:basedOn w:val="924"/>
    <w:uiPriority w:val="0"/>
    <w:qFormat/>
    <w:rPr>
      <w:b/>
      <w:bCs/>
      <w:color w:val="ffffff"/>
      <w:shd w:val="clear" w:color="auto" w:fill="0075cc"/>
    </w:rPr>
  </w:style>
  <w:style w:type="character" w:styleId="1064" w:customStyle="1">
    <w:name w:val="current3"/>
    <w:basedOn w:val="924"/>
    <w:uiPriority w:val="0"/>
    <w:qFormat/>
    <w:rPr>
      <w:b/>
      <w:bCs/>
      <w:color w:val="ffffff"/>
      <w:shd w:val="clear" w:color="auto" w:fill="0075cc"/>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王学玲</cp:lastModifiedBy>
  <cp:revision>23</cp:revision>
  <dcterms:created xsi:type="dcterms:W3CDTF">2023-03-27T15:28:00Z</dcterms:created>
  <dcterms:modified xsi:type="dcterms:W3CDTF">2026-09-24T07:20:06Z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2644ABF69A424E4CB4BBD133D37D252A_13</vt:lpwstr>
  </property>
  <property fmtid="{D5CDD505-2E9C-101B-9397-08002B2CF9AE}" pid="4" name="KSOTemplateDocerSaveRecord">
    <vt:lpwstr>eyJoZGlkIjoiNTY4NWU5NjAzOTVmYzUyMGNjN2QyYTExZDdjNTg2ODciLCJ1c2VySWQiOiIxMTY5Nzc2MjMxIn0=</vt:lpwstr>
  </property>
</Properties>
</file>