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10.13 定稿</w:t>
      </w:r>
      <w:r>
        <w:rPr>
          <w:rFonts w:hint="eastAsia" w:ascii="黑体" w:hAnsi="黑体" w:eastAsia="黑体" w:cs="黑体"/>
          <w:b w:val="0"/>
          <w:bCs w:val="0"/>
          <w:sz w:val="32"/>
          <w:szCs w:val="32"/>
          <w:highlight w:val="yellow"/>
          <w:lang w:eastAsia="zh-CN"/>
        </w:rPr>
        <w:t xml:space="preserve">】</w:t>
      </w:r>
      <w:r/>
    </w:p>
    <w:p>
      <w:pPr>
        <w:pStyle w:val="819"/>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819"/>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电子病历数据采集接口改造服务    </w:t>
      </w:r>
      <w:r/>
    </w:p>
    <w:p>
      <w:pPr>
        <w:ind w:left="42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JSZC-321281-JZCG-C2026-0016    </w:t>
      </w:r>
      <w:r>
        <w:rPr>
          <w:rFonts w:hint="eastAsia" w:ascii="楷体" w:hAnsi="楷体" w:eastAsia="楷体"/>
          <w:b/>
          <w:bCs/>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color w:val="000000"/>
          <w:sz w:val="36"/>
          <w:u w:val="single"/>
          <w:lang w:eastAsia="zh-CN"/>
        </w:rPr>
        <w:t xml:space="preserve">兴化市戴窑中心卫生院</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17"/>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pStyle w:val="817"/>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17"/>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10</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_GBK" w:hAnsi="方正小标宋_GBK" w:eastAsia="方正小标宋_GBK" w:cs="Times New Roman"/>
          <w:sz w:val="36"/>
          <w:szCs w:val="36"/>
        </w:rPr>
      </w:pPr>
      <w:r>
        <w:rPr>
          <w:rFonts w:hint="eastAsia" w:ascii="方正小标宋_GBK" w:hAnsi="方正小标宋_GBK" w:eastAsia="方正小标宋_GBK" w:cs="Times New Roman"/>
          <w:sz w:val="36"/>
          <w:szCs w:val="36"/>
        </w:rPr>
        <w:t xml:space="preserve">兴化市</w:t>
      </w:r>
      <w:r>
        <w:rPr>
          <w:rFonts w:ascii="方正小标宋_GBK" w:hAnsi="方正小标宋_GBK" w:eastAsia="方正小标宋_GBK" w:cs="Times New Roman"/>
          <w:sz w:val="36"/>
          <w:szCs w:val="36"/>
        </w:rPr>
        <w:t xml:space="preserve">政府采购</w:t>
      </w:r>
      <w:r>
        <w:rPr>
          <w:rFonts w:hint="eastAsia" w:ascii="方正小标宋_GBK" w:hAnsi="方正小标宋_GBK" w:eastAsia="方正小标宋_GBK"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17"/>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17"/>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7" o:title=""/>
              </v:shape>
            </w:pict>
          </mc:Fallback>
        </mc:AlternateContent>
      </w:r>
      <w:r/>
    </w:p>
    <w:p>
      <w:pPr>
        <w:pStyle w:val="817"/>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17"/>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17"/>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17"/>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25"/>
          <w:rFonts w:hint="eastAsia" w:ascii="仿宋" w:hAnsi="仿宋" w:eastAsia="仿宋" w:cs="仿宋"/>
          <w:color w:val="auto"/>
          <w:spacing w:val="1"/>
          <w:sz w:val="28"/>
          <w:szCs w:val="28"/>
        </w:rPr>
        <w:t xml:space="preserve">http://www.ccgp-jiangsu.gov.cn/jiangsu/paying.html</w:t>
      </w:r>
      <w:r>
        <w:rPr>
          <w:rStyle w:val="825"/>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25"/>
          <w:rFonts w:hint="eastAsia" w:ascii="仿宋" w:hAnsi="仿宋" w:eastAsia="仿宋" w:cs="仿宋"/>
          <w:color w:val="auto"/>
          <w:spacing w:val="1"/>
          <w:sz w:val="28"/>
          <w:szCs w:val="28"/>
        </w:rPr>
        <w:t xml:space="preserve">https://www.crcrfsp.com/</w:t>
      </w:r>
      <w:r>
        <w:rPr>
          <w:rStyle w:val="825"/>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96"/>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96"/>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17"/>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17"/>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17"/>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17"/>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7"/>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17"/>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17"/>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17"/>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17"/>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19"/>
      </w:pPr>
      <w:r/>
      <w:r/>
    </w:p>
    <w:p>
      <w:pPr>
        <w:pStyle w:val="819"/>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pacing w:val="-6"/>
          <w:sz w:val="32"/>
          <w:szCs w:val="36"/>
        </w:rPr>
      </w:pPr>
      <w:r>
        <w:rPr>
          <w:rFonts w:hint="eastAsia" w:ascii="黑体" w:hAnsi="黑体" w:eastAsia="黑体" w:cs="黑体"/>
          <w:sz w:val="32"/>
          <w:szCs w:val="36"/>
          <w:lang w:val="en-US" w:eastAsia="zh-CN"/>
        </w:rPr>
        <w:t xml:space="preserve">2.</w:t>
      </w:r>
      <w:r>
        <w:rPr>
          <w:rFonts w:hint="eastAsia" w:ascii="黑体" w:hAnsi="黑体" w:eastAsia="黑体" w:cs="黑体"/>
          <w:spacing w:val="-6"/>
          <w:sz w:val="32"/>
          <w:szCs w:val="36"/>
          <w:lang w:val="en-US" w:eastAsia="zh-CN"/>
        </w:rPr>
        <w:t xml:space="preserve">“苏采云” 平台网址：https://jszfcg.jsczt.cn/jszc/login</w:t>
      </w:r>
      <w:r/>
    </w:p>
    <w:p>
      <w:p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4</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17</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22</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兴化市戴窑中心卫生院</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lang w:val="en-US" w:eastAsia="zh-CN"/>
        </w:rPr>
        <w:t xml:space="preserve"> 电子病历数据采集接口改造服务 </w:t>
      </w:r>
      <w:r>
        <w:rPr>
          <w:rFonts w:hint="eastAsia" w:ascii="仿宋_GB2312" w:hAnsi="仿宋_GB2312" w:eastAsia="仿宋_GB2312" w:cs="仿宋_GB2312"/>
          <w:sz w:val="28"/>
          <w:szCs w:val="28"/>
        </w:rPr>
        <w:t xml:space="preserve">(JSZC-321281-JZCG-C2026-0016</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rPr>
        <w:t xml:space="preserve">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val="en-US" w:eastAsia="zh-CN"/>
        </w:rPr>
        <w:t xml:space="preserve">电子病历数据采集接口改造服务 </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10</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28</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38985263"/>
      <w:r/>
      <w:bookmarkStart w:id="8" w:name="_Toc35393621"/>
      <w:r/>
      <w:bookmarkStart w:id="9" w:name="_Toc35393790"/>
      <w:r/>
      <w:bookmarkStart w:id="10" w:name="_Toc28359079"/>
      <w:r/>
      <w:bookmarkStart w:id="11" w:name="_Toc28359002"/>
      <w:r/>
      <w:bookmarkStart w:id="12" w:name="_Hlk24379207"/>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p>
    <w:p>
      <w:pPr>
        <w:ind w:left="0" w:right="0" w:firstLine="560"/>
        <w:keepLines w:val="0"/>
        <w:keepNext w:val="0"/>
        <w:pageBreakBefore w:val="0"/>
        <w:spacing w:line="50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1.项目编号：JSZC-321281-JZCG-C2026-0016</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w:t>
      </w:r>
      <w:r>
        <w:rPr>
          <w:rFonts w:hint="eastAsia" w:ascii="仿宋_GB2312" w:hAnsi="仿宋_GB2312" w:eastAsia="仿宋_GB2312" w:cs="仿宋_GB2312"/>
          <w:color w:val="auto"/>
          <w:sz w:val="28"/>
          <w:szCs w:val="28"/>
          <w:highlight w:val="none"/>
          <w:lang w:val="en-US" w:eastAsia="zh-CN"/>
        </w:rPr>
        <w:t xml:space="preserve">电子病历数据采集接口改造服务</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pageBreakBefore w:val="0"/>
        <w:spacing w:line="50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：人民币</w:t>
      </w:r>
      <w:r>
        <w:rPr>
          <w:rFonts w:hint="eastAsia" w:ascii="仿宋_GB2312" w:hAnsi="仿宋_GB2312" w:eastAsia="仿宋_GB2312" w:cs="仿宋_GB2312"/>
          <w:color w:val="auto"/>
          <w:sz w:val="28"/>
          <w:szCs w:val="28"/>
          <w:highlight w:val="none"/>
          <w:lang w:val="en-US" w:eastAsia="zh-CN"/>
        </w:rPr>
        <w:t xml:space="preserve"> 陆万元</w:t>
      </w:r>
      <w:r>
        <w:rPr>
          <w:rFonts w:hint="eastAsia" w:ascii="仿宋_GB2312" w:hAnsi="仿宋_GB2312" w:eastAsia="仿宋_GB2312" w:cs="仿宋_GB2312"/>
          <w:b/>
          <w:bCs/>
          <w:color w:val="auto"/>
          <w:sz w:val="28"/>
          <w:szCs w:val="28"/>
          <w:highlight w:val="none"/>
          <w:lang w:eastAsia="zh-CN"/>
        </w:rPr>
        <w:t xml:space="preserve">（</w:t>
      </w:r>
      <w:r>
        <w:rPr>
          <w:rFonts w:hint="default" w:ascii="Arial" w:hAnsi="Arial" w:eastAsia="仿宋_GB2312" w:cs="Arial"/>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60000.00</w:t>
      </w:r>
      <w:r>
        <w:rPr>
          <w:rFonts w:hint="eastAsia" w:ascii="仿宋_GB2312" w:hAnsi="仿宋_GB2312" w:eastAsia="仿宋_GB2312" w:cs="仿宋_GB2312"/>
          <w:b/>
          <w:bCs/>
          <w:color w:val="auto"/>
          <w:sz w:val="28"/>
          <w:szCs w:val="28"/>
          <w:highlight w:val="none"/>
          <w:lang w:eastAsia="zh-CN"/>
        </w:rPr>
        <w:t xml:space="preserve">元）。</w:t>
      </w:r>
      <w:r/>
    </w:p>
    <w:p>
      <w:pPr>
        <w:ind w:left="0" w:right="0" w:firstLine="560"/>
        <w:keepLines w:val="0"/>
        <w:keepNext w:val="0"/>
        <w:pageBreakBefore w:val="0"/>
        <w:spacing w:line="50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w:t>
      </w:r>
      <w:bookmarkStart w:id="13" w:name="_Hlk134691785"/>
      <w:r>
        <w:rPr>
          <w:rFonts w:hint="eastAsia" w:ascii="仿宋_GB2312" w:hAnsi="仿宋_GB2312" w:eastAsia="仿宋_GB2312" w:cs="仿宋_GB2312"/>
          <w:color w:val="auto"/>
          <w:sz w:val="28"/>
          <w:szCs w:val="28"/>
          <w:highlight w:val="none"/>
          <w:lang w:eastAsia="zh-CN"/>
        </w:rPr>
        <w:t xml:space="preserve">本项目需完成兴化市相关定点医疗机构与江苏省医疗保障信息平台之间5个数据采集接口的改造、开发、联调测试及上线工作，实现电子病历等医保支付相关数据的常态化、全量、规范上传。</w:t>
      </w:r>
      <w:bookmarkEnd w:id="13"/>
      <w:r>
        <w:rPr>
          <w:rFonts w:hint="eastAsia" w:ascii="仿宋_GB2312" w:hAnsi="仿宋_GB2312" w:eastAsia="仿宋_GB2312" w:cs="仿宋_GB2312"/>
          <w:sz w:val="28"/>
          <w:szCs w:val="28"/>
          <w:highlight w:val="none"/>
          <w:lang w:val="zh-CN"/>
        </w:rPr>
        <w:t xml:space="preserve">详见磋商文件</w:t>
      </w:r>
      <w:r>
        <w:rPr>
          <w:rFonts w:hint="eastAsia" w:ascii="仿宋_GB2312" w:hAnsi="仿宋_GB2312" w:eastAsia="仿宋_GB2312" w:cs="仿宋_GB2312"/>
          <w:color w:val="auto"/>
          <w:sz w:val="28"/>
          <w:szCs w:val="28"/>
          <w:highlight w:val="none"/>
          <w:lang w:val="zh-CN"/>
        </w:rPr>
        <w:t xml:space="preserve">第四章</w:t>
      </w:r>
      <w:r>
        <w:rPr>
          <w:rFonts w:hint="eastAsia" w:ascii="仿宋_GB2312" w:hAnsi="仿宋_GB2312" w:eastAsia="仿宋_GB2312" w:cs="仿宋_GB2312"/>
          <w:color w:val="auto"/>
          <w:sz w:val="28"/>
          <w:szCs w:val="28"/>
          <w:highlight w:val="none"/>
        </w:rPr>
        <w:t xml:space="preserve"> </w:t>
      </w:r>
      <w:r>
        <w:rPr>
          <w:rFonts w:hint="eastAsia" w:ascii="仿宋_GB2312" w:hAnsi="仿宋_GB2312" w:eastAsia="仿宋_GB2312" w:cs="仿宋_GB2312"/>
          <w:color w:val="auto"/>
          <w:sz w:val="28"/>
          <w:szCs w:val="28"/>
          <w:highlight w:val="none"/>
          <w:lang w:val="zh-CN"/>
        </w:rPr>
        <w:t xml:space="preserve">项目需求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.合同履行期限：自合同签订之日起</w:t>
      </w:r>
      <w:r>
        <w:rPr>
          <w:rFonts w:hint="eastAsia" w:ascii="仿宋_GB2312" w:hAnsi="仿宋_GB2312" w:eastAsia="仿宋_GB2312" w:cs="仿宋_GB2312"/>
          <w:color w:val="auto"/>
          <w:sz w:val="28"/>
          <w:szCs w:val="28"/>
          <w:highlight w:val="none"/>
          <w:lang w:val="en-US" w:eastAsia="zh-CN"/>
        </w:rPr>
        <w:t xml:space="preserve">60日</w:t>
      </w:r>
      <w:r>
        <w:rPr>
          <w:rFonts w:hint="eastAsia" w:ascii="仿宋_GB2312" w:hAnsi="仿宋_GB2312" w:eastAsia="仿宋_GB2312" w:cs="仿宋_GB2312"/>
          <w:color w:val="auto"/>
          <w:sz w:val="28"/>
          <w:szCs w:val="28"/>
          <w:highlight w:val="none"/>
        </w:rPr>
        <w:t xml:space="preserve">内，完成本项目全部建设内容并交付采购人。</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9.</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bookmarkStart w:id="14" w:name="_Toc28359080"/>
      <w:r/>
      <w:bookmarkStart w:id="15" w:name="_Toc38985264"/>
      <w:r/>
      <w:bookmarkStart w:id="16" w:name="_Toc35393791"/>
      <w:r/>
      <w:bookmarkStart w:id="17" w:name="_Toc28359003"/>
      <w:r/>
      <w:bookmarkStart w:id="18" w:name="_Toc35393622"/>
      <w:r>
        <w:rPr>
          <w:rFonts w:hint="eastAsia" w:ascii="黑体" w:hAnsi="黑体" w:eastAsia="黑体" w:cs="黑体"/>
          <w:b w:val="0"/>
          <w:bCs w:val="0"/>
          <w:color w:val="auto"/>
          <w:sz w:val="28"/>
          <w:szCs w:val="28"/>
          <w:highlight w:val="none"/>
        </w:rPr>
        <w:t xml:space="preserve">二、申请人的资格要求</w:t>
      </w:r>
      <w:bookmarkEnd w:id="14"/>
      <w:r/>
      <w:bookmarkEnd w:id="15"/>
      <w:r/>
      <w:bookmarkEnd w:id="16"/>
      <w:r/>
      <w:bookmarkEnd w:id="17"/>
      <w:r/>
      <w:bookmarkEnd w:id="18"/>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bookmarkStart w:id="19" w:name="_Toc38985265"/>
      <w:r/>
      <w:bookmarkStart w:id="20" w:name="_Toc35393792"/>
      <w:r/>
      <w:bookmarkStart w:id="21" w:name="_Toc35393623"/>
      <w:r/>
      <w:bookmarkStart w:id="22" w:name="_Toc28359081"/>
      <w:r/>
      <w:bookmarkStart w:id="23" w:name="_Toc28359004"/>
      <w:r>
        <w:rPr>
          <w:rFonts w:hint="eastAsia" w:ascii="方正楷体_GBK" w:hAnsi="方正楷体_GBK" w:eastAsia="方正楷体_GBK" w:cs="方正楷体_GBK"/>
          <w:b/>
          <w:bCs/>
          <w:color w:val="auto"/>
          <w:sz w:val="28"/>
          <w:szCs w:val="28"/>
          <w:highlight w:val="none"/>
        </w:rPr>
        <w:t xml:space="preserve">（一）通用资格要求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（二）落实政府采购政策需满足的资格要求：</w:t>
      </w:r>
      <w:r/>
    </w:p>
    <w:p>
      <w:pPr>
        <w:ind w:left="0" w:right="0" w:firstLine="560"/>
        <w:jc w:val="both"/>
        <w:keepLines w:val="0"/>
        <w:keepNext w:val="0"/>
        <w:pageBreakBefore w:val="0"/>
        <w:spacing w:beforeAutospacing="0" w:afterAutospacing="0" w:line="48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i/>
          <w:iCs/>
          <w:color w:val="000000"/>
          <w:sz w:val="28"/>
          <w:szCs w:val="28"/>
          <w:u w:val="single"/>
          <w:lang w:eastAsia="zh-CN"/>
        </w:rPr>
        <w:t xml:space="preserve">本项目属于专门面向中小企业采购的项目,供应商应为中小微企业、监狱企业、残疾人福利性单位</w:t>
      </w:r>
      <w:r>
        <w:rPr>
          <w:rFonts w:hint="eastAsia" w:ascii="仿宋_GB2312" w:hAnsi="仿宋_GB2312" w:eastAsia="仿宋_GB2312" w:cs="仿宋_GB2312"/>
          <w:color w:val="000000"/>
          <w:sz w:val="28"/>
          <w:szCs w:val="28"/>
        </w:rPr>
        <w:t xml:space="preserve">；</w:t>
      </w:r>
      <w:r/>
    </w:p>
    <w:p>
      <w:pPr>
        <w:numPr>
          <w:ilvl w:val="0"/>
          <w:numId w:val="0"/>
        </w:numPr>
        <w:ind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000000"/>
          <w:sz w:val="28"/>
          <w:szCs w:val="28"/>
        </w:rPr>
        <w:t xml:space="preserve">供应商提供明确以上事项的《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黑体" w:hAnsi="黑体" w:eastAsia="黑体" w:cs="黑体"/>
          <w:b w:val="0"/>
          <w:bCs w:val="0"/>
          <w:i w:val="0"/>
          <w:iCs w:val="0"/>
          <w:color w:val="auto"/>
          <w:sz w:val="28"/>
          <w:szCs w:val="28"/>
          <w:highlight w:val="none"/>
          <w:u w:val="none"/>
          <w:lang w:eastAsia="zh-CN"/>
        </w:rPr>
        <w:t xml:space="preserve">。</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rPr>
        <w:t xml:space="preserve">（</w:t>
      </w:r>
      <w:r>
        <w:rPr>
          <w:rFonts w:hint="eastAsia" w:ascii="方正楷体_GBK" w:hAnsi="方正楷体_GBK" w:eastAsia="方正楷体_GBK" w:cs="方正楷体_GBK"/>
          <w:b/>
          <w:bCs/>
          <w:color w:val="auto"/>
          <w:sz w:val="28"/>
          <w:szCs w:val="28"/>
          <w:highlight w:val="none"/>
          <w:lang w:eastAsia="zh-CN"/>
        </w:rPr>
        <w:t xml:space="preserve">三</w:t>
      </w:r>
      <w:r>
        <w:rPr>
          <w:rFonts w:hint="eastAsia" w:ascii="方正楷体_GBK" w:hAnsi="方正楷体_GBK" w:eastAsia="方正楷体_GBK" w:cs="方正楷体_GBK"/>
          <w:b/>
          <w:bCs/>
          <w:color w:val="auto"/>
          <w:sz w:val="28"/>
          <w:szCs w:val="28"/>
          <w:highlight w:val="none"/>
        </w:rPr>
        <w:t xml:space="preserve">）本项目的特定资格要求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lang w:eastAsia="zh-CN"/>
        </w:rPr>
        <w:t xml:space="preserve">无。</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9"/>
      <w:r/>
      <w:bookmarkEnd w:id="20"/>
      <w:r/>
      <w:bookmarkEnd w:id="21"/>
      <w:r/>
      <w:bookmarkEnd w:id="22"/>
      <w:r/>
      <w:bookmarkEnd w:id="23"/>
      <w:r>
        <w:rPr>
          <w:rFonts w:hint="eastAsia" w:ascii="黑体" w:hAnsi="黑体" w:eastAsia="黑体" w:cs="黑体"/>
          <w:b w:val="0"/>
          <w:bCs w:val="0"/>
          <w:color w:val="auto"/>
          <w:sz w:val="28"/>
          <w:szCs w:val="28"/>
          <w:highlight w:val="none"/>
        </w:rPr>
        <w:t xml:space="preserve">磋商文件</w:t>
      </w:r>
      <w:bookmarkStart w:id="24" w:name="_Toc35393793"/>
      <w:r/>
      <w:bookmarkStart w:id="25" w:name="_Toc35393624"/>
      <w:r/>
      <w:bookmarkStart w:id="26" w:name="_Toc28359082"/>
      <w:r/>
      <w:bookmarkStart w:id="27" w:name="_Toc28359005"/>
      <w:r/>
      <w:bookmarkStart w:id="28" w:name="_Toc38985266"/>
      <w:r/>
      <w:r/>
    </w:p>
    <w:p>
      <w:pPr>
        <w:ind w:left="0" w:right="0" w:firstLine="560"/>
        <w:keepLines/>
        <w:keepNext/>
        <w:pageBreakBefore w:val="0"/>
        <w:spacing w:line="50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4"/>
      <w:bookmarkEnd w:id="25"/>
      <w:bookmarkEnd w:id="26"/>
      <w:bookmarkEnd w:id="27"/>
      <w:bookmarkEnd w:id="28"/>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9" w:name="_Toc35393794"/>
      <w:r/>
      <w:bookmarkStart w:id="30" w:name="_Toc35393625"/>
      <w:r/>
      <w:bookmarkStart w:id="31" w:name="_Toc28359007"/>
      <w:r/>
      <w:bookmarkStart w:id="32" w:name="_Toc38985267"/>
      <w:r/>
      <w:bookmarkStart w:id="33" w:name="_Toc28359084"/>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none"/>
        </w:rPr>
        <w:t xml:space="preserve">202</w:t>
      </w:r>
      <w:r>
        <w:rPr>
          <w:rFonts w:hint="eastAsia" w:ascii="仿宋_GB2312" w:hAnsi="仿宋_GB2312" w:eastAsia="仿宋_GB2312" w:cs="仿宋_GB2312"/>
          <w:b/>
          <w:bCs/>
          <w:color w:val="auto"/>
          <w:sz w:val="28"/>
          <w:szCs w:val="28"/>
          <w:highlight w:val="yellow"/>
          <w:u w:val="none"/>
          <w:lang w:val="en-US" w:eastAsia="zh-CN"/>
        </w:rPr>
        <w:t xml:space="preserve">6</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10</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28  </w:t>
      </w:r>
      <w:r>
        <w:rPr>
          <w:rFonts w:hint="eastAsia" w:ascii="仿宋_GB2312" w:hAnsi="仿宋_GB2312" w:eastAsia="仿宋_GB2312" w:cs="仿宋_GB2312"/>
          <w:b/>
          <w:bCs/>
          <w:color w:val="auto"/>
          <w:sz w:val="28"/>
          <w:szCs w:val="28"/>
          <w:highlight w:val="yellow"/>
          <w:u w:val="none"/>
        </w:rPr>
        <w:t xml:space="preserve">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bookmarkStart w:id="34"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b/>
          <w:bCs/>
          <w:color w:val="auto"/>
          <w:sz w:val="28"/>
          <w:szCs w:val="28"/>
          <w:highlight w:val="yellow"/>
        </w:rPr>
        <w:t xml:space="preserve">202</w:t>
      </w:r>
      <w:r>
        <w:rPr>
          <w:rFonts w:hint="eastAsia" w:ascii="仿宋_GB2312" w:hAnsi="仿宋_GB2312" w:eastAsia="仿宋_GB2312" w:cs="仿宋_GB2312"/>
          <w:b/>
          <w:bCs/>
          <w:color w:val="auto"/>
          <w:sz w:val="28"/>
          <w:szCs w:val="28"/>
          <w:highlight w:val="yellow"/>
          <w:lang w:val="en-US" w:eastAsia="zh-CN"/>
        </w:rPr>
        <w:t xml:space="preserve">6</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10</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28</w:t>
      </w:r>
      <w:r>
        <w:rPr>
          <w:rFonts w:hint="eastAsia" w:ascii="仿宋_GB2312" w:hAnsi="仿宋_GB2312" w:eastAsia="仿宋_GB2312" w:cs="仿宋_GB2312"/>
          <w:b/>
          <w:bCs/>
          <w:color w:val="auto"/>
          <w:sz w:val="28"/>
          <w:szCs w:val="28"/>
          <w:highlight w:val="yellow"/>
        </w:rPr>
        <w:t xml:space="preserve"> 09:30</w:t>
      </w:r>
      <w:r>
        <w:rPr>
          <w:rFonts w:hint="eastAsia" w:ascii="仿宋_GB2312" w:hAnsi="仿宋_GB2312" w:eastAsia="仿宋_GB2312" w:cs="仿宋_GB2312"/>
          <w:color w:val="auto"/>
          <w:sz w:val="28"/>
          <w:szCs w:val="28"/>
          <w:highlight w:val="yellow"/>
        </w:rPr>
        <w:t xml:space="preserve"> </w:t>
      </w:r>
      <w:r>
        <w:rPr>
          <w:rFonts w:hint="eastAsia" w:ascii="仿宋_GB2312" w:hAnsi="仿宋_GB2312" w:eastAsia="仿宋_GB2312" w:cs="仿宋_GB2312"/>
          <w:color w:val="auto"/>
          <w:sz w:val="28"/>
          <w:szCs w:val="28"/>
          <w:highlight w:val="non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End w:id="34"/>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9"/>
      <w:r/>
      <w:bookmarkEnd w:id="30"/>
      <w:r/>
      <w:bookmarkEnd w:id="31"/>
      <w:r/>
      <w:bookmarkEnd w:id="32"/>
      <w:r/>
      <w:bookmarkEnd w:id="33"/>
      <w:r/>
      <w:r/>
    </w:p>
    <w:p>
      <w:pPr>
        <w:ind w:left="0" w:right="0" w:firstLine="560"/>
        <w:pageBreakBefore w:val="0"/>
        <w:spacing w:line="500" w:lineRule="exact"/>
        <w:widowControl w:val="off"/>
        <w:rPr>
          <w:rFonts w:hint="eastAsia" w:ascii="仿宋_GB2312" w:hAnsi="仿宋_GB2312" w:eastAsia="仿宋_GB2312" w:cs="仿宋_GB2312"/>
          <w:sz w:val="28"/>
          <w:szCs w:val="28"/>
          <w:highlight w:val="none"/>
        </w:rPr>
      </w:pPr>
      <w:r/>
      <w:bookmarkStart w:id="35" w:name="_Toc35393626"/>
      <w:r/>
      <w:bookmarkStart w:id="36" w:name="_Toc38985268"/>
      <w:r/>
      <w:bookmarkStart w:id="37" w:name="_Toc35393795"/>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5"/>
      <w:r/>
      <w:bookmarkEnd w:id="36"/>
      <w:r/>
      <w:bookmarkEnd w:id="37"/>
      <w:r/>
      <w:r/>
    </w:p>
    <w:p>
      <w:pPr>
        <w:ind w:firstLine="560"/>
        <w:pageBreakBefore w:val="0"/>
        <w:spacing w:line="500" w:lineRule="exact"/>
        <w:rPr>
          <w:rFonts w:hint="eastAsia" w:ascii="仿宋_GB2312" w:hAnsi="仿宋_GB2312" w:eastAsia="仿宋_GB2312" w:cs="仿宋_GB2312"/>
          <w:color w:val="auto"/>
          <w:sz w:val="28"/>
          <w:szCs w:val="28"/>
          <w:highlight w:val="none"/>
        </w:rPr>
      </w:pPr>
      <w:r/>
      <w:bookmarkStart w:id="38" w:name="_Toc38985269"/>
      <w:r/>
      <w:bookmarkStart w:id="39" w:name="_Toc28359008"/>
      <w:r/>
      <w:bookmarkStart w:id="40" w:name="_Toc28359085"/>
      <w:r/>
      <w:bookmarkStart w:id="41" w:name="_Toc35393796"/>
      <w:r/>
      <w:bookmarkStart w:id="42" w:name="_Toc35393627"/>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0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00" w:lineRule="exact"/>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highlight w:val="none"/>
          <w:u w:val="single"/>
        </w:rPr>
        <w:t xml:space="preserve">如潜在</w:t>
      </w:r>
      <w:r>
        <w:rPr>
          <w:rFonts w:hint="eastAsia" w:ascii="黑体" w:hAnsi="黑体" w:eastAsia="黑体" w:cs="黑体"/>
          <w:i/>
          <w:iCs/>
          <w:color w:val="auto"/>
          <w:sz w:val="28"/>
          <w:szCs w:val="28"/>
          <w:highlight w:val="none"/>
          <w:u w:val="single"/>
          <w:lang w:eastAsia="zh-CN"/>
        </w:rPr>
        <w:t xml:space="preserve">投标人</w:t>
      </w:r>
      <w:r>
        <w:rPr>
          <w:rFonts w:hint="eastAsia" w:ascii="黑体" w:hAnsi="黑体" w:eastAsia="黑体" w:cs="黑体"/>
          <w:i/>
          <w:iCs/>
          <w:color w:val="auto"/>
          <w:sz w:val="28"/>
          <w:szCs w:val="28"/>
          <w:highlight w:val="none"/>
          <w:u w:val="single"/>
        </w:rPr>
        <w:t xml:space="preserve">未按上述要求操作，将自行承担所产生的风险。</w:t>
      </w:r>
      <w:r/>
    </w:p>
    <w:p>
      <w:pPr>
        <w:ind w:firstLine="560"/>
        <w:pageBreakBefore w:val="0"/>
        <w:spacing w:line="50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0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8"/>
      <w:r/>
      <w:bookmarkEnd w:id="39"/>
      <w:r/>
      <w:bookmarkEnd w:id="40"/>
      <w:r/>
      <w:bookmarkEnd w:id="41"/>
      <w:r/>
      <w:bookmarkEnd w:id="42"/>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bookmarkStart w:id="43" w:name="_Toc28359009"/>
      <w:r/>
      <w:bookmarkStart w:id="44" w:name="_Toc28359086"/>
      <w:r/>
      <w:bookmarkStart w:id="45" w:name="OLE_LINK4"/>
      <w:r/>
      <w:bookmarkStart w:id="46" w:name="_Toc28359010"/>
      <w:r/>
      <w:bookmarkStart w:id="47" w:name="OLE_LINK3"/>
      <w:r/>
      <w:bookmarkStart w:id="48" w:name="OLE_LINK9"/>
      <w:r/>
      <w:bookmarkStart w:id="49" w:name="_Toc28359087"/>
      <w:r/>
      <w:bookmarkStart w:id="50" w:name="OLE_LINK22"/>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名称：兴化市戴窑镇中心卫生院</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地址：兴化市三桥路158号</w:t>
      </w:r>
      <w:r/>
    </w:p>
    <w:p>
      <w:pPr>
        <w:ind w:left="0" w:right="0" w:firstLine="560"/>
        <w:pageBreakBefore w:val="0"/>
        <w:spacing w:line="500" w:lineRule="exact"/>
        <w:widowControl w:val="off"/>
        <w:tabs>
          <w:tab w:val="left" w:pos="900" w:leader="none"/>
        </w:tabs>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李先生</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 xml:space="preserve">18252634157</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43"/>
      <w:r/>
      <w:bookmarkEnd w:id="44"/>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5"/>
      <w:r/>
      <w:bookmarkEnd w:id="46"/>
      <w:r/>
      <w:bookmarkEnd w:id="47"/>
      <w:r/>
      <w:bookmarkEnd w:id="48"/>
      <w:r/>
      <w:bookmarkEnd w:id="49"/>
      <w:r/>
      <w:bookmarkEnd w:id="50"/>
      <w:r/>
      <w:r/>
    </w:p>
    <w:p>
      <w:pPr>
        <w:ind w:firstLine="600"/>
        <w:jc w:val="left"/>
        <w:keepLines w:val="0"/>
        <w:keepNext w:val="0"/>
        <w:pageBreakBefore w:val="0"/>
        <w:spacing w:line="500" w:lineRule="exact"/>
        <w:widowControl/>
        <w:rPr>
          <w:rFonts w:hint="eastAsia" w:ascii="仿宋_GB2312" w:hAnsi="仿宋_GB2312" w:eastAsia="仿宋_GB2312" w:cs="仿宋_GB2312"/>
          <w:color w:val="auto"/>
          <w:sz w:val="30"/>
          <w:szCs w:val="30"/>
          <w:highlight w:val="none"/>
          <w:lang w:val="en-US" w:eastAsia="zh-CN"/>
        </w:rPr>
        <w:outlineLvl w:val="1"/>
      </w:pPr>
      <w:r>
        <w:rPr>
          <w:rFonts w:hint="eastAsia" w:ascii="仿宋_GB2312" w:hAnsi="仿宋_GB2312" w:eastAsia="仿宋_GB2312" w:cs="仿宋_GB2312"/>
          <w:color w:val="auto"/>
          <w:sz w:val="30"/>
          <w:szCs w:val="30"/>
          <w:highlight w:val="none"/>
          <w:lang w:val="en-US" w:eastAsia="zh-CN"/>
        </w:rPr>
        <w:t xml:space="preserve">3.项目联系方式</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sz w:val="28"/>
          <w:szCs w:val="28"/>
          <w:highlight w:val="none"/>
          <w:lang w:eastAsia="zh-CN"/>
        </w:rPr>
        <w:t xml:space="preserve">李先生</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 xml:space="preserve">  18252634157</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1"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1"/>
      <w:r>
        <w:rPr>
          <w:rFonts w:hint="eastAsia" w:ascii="黑体" w:hAnsi="黑体" w:eastAsia="黑体" w:cs="黑体"/>
          <w:b w:val="0"/>
          <w:bCs w:val="0"/>
          <w:sz w:val="36"/>
          <w:szCs w:val="36"/>
        </w:rPr>
        <w:t xml:space="preserve">供应商须知</w:t>
      </w:r>
      <w:r/>
    </w:p>
    <w:p>
      <w:pPr>
        <w:ind w:firstLine="436"/>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52" w:name="_Toc120614214"/>
      <w:r/>
      <w:bookmarkStart w:id="53" w:name="_Toc513029203"/>
      <w:r/>
      <w:bookmarkStart w:id="54" w:name="_Toc20823275"/>
      <w:r/>
      <w:bookmarkStart w:id="55" w:name="_Toc16938519"/>
      <w:r/>
      <w:bookmarkStart w:id="56" w:name="_Toc20823314"/>
      <w:r/>
      <w:bookmarkStart w:id="57" w:name="_Toc513029242"/>
      <w:r/>
      <w:bookmarkStart w:id="58" w:name="_Toc120614221"/>
      <w:r/>
      <w:bookmarkStart w:id="59" w:name="_Toc16938558"/>
      <w:r/>
      <w:bookmarkStart w:id="60" w:name="_Toc479757207"/>
      <w:r>
        <w:rPr>
          <w:rFonts w:hint="eastAsia" w:ascii="仿宋_GB2312" w:hAnsi="仿宋_GB2312" w:eastAsia="仿宋_GB2312" w:cs="仿宋_GB2312"/>
          <w:b/>
          <w:bCs/>
          <w:sz w:val="28"/>
          <w:szCs w:val="28"/>
        </w:rPr>
        <w:t xml:space="preserve">一、总则</w:t>
      </w:r>
      <w:bookmarkEnd w:id="52"/>
      <w:r/>
      <w:bookmarkEnd w:id="53"/>
      <w:r/>
      <w:bookmarkEnd w:id="54"/>
      <w:r/>
      <w:bookmarkEnd w:id="55"/>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1" w:name="_Hlt16619475"/>
      <w:r/>
      <w:bookmarkEnd w:id="61"/>
      <w:r/>
      <w:bookmarkStart w:id="62" w:name="_Toc458694821"/>
      <w:r/>
      <w:bookmarkStart w:id="63" w:name="_Toc20823276"/>
      <w:r/>
      <w:bookmarkStart w:id="64" w:name="_Toc513029204"/>
      <w:r/>
      <w:bookmarkStart w:id="65" w:name="_Toc16938520"/>
      <w:r>
        <w:rPr>
          <w:rFonts w:hint="eastAsia" w:ascii="仿宋_GB2312" w:hAnsi="仿宋_GB2312" w:eastAsia="仿宋_GB2312" w:cs="仿宋_GB2312"/>
          <w:sz w:val="28"/>
          <w:szCs w:val="28"/>
        </w:rPr>
        <w:t xml:space="preserve">1</w:t>
      </w:r>
      <w:bookmarkEnd w:id="62"/>
      <w:r>
        <w:rPr>
          <w:rFonts w:hint="eastAsia" w:ascii="仿宋_GB2312" w:hAnsi="仿宋_GB2312" w:eastAsia="仿宋_GB2312" w:cs="仿宋_GB2312"/>
          <w:sz w:val="28"/>
          <w:szCs w:val="28"/>
        </w:rPr>
        <w:t xml:space="preserve">、采购方式</w:t>
      </w:r>
      <w:bookmarkEnd w:id="63"/>
      <w:r/>
      <w:bookmarkEnd w:id="64"/>
      <w:r/>
      <w:bookmarkEnd w:id="6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6" w:name="_Toc513029205"/>
      <w:r/>
      <w:bookmarkStart w:id="67" w:name="_Toc16938521"/>
      <w:r/>
      <w:bookmarkStart w:id="68" w:name="_Toc20823277"/>
      <w:r>
        <w:rPr>
          <w:rFonts w:hint="eastAsia" w:ascii="仿宋_GB2312" w:hAnsi="仿宋_GB2312" w:eastAsia="仿宋_GB2312" w:cs="仿宋_GB2312"/>
          <w:sz w:val="28"/>
          <w:szCs w:val="28"/>
        </w:rPr>
        <w:t xml:space="preserve">2、合格的</w:t>
      </w:r>
      <w:bookmarkEnd w:id="66"/>
      <w:r/>
      <w:bookmarkEnd w:id="67"/>
      <w:r/>
      <w:bookmarkEnd w:id="68"/>
      <w:r>
        <w:rPr>
          <w:rFonts w:hint="eastAsia" w:ascii="仿宋_GB2312" w:hAnsi="仿宋_GB2312" w:eastAsia="仿宋_GB2312" w:cs="仿宋_GB2312"/>
          <w:sz w:val="28"/>
          <w:szCs w:val="28"/>
        </w:rPr>
        <w:t xml:space="preserve">供应商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9" w:name="_Toc16938522"/>
      <w:r/>
      <w:bookmarkStart w:id="70" w:name="_Toc513029206"/>
      <w:r/>
      <w:bookmarkStart w:id="71" w:name="_Toc20823278"/>
      <w:r>
        <w:rPr>
          <w:rFonts w:hint="eastAsia" w:ascii="仿宋_GB2312" w:hAnsi="仿宋_GB2312" w:eastAsia="仿宋_GB2312" w:cs="仿宋_GB2312"/>
          <w:sz w:val="28"/>
          <w:szCs w:val="28"/>
        </w:rPr>
        <w:t xml:space="preserve">3、适用法律</w:t>
      </w:r>
      <w:bookmarkEnd w:id="69"/>
      <w:r/>
      <w:bookmarkEnd w:id="70"/>
      <w:r/>
      <w:bookmarkEnd w:id="71"/>
      <w:r/>
      <w:r/>
    </w:p>
    <w:p>
      <w:pPr>
        <w:ind w:firstLine="49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2" w:name="_Toc20823279"/>
      <w:r/>
      <w:bookmarkStart w:id="73" w:name="_Toc513029207"/>
      <w:r/>
      <w:bookmarkStart w:id="74" w:name="_Toc16938523"/>
      <w:r/>
      <w:bookmarkStart w:id="75" w:name="_Toc462564067"/>
      <w:r>
        <w:rPr>
          <w:rFonts w:hint="eastAsia" w:ascii="仿宋_GB2312" w:hAnsi="仿宋_GB2312" w:eastAsia="仿宋_GB2312" w:cs="仿宋_GB2312"/>
          <w:sz w:val="28"/>
          <w:szCs w:val="28"/>
        </w:rPr>
        <w:t xml:space="preserve">4、磋商费用</w:t>
      </w:r>
      <w:bookmarkEnd w:id="72"/>
      <w:r/>
      <w:bookmarkEnd w:id="73"/>
      <w:r/>
      <w:bookmarkEnd w:id="74"/>
      <w:r/>
      <w:bookmarkEnd w:id="7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76" w:name="_Toc120614215"/>
      <w:r/>
      <w:bookmarkStart w:id="77" w:name="_Toc513029209"/>
      <w:r/>
      <w:bookmarkStart w:id="78" w:name="_Toc16938525"/>
      <w:r/>
      <w:bookmarkStart w:id="79" w:name="_Toc20823281"/>
      <w:r>
        <w:rPr>
          <w:rFonts w:hint="eastAsia" w:ascii="仿宋_GB2312" w:hAnsi="仿宋_GB2312" w:eastAsia="仿宋_GB2312" w:cs="仿宋_GB2312"/>
          <w:b/>
          <w:bCs/>
          <w:sz w:val="28"/>
          <w:szCs w:val="28"/>
        </w:rPr>
        <w:t xml:space="preserve">二、</w:t>
      </w:r>
      <w:bookmarkEnd w:id="76"/>
      <w:r/>
      <w:bookmarkEnd w:id="77"/>
      <w:r/>
      <w:bookmarkEnd w:id="78"/>
      <w:r/>
      <w:bookmarkEnd w:id="79"/>
      <w:r>
        <w:rPr>
          <w:rFonts w:hint="eastAsia" w:ascii="仿宋_GB2312" w:hAnsi="仿宋_GB2312" w:eastAsia="仿宋_GB2312" w:cs="仿宋_GB2312"/>
          <w:b/>
          <w:bCs/>
          <w:sz w:val="28"/>
          <w:szCs w:val="28"/>
        </w:rPr>
        <w:t xml:space="preserve">磋商文件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0" w:name="_Toc16938526"/>
      <w:r/>
      <w:bookmarkStart w:id="81" w:name="_Toc513029210"/>
      <w:r/>
      <w:bookmarkStart w:id="82" w:name="_Toc20823282"/>
      <w:r>
        <w:rPr>
          <w:rFonts w:hint="eastAsia" w:ascii="仿宋_GB2312" w:hAnsi="仿宋_GB2312" w:eastAsia="仿宋_GB2312" w:cs="仿宋_GB2312"/>
          <w:sz w:val="28"/>
          <w:szCs w:val="28"/>
        </w:rPr>
        <w:t xml:space="preserve">6、磋商文件构成</w:t>
      </w:r>
      <w:bookmarkEnd w:id="80"/>
      <w:r/>
      <w:bookmarkEnd w:id="81"/>
      <w:r/>
      <w:bookmarkEnd w:id="8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3" w:name="_Toc20823283"/>
      <w:r/>
      <w:bookmarkStart w:id="84" w:name="_Toc16938527"/>
      <w:r/>
      <w:bookmarkStart w:id="85" w:name="_Toc513029211"/>
      <w:r/>
      <w:bookmarkStart w:id="86" w:name="_Toc462564070"/>
      <w:r>
        <w:rPr>
          <w:rFonts w:hint="eastAsia" w:ascii="仿宋_GB2312" w:hAnsi="仿宋_GB2312" w:eastAsia="仿宋_GB2312" w:cs="仿宋_GB2312"/>
          <w:sz w:val="28"/>
          <w:szCs w:val="28"/>
        </w:rPr>
        <w:t xml:space="preserve">7、磋商文件的澄清</w:t>
      </w:r>
      <w:bookmarkEnd w:id="83"/>
      <w:r/>
      <w:bookmarkEnd w:id="84"/>
      <w:r/>
      <w:bookmarkEnd w:id="85"/>
      <w:r/>
      <w:bookmarkEnd w:id="86"/>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7" w:name="_Toc20823284"/>
      <w:r/>
      <w:bookmarkStart w:id="88" w:name="_Toc513029212"/>
      <w:r/>
      <w:bookmarkStart w:id="89" w:name="_Toc462564071"/>
      <w:r/>
      <w:bookmarkStart w:id="90" w:name="_Toc16938528"/>
      <w:r>
        <w:rPr>
          <w:rFonts w:hint="eastAsia" w:ascii="仿宋_GB2312" w:hAnsi="仿宋_GB2312" w:eastAsia="仿宋_GB2312" w:cs="仿宋_GB2312"/>
          <w:sz w:val="28"/>
          <w:szCs w:val="28"/>
        </w:rPr>
        <w:t xml:space="preserve">8、磋商文件的澄清和修改</w:t>
      </w:r>
      <w:bookmarkEnd w:id="87"/>
      <w:r/>
      <w:bookmarkEnd w:id="88"/>
      <w:r/>
      <w:bookmarkEnd w:id="89"/>
      <w:r/>
      <w:bookmarkEnd w:id="90"/>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91" w:name="_Toc513029213"/>
      <w:r/>
      <w:bookmarkStart w:id="92" w:name="_Toc120614216"/>
      <w:r/>
      <w:bookmarkStart w:id="93" w:name="_Toc16938529"/>
      <w:r/>
      <w:bookmarkStart w:id="94" w:name="_Toc20823285"/>
      <w:r/>
      <w:bookmarkStart w:id="95" w:name="_Toc462564072"/>
      <w:r>
        <w:rPr>
          <w:rFonts w:hint="eastAsia" w:ascii="仿宋_GB2312" w:hAnsi="仿宋_GB2312" w:eastAsia="仿宋_GB2312" w:cs="仿宋_GB2312"/>
          <w:b/>
          <w:bCs/>
          <w:sz w:val="28"/>
          <w:szCs w:val="28"/>
        </w:rPr>
        <w:t xml:space="preserve">三、响应文件的编制</w:t>
      </w:r>
      <w:bookmarkEnd w:id="91"/>
      <w:r/>
      <w:bookmarkEnd w:id="92"/>
      <w:r/>
      <w:bookmarkEnd w:id="93"/>
      <w:r/>
      <w:bookmarkEnd w:id="94"/>
      <w:r/>
      <w:bookmarkEnd w:id="95"/>
      <w:r/>
      <w:r/>
    </w:p>
    <w:p>
      <w:pPr>
        <w:ind w:firstLine="560"/>
        <w:keepLines/>
        <w:keepNext/>
        <w:pageBreakBefore w:val="0"/>
        <w:spacing w:line="500" w:lineRule="exact"/>
        <w:widowControl w:val="off"/>
        <w:rPr>
          <w:rFonts w:hint="eastAsia" w:ascii="仿宋_GB2312" w:hAnsi="仿宋_GB2312" w:eastAsia="仿宋_GB2312" w:cs="仿宋_GB2312"/>
          <w:b/>
          <w:sz w:val="28"/>
          <w:szCs w:val="28"/>
        </w:rPr>
        <w:outlineLvl w:val="3"/>
      </w:pPr>
      <w:r/>
      <w:bookmarkStart w:id="96" w:name="_Toc16938530"/>
      <w:r/>
      <w:bookmarkStart w:id="97" w:name="_Toc513029214"/>
      <w:r/>
      <w:bookmarkStart w:id="98" w:name="_Toc20823286"/>
      <w:r/>
      <w:bookmarkStart w:id="99" w:name="_Toc462564073"/>
      <w:r>
        <w:rPr>
          <w:rFonts w:hint="eastAsia" w:ascii="仿宋_GB2312" w:hAnsi="仿宋_GB2312" w:eastAsia="仿宋_GB2312" w:cs="仿宋_GB2312"/>
          <w:sz w:val="28"/>
          <w:szCs w:val="28"/>
        </w:rPr>
        <w:t xml:space="preserve">9、响应文件的语言及度量衡单位</w:t>
      </w:r>
      <w:bookmarkEnd w:id="96"/>
      <w:r/>
      <w:bookmarkEnd w:id="97"/>
      <w:r/>
      <w:bookmarkEnd w:id="98"/>
      <w:r/>
      <w:bookmarkEnd w:id="9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0" w:name="_Toc20823287"/>
      <w:r/>
      <w:bookmarkStart w:id="101" w:name="_Toc462564074"/>
      <w:r/>
      <w:bookmarkStart w:id="102" w:name="_Toc513029215"/>
      <w:r/>
      <w:bookmarkStart w:id="103" w:name="_Toc16938531"/>
      <w:r>
        <w:rPr>
          <w:rFonts w:hint="eastAsia" w:ascii="仿宋_GB2312" w:hAnsi="仿宋_GB2312" w:eastAsia="仿宋_GB2312" w:cs="仿宋_GB2312"/>
          <w:sz w:val="28"/>
          <w:szCs w:val="28"/>
        </w:rPr>
        <w:t xml:space="preserve">10、响应文件构成</w:t>
      </w:r>
      <w:bookmarkEnd w:id="100"/>
      <w:r/>
      <w:bookmarkEnd w:id="101"/>
      <w:r/>
      <w:bookmarkEnd w:id="102"/>
      <w:r/>
      <w:bookmarkEnd w:id="103"/>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4" w:name="_Hlt26954838"/>
      <w:r/>
      <w:bookmarkEnd w:id="104"/>
      <w:r/>
      <w:bookmarkStart w:id="105" w:name="_Hlt26668975"/>
      <w:r/>
      <w:bookmarkEnd w:id="105"/>
      <w:r/>
      <w:bookmarkStart w:id="106" w:name="_Hlt26670360"/>
      <w:r/>
      <w:bookmarkEnd w:id="106"/>
      <w:r/>
      <w:bookmarkStart w:id="107" w:name="_Toc49090509"/>
      <w:r/>
      <w:bookmarkStart w:id="108" w:name="_Toc14577357"/>
      <w:r/>
      <w:bookmarkStart w:id="109" w:name="_Toc513029219"/>
      <w:r/>
      <w:bookmarkStart w:id="110" w:name="_Toc14577354"/>
      <w:r/>
      <w:bookmarkStart w:id="111" w:name="_Toc513029216"/>
      <w:r/>
      <w:bookmarkStart w:id="112" w:name="_Toc49090507"/>
      <w:r/>
      <w:bookmarkStart w:id="113" w:name="_Toc14577355"/>
      <w:r/>
      <w:bookmarkStart w:id="114" w:name="_Toc49090508"/>
      <w:r>
        <w:rPr>
          <w:rFonts w:hint="eastAsia" w:ascii="仿宋_GB2312" w:hAnsi="仿宋_GB2312" w:eastAsia="仿宋_GB2312" w:cs="仿宋_GB2312"/>
          <w:sz w:val="28"/>
          <w:szCs w:val="28"/>
        </w:rPr>
        <w:t xml:space="preserve">11、证明磋商响应标的符合磋商文件规定的文件</w:t>
      </w:r>
      <w:bookmarkEnd w:id="107"/>
      <w:r/>
      <w:bookmarkEnd w:id="108"/>
      <w:r/>
      <w:bookmarkEnd w:id="109"/>
      <w:r/>
      <w:bookmarkEnd w:id="110"/>
      <w:bookmarkEnd w:id="111"/>
      <w:bookmarkEnd w:id="112"/>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3"/>
      <w:bookmarkEnd w:id="114"/>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5" w:name="_Hlt26670482"/>
      <w:r/>
      <w:bookmarkEnd w:id="115"/>
      <w:r/>
      <w:bookmarkStart w:id="116" w:name="_Hlt26954731"/>
      <w:r/>
      <w:bookmarkEnd w:id="116"/>
      <w:r/>
      <w:bookmarkStart w:id="117" w:name="_Hlt26954846"/>
      <w:r/>
      <w:bookmarkEnd w:id="117"/>
      <w:r/>
      <w:bookmarkStart w:id="118" w:name="_Hlt26954848"/>
      <w:r/>
      <w:bookmarkEnd w:id="118"/>
      <w:r/>
      <w:bookmarkStart w:id="119" w:name="_Hlt26670486"/>
      <w:r/>
      <w:bookmarkEnd w:id="119"/>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0" w:name="_Toc49090510"/>
      <w:r/>
      <w:bookmarkStart w:id="121" w:name="_Toc14577359"/>
      <w:r>
        <w:rPr>
          <w:rFonts w:hint="eastAsia" w:ascii="仿宋_GB2312" w:hAnsi="仿宋_GB2312" w:eastAsia="仿宋_GB2312" w:cs="仿宋_GB2312"/>
          <w:sz w:val="28"/>
          <w:szCs w:val="28"/>
        </w:rPr>
        <w:t xml:space="preserve">15、磋商响应函</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20"/>
      <w:bookmarkEnd w:id="121"/>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2" w:name="_Toc49090511"/>
      <w:r/>
      <w:bookmarkStart w:id="123" w:name="_Toc14577360"/>
      <w:r>
        <w:rPr>
          <w:rFonts w:hint="eastAsia" w:ascii="仿宋_GB2312" w:hAnsi="仿宋_GB2312" w:eastAsia="仿宋_GB2312" w:cs="仿宋_GB2312"/>
          <w:sz w:val="28"/>
          <w:szCs w:val="28"/>
        </w:rPr>
        <w:t xml:space="preserve">16、磋商有效期</w:t>
      </w:r>
      <w:bookmarkEnd w:id="122"/>
      <w:r/>
      <w:bookmarkEnd w:id="123"/>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24" w:name="_Hlt26954852"/>
      <w:r/>
      <w:bookmarkEnd w:id="124"/>
      <w:r/>
      <w:bookmarkStart w:id="125" w:name="_Hlt26954739"/>
      <w:r/>
      <w:bookmarkEnd w:id="125"/>
      <w:r/>
      <w:bookmarkStart w:id="126" w:name="_Toc120614217"/>
      <w:r/>
      <w:bookmarkStart w:id="127" w:name="_Toc16938540"/>
      <w:r/>
      <w:bookmarkStart w:id="128" w:name="_Toc513029224"/>
      <w:r/>
      <w:bookmarkStart w:id="129" w:name="_Toc20823296"/>
      <w:r>
        <w:rPr>
          <w:rFonts w:hint="eastAsia" w:ascii="仿宋_GB2312" w:hAnsi="仿宋_GB2312" w:eastAsia="仿宋_GB2312" w:cs="仿宋_GB2312"/>
          <w:b/>
          <w:bCs/>
          <w:sz w:val="28"/>
          <w:szCs w:val="28"/>
        </w:rPr>
        <w:t xml:space="preserve">四、响应文件的递交</w:t>
      </w:r>
      <w:bookmarkEnd w:id="126"/>
      <w:r/>
      <w:bookmarkEnd w:id="127"/>
      <w:r/>
      <w:bookmarkEnd w:id="128"/>
      <w:r/>
      <w:bookmarkEnd w:id="129"/>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0" w:name="_Toc462564084"/>
      <w:r/>
      <w:bookmarkStart w:id="131" w:name="_Toc20823297"/>
      <w:r/>
      <w:bookmarkStart w:id="132" w:name="_Toc513029225"/>
      <w:r/>
      <w:bookmarkStart w:id="133" w:name="_Toc16938541"/>
      <w:r>
        <w:rPr>
          <w:rFonts w:hint="eastAsia" w:ascii="仿宋_GB2312" w:hAnsi="仿宋_GB2312" w:eastAsia="仿宋_GB2312" w:cs="仿宋_GB2312"/>
          <w:sz w:val="28"/>
          <w:szCs w:val="28"/>
        </w:rPr>
        <w:t xml:space="preserve">18、电子磋商</w:t>
      </w:r>
      <w:bookmarkEnd w:id="130"/>
      <w:r/>
      <w:bookmarkEnd w:id="131"/>
      <w:r/>
      <w:bookmarkEnd w:id="132"/>
      <w:r/>
      <w:bookmarkEnd w:id="133"/>
      <w:r>
        <w:rPr>
          <w:rFonts w:hint="eastAsia" w:ascii="仿宋_GB2312" w:hAnsi="仿宋_GB2312" w:eastAsia="仿宋_GB2312" w:cs="仿宋_GB2312"/>
          <w:sz w:val="28"/>
          <w:szCs w:val="28"/>
        </w:rPr>
        <w:t xml:space="preserve">响应文件的递交</w:t>
      </w:r>
      <w:r/>
    </w:p>
    <w:p>
      <w:pPr>
        <w:ind w:firstLine="70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4" w:name="_Toc513029226"/>
      <w:r/>
      <w:bookmarkStart w:id="135" w:name="_Toc16938542"/>
      <w:r/>
      <w:bookmarkStart w:id="136" w:name="_Toc20823298"/>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4"/>
      <w:r/>
      <w:bookmarkEnd w:id="135"/>
      <w:r/>
      <w:bookmarkEnd w:id="136"/>
      <w:r/>
      <w:r/>
    </w:p>
    <w:p>
      <w:pPr>
        <w:ind w:firstLine="560"/>
        <w:pageBreakBefore w:val="0"/>
        <w:spacing w:line="50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7" w:name="_Toc20823299"/>
      <w:r/>
      <w:bookmarkStart w:id="138" w:name="_Toc513029227"/>
      <w:r/>
      <w:bookmarkStart w:id="139" w:name="_Toc16938543"/>
      <w:r>
        <w:rPr>
          <w:rFonts w:hint="eastAsia" w:ascii="仿宋_GB2312" w:hAnsi="仿宋_GB2312" w:eastAsia="仿宋_GB2312" w:cs="仿宋_GB2312"/>
          <w:sz w:val="28"/>
          <w:szCs w:val="28"/>
        </w:rPr>
        <w:t xml:space="preserve">20、响应文件</w:t>
      </w:r>
      <w:bookmarkEnd w:id="137"/>
      <w:r/>
      <w:bookmarkEnd w:id="138"/>
      <w:r/>
      <w:bookmarkEnd w:id="139"/>
      <w:r>
        <w:rPr>
          <w:rFonts w:hint="eastAsia" w:ascii="仿宋_GB2312" w:hAnsi="仿宋_GB2312" w:eastAsia="仿宋_GB2312" w:cs="仿宋_GB2312"/>
          <w:sz w:val="28"/>
          <w:szCs w:val="28"/>
        </w:rPr>
        <w:t xml:space="preserve">的拒收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40" w:name="_Toc16938544"/>
      <w:r/>
      <w:bookmarkStart w:id="141" w:name="_Toc20823300"/>
      <w:r/>
      <w:bookmarkStart w:id="142" w:name="_Toc513029228"/>
      <w:r>
        <w:rPr>
          <w:rFonts w:hint="eastAsia" w:ascii="仿宋_GB2312" w:hAnsi="仿宋_GB2312" w:eastAsia="仿宋_GB2312" w:cs="仿宋_GB2312"/>
          <w:sz w:val="28"/>
          <w:szCs w:val="28"/>
        </w:rPr>
        <w:t xml:space="preserve">21、响应文件的撤回和修改</w:t>
      </w:r>
      <w:bookmarkEnd w:id="140"/>
      <w:r/>
      <w:bookmarkEnd w:id="141"/>
      <w:r/>
      <w:bookmarkEnd w:id="14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43" w:name="_Toc513029229"/>
      <w:r/>
      <w:bookmarkStart w:id="144" w:name="_Toc20823301"/>
      <w:r/>
      <w:bookmarkStart w:id="145" w:name="_Toc120614218"/>
      <w:r/>
      <w:bookmarkStart w:id="146" w:name="_Toc16938545"/>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3"/>
      <w:r/>
      <w:bookmarkEnd w:id="144"/>
      <w:r/>
      <w:bookmarkEnd w:id="145"/>
      <w:r/>
      <w:bookmarkEnd w:id="146"/>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7" w:name="_Toc20823302"/>
      <w:r/>
      <w:bookmarkStart w:id="148" w:name="_Toc16938546"/>
      <w:r/>
      <w:bookmarkStart w:id="149" w:name="_Toc513029230"/>
      <w:r>
        <w:rPr>
          <w:rFonts w:hint="eastAsia" w:ascii="仿宋_GB2312" w:hAnsi="仿宋_GB2312" w:eastAsia="仿宋_GB2312" w:cs="仿宋_GB2312"/>
          <w:color w:val="auto"/>
          <w:sz w:val="28"/>
          <w:szCs w:val="28"/>
        </w:rPr>
        <w:t xml:space="preserve">22、</w:t>
      </w:r>
      <w:bookmarkEnd w:id="147"/>
      <w:r/>
      <w:bookmarkEnd w:id="148"/>
      <w:r/>
      <w:bookmarkEnd w:id="149"/>
      <w:r>
        <w:rPr>
          <w:rFonts w:hint="eastAsia" w:ascii="仿宋_GB2312" w:hAnsi="仿宋_GB2312" w:eastAsia="仿宋_GB2312" w:cs="仿宋_GB2312"/>
          <w:color w:val="auto"/>
          <w:sz w:val="28"/>
          <w:szCs w:val="28"/>
        </w:rPr>
        <w:t xml:space="preserve">响应文件解密</w:t>
      </w:r>
      <w:r/>
    </w:p>
    <w:p>
      <w:pPr>
        <w:ind w:firstLine="42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0" w:name="_Toc20823303"/>
      <w:r/>
      <w:bookmarkStart w:id="151" w:name="_Toc513029231"/>
      <w:r/>
      <w:bookmarkStart w:id="152" w:name="_Toc16938547"/>
      <w:r>
        <w:rPr>
          <w:rFonts w:hint="eastAsia" w:ascii="仿宋_GB2312" w:hAnsi="仿宋_GB2312" w:eastAsia="仿宋_GB2312" w:cs="仿宋_GB2312"/>
          <w:color w:val="auto"/>
          <w:sz w:val="28"/>
          <w:szCs w:val="28"/>
        </w:rPr>
        <w:t xml:space="preserve">23、磋商小组</w:t>
      </w:r>
      <w:r/>
    </w:p>
    <w:p>
      <w:pPr>
        <w:pageBreakBefore w:val="0"/>
        <w:spacing w:line="50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50"/>
      <w:bookmarkEnd w:id="151"/>
      <w:bookmarkEnd w:id="152"/>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53" w:name="_Toc16938548"/>
      <w:r/>
      <w:bookmarkStart w:id="154" w:name="_Toc20823304"/>
      <w:r/>
      <w:bookmarkStart w:id="155" w:name="_Toc513029232"/>
      <w:r>
        <w:rPr>
          <w:rFonts w:hint="eastAsia" w:ascii="仿宋_GB2312" w:hAnsi="仿宋_GB2312" w:eastAsia="仿宋_GB2312" w:cs="仿宋_GB2312"/>
          <w:sz w:val="28"/>
          <w:szCs w:val="28"/>
        </w:rPr>
        <w:t xml:space="preserve">25、评审过程中的的澄清</w:t>
      </w:r>
      <w:bookmarkEnd w:id="153"/>
      <w:r/>
      <w:bookmarkEnd w:id="154"/>
      <w:r/>
      <w:bookmarkEnd w:id="155"/>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接到磋商小组澄清、说明和更正要求的供应商如未按规定做出澄清、说明和更正，其风险由供应商自行承担。</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6" w:name="_Toc513029233"/>
      <w:r/>
      <w:bookmarkStart w:id="157" w:name="_Toc16938549"/>
      <w:r/>
      <w:bookmarkStart w:id="158" w:name="_Toc20823305"/>
      <w:r>
        <w:rPr>
          <w:rFonts w:hint="eastAsia" w:ascii="仿宋_GB2312" w:hAnsi="仿宋_GB2312" w:eastAsia="仿宋_GB2312" w:cs="仿宋_GB2312"/>
          <w:color w:val="auto"/>
          <w:sz w:val="28"/>
          <w:szCs w:val="28"/>
        </w:rPr>
        <w:t xml:space="preserve">26、对响应文件的审</w:t>
      </w:r>
      <w:bookmarkEnd w:id="156"/>
      <w:r/>
      <w:bookmarkEnd w:id="157"/>
      <w:r/>
      <w:bookmarkEnd w:id="158"/>
      <w:r>
        <w:rPr>
          <w:rFonts w:hint="eastAsia" w:ascii="仿宋_GB2312" w:hAnsi="仿宋_GB2312" w:eastAsia="仿宋_GB2312" w:cs="仿宋_GB2312"/>
          <w:color w:val="auto"/>
          <w:sz w:val="28"/>
          <w:szCs w:val="28"/>
        </w:rPr>
        <w:t xml:space="preserve">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0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00" w:lineRule="exact"/>
        <w:widowControl w:val="off"/>
        <w:rPr>
          <w:rFonts w:hint="eastAsia" w:ascii="仿宋_GB2312" w:hAnsi="仿宋_GB2312" w:eastAsia="仿宋_GB2312" w:cs="仿宋_GB2312"/>
          <w:color w:val="auto"/>
          <w:sz w:val="28"/>
          <w:szCs w:val="28"/>
        </w:rPr>
      </w:pPr>
      <w:r/>
      <w:bookmarkStart w:id="159" w:name="_Toc20823306"/>
      <w:r/>
      <w:bookmarkStart w:id="160" w:name="_Toc16938550"/>
      <w:r/>
      <w:bookmarkStart w:id="161" w:name="_Toc513029234"/>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56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9"/>
      <w:r/>
      <w:bookmarkEnd w:id="160"/>
      <w:r/>
      <w:bookmarkEnd w:id="161"/>
      <w:r>
        <w:rPr>
          <w:rFonts w:hint="eastAsia" w:ascii="仿宋_GB2312" w:hAnsi="仿宋_GB2312" w:eastAsia="仿宋_GB2312" w:cs="仿宋_GB2312"/>
          <w:color w:val="auto"/>
          <w:sz w:val="28"/>
          <w:szCs w:val="28"/>
        </w:rPr>
        <w:t xml:space="preserve">磋商程序及评审方法和评审标准</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ageBreakBefore w:val="0"/>
        <w:spacing w:line="500" w:lineRule="exact"/>
        <w:widowControl w:val="off"/>
        <w:tabs>
          <w:tab w:val="left" w:pos="900" w:leader="none"/>
        </w:tabs>
        <w:rPr>
          <w:rFonts w:hint="eastAsia" w:ascii="仿宋_GB2312" w:hAnsi="仿宋_GB2312" w:eastAsia="仿宋_GB2312" w:cs="仿宋_GB2312"/>
          <w:sz w:val="28"/>
          <w:szCs w:val="28"/>
        </w:rPr>
      </w:pPr>
      <w:r>
        <w:rPr>
          <w:rFonts w:hint="eastAsia" w:ascii="仿宋" w:hAnsi="仿宋" w:eastAsia="仿宋" w:cs="仿宋_GB2312"/>
          <w:b/>
          <w:bCs/>
          <w:sz w:val="28"/>
          <w:szCs w:val="28"/>
          <w:highlight w:val="none"/>
        </w:rPr>
        <w:t xml:space="preserve">（</w:t>
      </w:r>
      <w:r>
        <w:rPr>
          <w:rFonts w:hint="eastAsia" w:ascii="仿宋" w:hAnsi="仿宋" w:eastAsia="仿宋" w:cs="仿宋_GB2312"/>
          <w:b/>
          <w:bCs/>
          <w:sz w:val="28"/>
          <w:szCs w:val="28"/>
          <w:highlight w:val="yellow"/>
          <w:lang w:eastAsia="zh-CN"/>
        </w:rPr>
        <w:t xml:space="preserve">特别提醒</w:t>
      </w:r>
      <w:r>
        <w:rPr>
          <w:rFonts w:hint="eastAsia" w:ascii="仿宋" w:hAnsi="仿宋" w:eastAsia="仿宋" w:cs="仿宋_GB2312"/>
          <w:b/>
          <w:bCs/>
          <w:sz w:val="28"/>
          <w:szCs w:val="28"/>
          <w:highlight w:val="none"/>
          <w:lang w:eastAsia="zh-CN"/>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w:t>
      </w:r>
      <w:r>
        <w:rPr>
          <w:rFonts w:hint="eastAsia" w:ascii="仿宋" w:hAnsi="仿宋" w:eastAsia="仿宋"/>
          <w:b/>
          <w:color w:val="ff0000"/>
          <w:sz w:val="28"/>
          <w:szCs w:val="28"/>
          <w:lang w:eastAsia="zh-CN"/>
        </w:rPr>
        <w:t xml:space="preserve">。</w:t>
      </w:r>
      <w:r>
        <w:rPr>
          <w:rFonts w:hint="eastAsia" w:ascii="仿宋" w:hAnsi="仿宋" w:eastAsia="仿宋"/>
          <w:b/>
          <w:color w:val="ff0000"/>
          <w:sz w:val="28"/>
          <w:szCs w:val="28"/>
        </w:rPr>
        <w:t xml:space="preserve">未在规定时间内提交最后报价的，视同退出本次</w:t>
      </w:r>
      <w:r>
        <w:rPr>
          <w:rFonts w:hint="eastAsia" w:ascii="仿宋" w:hAnsi="仿宋" w:eastAsia="仿宋"/>
          <w:b/>
          <w:color w:val="ff0000"/>
          <w:sz w:val="28"/>
          <w:szCs w:val="28"/>
          <w:lang w:eastAsia="zh-CN"/>
        </w:rPr>
        <w:t xml:space="preserve">磋商。</w:t>
      </w:r>
      <w:r>
        <w:rPr>
          <w:rFonts w:hint="eastAsia" w:ascii="仿宋" w:hAnsi="仿宋" w:eastAsia="仿宋" w:cs="仿宋_GB2312"/>
          <w:sz w:val="28"/>
          <w:szCs w:val="28"/>
        </w:rPr>
        <w:t xml:space="preserve">）</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62" w:name="_Toc513029235"/>
      <w:r/>
      <w:bookmarkStart w:id="163" w:name="_Toc120614219"/>
      <w:r/>
      <w:bookmarkStart w:id="164" w:name="_Toc16938551"/>
      <w:r/>
      <w:bookmarkStart w:id="165" w:name="_Toc20823307"/>
      <w:r>
        <w:rPr>
          <w:rFonts w:hint="eastAsia" w:ascii="仿宋_GB2312" w:hAnsi="仿宋_GB2312" w:eastAsia="仿宋_GB2312" w:cs="仿宋_GB2312"/>
          <w:b/>
          <w:bCs/>
          <w:color w:val="auto"/>
          <w:sz w:val="28"/>
          <w:szCs w:val="28"/>
        </w:rPr>
        <w:t xml:space="preserve">六、</w:t>
      </w:r>
      <w:bookmarkEnd w:id="162"/>
      <w:r/>
      <w:bookmarkEnd w:id="163"/>
      <w:r/>
      <w:bookmarkEnd w:id="164"/>
      <w:r/>
      <w:bookmarkEnd w:id="165"/>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00" w:lineRule="exact"/>
        <w:widowControl w:val="off"/>
        <w:rPr>
          <w:rFonts w:hint="eastAsia" w:ascii="仿宋_GB2312" w:hAnsi="仿宋_GB2312" w:eastAsia="仿宋_GB2312" w:cs="仿宋_GB2312"/>
          <w:bCs/>
          <w:color w:val="auto"/>
          <w:sz w:val="28"/>
          <w:szCs w:val="28"/>
        </w:rPr>
        <w:outlineLvl w:val="3"/>
      </w:pPr>
      <w:r/>
      <w:bookmarkStart w:id="166" w:name="_Toc513029238"/>
      <w:r/>
      <w:bookmarkStart w:id="167" w:name="_Toc16938554"/>
      <w:r/>
      <w:bookmarkStart w:id="168" w:name="_Toc20823310"/>
      <w:r>
        <w:rPr>
          <w:rFonts w:hint="eastAsia" w:ascii="仿宋_GB2312" w:hAnsi="仿宋_GB2312" w:eastAsia="仿宋_GB2312" w:cs="仿宋_GB2312"/>
          <w:bCs/>
          <w:color w:val="auto"/>
          <w:sz w:val="28"/>
          <w:szCs w:val="28"/>
        </w:rPr>
        <w:t xml:space="preserve">28、</w:t>
      </w:r>
      <w:bookmarkEnd w:id="166"/>
      <w:r>
        <w:rPr>
          <w:rFonts w:hint="eastAsia" w:ascii="仿宋_GB2312" w:hAnsi="仿宋_GB2312" w:eastAsia="仿宋_GB2312" w:cs="仿宋_GB2312"/>
          <w:bCs/>
          <w:color w:val="auto"/>
          <w:sz w:val="28"/>
          <w:szCs w:val="28"/>
        </w:rPr>
        <w:t xml:space="preserve">确定</w:t>
      </w:r>
      <w:bookmarkEnd w:id="167"/>
      <w:r/>
      <w:bookmarkEnd w:id="168"/>
      <w:r>
        <w:rPr>
          <w:rFonts w:hint="eastAsia" w:ascii="仿宋_GB2312" w:hAnsi="仿宋_GB2312" w:eastAsia="仿宋_GB2312" w:cs="仿宋_GB2312"/>
          <w:bCs/>
          <w:color w:val="auto"/>
          <w:sz w:val="28"/>
          <w:szCs w:val="28"/>
        </w:rPr>
        <w:t xml:space="preserve">成交单位</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69" w:name="_Toc200451960"/>
      <w:r>
        <w:rPr>
          <w:rFonts w:hint="eastAsia" w:ascii="仿宋_GB2312" w:hAnsi="仿宋_GB2312" w:eastAsia="仿宋_GB2312" w:cs="仿宋_GB2312"/>
          <w:bCs/>
          <w:sz w:val="28"/>
          <w:szCs w:val="28"/>
        </w:rPr>
        <w:t xml:space="preserve">29、质疑处理</w:t>
      </w:r>
      <w:bookmarkEnd w:id="16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0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第一章。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70" w:name="_Toc120614220"/>
      <w:r/>
      <w:bookmarkStart w:id="171" w:name="_Toc20823308"/>
      <w:r/>
      <w:bookmarkStart w:id="172" w:name="_Toc513029236"/>
      <w:r/>
      <w:bookmarkStart w:id="173" w:name="_Toc16938552"/>
      <w:r>
        <w:rPr>
          <w:rFonts w:hint="eastAsia" w:ascii="仿宋_GB2312" w:hAnsi="仿宋_GB2312" w:eastAsia="仿宋_GB2312" w:cs="仿宋_GB2312"/>
          <w:b/>
          <w:bCs/>
          <w:sz w:val="28"/>
          <w:szCs w:val="28"/>
        </w:rPr>
        <w:t xml:space="preserve">七、授予合同</w:t>
      </w:r>
      <w:bookmarkEnd w:id="170"/>
      <w:r/>
      <w:bookmarkEnd w:id="171"/>
      <w:bookmarkEnd w:id="172"/>
      <w:bookmarkEnd w:id="173"/>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74" w:name="_Toc20823309"/>
      <w:r/>
      <w:bookmarkStart w:id="175" w:name="_Toc16938553"/>
      <w:r/>
      <w:bookmarkStart w:id="176" w:name="_Toc513029237"/>
      <w:r>
        <w:rPr>
          <w:rFonts w:hint="eastAsia" w:ascii="仿宋_GB2312" w:hAnsi="仿宋_GB2312" w:eastAsia="仿宋_GB2312" w:cs="仿宋_GB2312"/>
          <w:bCs/>
          <w:sz w:val="28"/>
          <w:szCs w:val="28"/>
        </w:rPr>
        <w:t xml:space="preserve">31. 签订合同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4"/>
      <w:bookmarkEnd w:id="175"/>
      <w:bookmarkEnd w:id="176"/>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rPr>
          <w:rFonts w:eastAsia="黑体"/>
        </w:rPr>
      </w:pPr>
      <w:r>
        <w:rPr>
          <w:rFonts w:eastAsia="黑体"/>
        </w:rPr>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right="0"/>
        <w:jc w:val="center"/>
        <w:pageBreakBefore w:val="0"/>
        <w:spacing w:line="520" w:lineRule="exact"/>
        <w:widowControl w:val="off"/>
        <w:rPr>
          <w:rFonts w:hint="eastAsia" w:ascii="黑体" w:hAnsi="黑体" w:eastAsia="黑体" w:cs="黑体"/>
          <w:b w:val="0"/>
          <w:bCs w:val="0"/>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第三章  合同</w:t>
      </w:r>
      <w:bookmarkEnd w:id="56"/>
      <w:r/>
      <w:bookmarkEnd w:id="57"/>
      <w:r/>
      <w:bookmarkEnd w:id="58"/>
      <w:r/>
      <w:bookmarkEnd w:id="59"/>
      <w:r/>
      <w:bookmarkEnd w:id="60"/>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7" w:name="_Toc513029243"/>
      <w:r/>
      <w:bookmarkStart w:id="178" w:name="_Toc16938559"/>
      <w:r/>
      <w:bookmarkStart w:id="179" w:name="_Toc20823315"/>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7"/>
      <w:bookmarkEnd w:id="178"/>
      <w:bookmarkEnd w:id="179"/>
      <w:r/>
    </w:p>
    <w:p>
      <w:pPr>
        <w:ind w:firstLine="800"/>
        <w:jc w:val="center"/>
        <w:spacing w:line="520" w:lineRule="exact"/>
        <w:rPr>
          <w:rFonts w:ascii="方正小标宋_GBK" w:hAnsi="方正小标宋_GBK" w:eastAsia="方正小标宋_GBK" w:cs="方正小标宋_GBK"/>
          <w:bCs/>
          <w:sz w:val="40"/>
          <w:szCs w:val="40"/>
        </w:rPr>
        <w:outlineLvl w:val="0"/>
      </w:pPr>
      <w:r/>
      <w:bookmarkStart w:id="180" w:name="_Hlt16619369"/>
      <w:r/>
      <w:bookmarkEnd w:id="180"/>
      <w:r/>
      <w:bookmarkStart w:id="181" w:name="_Toc120614244"/>
      <w:r/>
      <w:bookmarkStart w:id="182" w:name="_Toc16938590"/>
      <w:r/>
      <w:bookmarkStart w:id="183" w:name="_Hlt16619350"/>
      <w:r/>
      <w:bookmarkStart w:id="184" w:name="_Toc20823346"/>
      <w:r/>
      <w:bookmarkStart w:id="185" w:name="_Toc462564139"/>
      <w:r/>
      <w:bookmarkStart w:id="186" w:name="_Toc479757211"/>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14"/>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14"/>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14"/>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14"/>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项目的</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结果，签署本合同。</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14"/>
        <w:ind w:firstLine="562"/>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14"/>
        <w:ind w:firstLine="560"/>
        <w:keepLines w:val="0"/>
        <w:keepNext w:val="0"/>
        <w:pageBreakBefore w:val="0"/>
        <w:spacing w:line="480" w:lineRule="exact"/>
        <w:widowControl w:val="off"/>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不设置</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keepLines w:val="0"/>
        <w:keepNext w:val="0"/>
        <w:pageBreakBefore w:val="0"/>
        <w:spacing w:line="480" w:lineRule="exact"/>
        <w:widowControl w:val="off"/>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14"/>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14"/>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14"/>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14"/>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14"/>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14"/>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14"/>
        <w:ind w:firstLine="562"/>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14"/>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14"/>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14"/>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14"/>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14"/>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14"/>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14"/>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14"/>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14"/>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181"/>
      <w:r/>
      <w:bookmarkEnd w:id="182"/>
      <w:r/>
      <w:bookmarkEnd w:id="183"/>
      <w:r/>
      <w:bookmarkEnd w:id="184"/>
      <w:r/>
      <w:bookmarkStart w:id="187" w:name="_Toc26554093"/>
      <w:r/>
      <w:bookmarkStart w:id="188" w:name="_Toc49090575"/>
      <w:r/>
      <w:r/>
    </w:p>
    <w:p>
      <w:pPr>
        <w:pStyle w:val="1014"/>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rPr>
          <w:rFonts w:hint="eastAsia"/>
        </w:rPr>
      </w:pPr>
      <w:r>
        <w:rPr>
          <w:rFonts w:hint="eastAsia"/>
        </w:rPr>
      </w:r>
      <w:r/>
    </w:p>
    <w:p>
      <w:pPr>
        <w:rPr>
          <w:rFonts w:hint="eastAsia"/>
        </w:rPr>
      </w:pPr>
      <w:r>
        <w:rPr>
          <w:rFonts w:hint="eastAsia"/>
        </w:rPr>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w:t>
      </w:r>
      <w:r>
        <w:rPr>
          <w:rFonts w:hint="eastAsia" w:ascii="黑体" w:hAnsi="黑体" w:eastAsia="黑体" w:cs="黑体"/>
          <w:color w:val="000000"/>
          <w:sz w:val="28"/>
          <w:szCs w:val="28"/>
          <w:lang w:val="en-US" w:eastAsia="zh-CN"/>
        </w:rPr>
        <w:t xml:space="preserve">服务类</w:t>
      </w:r>
      <w:r>
        <w:rPr>
          <w:rFonts w:hint="eastAsia" w:ascii="黑体" w:hAnsi="黑体" w:eastAsia="黑体" w:cs="黑体"/>
          <w:color w:val="000000"/>
          <w:sz w:val="28"/>
          <w:szCs w:val="28"/>
        </w:rPr>
        <w:t xml:space="preserve">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792"/>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sz w:val="28"/>
                <w:szCs w:val="28"/>
                <w:lang w:val="en-US"/>
              </w:rPr>
            </w:pPr>
            <w:r>
              <w:rPr>
                <w:rFonts w:hint="default" w:ascii="仿宋_GB2312" w:hAnsi="仿宋_GB2312" w:eastAsia="仿宋_GB2312" w:cs="仿宋_GB2312"/>
                <w:sz w:val="28"/>
                <w:szCs w:val="28"/>
                <w:lang w:val="en-US" w:eastAsia="zh-CN"/>
              </w:rPr>
              <w:t xml:space="preserve"> 电子病历数据采集接口改造服务</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color w:val="auto"/>
                <w:sz w:val="28"/>
                <w:szCs w:val="28"/>
                <w:highlight w:val="none"/>
              </w:rPr>
              <w:t xml:space="preserve">软件和信息技术服务业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792"/>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keepLines w:val="0"/>
        <w:keepNext w:val="0"/>
        <w:pageBreakBefore w:val="0"/>
        <w:spacing w:line="0" w:lineRule="atLeast"/>
        <w:rPr>
          <w:rFonts w:ascii="黑体" w:hAnsi="黑体" w:eastAsia="黑体" w:cs="黑体"/>
          <w:color w:val="000000"/>
          <w:sz w:val="28"/>
          <w:szCs w:val="28"/>
        </w:rPr>
      </w:pPr>
      <w:r>
        <w:rPr>
          <w:rFonts w:ascii="黑体" w:hAnsi="黑体" w:eastAsia="黑体" w:cs="黑体"/>
          <w:color w:val="000000"/>
          <w:sz w:val="28"/>
          <w:szCs w:val="28"/>
        </w:rPr>
      </w:r>
      <w:r/>
    </w:p>
    <w:p>
      <w:pPr>
        <w:keepLines w:val="0"/>
        <w:keepNext w:val="0"/>
        <w:pageBreakBefore w:val="0"/>
        <w:spacing w:line="0" w:lineRule="atLeas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r>
      <w:r/>
    </w:p>
    <w:p>
      <w:p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89" w:name="_Toc515706159"/>
      <w:r>
        <w:rPr>
          <w:rFonts w:hint="eastAsia" w:ascii="黑体" w:hAnsi="黑体" w:eastAsia="黑体" w:cs="黑体"/>
          <w:bCs/>
          <w:color w:val="000000"/>
          <w:sz w:val="28"/>
          <w:szCs w:val="28"/>
          <w:lang w:eastAsia="zh-CN"/>
        </w:rPr>
        <w:t xml:space="preserve">一、</w:t>
      </w:r>
      <w:r>
        <w:rPr>
          <w:rFonts w:hint="eastAsia" w:ascii="黑体" w:hAnsi="黑体" w:eastAsia="黑体" w:cs="黑体"/>
          <w:bCs/>
          <w:color w:val="000000"/>
          <w:sz w:val="28"/>
          <w:szCs w:val="28"/>
        </w:rPr>
        <w:t xml:space="preserve">项目概况</w:t>
      </w:r>
      <w:bookmarkEnd w:id="189"/>
      <w:r/>
      <w:r/>
    </w:p>
    <w:p>
      <w:pPr>
        <w:pStyle w:val="1084"/>
        <w:ind w:firstLine="560"/>
        <w:keepLines w:val="0"/>
        <w:keepNext w:val="0"/>
        <w:pageBreakBefore w:val="0"/>
        <w:spacing w:before="0" w:beforeAutospacing="0" w:after="0" w:afterAutospacing="0" w:line="500" w:lineRule="exact"/>
        <w:widowControl/>
        <w:rPr>
          <w:rFonts w:hint="eastAsia" w:ascii="仿宋_GB2312" w:hAnsi="仿宋_GB2312" w:eastAsia="仿宋_GB2312" w:cs="仿宋_GB2312"/>
          <w:i w:val="0"/>
          <w:iCs w:val="0"/>
          <w:color w:val="auto"/>
          <w:sz w:val="28"/>
          <w:szCs w:val="28"/>
          <w:highlight w:val="none"/>
          <w:u w:val="none"/>
          <w:lang w:val="en-US" w:eastAsia="zh-CN" w:bidi="ar-SA"/>
        </w:rPr>
      </w:pPr>
      <w:r>
        <w:rPr>
          <w:rFonts w:hint="eastAsia" w:ascii="仿宋_GB2312" w:hAnsi="仿宋_GB2312" w:eastAsia="仿宋_GB2312" w:cs="仿宋_GB2312"/>
          <w:i w:val="0"/>
          <w:iCs w:val="0"/>
          <w:color w:val="000000"/>
          <w:sz w:val="28"/>
          <w:szCs w:val="28"/>
          <w:lang w:val="en-US" w:eastAsia="zh-CN" w:bidi="ar-SA"/>
        </w:rPr>
        <w:t xml:space="preserve">1.</w:t>
      </w:r>
      <w:r>
        <w:rPr>
          <w:rFonts w:hint="eastAsia" w:ascii="仿宋_GB2312" w:hAnsi="仿宋_GB2312" w:eastAsia="仿宋_GB2312" w:cs="仿宋_GB2312"/>
          <w:i w:val="0"/>
          <w:iCs w:val="0"/>
          <w:color w:val="auto"/>
          <w:sz w:val="28"/>
          <w:szCs w:val="28"/>
          <w:highlight w:val="none"/>
          <w:u w:val="none"/>
          <w:lang w:val="en-US" w:eastAsia="zh-CN" w:bidi="ar-SA"/>
        </w:rPr>
        <w:t xml:space="preserve">本项目总预算为：人民币 </w:t>
      </w:r>
      <w:r>
        <w:rPr>
          <w:rFonts w:hint="eastAsia" w:ascii="仿宋_GB2312" w:hAnsi="仿宋_GB2312" w:eastAsia="仿宋_GB2312" w:cs="仿宋_GB2312"/>
          <w:b/>
          <w:bCs/>
          <w:i w:val="0"/>
          <w:iCs w:val="0"/>
          <w:color w:val="auto"/>
          <w:sz w:val="28"/>
          <w:szCs w:val="28"/>
          <w:highlight w:val="none"/>
          <w:u w:val="none"/>
          <w:lang w:val="en-US" w:eastAsia="zh-CN" w:bidi="ar-SA"/>
        </w:rPr>
        <w:t xml:space="preserve">陆万元整（¥：60000.00元）</w:t>
      </w:r>
      <w:r>
        <w:rPr>
          <w:rFonts w:hint="eastAsia" w:ascii="仿宋_GB2312" w:hAnsi="仿宋_GB2312" w:eastAsia="仿宋_GB2312" w:cs="仿宋_GB2312"/>
          <w:i w:val="0"/>
          <w:iCs w:val="0"/>
          <w:color w:val="auto"/>
          <w:sz w:val="28"/>
          <w:szCs w:val="28"/>
          <w:highlight w:val="none"/>
          <w:u w:val="none"/>
          <w:lang w:val="en-US" w:eastAsia="zh-CN" w:bidi="ar-SA"/>
        </w:rPr>
        <w:t xml:space="preserve">。</w:t>
      </w:r>
      <w:r/>
    </w:p>
    <w:p>
      <w:pPr>
        <w:pStyle w:val="1084"/>
        <w:ind w:firstLine="560"/>
        <w:keepLines w:val="0"/>
        <w:keepNext w:val="0"/>
        <w:pageBreakBefore w:val="0"/>
        <w:spacing w:before="0" w:beforeAutospacing="0" w:after="0" w:afterAutospacing="0" w:line="500" w:lineRule="exact"/>
        <w:widowControl/>
        <w:rPr>
          <w:rFonts w:hint="eastAsia" w:ascii="黑体" w:hAnsi="黑体" w:eastAsia="黑体" w:cs="黑体"/>
          <w:b w:val="0"/>
          <w:bCs w:val="0"/>
          <w:i/>
          <w:sz w:val="28"/>
          <w:szCs w:val="28"/>
          <w:highlight w:val="none"/>
          <w:u w:val="single"/>
          <w:lang w:val="en-US" w:eastAsia="zh-CN" w:bidi="ar-SA"/>
        </w:rPr>
      </w:pPr>
      <w:r>
        <w:rPr>
          <w:rFonts w:hint="eastAsia" w:ascii="黑体" w:hAnsi="黑体" w:eastAsia="黑体" w:cs="黑体"/>
          <w:b w:val="0"/>
          <w:bCs w:val="0"/>
          <w:i/>
          <w:color w:val="auto"/>
          <w:sz w:val="28"/>
          <w:szCs w:val="28"/>
          <w:highlight w:val="none"/>
          <w:u w:val="single"/>
          <w:lang w:val="en-US" w:eastAsia="zh-CN" w:bidi="ar-SA"/>
        </w:rPr>
        <w:t xml:space="preserve">2.最后响应报价高于采购预算价的，将被判定为无效投标文件。  </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简介</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b w:val="0"/>
          <w:sz w:val="28"/>
          <w:szCs w:val="28"/>
        </w:rPr>
        <w:t xml:space="preserve">本项目需完成兴化市相关定点医疗机构与江苏省医疗保障信息平台之间5个数据采集接口的改造、开发、联调测试及上线工作，实现电子病历等医保支付相关数据的常态化、全量、规范上传</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90" w:name="_Toc1773070023"/>
      <w:r>
        <w:rPr>
          <w:rFonts w:hint="eastAsia" w:ascii="黑体" w:hAnsi="黑体" w:eastAsia="黑体" w:cs="黑体"/>
          <w:bCs/>
          <w:color w:val="000000"/>
          <w:sz w:val="28"/>
          <w:szCs w:val="28"/>
          <w:lang w:eastAsia="zh-CN"/>
        </w:rPr>
        <w:t xml:space="preserve">二、采购标的需实现的功能或目标</w:t>
      </w:r>
      <w:bookmarkEnd w:id="190"/>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根据江苏省医疗保障</w:t>
      </w:r>
      <w:r>
        <w:rPr>
          <w:rFonts w:hint="eastAsia" w:ascii="仿宋_GB2312" w:hAnsi="仿宋_GB2312" w:eastAsia="仿宋_GB2312" w:cs="仿宋_GB2312"/>
          <w:b w:val="0"/>
          <w:sz w:val="28"/>
          <w:szCs w:val="28"/>
          <w:highlight w:val="none"/>
        </w:rPr>
        <w:t xml:space="preserve">局《关于开展电子病历等数据采集工作的通知》（苏医保函〔2026〕16号）</w:t>
      </w:r>
      <w:r>
        <w:rPr>
          <w:rFonts w:hint="eastAsia" w:ascii="仿宋_GB2312" w:hAnsi="仿宋_GB2312" w:eastAsia="仿宋_GB2312" w:cs="仿宋_GB2312"/>
          <w:b w:val="0"/>
          <w:sz w:val="28"/>
          <w:szCs w:val="28"/>
        </w:rPr>
        <w:t xml:space="preserve">及泰州市医疗保障局相关工作要求，为全面贯彻落实《医疗保障基金使用监督管理条例》，切实做好全量采集医保支付相关数据，丰富健全大数据监管模型矩阵，本项目需完成兴化市相关定点医疗机构与江苏省医疗保障信息平台之间5个数据采集接口的改造、开发、联调测试及上线工作，实现电子病历等医保支付相关数据的常态化、全量、规范上传。</w:t>
      </w:r>
      <w:r/>
    </w:p>
    <w:p>
      <w:p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91" w:name="_Toc1504790789"/>
      <w:r>
        <w:rPr>
          <w:rFonts w:hint="eastAsia" w:ascii="黑体" w:hAnsi="黑体" w:eastAsia="黑体" w:cs="黑体"/>
          <w:bCs/>
          <w:color w:val="000000"/>
          <w:sz w:val="28"/>
          <w:szCs w:val="28"/>
          <w:lang w:eastAsia="zh-CN"/>
        </w:rPr>
        <w:t xml:space="preserve">三、采购标的需执行的标准和规范</w:t>
      </w:r>
      <w:bookmarkEnd w:id="191"/>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1.江苏省医疗保障局《关于开展电子病历等数据采集工作的通知》（苏医保函〔2026〕16号）</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2.江苏省医疗保障信息平台接口文档及质控标准（由省局通过全省两定机构信息交流平台“下载专区”发布）</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3.《医疗保障基金使用监督管理条例》</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4.国家及江苏省医保局现行有效的相关接口规范和技术标准</w:t>
      </w:r>
      <w:r/>
    </w:p>
    <w:p>
      <w:p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92" w:name="_Toc103880004"/>
      <w:r>
        <w:rPr>
          <w:rFonts w:hint="eastAsia" w:ascii="黑体" w:hAnsi="黑体" w:eastAsia="黑体" w:cs="黑体"/>
          <w:bCs/>
          <w:color w:val="000000"/>
          <w:sz w:val="28"/>
          <w:szCs w:val="28"/>
          <w:lang w:eastAsia="zh-CN"/>
        </w:rPr>
        <w:t xml:space="preserve">四、技术要求</w:t>
      </w:r>
      <w:bookmarkEnd w:id="192"/>
      <w:r/>
      <w:r/>
    </w:p>
    <w:p>
      <w:pPr>
        <w:ind w:firstLine="562"/>
        <w:jc w:val="left"/>
        <w:keepLines w:val="0"/>
        <w:keepNext w:val="0"/>
        <w:pageBreakBefore w:val="0"/>
        <w:spacing w:after="0" w:line="500" w:lineRule="exact"/>
        <w:rPr>
          <w:rFonts w:hint="eastAsia" w:ascii="仿宋_GB2312" w:hAnsi="仿宋_GB2312" w:eastAsia="仿宋_GB2312" w:cs="仿宋_GB2312"/>
          <w:b/>
          <w:sz w:val="28"/>
          <w:szCs w:val="28"/>
        </w:rPr>
        <w:outlineLvl w:val="1"/>
      </w:pPr>
      <w:r/>
      <w:bookmarkStart w:id="193" w:name="_Toc7022217"/>
      <w:r>
        <w:rPr>
          <w:rFonts w:hint="eastAsia" w:ascii="仿宋_GB2312" w:hAnsi="仿宋_GB2312" w:eastAsia="仿宋_GB2312" w:cs="仿宋_GB2312"/>
          <w:b/>
          <w:sz w:val="28"/>
          <w:szCs w:val="28"/>
        </w:rPr>
        <w:t xml:space="preserve">（一）接口改造范围</w:t>
      </w:r>
      <w:bookmarkEnd w:id="193"/>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供应商须完成以下5个接口的改造、开发、联调测试及上线工作：</w:t>
      </w:r>
      <w:r/>
    </w:p>
    <w:tbl>
      <w:tblPr>
        <w:tblStyle w:val="820"/>
        <w:tblW w:w="45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2680"/>
        <w:gridCol w:w="4490"/>
      </w:tblGrid>
      <w:tr>
        <w:trPr>
          <w:jc w:val="center"/>
          <w:trHeight w:val="577"/>
        </w:trPr>
        <w:tc>
          <w:tcPr>
            <w:tcW w:w="1264"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序号</w:t>
            </w:r>
            <w:r/>
          </w:p>
        </w:tc>
        <w:tc>
          <w:tcPr>
            <w:tcW w:w="268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接口编号</w:t>
            </w:r>
            <w:r/>
          </w:p>
        </w:tc>
        <w:tc>
          <w:tcPr>
            <w:tcW w:w="449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接口名称</w:t>
            </w:r>
            <w:r/>
          </w:p>
        </w:tc>
      </w:tr>
      <w:tr>
        <w:trPr>
          <w:jc w:val="center"/>
          <w:trHeight w:val="577"/>
        </w:trPr>
        <w:tc>
          <w:tcPr>
            <w:tcW w:w="1264"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268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4301</w:t>
            </w:r>
            <w:r/>
          </w:p>
        </w:tc>
        <w:tc>
          <w:tcPr>
            <w:tcW w:w="449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门急诊诊疗记录</w:t>
            </w:r>
            <w:r/>
          </w:p>
        </w:tc>
      </w:tr>
      <w:tr>
        <w:trPr>
          <w:jc w:val="center"/>
          <w:trHeight w:val="577"/>
        </w:trPr>
        <w:tc>
          <w:tcPr>
            <w:tcW w:w="1264"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p>
        </w:tc>
        <w:tc>
          <w:tcPr>
            <w:tcW w:w="268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4401</w:t>
            </w:r>
            <w:r/>
          </w:p>
        </w:tc>
        <w:tc>
          <w:tcPr>
            <w:tcW w:w="449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住院病案首页信息</w:t>
            </w:r>
            <w:r/>
          </w:p>
        </w:tc>
      </w:tr>
      <w:tr>
        <w:trPr>
          <w:jc w:val="center"/>
          <w:trHeight w:val="577"/>
        </w:trPr>
        <w:tc>
          <w:tcPr>
            <w:tcW w:w="1264"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p>
        </w:tc>
        <w:tc>
          <w:tcPr>
            <w:tcW w:w="268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4402A</w:t>
            </w:r>
            <w:r/>
          </w:p>
        </w:tc>
        <w:tc>
          <w:tcPr>
            <w:tcW w:w="449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住院医嘱记录</w:t>
            </w:r>
            <w:r/>
          </w:p>
        </w:tc>
      </w:tr>
      <w:tr>
        <w:trPr>
          <w:jc w:val="center"/>
          <w:trHeight w:val="577"/>
        </w:trPr>
        <w:tc>
          <w:tcPr>
            <w:tcW w:w="1264"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w:t>
            </w:r>
            <w:r/>
          </w:p>
        </w:tc>
        <w:tc>
          <w:tcPr>
            <w:tcW w:w="268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4501A</w:t>
            </w:r>
            <w:r/>
          </w:p>
        </w:tc>
        <w:tc>
          <w:tcPr>
            <w:tcW w:w="449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临床检查报告记录</w:t>
            </w:r>
            <w:r/>
          </w:p>
        </w:tc>
      </w:tr>
      <w:tr>
        <w:trPr>
          <w:jc w:val="center"/>
          <w:trHeight w:val="591"/>
        </w:trPr>
        <w:tc>
          <w:tcPr>
            <w:tcW w:w="1264"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w:t>
            </w:r>
            <w:r/>
          </w:p>
        </w:tc>
        <w:tc>
          <w:tcPr>
            <w:tcW w:w="268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4502A</w:t>
            </w:r>
            <w:r/>
          </w:p>
        </w:tc>
        <w:tc>
          <w:tcPr>
            <w:tcW w:w="4490" w:type="dxa"/>
            <w:textDirection w:val="lrTb"/>
            <w:noWrap w:val="false"/>
          </w:tcPr>
          <w:p>
            <w:pPr>
              <w:ind w:firstLine="0"/>
              <w:jc w:val="center"/>
              <w:keepLines w:val="0"/>
              <w:keepNext w:val="0"/>
              <w:pageBreakBefore w:val="0"/>
              <w:spacing w:after="0"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临床检验报告记录</w:t>
            </w:r>
            <w:r/>
          </w:p>
        </w:tc>
      </w:tr>
    </w:tbl>
    <w:p>
      <w:pPr>
        <w:ind w:firstLine="562"/>
        <w:jc w:val="left"/>
        <w:keepLines w:val="0"/>
        <w:keepNext w:val="0"/>
        <w:pageBreakBefore w:val="0"/>
        <w:spacing w:after="0" w:line="500" w:lineRule="exact"/>
        <w:rPr>
          <w:rFonts w:hint="eastAsia" w:ascii="仿宋_GB2312" w:hAnsi="仿宋_GB2312" w:eastAsia="仿宋_GB2312" w:cs="仿宋_GB2312"/>
          <w:b/>
          <w:sz w:val="28"/>
          <w:szCs w:val="28"/>
        </w:rPr>
        <w:outlineLvl w:val="1"/>
      </w:pPr>
      <w:r/>
      <w:bookmarkStart w:id="194" w:name="_Toc471919885"/>
      <w:r>
        <w:rPr>
          <w:rFonts w:hint="eastAsia" w:ascii="仿宋_GB2312" w:hAnsi="仿宋_GB2312" w:eastAsia="仿宋_GB2312" w:cs="仿宋_GB2312"/>
          <w:b/>
          <w:sz w:val="28"/>
          <w:szCs w:val="28"/>
        </w:rPr>
        <w:t xml:space="preserve">（二）技术实现要求</w:t>
      </w:r>
      <w:bookmarkEnd w:id="194"/>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1.平台对接：基于江苏省两定医疗保障平台进行接口开发，实现与省医疗保障信息平台的无缝对接。</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2.系统兼容：接口开发完成后须与各医疗机构现有HIS（医院信息系统）等业务系统实现无缝对接，不得对医疗机构现有业务系统正常运行造成影响。</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3.数据上传要求：</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（1）存量数据：完成接口改造并上线后，须同步完成2025年1月1日以来的全部存量数据上传。</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（2）增量数据：患者出院结账之日起15日内完成增量数据上传。</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4.接口规范遵循：严格遵循省局发布的接口文档和质控标准进行开发，确保数据格式、字段、传输协议等完全符合规范要求。</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5. 联调测试：完成接口开发后，须与省局项目组进行联调测试，确保数据上传通道畅通、数据质量达标。</w:t>
      </w:r>
      <w:r/>
    </w:p>
    <w:p>
      <w:pPr>
        <w:ind w:firstLine="562"/>
        <w:jc w:val="left"/>
        <w:keepLines w:val="0"/>
        <w:keepNext w:val="0"/>
        <w:pageBreakBefore w:val="0"/>
        <w:spacing w:after="0" w:line="500" w:lineRule="exact"/>
        <w:rPr>
          <w:rFonts w:hint="eastAsia" w:ascii="仿宋_GB2312" w:hAnsi="仿宋_GB2312" w:eastAsia="仿宋_GB2312" w:cs="仿宋_GB2312"/>
          <w:b/>
          <w:sz w:val="28"/>
          <w:szCs w:val="28"/>
          <w:lang w:eastAsia="zh-CN"/>
        </w:rPr>
        <w:outlineLvl w:val="1"/>
      </w:pPr>
      <w:r/>
      <w:bookmarkStart w:id="195" w:name="_Toc900398824"/>
      <w:r>
        <w:rPr>
          <w:rFonts w:hint="eastAsia" w:ascii="仿宋_GB2312" w:hAnsi="仿宋_GB2312" w:eastAsia="仿宋_GB2312" w:cs="仿宋_GB2312"/>
          <w:b/>
          <w:sz w:val="28"/>
          <w:szCs w:val="28"/>
        </w:rPr>
        <w:t xml:space="preserve">（三）技术成果要求</w:t>
      </w:r>
      <w:bookmarkEnd w:id="195"/>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1.本项目涉及的所有接口改造完成后的技术成果（包括但不限于源代码、文档等）知识产权归采购人所有。</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2.供应商须提供完整的接口技术文档、操作手册、维护手册等。</w:t>
      </w:r>
      <w:r/>
    </w:p>
    <w:p>
      <w:p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96" w:name="_Toc1833258206"/>
      <w:r>
        <w:rPr>
          <w:rFonts w:hint="eastAsia" w:ascii="黑体" w:hAnsi="黑体" w:eastAsia="黑体" w:cs="黑体"/>
          <w:bCs/>
          <w:color w:val="000000"/>
          <w:sz w:val="28"/>
          <w:szCs w:val="28"/>
          <w:lang w:eastAsia="zh-CN"/>
        </w:rPr>
        <w:t xml:space="preserve">五、服务及技术方案要求</w:t>
      </w:r>
      <w:bookmarkEnd w:id="196"/>
      <w:r/>
      <w:r/>
    </w:p>
    <w:p>
      <w:pPr>
        <w:ind w:firstLine="562"/>
        <w:jc w:val="left"/>
        <w:keepLines w:val="0"/>
        <w:keepNext w:val="0"/>
        <w:pageBreakBefore w:val="0"/>
        <w:spacing w:after="0" w:line="50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1.设计及实施方案：</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供应商应制定详细的设计及实施方案，明确各阶段工作内容、时间节点、交付成果等。设计及实施方案应明确以下内容：</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（1）项目启动阶段：合同签订后5个工作日内完成项目团队组建，制定详细实施计划并报采购人审核；</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（2）需求调研与分析阶段：合同签订后10个工作日内完成对各医疗机构的现场调研，形成需求分析报告；</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（3）接口开发与改造阶段：合同签订后40个工作日内完成全部5个接口（4301门急诊诊疗记录、4401住院病案首页信息、4402A住院医嘱记录、4501A临床检查报告记录、4502A临床检验报告记录）的开发与改造工作；</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（4）联调测试阶段：合同签订后50个工作日内完成与省医疗保障信息平台的联调测试；</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（5）上线运行阶段：合同签订后60个日历日内完成项目上线，实现常态化数据上传。</w:t>
      </w:r>
      <w:r/>
    </w:p>
    <w:p>
      <w:pPr>
        <w:ind w:firstLine="562"/>
        <w:jc w:val="left"/>
        <w:keepLines w:val="0"/>
        <w:keepNext w:val="0"/>
        <w:pageBreakBefore w:val="0"/>
        <w:spacing w:after="0" w:line="50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2.软件开发方案：</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w:t>
      </w:r>
      <w:r>
        <w:rPr>
          <w:rFonts w:hint="eastAsia" w:ascii="仿宋_GB2312" w:hAnsi="仿宋_GB2312" w:eastAsia="仿宋_GB2312" w:cs="仿宋_GB2312"/>
          <w:b w:val="0"/>
          <w:sz w:val="28"/>
          <w:szCs w:val="28"/>
          <w:lang w:eastAsia="zh-CN"/>
        </w:rPr>
        <w:t xml:space="preserve">根据项目需求</w:t>
      </w:r>
      <w:r>
        <w:rPr>
          <w:rFonts w:hint="eastAsia" w:ascii="仿宋_GB2312" w:hAnsi="仿宋_GB2312" w:eastAsia="仿宋_GB2312" w:cs="仿宋_GB2312"/>
          <w:b w:val="0"/>
          <w:sz w:val="28"/>
          <w:szCs w:val="28"/>
        </w:rPr>
        <w:t xml:space="preserve">制定详细的软件开发方案</w:t>
      </w:r>
      <w:r>
        <w:rPr>
          <w:rFonts w:hint="eastAsia" w:ascii="仿宋_GB2312" w:hAnsi="仿宋_GB2312" w:eastAsia="仿宋_GB2312" w:cs="仿宋_GB2312"/>
          <w:b w:val="0"/>
          <w:sz w:val="28"/>
          <w:szCs w:val="28"/>
          <w:lang w:eastAsia="zh-CN"/>
        </w:rPr>
        <w:t xml:space="preserve">，</w:t>
      </w:r>
      <w:r>
        <w:rPr>
          <w:rFonts w:hint="eastAsia" w:ascii="仿宋_GB2312" w:hAnsi="仿宋_GB2312" w:eastAsia="仿宋_GB2312" w:cs="仿宋_GB2312"/>
          <w:b w:val="0"/>
          <w:sz w:val="28"/>
          <w:szCs w:val="28"/>
        </w:rPr>
        <w:t xml:space="preserve">要求包括系统架构设计、技术路线、功能实现等。</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（1）系统架构设计：要求采用模块化、可扩展的架构设计，确保系统能够灵活应对未来功能扩展和数据增长。</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（2）技术路线：要求制定有针对性、专业性符合采购人行业特殊需求的技术路线，通过合理分析提出的技术路线深化软件各功能的划分和体现。</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（3）功能实现：根据项目技术要求，详细列出实现功能模块的实施路径。</w:t>
      </w:r>
      <w:r/>
    </w:p>
    <w:p>
      <w:pPr>
        <w:ind w:firstLine="562"/>
        <w:jc w:val="left"/>
        <w:keepLines w:val="0"/>
        <w:keepNext w:val="0"/>
        <w:pageBreakBefore w:val="0"/>
        <w:spacing w:after="0" w:line="50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3.</w:t>
      </w:r>
      <w:r>
        <w:rPr>
          <w:rFonts w:hint="eastAsia" w:ascii="仿宋_GB2312" w:hAnsi="仿宋_GB2312" w:eastAsia="仿宋_GB2312" w:cs="仿宋_GB2312"/>
          <w:b/>
          <w:bCs/>
          <w:sz w:val="28"/>
          <w:szCs w:val="28"/>
        </w:rPr>
        <w:t xml:space="preserve">项目进度管理方案：</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要求自合同签订后15个工作日内入场，60个日历日内完成项目上线。为确保项目可以顺利地开展，投标人应详细阐述项目实施方案，包括进度安排、进度管理、测试、试运行、验收等。</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（1）进度安排：需要结合本项目的实际情况，制定项目实施计划，通过对每个环节的精准把控，确保项目可以平稳有序地推进。</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（2）进度管理：投标人需建立完善的项目管理制度，包括组织分工、职责说明、例会制度、信息安全规章制度等，保证项目有序、有节奏地进行，在规定的时间内完成各项工作。</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（3）测试：为确保项目的软件质量，项目测试方案至关重要。投标人需详细阐述项目测试的具体要求，包括测试目标、测试方案、测试结果等。</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（4）试运行：本项目验收前设置1个月的试运行期。在试运行期间，投标人应制定完善的试运行方案，包括试运行目的、试运行准备、试运行结果输出等。</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 进度要求：供应商应结合本项目实际情况，制定分阶段进度安排表，明确每项工作的起止时间、责任人及交付成果，确保各环节衔接紧密、项目平稳有序推进。</w:t>
      </w:r>
      <w:r/>
    </w:p>
    <w:p>
      <w:pPr>
        <w:ind w:firstLine="562"/>
        <w:jc w:val="left"/>
        <w:keepLines w:val="0"/>
        <w:keepNext w:val="0"/>
        <w:pageBreakBefore w:val="0"/>
        <w:spacing w:after="0" w:line="500" w:lineRule="exact"/>
        <w:rPr>
          <w:rFonts w:hint="eastAsia" w:ascii="仿宋_GB2312" w:hAnsi="仿宋_GB2312" w:eastAsia="仿宋_GB2312" w:cs="仿宋_GB2312"/>
          <w:b/>
          <w:bCs w:val="0"/>
          <w:sz w:val="28"/>
          <w:szCs w:val="28"/>
          <w:lang w:eastAsia="zh-CN"/>
        </w:rPr>
      </w:pPr>
      <w:r>
        <w:rPr>
          <w:rFonts w:hint="eastAsia" w:ascii="仿宋_GB2312" w:hAnsi="仿宋_GB2312" w:eastAsia="仿宋_GB2312" w:cs="仿宋_GB2312"/>
          <w:b/>
          <w:bCs w:val="0"/>
          <w:sz w:val="28"/>
          <w:szCs w:val="28"/>
          <w:lang w:val="en-US" w:eastAsia="zh-CN"/>
        </w:rPr>
        <w:t xml:space="preserve">4.</w:t>
      </w:r>
      <w:r>
        <w:rPr>
          <w:rFonts w:hint="eastAsia" w:ascii="仿宋_GB2312" w:hAnsi="仿宋_GB2312" w:eastAsia="仿宋_GB2312" w:cs="仿宋_GB2312"/>
          <w:b/>
          <w:bCs w:val="0"/>
          <w:sz w:val="28"/>
          <w:szCs w:val="28"/>
        </w:rPr>
        <w:t xml:space="preserve">售后服务方案</w:t>
      </w:r>
      <w:r>
        <w:rPr>
          <w:rFonts w:hint="eastAsia" w:ascii="仿宋_GB2312" w:hAnsi="仿宋_GB2312" w:eastAsia="仿宋_GB2312" w:cs="仿宋_GB2312"/>
          <w:b/>
          <w:bCs w:val="0"/>
          <w:sz w:val="28"/>
          <w:szCs w:val="28"/>
          <w:lang w:eastAsia="zh-CN"/>
        </w:rPr>
        <w:t xml:space="preserve">：</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供应商应根据本项目采购需求，提供售后服务方案。方案内容应至少包含以下要求：</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bookmarkStart w:id="197" w:name="_Toc883299959"/>
      <w:r>
        <w:rPr>
          <w:rFonts w:hint="eastAsia" w:ascii="仿宋_GB2312" w:hAnsi="仿宋_GB2312" w:eastAsia="仿宋_GB2312" w:cs="仿宋_GB2312"/>
          <w:b w:val="0"/>
          <w:sz w:val="28"/>
          <w:szCs w:val="28"/>
        </w:rPr>
        <w:t xml:space="preserve">（一）项目质保和服务</w:t>
      </w:r>
      <w:bookmarkEnd w:id="197"/>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供应商应明确免费维保期不少于3年的服务内容，包括：</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1.免费维保期内因省局接口规范升级、变更等导致的需要调整的内容，应免费提供适配改造；</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2.定期巡检服务，巡检频率不少于每季度1次，保障数据上传的稳定性、完整性和及时性；</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3.系统日常运维支持服务。</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bookmarkStart w:id="198" w:name="_Toc67959202"/>
      <w:r>
        <w:rPr>
          <w:rFonts w:hint="eastAsia" w:ascii="仿宋_GB2312" w:hAnsi="仿宋_GB2312" w:eastAsia="仿宋_GB2312" w:cs="仿宋_GB2312"/>
          <w:b w:val="0"/>
          <w:sz w:val="28"/>
          <w:szCs w:val="28"/>
        </w:rPr>
        <w:t xml:space="preserve">（二）质保和服务要求</w:t>
      </w:r>
      <w:bookmarkEnd w:id="198"/>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供应商应在免费维保期内提供以下服务：</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1.提供7×24小时电话技术支持；</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2.系统故障响应时间不超过2小时；</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3.一般故障24小时内解决；</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4.重大故障12小时内解决。</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bookmarkStart w:id="199" w:name="_Toc1876491457"/>
      <w:r>
        <w:rPr>
          <w:rFonts w:hint="eastAsia" w:ascii="仿宋_GB2312" w:hAnsi="仿宋_GB2312" w:eastAsia="仿宋_GB2312" w:cs="仿宋_GB2312"/>
          <w:b w:val="0"/>
          <w:sz w:val="28"/>
          <w:szCs w:val="28"/>
        </w:rPr>
        <w:t xml:space="preserve">（三）技术支持响应时间</w:t>
      </w:r>
      <w:bookmarkEnd w:id="199"/>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供应商应明确技术支持服务的响应时限：</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1.系统故障响应时间不超过2小时；</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2.一般故障24小时内解决；</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3.重大故障12小时内解决。</w:t>
      </w:r>
      <w:r/>
    </w:p>
    <w:p>
      <w:pPr>
        <w:ind w:firstLine="562"/>
        <w:jc w:val="left"/>
        <w:keepLines w:val="0"/>
        <w:keepNext w:val="0"/>
        <w:pageBreakBefore w:val="0"/>
        <w:spacing w:after="0" w:line="50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rPr>
        <w:t xml:space="preserve">、验收方案</w:t>
      </w:r>
      <w:r>
        <w:rPr>
          <w:rFonts w:hint="eastAsia" w:ascii="仿宋_GB2312" w:hAnsi="仿宋_GB2312" w:eastAsia="仿宋_GB2312" w:cs="仿宋_GB2312"/>
          <w:b/>
          <w:bCs/>
          <w:sz w:val="28"/>
          <w:szCs w:val="28"/>
          <w:lang w:eastAsia="zh-CN"/>
        </w:rPr>
        <w:t xml:space="preserve">：</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供应商应提供验收方案，包括但不限于：</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（1）验收依据：苏医保函〔2026〕16号、省平台接口文档及质控标准、本项目采购需求及合同。</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验收内容：4301、4401、4402A、4501A、4502A五个接口完成改造、开发并通过省局项目组联调测试；2025年1月1日以来存量数据全部成功上传；增量数据按患者出院结账之日起15日内常态化上传；数据质量符合省局质控标准；提供完整技术文档和操作手册。</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（3）验收流程：自检、初验、试运行、正式验收等。</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（4）验收资料：测试报告、联调记录、数据上传记录、质控报告、技术文档、操作手册、维护手册等。</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（5）整改与复验：验收不合格的整改措施和复验安排。</w:t>
      </w:r>
      <w:r/>
    </w:p>
    <w:p>
      <w:pPr>
        <w:ind w:firstLine="562"/>
        <w:jc w:val="left"/>
        <w:keepLines w:val="0"/>
        <w:keepNext w:val="0"/>
        <w:pageBreakBefore w:val="0"/>
        <w:spacing w:after="0" w:line="500" w:lineRule="exact"/>
        <w:rPr>
          <w:rFonts w:hint="eastAsia" w:ascii="仿宋_GB2312" w:hAnsi="仿宋_GB2312" w:eastAsia="仿宋_GB2312" w:cs="仿宋_GB2312"/>
          <w:b/>
          <w:sz w:val="28"/>
          <w:szCs w:val="28"/>
          <w:lang w:eastAsia="zh-CN"/>
        </w:rPr>
        <w:outlineLvl w:val="1"/>
      </w:pPr>
      <w:r>
        <w:rPr>
          <w:rFonts w:hint="eastAsia" w:ascii="仿宋_GB2312" w:hAnsi="仿宋_GB2312" w:eastAsia="仿宋_GB2312" w:cs="仿宋_GB2312"/>
          <w:b/>
          <w:sz w:val="28"/>
          <w:szCs w:val="28"/>
          <w:lang w:val="en-US" w:eastAsia="zh-CN"/>
        </w:rPr>
        <w:t xml:space="preserve">6.</w:t>
      </w:r>
      <w:r>
        <w:rPr>
          <w:rFonts w:hint="eastAsia" w:ascii="仿宋_GB2312" w:hAnsi="仿宋_GB2312" w:eastAsia="仿宋_GB2312" w:cs="仿宋_GB2312"/>
          <w:b/>
          <w:sz w:val="28"/>
          <w:szCs w:val="28"/>
        </w:rPr>
        <w:t xml:space="preserve">培训要求</w:t>
      </w:r>
      <w:r>
        <w:rPr>
          <w:rFonts w:hint="eastAsia" w:ascii="仿宋_GB2312" w:hAnsi="仿宋_GB2312" w:eastAsia="仿宋_GB2312" w:cs="仿宋_GB2312"/>
          <w:b/>
          <w:sz w:val="28"/>
          <w:szCs w:val="28"/>
          <w:lang w:eastAsia="zh-CN"/>
        </w:rPr>
        <w:t xml:space="preserve">：</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供应商须为采购人及相关医疗机构提供现场操作培训和技术培训，确保相关人员能够熟练使用和维护系统。培训内容包括但不限于系统操作、数据查询、故障排查等。</w:t>
      </w:r>
      <w:r/>
    </w:p>
    <w:p>
      <w:p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200" w:name="_Toc247077957"/>
      <w:r>
        <w:rPr>
          <w:rFonts w:hint="eastAsia" w:ascii="黑体" w:hAnsi="黑体" w:eastAsia="黑体" w:cs="黑体"/>
          <w:bCs/>
          <w:color w:val="000000"/>
          <w:sz w:val="28"/>
          <w:szCs w:val="28"/>
          <w:lang w:eastAsia="zh-CN"/>
        </w:rPr>
        <w:t xml:space="preserve">六、商务要求</w:t>
      </w:r>
      <w:bookmarkEnd w:id="200"/>
      <w:r/>
      <w:r/>
    </w:p>
    <w:p>
      <w:pPr>
        <w:ind w:firstLine="562"/>
        <w:jc w:val="left"/>
        <w:keepLines w:val="0"/>
        <w:keepNext w:val="0"/>
        <w:pageBreakBefore w:val="0"/>
        <w:spacing w:after="0" w:line="500" w:lineRule="exact"/>
        <w:rPr>
          <w:rFonts w:hint="eastAsia" w:ascii="仿宋_GB2312" w:hAnsi="仿宋_GB2312" w:eastAsia="仿宋_GB2312" w:cs="仿宋_GB2312"/>
          <w:b/>
          <w:sz w:val="28"/>
          <w:szCs w:val="28"/>
        </w:rPr>
        <w:outlineLvl w:val="1"/>
      </w:pPr>
      <w:r/>
      <w:bookmarkStart w:id="201" w:name="_Toc1553333648"/>
      <w:r>
        <w:rPr>
          <w:rFonts w:hint="eastAsia" w:ascii="仿宋_GB2312" w:hAnsi="仿宋_GB2312" w:eastAsia="仿宋_GB2312" w:cs="仿宋_GB2312"/>
          <w:b/>
          <w:sz w:val="28"/>
          <w:szCs w:val="28"/>
        </w:rPr>
        <w:t xml:space="preserve">（一）付款方式</w:t>
      </w:r>
      <w:bookmarkEnd w:id="201"/>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验收合格后支付90%，项目运行12个月期满支付10%余款（每次付款需开具增值税发票）。</w:t>
      </w:r>
      <w:r/>
    </w:p>
    <w:p>
      <w:pPr>
        <w:ind w:firstLine="562"/>
        <w:jc w:val="left"/>
        <w:keepLines w:val="0"/>
        <w:keepNext w:val="0"/>
        <w:pageBreakBefore w:val="0"/>
        <w:spacing w:after="0" w:line="500" w:lineRule="exact"/>
        <w:rPr>
          <w:rFonts w:hint="eastAsia" w:ascii="仿宋_GB2312" w:hAnsi="仿宋_GB2312" w:eastAsia="仿宋_GB2312" w:cs="仿宋_GB2312"/>
          <w:b/>
          <w:sz w:val="28"/>
          <w:szCs w:val="28"/>
        </w:rPr>
        <w:outlineLvl w:val="1"/>
      </w:pPr>
      <w:r/>
      <w:bookmarkStart w:id="202" w:name="_Toc2067409004"/>
      <w:r>
        <w:rPr>
          <w:rFonts w:hint="eastAsia" w:ascii="仿宋_GB2312" w:hAnsi="仿宋_GB2312" w:eastAsia="仿宋_GB2312" w:cs="仿宋_GB2312"/>
          <w:b/>
          <w:sz w:val="28"/>
          <w:szCs w:val="28"/>
        </w:rPr>
        <w:t xml:space="preserve">（二）交付地点</w:t>
      </w:r>
      <w:bookmarkEnd w:id="202"/>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兴化市戴窑镇中心卫生院。</w:t>
      </w:r>
      <w:r/>
    </w:p>
    <w:p>
      <w:pPr>
        <w:ind w:firstLine="562"/>
        <w:jc w:val="left"/>
        <w:keepLines w:val="0"/>
        <w:keepNext w:val="0"/>
        <w:pageBreakBefore w:val="0"/>
        <w:spacing w:after="0" w:line="500" w:lineRule="exact"/>
        <w:rPr>
          <w:rFonts w:hint="eastAsia" w:ascii="仿宋_GB2312" w:hAnsi="仿宋_GB2312" w:eastAsia="仿宋_GB2312" w:cs="仿宋_GB2312"/>
          <w:b/>
          <w:sz w:val="28"/>
          <w:szCs w:val="28"/>
        </w:rPr>
        <w:outlineLvl w:val="1"/>
      </w:pPr>
      <w:r/>
      <w:bookmarkStart w:id="203" w:name="_Toc657721768"/>
      <w:r>
        <w:rPr>
          <w:rFonts w:hint="eastAsia" w:ascii="仿宋_GB2312" w:hAnsi="仿宋_GB2312" w:eastAsia="仿宋_GB2312" w:cs="仿宋_GB2312"/>
          <w:b/>
          <w:sz w:val="28"/>
          <w:szCs w:val="28"/>
        </w:rPr>
        <w:t xml:space="preserve">（三）验收标准</w:t>
      </w:r>
      <w:bookmarkEnd w:id="203"/>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1.全部5个接口完成改造、开发并通过与省局项目组的联调测试；</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2.存量数据（2025年1月1日以来）全部成功上传；</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3.增量数据能够按照规定时限（患者出院结账之日起15日内）常态化上传；</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4.数据上传质量符合省局质控标准；</w:t>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5.提供完整的技术文档和操作手册。</w:t>
      </w:r>
      <w:r/>
    </w:p>
    <w:p>
      <w:pPr>
        <w:ind w:firstLine="562"/>
        <w:jc w:val="left"/>
        <w:keepLines w:val="0"/>
        <w:keepNext w:val="0"/>
        <w:pageBreakBefore w:val="0"/>
        <w:spacing w:after="0" w:line="500" w:lineRule="exact"/>
        <w:rPr>
          <w:rFonts w:hint="eastAsia" w:ascii="仿宋_GB2312" w:hAnsi="仿宋_GB2312" w:eastAsia="仿宋_GB2312" w:cs="仿宋_GB2312"/>
          <w:b/>
          <w:sz w:val="28"/>
          <w:szCs w:val="28"/>
        </w:rPr>
        <w:outlineLvl w:val="1"/>
      </w:pPr>
      <w:r/>
      <w:bookmarkStart w:id="204" w:name="_Toc1231423667"/>
      <w:r>
        <w:rPr>
          <w:rFonts w:hint="eastAsia" w:ascii="仿宋_GB2312" w:hAnsi="仿宋_GB2312" w:eastAsia="仿宋_GB2312" w:cs="仿宋_GB2312"/>
          <w:b/>
          <w:sz w:val="28"/>
          <w:szCs w:val="28"/>
        </w:rPr>
        <w:t xml:space="preserve">（四）</w:t>
      </w:r>
      <w:r>
        <w:rPr>
          <w:rFonts w:hint="eastAsia" w:ascii="仿宋_GB2312" w:hAnsi="仿宋_GB2312" w:eastAsia="仿宋_GB2312" w:cs="仿宋_GB2312"/>
          <w:b/>
          <w:sz w:val="28"/>
          <w:szCs w:val="28"/>
          <w:lang w:val="en-US" w:eastAsia="zh-CN"/>
        </w:rPr>
        <w:t xml:space="preserve">维保</w:t>
      </w:r>
      <w:r>
        <w:rPr>
          <w:rFonts w:hint="eastAsia" w:ascii="仿宋_GB2312" w:hAnsi="仿宋_GB2312" w:eastAsia="仿宋_GB2312" w:cs="仿宋_GB2312"/>
          <w:b/>
          <w:sz w:val="28"/>
          <w:szCs w:val="28"/>
        </w:rPr>
        <w:t xml:space="preserve">期</w:t>
      </w:r>
      <w:bookmarkEnd w:id="204"/>
      <w:r/>
      <w:r/>
    </w:p>
    <w:p>
      <w:pPr>
        <w:ind w:firstLine="560"/>
        <w:jc w:val="left"/>
        <w:keepLines w:val="0"/>
        <w:keepNext w:val="0"/>
        <w:pageBreakBefore w:val="0"/>
        <w:spacing w:after="0"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项目验收合格之日起不少于3年。</w:t>
      </w:r>
      <w:r/>
    </w:p>
    <w:p>
      <w:pPr>
        <w:ind w:firstLine="562"/>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outlineLvl w:val="2"/>
      </w:pPr>
      <w:r/>
      <w:bookmarkStart w:id="205" w:name="_Toc120614281"/>
      <w:r>
        <w:rPr>
          <w:rFonts w:hint="eastAsia" w:ascii="仿宋_GB2312" w:hAnsi="仿宋_GB2312" w:eastAsia="仿宋_GB2312" w:cs="仿宋_GB2312"/>
          <w:b/>
          <w:bCs/>
          <w:color w:val="auto"/>
          <w:sz w:val="28"/>
          <w:szCs w:val="28"/>
          <w:highlight w:val="none"/>
          <w:lang w:val="en-US" w:eastAsia="zh-CN"/>
        </w:rPr>
        <w:t xml:space="preserve">（五）履约保证金</w:t>
      </w:r>
      <w:r/>
    </w:p>
    <w:p>
      <w:pPr>
        <w:pStyle w:val="1102"/>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w:t>
      </w:r>
      <w:r>
        <w:rPr>
          <w:rFonts w:hint="eastAsia" w:ascii="仿宋_GB2312" w:hAnsi="仿宋_GB2312" w:eastAsia="仿宋_GB2312" w:cs="仿宋_GB2312"/>
          <w:color w:val="auto"/>
          <w:sz w:val="28"/>
          <w:szCs w:val="28"/>
          <w:highlight w:val="none"/>
          <w:u w:val="single"/>
          <w:lang w:val="en-US" w:eastAsia="zh-CN" w:bidi="ar-SA"/>
        </w:rPr>
        <w:t xml:space="preserve"> </w:t>
      </w:r>
      <w:r>
        <w:rPr>
          <w:rFonts w:hint="eastAsia" w:ascii="仿宋_GB2312" w:hAnsi="仿宋_GB2312" w:eastAsia="仿宋_GB2312" w:cs="仿宋_GB2312"/>
          <w:b/>
          <w:bCs/>
          <w:color w:val="auto"/>
          <w:sz w:val="28"/>
          <w:szCs w:val="28"/>
          <w:highlight w:val="none"/>
          <w:u w:val="single"/>
          <w:lang w:val="en-US" w:eastAsia="zh-CN" w:bidi="ar-SA"/>
        </w:rPr>
        <w:t xml:space="preserve">不收取 </w:t>
      </w:r>
      <w:r>
        <w:rPr>
          <w:rFonts w:hint="eastAsia" w:ascii="仿宋_GB2312" w:hAnsi="仿宋_GB2312" w:eastAsia="仿宋_GB2312" w:cs="仿宋_GB2312"/>
          <w:color w:val="auto"/>
          <w:sz w:val="28"/>
          <w:szCs w:val="28"/>
          <w:highlight w:val="none"/>
          <w:lang w:val="en-US" w:eastAsia="zh-CN" w:bidi="ar-SA"/>
        </w:rPr>
        <w:t xml:space="preserve">履约保证金。</w:t>
      </w:r>
      <w:r/>
    </w:p>
    <w:p>
      <w:pPr>
        <w:ind w:firstLine="562"/>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（六）采购标的所属行业</w:t>
      </w:r>
      <w:r/>
    </w:p>
    <w:p>
      <w:pPr>
        <w:ind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参照《关于印发中小企业划型标准规定的通知》（工信部联企业〔2011〕300号）文件，本项目采购标的所属行业为：</w:t>
      </w:r>
      <w:r>
        <w:rPr>
          <w:rFonts w:hint="eastAsia" w:ascii="仿宋_GB2312" w:hAnsi="仿宋_GB2312" w:eastAsia="仿宋_GB2312" w:cs="仿宋_GB2312"/>
          <w:color w:val="auto"/>
          <w:sz w:val="28"/>
          <w:szCs w:val="28"/>
          <w:highlight w:val="none"/>
          <w:u w:val="single"/>
        </w:rPr>
        <w:t xml:space="preserve">软件和信息技术服务业</w:t>
      </w:r>
      <w:r>
        <w:rPr>
          <w:rFonts w:hint="eastAsia" w:ascii="仿宋_GB2312" w:hAnsi="仿宋_GB2312" w:eastAsia="仿宋_GB2312" w:cs="仿宋_GB2312"/>
          <w:color w:val="auto"/>
          <w:sz w:val="28"/>
          <w:szCs w:val="28"/>
          <w:highlight w:val="none"/>
        </w:rPr>
        <w:t xml:space="preserve">。</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720"/>
        <w:keepLines w:val="0"/>
        <w:keepNext w:val="0"/>
        <w:pageBreakBefore w:val="0"/>
        <w:spacing w:line="500" w:lineRule="exact"/>
        <w:widowControl w:val="off"/>
        <w:rPr>
          <w:rFonts w:hint="eastAsia" w:ascii="黑体" w:hAnsi="黑体" w:eastAsia="黑体" w:cs="黑体"/>
          <w:b w:val="0"/>
          <w:bCs w:val="0"/>
          <w:color w:val="auto"/>
          <w:sz w:val="36"/>
          <w:szCs w:val="36"/>
          <w:highlight w:val="none"/>
        </w:rPr>
      </w:pPr>
      <w:r>
        <w:rPr>
          <w:rFonts w:hint="eastAsia" w:ascii="黑体" w:hAnsi="黑体" w:eastAsia="黑体" w:cs="黑体"/>
          <w:b w:val="0"/>
          <w:bCs w:val="0"/>
          <w:color w:val="auto"/>
          <w:sz w:val="36"/>
          <w:szCs w:val="36"/>
          <w:highlight w:val="none"/>
        </w:rPr>
        <w:br w:type="page" w:clear="all"/>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560"/>
        <w:jc w:val="left"/>
        <w:keepLines w:val="0"/>
        <w:keepNext w:val="0"/>
        <w:pageBreakBefore w:val="0"/>
        <w:spacing w:line="50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firstLine="560"/>
        <w:jc w:val="left"/>
        <w:keepLines w:val="0"/>
        <w:keepNext w:val="0"/>
        <w:pageBreakBefore w:val="0"/>
        <w:spacing w:line="500" w:lineRule="exact"/>
        <w:widowControl w:val="off"/>
        <w:rPr>
          <w:rFonts w:ascii="仿宋_GB2312" w:hAnsi="仿宋_GB2312" w:eastAsia="仿宋_GB2312" w:cs="仿宋_GB2312"/>
          <w:color w:val="000000"/>
          <w:sz w:val="28"/>
          <w:szCs w:val="28"/>
        </w:rPr>
      </w:pPr>
      <w:r>
        <w:rPr>
          <w:rFonts w:hint="eastAsia" w:ascii="黑体" w:hAnsi="黑体" w:eastAsia="黑体" w:cs="黑体"/>
          <w:i/>
          <w:iCs/>
          <w:sz w:val="28"/>
          <w:szCs w:val="28"/>
          <w:u w:val="single"/>
        </w:rPr>
        <w:t xml:space="preserve">本项目属于专门面向中小企业采购的项目,供应商应为中小微企业、监狱企业、残疾人福利性单位。本项目</w:t>
      </w:r>
      <w:r>
        <w:rPr>
          <w:rFonts w:hint="eastAsia" w:ascii="黑体" w:hAnsi="黑体" w:eastAsia="黑体" w:cs="黑体"/>
          <w:i/>
          <w:iCs/>
          <w:sz w:val="28"/>
          <w:szCs w:val="28"/>
          <w:u w:val="single"/>
          <w:lang w:val="en-US" w:eastAsia="zh-CN"/>
        </w:rPr>
        <w:t xml:space="preserve"> </w:t>
      </w:r>
      <w:r>
        <w:rPr>
          <w:rFonts w:hint="eastAsia" w:ascii="黑体" w:hAnsi="黑体" w:eastAsia="黑体" w:cs="黑体"/>
          <w:b/>
          <w:bCs/>
          <w:i/>
          <w:iCs/>
          <w:sz w:val="28"/>
          <w:szCs w:val="28"/>
          <w:highlight w:val="yellow"/>
          <w:u w:val="single"/>
        </w:rPr>
        <w:t xml:space="preserve">不执行</w:t>
      </w:r>
      <w:r>
        <w:rPr>
          <w:rFonts w:hint="eastAsia" w:ascii="黑体" w:hAnsi="黑体" w:eastAsia="黑体" w:cs="黑体"/>
          <w:b/>
          <w:bCs/>
          <w:i/>
          <w:iCs/>
          <w:sz w:val="28"/>
          <w:szCs w:val="28"/>
          <w:highlight w:val="yellow"/>
          <w:u w:val="single"/>
          <w:lang w:val="en-US" w:eastAsia="zh-CN"/>
        </w:rPr>
        <w:t xml:space="preserve"> </w:t>
      </w:r>
      <w:r>
        <w:rPr>
          <w:rFonts w:hint="eastAsia" w:ascii="黑体" w:hAnsi="黑体" w:eastAsia="黑体" w:cs="黑体"/>
          <w:i/>
          <w:iCs/>
          <w:sz w:val="28"/>
          <w:szCs w:val="28"/>
          <w:u w:val="single"/>
        </w:rPr>
        <w:t xml:space="preserve">价格扣除政策。</w:t>
      </w:r>
      <w:r/>
    </w:p>
    <w:p>
      <w:pPr>
        <w:ind w:left="0" w:right="0"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二、关于报价的相关要求</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auto"/>
          <w:sz w:val="28"/>
          <w:szCs w:val="28"/>
        </w:rPr>
        <w:t xml:space="preserve">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）供应商未在</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小组规定的时间内完成最后报价的视为放弃</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，其</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）各供应商最后报价结束后,如</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小组应当将其作为无效响应文件处理。</w:t>
      </w:r>
      <w:r/>
    </w:p>
    <w:p>
      <w:pPr>
        <w:pStyle w:val="1011"/>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lang w:eastAsia="zh-CN"/>
        </w:rPr>
        <w:t xml:space="preserve">磋商</w:t>
      </w:r>
      <w:r>
        <w:rPr>
          <w:rFonts w:hint="eastAsia" w:ascii="仿宋" w:hAnsi="仿宋" w:eastAsia="仿宋" w:cs="宋体"/>
          <w:b/>
          <w:szCs w:val="28"/>
        </w:rPr>
        <w:t xml:space="preserve">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11"/>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磋商小组</w:t>
      </w:r>
      <w:r>
        <w:rPr>
          <w:rFonts w:hint="eastAsia" w:ascii="黑体" w:hAnsi="黑体" w:eastAsia="黑体" w:cs="黑体"/>
          <w:b w:val="0"/>
          <w:bCs/>
          <w:szCs w:val="28"/>
        </w:rPr>
        <w:t xml:space="preserve">应当启动异常低价投标(响应)审查程序:</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11"/>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keepLines w:val="0"/>
        <w:keepNext w:val="0"/>
        <w:pageBreakBefore w:val="0"/>
        <w:spacing w:line="50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三、</w:t>
      </w:r>
      <w:r>
        <w:rPr>
          <w:rFonts w:hint="eastAsia" w:ascii="黑体" w:hAnsi="黑体" w:eastAsia="黑体" w:cs="黑体"/>
          <w:bCs/>
          <w:color w:val="auto"/>
          <w:sz w:val="28"/>
          <w:szCs w:val="28"/>
        </w:rPr>
        <w:t xml:space="preserve">政府采购中实施本国产品标准及相关政策</w:t>
      </w:r>
      <w:r/>
    </w:p>
    <w:p>
      <w:pPr>
        <w:ind w:firstLine="562"/>
        <w:keepLines w:val="0"/>
        <w:keepNext w:val="0"/>
        <w:pageBreakBefore w:val="0"/>
        <w:spacing w:line="500" w:lineRule="exact"/>
        <w:rPr>
          <w:rFonts w:hint="eastAsia" w:ascii="仿宋_GB2312" w:hAnsi="仿宋_GB2312" w:eastAsia="仿宋_GB2312" w:cs="仿宋_GB2312"/>
          <w:b/>
          <w:bCs w:val="0"/>
          <w:color w:val="auto"/>
          <w:sz w:val="28"/>
          <w:szCs w:val="28"/>
          <w:u w:val="single"/>
        </w:rPr>
      </w:pPr>
      <w:r>
        <w:rPr>
          <w:rFonts w:hint="eastAsia" w:ascii="仿宋_GB2312" w:hAnsi="仿宋_GB2312" w:eastAsia="仿宋_GB2312" w:cs="仿宋_GB2312"/>
          <w:b/>
          <w:bCs w:val="0"/>
          <w:color w:val="auto"/>
          <w:sz w:val="28"/>
          <w:szCs w:val="28"/>
          <w:u w:val="single"/>
          <w:lang w:eastAsia="zh-CN"/>
        </w:rPr>
        <w:t xml:space="preserve">【注：本项“政府采购中实施本国产品标准及相关政策”属于通用表述，如若项目采购内容为服务，且项目采购包无采购实物货物，则所有供应商均不享受本国产品价格扣除。】</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的价格扣除，用扣除后的价格参与评审。供应商未填写比例数值，或比例数值</w:t>
      </w:r>
      <w:r>
        <w:rPr>
          <w:rFonts w:hint="eastAsia" w:ascii="仿宋_GB2312" w:hAnsi="仿宋_GB2312" w:eastAsia="仿宋_GB2312" w:cs="仿宋_GB2312"/>
          <w:color w:val="auto"/>
          <w:sz w:val="28"/>
          <w:szCs w:val="28"/>
          <w:highlight w:val="yellow"/>
        </w:rPr>
        <w:t xml:space="preserve">未达到</w:t>
      </w:r>
      <w:r>
        <w:rPr>
          <w:rFonts w:hint="eastAsia" w:ascii="仿宋_GB2312" w:hAnsi="仿宋_GB2312" w:eastAsia="仿宋_GB2312" w:cs="仿宋_GB2312"/>
          <w:color w:val="auto"/>
          <w:sz w:val="28"/>
          <w:szCs w:val="28"/>
        </w:rPr>
        <w:t xml:space="preserve">80%的，将不享受本国产品价格评审优惠。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6</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0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四、评审办法和评审标准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000000"/>
          <w:sz w:val="28"/>
          <w:szCs w:val="28"/>
        </w:rPr>
        <w:t xml:space="preserve">本次评标采用</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，由</w:t>
      </w:r>
      <w:r>
        <w:rPr>
          <w:rFonts w:hint="eastAsia" w:ascii="仿宋_GB2312" w:hAnsi="仿宋_GB2312" w:eastAsia="仿宋_GB2312" w:cs="仿宋_GB2312"/>
          <w:sz w:val="28"/>
          <w:szCs w:val="28"/>
          <w:lang w:eastAsia="zh-CN"/>
        </w:rPr>
        <w:t xml:space="preserve">磋商小组</w:t>
      </w:r>
      <w:r>
        <w:rPr>
          <w:rFonts w:hint="eastAsia" w:ascii="仿宋_GB2312" w:hAnsi="仿宋_GB2312" w:eastAsia="仿宋_GB2312" w:cs="仿宋_GB2312"/>
          <w:sz w:val="28"/>
          <w:szCs w:val="28"/>
        </w:rPr>
        <w:t xml:space="preserve">根据评分办法规定的各项因素综合评定打分，按照最终得分由高到低的顺序排列。最终得分相同的，按照</w:t>
      </w:r>
      <w:r>
        <w:rPr>
          <w:rFonts w:hint="eastAsia" w:ascii="仿宋_GB2312" w:hAnsi="仿宋_GB2312" w:eastAsia="仿宋_GB2312" w:cs="仿宋_GB2312"/>
          <w:sz w:val="28"/>
          <w:szCs w:val="28"/>
          <w:lang w:eastAsia="zh-CN"/>
        </w:rPr>
        <w:t xml:space="preserve">最后响应</w:t>
      </w:r>
      <w:r>
        <w:rPr>
          <w:rFonts w:hint="eastAsia" w:ascii="仿宋_GB2312" w:hAnsi="仿宋_GB2312" w:eastAsia="仿宋_GB2312" w:cs="仿宋_GB2312"/>
          <w:sz w:val="28"/>
          <w:szCs w:val="28"/>
        </w:rPr>
        <w:t xml:space="preserve">报价由低到高顺序排列。得分相同且</w:t>
      </w:r>
      <w:r>
        <w:rPr>
          <w:rFonts w:hint="eastAsia" w:ascii="仿宋_GB2312" w:hAnsi="仿宋_GB2312" w:eastAsia="仿宋_GB2312" w:cs="仿宋_GB2312"/>
          <w:sz w:val="28"/>
          <w:szCs w:val="28"/>
          <w:lang w:eastAsia="zh-CN"/>
        </w:rPr>
        <w:t xml:space="preserve">响应</w:t>
      </w:r>
      <w:r>
        <w:rPr>
          <w:rFonts w:hint="eastAsia" w:ascii="仿宋_GB2312" w:hAnsi="仿宋_GB2312" w:eastAsia="仿宋_GB2312" w:cs="仿宋_GB2312"/>
          <w:sz w:val="28"/>
          <w:szCs w:val="28"/>
        </w:rPr>
        <w:t xml:space="preserve">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000000"/>
          <w:sz w:val="28"/>
          <w:szCs w:val="28"/>
        </w:rPr>
        <w:t xml:space="preserve">本项目选取</w:t>
      </w:r>
      <w:r>
        <w:rPr>
          <w:rFonts w:hint="eastAsia" w:ascii="仿宋_GB2312" w:hAnsi="仿宋_GB2312" w:eastAsia="仿宋_GB2312" w:cs="仿宋_GB2312"/>
          <w:b w:val="0"/>
          <w:bCs w:val="0"/>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3名</w:t>
      </w:r>
      <w:r>
        <w:rPr>
          <w:rFonts w:hint="eastAsia" w:ascii="仿宋_GB2312" w:hAnsi="仿宋_GB2312" w:eastAsia="仿宋_GB2312" w:cs="仿宋_GB2312"/>
          <w:b/>
          <w:bCs/>
          <w:color w:val="000000"/>
          <w:sz w:val="28"/>
          <w:szCs w:val="28"/>
          <w:u w:val="single"/>
          <w:lang w:eastAsia="zh-CN"/>
        </w:rPr>
        <w:t xml:space="preserve">成交</w:t>
      </w:r>
      <w:r>
        <w:rPr>
          <w:rFonts w:hint="eastAsia" w:ascii="仿宋_GB2312" w:hAnsi="仿宋_GB2312" w:eastAsia="仿宋_GB2312" w:cs="仿宋_GB2312"/>
          <w:b/>
          <w:bCs/>
          <w:color w:val="000000"/>
          <w:sz w:val="28"/>
          <w:szCs w:val="28"/>
          <w:u w:val="single"/>
        </w:rPr>
        <w:t xml:space="preserve">候选人</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。采购人确定最终得分最高且排名第一的</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候选人为</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供应商。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r>
      <w:r/>
    </w:p>
    <w:p>
      <w:pPr>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br w:type="page" w:clear="all"/>
      </w:r>
      <w:r/>
    </w:p>
    <w:p>
      <w:pPr>
        <w:pStyle w:val="817"/>
        <w:ind w:left="0" w:firstLine="0"/>
        <w:jc w:val="center"/>
        <w:keepLines w:val="0"/>
        <w:keepNext w:val="0"/>
        <w:pageBreakBefore w:val="0"/>
        <w:spacing w:beforeAutospacing="0" w:afterAutospacing="0" w:line="440" w:lineRule="exact"/>
        <w:widowControl w:val="off"/>
        <w:rPr>
          <w:rFonts w:hint="eastAsia" w:ascii="黑体" w:hAnsi="黑体" w:eastAsia="黑体" w:cs="黑体"/>
          <w:b w:val="0"/>
          <w:bCs/>
          <w:color w:val="auto"/>
          <w:sz w:val="32"/>
          <w:szCs w:val="32"/>
          <w:highlight w:val="none"/>
          <w:lang w:eastAsia="zh-CN"/>
        </w:rPr>
      </w:pPr>
      <w:r>
        <w:rPr>
          <w:rFonts w:hint="eastAsia" w:ascii="黑体" w:hAnsi="黑体" w:eastAsia="黑体" w:cs="黑体"/>
          <w:b w:val="0"/>
          <w:bCs/>
          <w:color w:val="auto"/>
          <w:sz w:val="32"/>
          <w:szCs w:val="32"/>
          <w:highlight w:val="none"/>
        </w:rPr>
        <w:t xml:space="preserve">评分办法</w:t>
      </w:r>
      <w:r/>
    </w:p>
    <w:tbl>
      <w:tblPr>
        <w:tblStyle w:val="792"/>
        <w:tblpPr w:horzAnchor="page" w:tblpXSpec="center" w:vertAnchor="text" w:tblpY="615" w:leftFromText="180" w:topFromText="0" w:rightFromText="180" w:bottomFromText="0"/>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8"/>
        <w:gridCol w:w="7057"/>
      </w:tblGrid>
      <w:tr>
        <w:trPr>
          <w:jc w:val="center"/>
          <w:trHeight w:val="794"/>
          <w:tblHeader/>
        </w:trPr>
        <w:tc>
          <w:tcPr>
            <w:tcW w:w="124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eastAsia="zh-CN"/>
              </w:rPr>
              <w:t xml:space="preserve">评审</w:t>
            </w:r>
            <w:r>
              <w:rPr>
                <w:rFonts w:hint="eastAsia" w:ascii="仿宋_GB2312" w:hAnsi="仿宋_GB2312" w:eastAsia="仿宋_GB2312" w:cs="仿宋_GB2312"/>
                <w:b/>
                <w:bCs/>
                <w:sz w:val="24"/>
                <w:szCs w:val="24"/>
              </w:rPr>
              <w:t xml:space="preserve">项目</w:t>
            </w:r>
            <w:r/>
          </w:p>
        </w:tc>
        <w:tc>
          <w:tcPr>
            <w:tcW w:w="3759"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评分标准</w:t>
            </w:r>
            <w:r/>
          </w:p>
        </w:tc>
      </w:tr>
      <w:tr>
        <w:trPr>
          <w:jc w:val="center"/>
          <w:trHeight w:val="0"/>
        </w:trPr>
        <w:tc>
          <w:tcPr>
            <w:tcW w:w="1240" w:type="pct"/>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价格</w:t>
            </w:r>
            <w:r/>
          </w:p>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（20分）</w:t>
            </w:r>
            <w:r/>
          </w:p>
        </w:tc>
        <w:tc>
          <w:tcPr>
            <w:tcW w:w="3759" w:type="pct"/>
            <w:vAlign w:val="top"/>
            <w:textDirection w:val="lrTb"/>
            <w:noWrap w:val="false"/>
          </w:tcPr>
          <w:p>
            <w:pPr>
              <w:jc w:val="left"/>
              <w:keepLines w:val="0"/>
              <w:keepNext w:val="0"/>
              <w:pageBreakBefore w:val="0"/>
              <w:spacing w:after="0" w:line="42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价格分采用低价优先法计算，即满足磋商文件要求且最后报价最低的供应商的价格为磋商基准价，其价格分为满分。其他供应商的价格分统一按照下列公式计算：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after="0" w:line="420" w:lineRule="exact"/>
              <w:rPr>
                <w:rFonts w:hint="eastAsia" w:ascii="仿宋_GB2312" w:hAnsi="仿宋_GB2312" w:eastAsia="仿宋_GB2312" w:cs="仿宋_GB2312"/>
                <w:sz w:val="24"/>
                <w:szCs w:val="24"/>
                <w:lang w:val="en-US" w:eastAsia="zh-CN"/>
              </w:rPr>
            </w:pPr>
            <w:r/>
            <w:bookmarkStart w:id="206" w:name="No94_Z2T24K5"/>
            <w:r/>
            <w:bookmarkEnd w:id="206"/>
            <w:r>
              <w:rPr>
                <w:rFonts w:hint="eastAsia" w:ascii="仿宋_GB2312" w:hAnsi="仿宋_GB2312" w:eastAsia="仿宋_GB2312" w:cs="仿宋_GB2312"/>
                <w:sz w:val="24"/>
                <w:szCs w:val="24"/>
                <w:lang w:val="en-US" w:eastAsia="zh-CN"/>
              </w:rPr>
              <w:t xml:space="preserve">磋商报价得分=（磋商基准价/最后磋商报价）×20</w:t>
            </w:r>
            <w:r/>
          </w:p>
          <w:p>
            <w:pPr>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（保留两位小数）</w:t>
            </w:r>
            <w:r/>
          </w:p>
        </w:tc>
      </w:tr>
      <w:tr>
        <w:trPr>
          <w:jc w:val="center"/>
          <w:trHeight w:val="0"/>
        </w:trPr>
        <w:tc>
          <w:tcPr>
            <w:tcW w:w="1240" w:type="pct"/>
            <w:vAlign w:val="center"/>
            <w:vMerge w:val="restart"/>
            <w:textDirection w:val="lrTb"/>
            <w:noWrap w:val="false"/>
          </w:tcPr>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企业能力</w:t>
            </w:r>
            <w:r/>
          </w:p>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（15分）</w:t>
            </w:r>
            <w:r/>
          </w:p>
        </w:tc>
        <w:tc>
          <w:tcPr>
            <w:tcW w:w="3759" w:type="pct"/>
            <w:vAlign w:val="top"/>
            <w:textDirection w:val="lrTb"/>
            <w:noWrap w:val="false"/>
          </w:tcPr>
          <w:p>
            <w:pPr>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rPr>
              <w:t xml:space="preserve">1.</w:t>
            </w:r>
            <w:r>
              <w:rPr>
                <w:rFonts w:hint="eastAsia" w:ascii="仿宋_GB2312" w:hAnsi="仿宋_GB2312" w:eastAsia="仿宋_GB2312" w:cs="仿宋_GB2312"/>
                <w:b/>
                <w:bCs/>
                <w:sz w:val="24"/>
                <w:szCs w:val="24"/>
              </w:rPr>
              <w:t xml:space="preserve">业绩（12分）：</w:t>
            </w:r>
            <w:r>
              <w:rPr>
                <w:rFonts w:hint="eastAsia" w:ascii="仿宋_GB2312" w:hAnsi="仿宋_GB2312" w:eastAsia="仿宋_GB2312" w:cs="仿宋_GB2312"/>
                <w:sz w:val="24"/>
                <w:szCs w:val="24"/>
              </w:rPr>
              <w:t xml:space="preserve">供应商提供自2021年1月1日以来</w:t>
            </w:r>
            <w:r>
              <w:rPr>
                <w:rFonts w:hint="eastAsia" w:ascii="仿宋_GB2312" w:hAnsi="仿宋_GB2312" w:eastAsia="仿宋_GB2312" w:cs="仿宋_GB2312"/>
                <w:b w:val="0"/>
                <w:bCs w:val="0"/>
                <w:color w:val="auto"/>
                <w:sz w:val="24"/>
                <w:szCs w:val="24"/>
                <w:highlight w:val="none"/>
                <w:u w:val="none"/>
                <w:lang w:eastAsia="zh-CN"/>
              </w:rPr>
              <w:t xml:space="preserve">与本项目类似的</w:t>
            </w:r>
            <w:r>
              <w:rPr>
                <w:rFonts w:hint="eastAsia" w:ascii="仿宋_GB2312" w:hAnsi="仿宋_GB2312" w:eastAsia="仿宋_GB2312" w:cs="仿宋_GB2312"/>
                <w:sz w:val="24"/>
                <w:szCs w:val="24"/>
                <w:highlight w:val="none"/>
              </w:rPr>
              <w:t xml:space="preserve">医疗信息化项目业绩</w:t>
            </w:r>
            <w:r>
              <w:rPr>
                <w:rFonts w:hint="eastAsia" w:ascii="仿宋_GB2312" w:hAnsi="仿宋_GB2312" w:eastAsia="仿宋_GB2312" w:cs="仿宋_GB2312"/>
                <w:sz w:val="24"/>
                <w:szCs w:val="24"/>
              </w:rPr>
              <w:t xml:space="preserve">（以合同签订日期为准）每提供一个得3分，满分12分。</w:t>
            </w:r>
            <w:r/>
          </w:p>
          <w:p>
            <w:pPr>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（提供合同原件</w:t>
            </w:r>
            <w:r>
              <w:rPr>
                <w:rFonts w:hint="eastAsia" w:ascii="仿宋_GB2312" w:hAnsi="仿宋_GB2312" w:eastAsia="仿宋_GB2312" w:cs="仿宋_GB2312"/>
                <w:sz w:val="24"/>
                <w:szCs w:val="24"/>
                <w:lang w:eastAsia="zh-CN"/>
              </w:rPr>
              <w:t xml:space="preserve">扫描件，不提供不得分。</w:t>
            </w:r>
            <w:r>
              <w:rPr>
                <w:rFonts w:hint="eastAsia" w:ascii="仿宋_GB2312" w:hAnsi="仿宋_GB2312" w:eastAsia="仿宋_GB2312" w:cs="仿宋_GB2312"/>
                <w:sz w:val="24"/>
                <w:szCs w:val="24"/>
              </w:rPr>
              <w:t xml:space="preserve">）</w:t>
            </w:r>
            <w:r/>
          </w:p>
        </w:tc>
      </w:tr>
      <w:tr>
        <w:trPr>
          <w:jc w:val="center"/>
          <w:trHeight w:val="0"/>
        </w:trPr>
        <w:tc>
          <w:tcPr>
            <w:tcW w:w="1240" w:type="pct"/>
            <w:vAlign w:val="top"/>
            <w:vMerge w:val="continue"/>
            <w:textDirection w:val="lrTb"/>
            <w:noWrap w:val="false"/>
          </w:tcPr>
          <w:p>
            <w:pP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r>
            <w:r/>
          </w:p>
        </w:tc>
        <w:tc>
          <w:tcPr>
            <w:tcW w:w="3759" w:type="pct"/>
            <w:vAlign w:val="top"/>
            <w:textDirection w:val="lrTb"/>
            <w:noWrap w:val="false"/>
          </w:tcPr>
          <w:p>
            <w:pPr>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rPr>
              <w:t xml:space="preserve">2.</w:t>
            </w:r>
            <w:r>
              <w:rPr>
                <w:rFonts w:hint="eastAsia" w:ascii="仿宋_GB2312" w:hAnsi="仿宋_GB2312" w:eastAsia="仿宋_GB2312" w:cs="仿宋_GB2312"/>
                <w:b/>
                <w:bCs/>
                <w:sz w:val="24"/>
                <w:szCs w:val="24"/>
              </w:rPr>
              <w:t xml:space="preserve">软件著作权</w:t>
            </w:r>
            <w:r>
              <w:rPr>
                <w:rFonts w:hint="eastAsia" w:ascii="仿宋_GB2312" w:hAnsi="仿宋_GB2312" w:eastAsia="仿宋_GB2312" w:cs="仿宋_GB2312"/>
                <w:b/>
                <w:bCs/>
                <w:sz w:val="24"/>
                <w:szCs w:val="24"/>
                <w:lang w:eastAsia="zh-CN"/>
              </w:rPr>
              <w:t xml:space="preserve">（</w:t>
            </w:r>
            <w:r>
              <w:rPr>
                <w:rFonts w:hint="eastAsia" w:ascii="仿宋_GB2312" w:hAnsi="仿宋_GB2312" w:eastAsia="仿宋_GB2312" w:cs="仿宋_GB2312"/>
                <w:b/>
                <w:bCs/>
                <w:sz w:val="24"/>
                <w:szCs w:val="24"/>
                <w:lang w:val="en-US" w:eastAsia="zh-CN"/>
              </w:rPr>
              <w:t xml:space="preserve">3分</w:t>
            </w:r>
            <w:r>
              <w:rPr>
                <w:rFonts w:hint="eastAsia" w:ascii="仿宋_GB2312" w:hAnsi="仿宋_GB2312" w:eastAsia="仿宋_GB2312" w:cs="仿宋_GB2312"/>
                <w:b/>
                <w:bCs/>
                <w:sz w:val="24"/>
                <w:szCs w:val="24"/>
                <w:lang w:eastAsia="zh-CN"/>
              </w:rPr>
              <w:t xml:space="preserve">）</w:t>
            </w:r>
            <w:r>
              <w:rPr>
                <w:rFonts w:hint="eastAsia" w:ascii="仿宋_GB2312" w:hAnsi="仿宋_GB2312" w:eastAsia="仿宋_GB2312" w:cs="仿宋_GB2312"/>
                <w:b/>
                <w:bCs/>
                <w:sz w:val="24"/>
                <w:szCs w:val="24"/>
              </w:rPr>
              <w:t xml:space="preserve">：</w:t>
            </w:r>
            <w:r>
              <w:rPr>
                <w:rFonts w:hint="eastAsia" w:ascii="仿宋_GB2312" w:hAnsi="仿宋_GB2312" w:eastAsia="仿宋_GB2312" w:cs="仿宋_GB2312"/>
                <w:sz w:val="24"/>
                <w:szCs w:val="24"/>
                <w:lang w:eastAsia="zh-CN"/>
              </w:rPr>
              <w:t xml:space="preserve">供应商</w:t>
            </w:r>
            <w:r>
              <w:rPr>
                <w:rFonts w:hint="eastAsia" w:ascii="仿宋_GB2312" w:hAnsi="仿宋_GB2312" w:eastAsia="仿宋_GB2312" w:cs="仿宋_GB2312"/>
                <w:sz w:val="24"/>
                <w:szCs w:val="24"/>
              </w:rPr>
              <w:t xml:space="preserve">每提供一个包括</w:t>
            </w:r>
            <w:r>
              <w:rPr>
                <w:rFonts w:hint="eastAsia" w:ascii="仿宋_GB2312" w:hAnsi="仿宋_GB2312" w:eastAsia="仿宋_GB2312" w:cs="仿宋_GB2312"/>
                <w:sz w:val="24"/>
                <w:szCs w:val="24"/>
                <w:lang w:val="en-US" w:eastAsia="zh-CN"/>
              </w:rPr>
              <w:t xml:space="preserve">或近似</w:t>
            </w:r>
            <w:r>
              <w:rPr>
                <w:rFonts w:hint="eastAsia" w:ascii="仿宋_GB2312" w:hAnsi="仿宋_GB2312" w:eastAsia="仿宋_GB2312" w:cs="仿宋_GB2312"/>
                <w:sz w:val="24"/>
                <w:szCs w:val="24"/>
              </w:rPr>
              <w:t xml:space="preserve">以下关键词（</w:t>
            </w:r>
            <w:r>
              <w:rPr>
                <w:rFonts w:hint="eastAsia" w:ascii="仿宋_GB2312" w:hAnsi="仿宋_GB2312" w:eastAsia="仿宋_GB2312" w:cs="仿宋_GB2312"/>
                <w:sz w:val="24"/>
                <w:szCs w:val="24"/>
                <w:highlight w:val="none"/>
              </w:rPr>
              <w:t xml:space="preserve">“基层医疗卫生信息系统”、“结构化电子病历”、“全民健康信息平台”、“医疗卫生信息安全”</w:t>
            </w:r>
            <w:r>
              <w:rPr>
                <w:rFonts w:hint="eastAsia" w:ascii="仿宋_GB2312" w:hAnsi="仿宋_GB2312" w:eastAsia="仿宋_GB2312" w:cs="仿宋_GB2312"/>
                <w:sz w:val="24"/>
                <w:szCs w:val="24"/>
              </w:rPr>
              <w:t xml:space="preserve">）的计算机软件著作权证书得1分，最高得3分。</w:t>
            </w:r>
            <w:r/>
          </w:p>
          <w:p>
            <w:pPr>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（提供计算机软件著作权登记证书扫描件，</w:t>
            </w:r>
            <w:r>
              <w:rPr>
                <w:rFonts w:hint="eastAsia" w:ascii="仿宋_GB2312" w:hAnsi="仿宋_GB2312" w:eastAsia="仿宋_GB2312" w:cs="仿宋_GB2312"/>
                <w:sz w:val="24"/>
                <w:szCs w:val="24"/>
              </w:rPr>
              <w:t xml:space="preserve">不提供不得分</w:t>
            </w:r>
            <w:r>
              <w:rPr>
                <w:rFonts w:hint="eastAsia" w:ascii="仿宋_GB2312" w:hAnsi="仿宋_GB2312" w:eastAsia="仿宋_GB2312" w:cs="仿宋_GB2312"/>
                <w:sz w:val="24"/>
                <w:szCs w:val="24"/>
                <w:lang w:val="en-US" w:eastAsia="zh-CN"/>
              </w:rPr>
              <w:t xml:space="preserve">。）</w:t>
            </w:r>
            <w:r/>
          </w:p>
        </w:tc>
      </w:tr>
      <w:tr>
        <w:trPr>
          <w:jc w:val="center"/>
          <w:trHeight w:val="0"/>
        </w:trPr>
        <w:tc>
          <w:tcPr>
            <w:tcW w:w="1240" w:type="pct"/>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设计及实施方案</w:t>
            </w:r>
            <w:r/>
          </w:p>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（15分）</w:t>
            </w:r>
            <w:r/>
          </w:p>
        </w:tc>
        <w:tc>
          <w:tcPr>
            <w:tcW w:w="3759" w:type="pct"/>
            <w:vAlign w:val="top"/>
            <w:textDirection w:val="lrTb"/>
            <w:noWrap w:val="false"/>
          </w:tcPr>
          <w:p>
            <w:pPr>
              <w:pStyle w:val="817"/>
              <w:ind w:firstLine="0"/>
              <w:jc w:val="left"/>
              <w:keepLines w:val="0"/>
              <w:keepNext w:val="0"/>
              <w:pageBreakBefore w:val="0"/>
              <w:spacing w:line="420" w:lineRule="exact"/>
              <w:widowControl/>
              <w:rPr>
                <w:rFonts w:hint="eastAsia" w:ascii="仿宋_GB2312" w:hAnsi="仿宋_GB2312" w:eastAsia="仿宋_GB2312" w:cs="仿宋_GB2312"/>
                <w:sz w:val="24"/>
                <w:szCs w:val="24"/>
                <w:lang w:eastAsia="zh-CN"/>
              </w:rPr>
              <w:suppressLineNumbers w:val="0"/>
            </w:pPr>
            <w:r>
              <w:rPr>
                <w:rFonts w:hint="eastAsia" w:ascii="仿宋_GB2312" w:hAnsi="仿宋_GB2312" w:eastAsia="仿宋_GB2312" w:cs="仿宋_GB2312"/>
                <w:sz w:val="24"/>
                <w:szCs w:val="24"/>
                <w:lang w:val="en-US" w:eastAsia="zh-CN"/>
              </w:rPr>
              <w:t xml:space="preserve">供应商</w:t>
            </w:r>
            <w:r>
              <w:rPr>
                <w:rFonts w:hint="eastAsia" w:ascii="仿宋_GB2312" w:hAnsi="仿宋_GB2312" w:eastAsia="仿宋_GB2312" w:cs="仿宋_GB2312"/>
                <w:sz w:val="24"/>
                <w:szCs w:val="24"/>
              </w:rPr>
              <w:t xml:space="preserve">应根据项目的采购技术需求提供详细的</w:t>
            </w:r>
            <w:r>
              <w:rPr>
                <w:rFonts w:hint="eastAsia" w:ascii="仿宋_GB2312" w:hAnsi="仿宋_GB2312" w:eastAsia="仿宋_GB2312" w:cs="仿宋_GB2312"/>
                <w:sz w:val="24"/>
                <w:szCs w:val="24"/>
                <w:lang w:val="en-US" w:eastAsia="zh-CN"/>
              </w:rPr>
              <w:t xml:space="preserve">设计及实施</w:t>
            </w:r>
            <w:r>
              <w:rPr>
                <w:rFonts w:hint="eastAsia" w:ascii="仿宋_GB2312" w:hAnsi="仿宋_GB2312" w:eastAsia="仿宋_GB2312" w:cs="仿宋_GB2312"/>
                <w:sz w:val="24"/>
                <w:szCs w:val="24"/>
              </w:rPr>
              <w:t xml:space="preserve">方案</w:t>
            </w:r>
            <w:r>
              <w:rPr>
                <w:rFonts w:hint="eastAsia" w:ascii="仿宋_GB2312" w:hAnsi="仿宋_GB2312" w:eastAsia="仿宋_GB2312" w:cs="仿宋_GB2312"/>
                <w:sz w:val="24"/>
                <w:szCs w:val="24"/>
                <w:lang w:eastAsia="zh-CN"/>
              </w:rPr>
              <w:t xml:space="preserve">：</w:t>
            </w:r>
            <w:r/>
          </w:p>
          <w:p>
            <w:pPr>
              <w:pStyle w:val="817"/>
              <w:ind w:firstLine="0"/>
              <w:jc w:val="left"/>
              <w:keepLines w:val="0"/>
              <w:keepNext w:val="0"/>
              <w:pageBreakBefore w:val="0"/>
              <w:spacing w:line="420" w:lineRule="exact"/>
              <w:widowControl/>
              <w:rPr>
                <w:rFonts w:hint="eastAsia" w:ascii="仿宋_GB2312" w:hAnsi="仿宋_GB2312" w:eastAsia="仿宋_GB2312" w:cs="仿宋_GB2312"/>
                <w:sz w:val="24"/>
                <w:szCs w:val="24"/>
              </w:rPr>
              <w:suppressLineNumbers w:val="0"/>
            </w:pPr>
            <w:r>
              <w:rPr>
                <w:rFonts w:hint="eastAsia" w:ascii="仿宋_GB2312" w:hAnsi="仿宋_GB2312" w:eastAsia="仿宋_GB2312" w:cs="仿宋_GB2312"/>
                <w:sz w:val="24"/>
                <w:szCs w:val="24"/>
              </w:rPr>
              <w:t xml:space="preserve">（1）未提供方案或不符合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文件要求的，不得分；</w:t>
            </w:r>
            <w:r/>
          </w:p>
          <w:p>
            <w:pPr>
              <w:pStyle w:val="817"/>
              <w:ind w:firstLine="0"/>
              <w:jc w:val="left"/>
              <w:keepLines w:val="0"/>
              <w:keepNext w:val="0"/>
              <w:pageBreakBefore w:val="0"/>
              <w:spacing w:line="420" w:lineRule="exact"/>
              <w:widowControl/>
              <w:rPr>
                <w:rFonts w:hint="eastAsia" w:ascii="仿宋_GB2312" w:hAnsi="仿宋_GB2312" w:eastAsia="仿宋_GB2312" w:cs="仿宋_GB2312"/>
                <w:sz w:val="24"/>
                <w:szCs w:val="24"/>
              </w:rPr>
              <w:suppressLineNumbers w:val="0"/>
            </w:pPr>
            <w:r>
              <w:rPr>
                <w:rFonts w:hint="eastAsia" w:ascii="仿宋_GB2312" w:hAnsi="仿宋_GB2312" w:eastAsia="仿宋_GB2312" w:cs="仿宋_GB2312"/>
                <w:sz w:val="24"/>
                <w:szCs w:val="24"/>
              </w:rPr>
              <w:t xml:space="preserve">（2）方案符合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文件要求的，得10分；</w:t>
            </w:r>
            <w:r/>
          </w:p>
          <w:p>
            <w:pPr>
              <w:pStyle w:val="817"/>
              <w:ind w:firstLine="0"/>
              <w:jc w:val="left"/>
              <w:keepLines w:val="0"/>
              <w:keepNext w:val="0"/>
              <w:pageBreakBefore w:val="0"/>
              <w:spacing w:line="420" w:lineRule="exact"/>
              <w:widowControl/>
              <w:rPr>
                <w:rFonts w:hint="eastAsia" w:ascii="仿宋_GB2312" w:hAnsi="仿宋_GB2312" w:eastAsia="仿宋_GB2312" w:cs="仿宋_GB2312"/>
                <w:color w:val="ff0000"/>
                <w:sz w:val="24"/>
                <w:szCs w:val="24"/>
              </w:rPr>
              <w:suppressLineNumbers w:val="0"/>
            </w:pPr>
            <w:r>
              <w:rPr>
                <w:rFonts w:hint="eastAsia" w:ascii="仿宋_GB2312" w:hAnsi="仿宋_GB2312" w:eastAsia="仿宋_GB2312" w:cs="仿宋_GB2312"/>
                <w:sz w:val="24"/>
                <w:szCs w:val="24"/>
              </w:rPr>
              <w:t xml:space="preserve">（3）方案内容详实、规划合理、措施完善，整体优于</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文件要求的，得15分。</w:t>
            </w:r>
            <w:r/>
          </w:p>
        </w:tc>
      </w:tr>
      <w:tr>
        <w:trPr>
          <w:jc w:val="center"/>
          <w:trHeight w:val="0"/>
        </w:trPr>
        <w:tc>
          <w:tcPr>
            <w:tcW w:w="1240" w:type="pct"/>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验收方案</w:t>
            </w:r>
            <w:r/>
          </w:p>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（15分）</w:t>
            </w:r>
            <w:r/>
          </w:p>
        </w:tc>
        <w:tc>
          <w:tcPr>
            <w:tcW w:w="3759" w:type="pct"/>
            <w:vAlign w:val="top"/>
            <w:textDirection w:val="lrTb"/>
            <w:noWrap w:val="false"/>
          </w:tcPr>
          <w:p>
            <w:pPr>
              <w:ind w:left="0" w:right="0" w:firstLine="0"/>
              <w:jc w:val="left"/>
              <w:keepLines w:val="0"/>
              <w:keepNext w:val="0"/>
              <w:pageBreakBefore w:val="0"/>
              <w:spacing w:after="0" w:line="420" w:lineRule="exact"/>
              <w:widowControl/>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 xml:space="preserve">供应商应根据项目的采购技术需求提供详细的验收方案：</w:t>
            </w:r>
            <w:r/>
          </w:p>
          <w:p>
            <w:pPr>
              <w:pStyle w:val="817"/>
              <w:ind w:firstLine="0"/>
              <w:jc w:val="left"/>
              <w:keepLines w:val="0"/>
              <w:keepNext w:val="0"/>
              <w:pageBreakBefore w:val="0"/>
              <w:spacing w:line="420" w:lineRule="exact"/>
              <w:widowControl/>
              <w:rPr>
                <w:rFonts w:hint="eastAsia" w:ascii="仿宋_GB2312" w:hAnsi="仿宋_GB2312" w:eastAsia="仿宋_GB2312" w:cs="仿宋_GB2312"/>
                <w:sz w:val="24"/>
                <w:szCs w:val="24"/>
              </w:rPr>
              <w:suppressLineNumbers w:val="0"/>
            </w:pPr>
            <w:r>
              <w:rPr>
                <w:rFonts w:hint="eastAsia" w:ascii="仿宋_GB2312" w:hAnsi="仿宋_GB2312" w:eastAsia="仿宋_GB2312" w:cs="仿宋_GB2312"/>
                <w:sz w:val="24"/>
                <w:szCs w:val="24"/>
              </w:rPr>
              <w:t xml:space="preserve">（1）未提供方案或不符合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文件要求的，不得分；</w:t>
            </w:r>
            <w:r/>
          </w:p>
          <w:p>
            <w:pPr>
              <w:pStyle w:val="817"/>
              <w:ind w:firstLine="0"/>
              <w:jc w:val="left"/>
              <w:keepLines w:val="0"/>
              <w:keepNext w:val="0"/>
              <w:pageBreakBefore w:val="0"/>
              <w:spacing w:line="420" w:lineRule="exact"/>
              <w:widowControl/>
              <w:rPr>
                <w:rFonts w:hint="eastAsia" w:ascii="仿宋_GB2312" w:hAnsi="仿宋_GB2312" w:eastAsia="仿宋_GB2312" w:cs="仿宋_GB2312"/>
                <w:sz w:val="24"/>
                <w:szCs w:val="24"/>
              </w:rPr>
              <w:suppressLineNumbers w:val="0"/>
            </w:pPr>
            <w:r>
              <w:rPr>
                <w:rFonts w:hint="eastAsia" w:ascii="仿宋_GB2312" w:hAnsi="仿宋_GB2312" w:eastAsia="仿宋_GB2312" w:cs="仿宋_GB2312"/>
                <w:sz w:val="24"/>
                <w:szCs w:val="24"/>
              </w:rPr>
              <w:t xml:space="preserve">（2）方案符合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文件要求的，得10分；</w:t>
            </w:r>
            <w:r/>
          </w:p>
          <w:p>
            <w:pPr>
              <w:pStyle w:val="817"/>
              <w:ind w:firstLine="0"/>
              <w:jc w:val="left"/>
              <w:keepLines w:val="0"/>
              <w:keepNext w:val="0"/>
              <w:pageBreakBefore w:val="0"/>
              <w:spacing w:line="420" w:lineRule="exact"/>
              <w:widowControl/>
              <w:rPr>
                <w:rFonts w:hint="eastAsia" w:ascii="仿宋_GB2312" w:hAnsi="仿宋_GB2312" w:eastAsia="仿宋_GB2312" w:cs="仿宋_GB2312"/>
                <w:color w:val="ff0000"/>
                <w:sz w:val="24"/>
                <w:szCs w:val="24"/>
              </w:rPr>
              <w:suppressLineNumbers w:val="0"/>
            </w:pPr>
            <w:r>
              <w:rPr>
                <w:rFonts w:hint="eastAsia" w:ascii="仿宋_GB2312" w:hAnsi="仿宋_GB2312" w:eastAsia="仿宋_GB2312" w:cs="仿宋_GB2312"/>
                <w:sz w:val="24"/>
                <w:szCs w:val="24"/>
              </w:rPr>
              <w:t xml:space="preserve">（3）方案贴合项目实际、流程规范、标准细致，整体优于</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文件要求的，得15分。</w:t>
            </w:r>
            <w:r/>
          </w:p>
        </w:tc>
      </w:tr>
      <w:tr>
        <w:trPr>
          <w:jc w:val="center"/>
          <w:trHeight w:val="0"/>
        </w:trPr>
        <w:tc>
          <w:tcPr>
            <w:tcW w:w="1240" w:type="pct"/>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售后服务</w:t>
            </w:r>
            <w:r/>
          </w:p>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（10分）</w:t>
            </w:r>
            <w:r/>
          </w:p>
        </w:tc>
        <w:tc>
          <w:tcPr>
            <w:tcW w:w="3759" w:type="pct"/>
            <w:vAlign w:val="top"/>
            <w:textDirection w:val="lrTb"/>
            <w:noWrap w:val="false"/>
          </w:tcPr>
          <w:p>
            <w:pPr>
              <w:pStyle w:val="817"/>
              <w:ind w:firstLine="0"/>
              <w:jc w:val="left"/>
              <w:keepLines w:val="0"/>
              <w:keepNext w:val="0"/>
              <w:pageBreakBefore w:val="0"/>
              <w:spacing w:line="420" w:lineRule="exact"/>
              <w:widowControl/>
              <w:rPr>
                <w:rFonts w:hint="eastAsia" w:ascii="仿宋_GB2312" w:hAnsi="仿宋_GB2312" w:eastAsia="仿宋_GB2312" w:cs="仿宋_GB2312"/>
                <w:sz w:val="24"/>
                <w:szCs w:val="24"/>
              </w:rPr>
              <w:suppressLineNumbers w:val="0"/>
            </w:pPr>
            <w:r>
              <w:rPr>
                <w:rFonts w:hint="eastAsia" w:ascii="仿宋_GB2312" w:hAnsi="仿宋_GB2312" w:eastAsia="仿宋_GB2312" w:cs="仿宋_GB2312"/>
                <w:sz w:val="24"/>
                <w:szCs w:val="24"/>
                <w:lang w:val="en-US" w:eastAsia="zh-CN"/>
              </w:rPr>
              <w:t xml:space="preserve">供应商</w:t>
            </w:r>
            <w:r>
              <w:rPr>
                <w:rFonts w:hint="eastAsia" w:ascii="仿宋_GB2312" w:hAnsi="仿宋_GB2312" w:eastAsia="仿宋_GB2312" w:cs="仿宋_GB2312"/>
                <w:sz w:val="24"/>
                <w:szCs w:val="24"/>
              </w:rPr>
              <w:t xml:space="preserve">应根据项目的采购技术需求提供</w:t>
            </w:r>
            <w:r>
              <w:rPr>
                <w:rFonts w:hint="eastAsia" w:ascii="仿宋_GB2312" w:hAnsi="仿宋_GB2312" w:eastAsia="仿宋_GB2312" w:cs="仿宋_GB2312"/>
                <w:sz w:val="24"/>
                <w:szCs w:val="24"/>
                <w:lang w:val="en-US" w:eastAsia="zh-CN"/>
              </w:rPr>
              <w:t xml:space="preserve">相应的售后服务</w:t>
            </w:r>
            <w:r>
              <w:rPr>
                <w:rFonts w:hint="eastAsia" w:ascii="仿宋_GB2312" w:hAnsi="仿宋_GB2312" w:eastAsia="仿宋_GB2312" w:cs="仿宋_GB2312"/>
                <w:sz w:val="24"/>
                <w:szCs w:val="24"/>
              </w:rPr>
              <w:t xml:space="preserve">：</w:t>
            </w:r>
            <w:r/>
          </w:p>
          <w:p>
            <w:pPr>
              <w:pStyle w:val="817"/>
              <w:ind w:firstLine="0"/>
              <w:jc w:val="left"/>
              <w:keepLines w:val="0"/>
              <w:keepNext w:val="0"/>
              <w:pageBreakBefore w:val="0"/>
              <w:spacing w:line="420" w:lineRule="exact"/>
              <w:widowControl/>
              <w:rPr>
                <w:rFonts w:hint="eastAsia" w:ascii="仿宋_GB2312" w:hAnsi="仿宋_GB2312" w:eastAsia="仿宋_GB2312" w:cs="仿宋_GB2312"/>
                <w:sz w:val="24"/>
                <w:szCs w:val="24"/>
              </w:rPr>
              <w:suppressLineNumbers w:val="0"/>
            </w:pPr>
            <w:r>
              <w:rPr>
                <w:rFonts w:hint="eastAsia" w:ascii="仿宋_GB2312" w:hAnsi="仿宋_GB2312" w:eastAsia="仿宋_GB2312" w:cs="仿宋_GB2312"/>
                <w:sz w:val="24"/>
                <w:szCs w:val="24"/>
              </w:rPr>
              <w:t xml:space="preserve">（1）未提供方案或不符合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文件要求的，不得分；</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（2）方案符合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文件要求的，得5分；</w:t>
            </w:r>
            <w:r/>
          </w:p>
          <w:p>
            <w:pPr>
              <w:pStyle w:val="817"/>
              <w:ind w:firstLine="0"/>
              <w:jc w:val="left"/>
              <w:keepLines w:val="0"/>
              <w:keepNext w:val="0"/>
              <w:pageBreakBefore w:val="0"/>
              <w:spacing w:line="420" w:lineRule="exact"/>
              <w:widowControl/>
              <w:rPr>
                <w:rFonts w:hint="eastAsia" w:ascii="仿宋_GB2312" w:hAnsi="仿宋_GB2312" w:eastAsia="仿宋_GB2312" w:cs="仿宋_GB2312"/>
                <w:color w:val="ff0000"/>
                <w:sz w:val="24"/>
                <w:szCs w:val="24"/>
              </w:rPr>
              <w:suppressLineNumbers w:val="0"/>
            </w:pPr>
            <w:r>
              <w:rPr>
                <w:rFonts w:hint="eastAsia" w:ascii="仿宋_GB2312" w:hAnsi="仿宋_GB2312" w:eastAsia="仿宋_GB2312" w:cs="仿宋_GB2312"/>
                <w:sz w:val="24"/>
                <w:szCs w:val="24"/>
              </w:rPr>
              <w:t xml:space="preserve">（3）服务体系完善、响应机制高效、保障措施全面，整体优于</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文件要求的，得10分。</w:t>
            </w:r>
            <w:r/>
          </w:p>
        </w:tc>
      </w:tr>
      <w:tr>
        <w:trPr>
          <w:jc w:val="center"/>
          <w:trHeight w:val="0"/>
        </w:trPr>
        <w:tc>
          <w:tcPr>
            <w:tcW w:w="1240" w:type="pct"/>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软件开发方案</w:t>
            </w:r>
            <w:r/>
          </w:p>
          <w:p>
            <w:pPr>
              <w:jc w:val="center"/>
              <w:keepLines w:val="0"/>
              <w:keepNext w:val="0"/>
              <w:pageBreakBefore w:val="0"/>
              <w:spacing w:after="0" w:line="440" w:lineRule="exact"/>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rPr>
              <w:t xml:space="preserve">（10分）</w:t>
            </w:r>
            <w:r/>
          </w:p>
        </w:tc>
        <w:tc>
          <w:tcPr>
            <w:tcW w:w="3759" w:type="pct"/>
            <w:vAlign w:val="top"/>
            <w:textDirection w:val="lrTb"/>
            <w:noWrap w:val="false"/>
          </w:tcPr>
          <w:p>
            <w:pPr>
              <w:ind w:firstLine="0"/>
              <w:jc w:val="left"/>
              <w:keepLines w:val="0"/>
              <w:keepNext w:val="0"/>
              <w:pageBreakBefore w:val="0"/>
              <w:spacing w:after="0" w:line="42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 xml:space="preserve">供应商</w:t>
            </w:r>
            <w:r>
              <w:rPr>
                <w:rFonts w:hint="eastAsia" w:ascii="仿宋_GB2312" w:hAnsi="仿宋_GB2312" w:eastAsia="仿宋_GB2312" w:cs="仿宋_GB2312"/>
                <w:sz w:val="24"/>
                <w:szCs w:val="24"/>
              </w:rPr>
              <w:t xml:space="preserve">应根据项目的采购技术需求提供详细的软件开发方案</w:t>
            </w:r>
            <w:r>
              <w:rPr>
                <w:rFonts w:hint="eastAsia" w:ascii="仿宋_GB2312" w:hAnsi="仿宋_GB2312" w:eastAsia="仿宋_GB2312" w:cs="仿宋_GB2312"/>
                <w:sz w:val="24"/>
                <w:szCs w:val="24"/>
                <w:lang w:eastAsia="zh-CN"/>
              </w:rPr>
              <w:t xml:space="preserve">：</w:t>
            </w:r>
            <w:r/>
          </w:p>
          <w:p>
            <w:pPr>
              <w:ind w:firstLine="0"/>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lang w:eastAsia="zh-CN"/>
              </w:rPr>
              <w:t xml:space="preserve">响应</w:t>
            </w:r>
            <w:r>
              <w:rPr>
                <w:rFonts w:hint="eastAsia" w:ascii="仿宋_GB2312" w:hAnsi="仿宋_GB2312" w:eastAsia="仿宋_GB2312" w:cs="仿宋_GB2312"/>
                <w:sz w:val="24"/>
                <w:szCs w:val="24"/>
              </w:rPr>
              <w:t xml:space="preserve">文件未提供“软件开发方案”或不符合“软件开发方案”中全部条款要求的，视为不符合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文件，不得分；</w:t>
            </w:r>
            <w:r/>
          </w:p>
          <w:p>
            <w:pPr>
              <w:ind w:firstLine="0"/>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eastAsia="zh-CN"/>
              </w:rPr>
              <w:t xml:space="preserve">响应</w:t>
            </w:r>
            <w:r>
              <w:rPr>
                <w:rFonts w:hint="eastAsia" w:ascii="仿宋_GB2312" w:hAnsi="仿宋_GB2312" w:eastAsia="仿宋_GB2312" w:cs="仿宋_GB2312"/>
                <w:sz w:val="24"/>
                <w:szCs w:val="24"/>
              </w:rPr>
              <w:t xml:space="preserve">文件符合“软件开发方案”中全部条款要求的，得5分；</w:t>
            </w:r>
            <w:r/>
          </w:p>
          <w:p>
            <w:pPr>
              <w:ind w:firstLine="0"/>
              <w:jc w:val="left"/>
              <w:keepLines w:val="0"/>
              <w:keepNext w:val="0"/>
              <w:pageBreakBefore w:val="0"/>
              <w:spacing w:after="0" w:line="42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 xml:space="preserve">（3）</w:t>
            </w:r>
            <w:r>
              <w:rPr>
                <w:rFonts w:hint="eastAsia" w:ascii="仿宋_GB2312" w:hAnsi="仿宋_GB2312" w:eastAsia="仿宋_GB2312" w:cs="仿宋_GB2312"/>
                <w:sz w:val="24"/>
                <w:szCs w:val="24"/>
                <w:lang w:eastAsia="zh-CN"/>
              </w:rPr>
              <w:t xml:space="preserve">响应</w:t>
            </w:r>
            <w:r>
              <w:rPr>
                <w:rFonts w:hint="eastAsia" w:ascii="仿宋_GB2312" w:hAnsi="仿宋_GB2312" w:eastAsia="仿宋_GB2312" w:cs="仿宋_GB2312"/>
                <w:sz w:val="24"/>
                <w:szCs w:val="24"/>
              </w:rPr>
              <w:t xml:space="preserve">文件对“软件开发方案”中“系统架构设计”、“技术路线”、“功能实现”三项要求的响应内容全部优于</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文件要求的得10分。</w:t>
            </w:r>
            <w:r/>
          </w:p>
        </w:tc>
      </w:tr>
      <w:tr>
        <w:trPr>
          <w:jc w:val="center"/>
          <w:trHeight w:val="0"/>
        </w:trPr>
        <w:tc>
          <w:tcPr>
            <w:tcW w:w="1240" w:type="pct"/>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rPr>
              <w:t xml:space="preserve">项目进度管理方案（15分）</w:t>
            </w:r>
            <w:r/>
          </w:p>
        </w:tc>
        <w:tc>
          <w:tcPr>
            <w:tcW w:w="3759" w:type="pct"/>
            <w:vAlign w:val="top"/>
            <w:textDirection w:val="lrTb"/>
            <w:noWrap w:val="false"/>
          </w:tcPr>
          <w:p>
            <w:pPr>
              <w:ind w:firstLine="0"/>
              <w:jc w:val="left"/>
              <w:keepLines w:val="0"/>
              <w:keepNext w:val="0"/>
              <w:pageBreakBefore w:val="0"/>
              <w:spacing w:after="0" w:line="42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 xml:space="preserve">供应商</w:t>
            </w:r>
            <w:r>
              <w:rPr>
                <w:rFonts w:hint="eastAsia" w:ascii="仿宋_GB2312" w:hAnsi="仿宋_GB2312" w:eastAsia="仿宋_GB2312" w:cs="仿宋_GB2312"/>
                <w:sz w:val="24"/>
                <w:szCs w:val="24"/>
                <w:lang w:eastAsia="zh-CN"/>
              </w:rPr>
              <w:t xml:space="preserve">根据项目的采购技术需求提供详细的项目进度管理方案：</w:t>
            </w:r>
            <w:r/>
          </w:p>
          <w:p>
            <w:pPr>
              <w:ind w:firstLine="0"/>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lang w:eastAsia="zh-CN"/>
              </w:rPr>
              <w:t xml:space="preserve">响应</w:t>
            </w:r>
            <w:r>
              <w:rPr>
                <w:rFonts w:hint="eastAsia" w:ascii="仿宋_GB2312" w:hAnsi="仿宋_GB2312" w:eastAsia="仿宋_GB2312" w:cs="仿宋_GB2312"/>
                <w:sz w:val="24"/>
                <w:szCs w:val="24"/>
              </w:rPr>
              <w:t xml:space="preserve">文件未提供“项目进度管理方案”或不符合“项目进度管理方案”中全部条款要求的，视为不符合</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文件，不得分；</w:t>
            </w:r>
            <w:r/>
          </w:p>
          <w:p>
            <w:pPr>
              <w:ind w:firstLine="0"/>
              <w:jc w:val="left"/>
              <w:keepLines w:val="0"/>
              <w:keepNext w:val="0"/>
              <w:pageBreakBefore w:val="0"/>
              <w:spacing w:after="0"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eastAsia="zh-CN"/>
              </w:rPr>
              <w:t xml:space="preserve">响应</w:t>
            </w:r>
            <w:r>
              <w:rPr>
                <w:rFonts w:hint="eastAsia" w:ascii="仿宋_GB2312" w:hAnsi="仿宋_GB2312" w:eastAsia="仿宋_GB2312" w:cs="仿宋_GB2312"/>
                <w:sz w:val="24"/>
                <w:szCs w:val="24"/>
              </w:rPr>
              <w:t xml:space="preserve">文件符合“项目进度管理方案”中全部条款要求的，得10分；</w:t>
            </w:r>
            <w:r/>
          </w:p>
          <w:p>
            <w:pPr>
              <w:ind w:firstLine="0"/>
              <w:jc w:val="left"/>
              <w:keepLines w:val="0"/>
              <w:keepNext w:val="0"/>
              <w:pageBreakBefore w:val="0"/>
              <w:spacing w:after="0" w:line="42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 xml:space="preserve">（3）</w:t>
            </w:r>
            <w:r>
              <w:rPr>
                <w:rFonts w:hint="eastAsia" w:ascii="仿宋_GB2312" w:hAnsi="仿宋_GB2312" w:eastAsia="仿宋_GB2312" w:cs="仿宋_GB2312"/>
                <w:sz w:val="24"/>
                <w:szCs w:val="24"/>
                <w:lang w:eastAsia="zh-CN"/>
              </w:rPr>
              <w:t xml:space="preserve">响应</w:t>
            </w:r>
            <w:r>
              <w:rPr>
                <w:rFonts w:hint="eastAsia" w:ascii="仿宋_GB2312" w:hAnsi="仿宋_GB2312" w:eastAsia="仿宋_GB2312" w:cs="仿宋_GB2312"/>
                <w:sz w:val="24"/>
                <w:szCs w:val="24"/>
              </w:rPr>
              <w:t xml:space="preserve">文件对“项目进度管理方案”中“进度安排”、“进度管理”、“测试”、“试运行”、“验收”五项要求的响应内容全部优于</w:t>
            </w:r>
            <w:r>
              <w:rPr>
                <w:rFonts w:hint="eastAsia" w:ascii="仿宋_GB2312" w:hAnsi="仿宋_GB2312" w:eastAsia="仿宋_GB2312" w:cs="仿宋_GB2312"/>
                <w:sz w:val="24"/>
                <w:szCs w:val="24"/>
                <w:lang w:eastAsia="zh-CN"/>
              </w:rPr>
              <w:t xml:space="preserve">磋商</w:t>
            </w:r>
            <w:r>
              <w:rPr>
                <w:rFonts w:hint="eastAsia" w:ascii="仿宋_GB2312" w:hAnsi="仿宋_GB2312" w:eastAsia="仿宋_GB2312" w:cs="仿宋_GB2312"/>
                <w:sz w:val="24"/>
                <w:szCs w:val="24"/>
              </w:rPr>
              <w:t xml:space="preserve">文件要求的得15分。</w:t>
            </w:r>
            <w:r/>
          </w:p>
        </w:tc>
      </w:tr>
    </w:tbl>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pStyle w:val="828"/>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7"/>
      <w:r/>
      <w:bookmarkEnd w:id="188"/>
      <w:r/>
      <w:bookmarkEnd w:id="205"/>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207" w:name="_Hlt26671244"/>
      <w:r/>
      <w:bookmarkEnd w:id="207"/>
      <w:r/>
      <w:bookmarkStart w:id="208" w:name="_Hlt26955039"/>
      <w:r/>
      <w:bookmarkEnd w:id="208"/>
      <w:r/>
      <w:bookmarkStart w:id="209" w:name="_Toc26554094"/>
      <w:r/>
      <w:bookmarkStart w:id="210" w:name="_Toc120614282"/>
      <w:r/>
      <w:bookmarkStart w:id="211"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二、财务状况报告</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w:t>
      </w:r>
      <w:r>
        <w:rPr>
          <w:rFonts w:hint="eastAsia" w:ascii="黑体" w:hAnsi="黑体" w:eastAsia="黑体" w:cs="黑体"/>
          <w:b w:val="0"/>
          <w:bCs w:val="0"/>
          <w:i w:val="0"/>
          <w:iCs/>
          <w:sz w:val="28"/>
          <w:szCs w:val="28"/>
          <w:highlight w:val="none"/>
          <w:u w:val="none"/>
        </w:rPr>
        <w:t xml:space="preserve">面声明</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lang w:eastAsia="zh-CN"/>
        </w:rPr>
      </w:pPr>
      <w:r>
        <w:rPr>
          <w:rFonts w:hint="eastAsia" w:ascii="黑体" w:hAnsi="黑体" w:eastAsia="黑体" w:cs="黑体"/>
          <w:b w:val="0"/>
          <w:bCs w:val="0"/>
          <w:i w:val="0"/>
          <w:iCs/>
          <w:sz w:val="28"/>
          <w:szCs w:val="28"/>
          <w:highlight w:val="none"/>
          <w:u w:val="none"/>
        </w:rPr>
        <w:t xml:space="preserve">六、特定资格要求的证明文件</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八、磋商响应函</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lang w:eastAsia="zh-CN"/>
        </w:rPr>
      </w:pPr>
      <w:r>
        <w:rPr>
          <w:rFonts w:hint="eastAsia" w:ascii="黑体" w:hAnsi="黑体" w:eastAsia="黑体" w:cs="黑体"/>
          <w:b w:val="0"/>
          <w:bCs w:val="0"/>
          <w:i w:val="0"/>
          <w:iCs/>
          <w:sz w:val="28"/>
          <w:szCs w:val="28"/>
          <w:highlight w:val="none"/>
          <w:u w:val="none"/>
        </w:rPr>
        <w:t xml:space="preserve">九、</w:t>
      </w:r>
      <w:r>
        <w:rPr>
          <w:rFonts w:hint="eastAsia" w:ascii="黑体" w:hAnsi="黑体" w:eastAsia="黑体" w:cs="黑体"/>
          <w:b w:val="0"/>
          <w:bCs w:val="0"/>
          <w:i w:val="0"/>
          <w:iCs/>
          <w:sz w:val="28"/>
          <w:szCs w:val="28"/>
          <w:highlight w:val="none"/>
          <w:u w:val="none"/>
          <w:lang w:eastAsia="zh-CN"/>
        </w:rPr>
        <w:t xml:space="preserve">竞争性磋商首次报价书</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一</w:t>
      </w:r>
      <w:r>
        <w:rPr>
          <w:rFonts w:hint="eastAsia" w:ascii="黑体" w:hAnsi="黑体" w:eastAsia="黑体" w:cs="黑体"/>
          <w:b w:val="0"/>
          <w:bCs w:val="0"/>
          <w:i w:val="0"/>
          <w:iCs/>
          <w:color w:val="auto"/>
          <w:sz w:val="28"/>
          <w:szCs w:val="28"/>
          <w:highlight w:val="none"/>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二</w:t>
      </w:r>
      <w:r>
        <w:rPr>
          <w:rFonts w:hint="eastAsia" w:ascii="黑体" w:hAnsi="黑体" w:eastAsia="黑体" w:cs="黑体"/>
          <w:b w:val="0"/>
          <w:bCs w:val="0"/>
          <w:i w:val="0"/>
          <w:iCs/>
          <w:color w:val="auto"/>
          <w:sz w:val="28"/>
          <w:szCs w:val="28"/>
          <w:highlight w:val="none"/>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三</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服务</w:t>
      </w:r>
      <w:r>
        <w:rPr>
          <w:rFonts w:hint="eastAsia" w:ascii="黑体" w:hAnsi="黑体" w:eastAsia="黑体" w:cs="黑体"/>
          <w:b w:val="0"/>
          <w:bCs w:val="0"/>
          <w:i w:val="0"/>
          <w:iCs/>
          <w:color w:val="auto"/>
          <w:sz w:val="28"/>
          <w:szCs w:val="28"/>
          <w:highlight w:val="none"/>
          <w:u w:val="none"/>
        </w:rPr>
        <w:t xml:space="preserve">要求响应及偏离表</w:t>
      </w:r>
      <w:r/>
    </w:p>
    <w:p>
      <w:pPr>
        <w:ind w:left="0" w:right="0" w:firstLine="560"/>
        <w:pageBreakBefore w:val="0"/>
        <w:spacing w:line="520" w:lineRule="exact"/>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pPr>
      <w:r>
        <w:rPr>
          <w:rFonts w:hint="eastAsia" w:ascii="黑体" w:hAnsi="黑体" w:eastAsia="黑体" w:cs="黑体"/>
          <w:b w:val="0"/>
          <w:bCs w:val="0"/>
          <w:i w:val="0"/>
          <w:iCs/>
          <w:color w:val="000000" w:themeColor="text1"/>
          <w:sz w:val="28"/>
          <w:szCs w:val="28"/>
          <w:highlight w:val="none"/>
          <w:u w:val="none"/>
          <w:lang w:eastAsia="zh-CN"/>
          <w14:textFill>
            <w14:solidFill>
              <w14:schemeClr w14:val="tx1"/>
            </w14:solidFill>
          </w14:textFill>
        </w:rPr>
        <w:t xml:space="preserve">十四、</w:t>
      </w:r>
      <w:r>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五</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磋商</w:t>
      </w:r>
      <w:r>
        <w:rPr>
          <w:rFonts w:hint="eastAsia" w:ascii="黑体" w:hAnsi="黑体" w:eastAsia="黑体" w:cs="黑体"/>
          <w:b w:val="0"/>
          <w:bCs w:val="0"/>
          <w:i w:val="0"/>
          <w:iCs/>
          <w:color w:val="auto"/>
          <w:sz w:val="28"/>
          <w:szCs w:val="28"/>
          <w:highlight w:val="none"/>
          <w:u w:val="none"/>
        </w:rPr>
        <w:t xml:space="preserve">文件中要求提供的承诺、声明等</w:t>
      </w:r>
      <w:r>
        <w:rPr>
          <w:rFonts w:hint="eastAsia" w:ascii="黑体" w:hAnsi="黑体" w:eastAsia="黑体" w:cs="黑体"/>
          <w:b w:val="0"/>
          <w:bCs w:val="0"/>
          <w:i w:val="0"/>
          <w:iCs/>
          <w:color w:val="auto"/>
          <w:sz w:val="28"/>
          <w:szCs w:val="28"/>
          <w:u w:val="none"/>
        </w:rPr>
        <w:t xml:space="preserve">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bookmarkEnd w:id="209"/>
      <w:bookmarkEnd w:id="210"/>
      <w:bookmarkEnd w:id="211"/>
      <w:r/>
    </w:p>
    <w:p>
      <w:pPr>
        <w:ind w:left="0" w:right="0" w:firstLine="640"/>
        <w:pageBreakBefore w:val="0"/>
        <w:spacing w:line="520" w:lineRule="exact"/>
        <w:rPr>
          <w:rFonts w:hint="eastAsia" w:ascii="仿宋_GB2312" w:hAnsi="仿宋_GB2312" w:eastAsia="黑体" w:cs="仿宋_GB2312"/>
          <w:bCs/>
          <w:i w:val="0"/>
          <w:iCs w:val="0"/>
          <w:sz w:val="32"/>
          <w:szCs w:val="32"/>
          <w:highlight w:val="yellow"/>
          <w:u w:val="single"/>
          <w:lang w:val="en-US" w:eastAsia="zh-CN"/>
        </w:rPr>
      </w:pPr>
      <w:r/>
      <w:bookmarkStart w:id="212" w:name="_Toc120614284"/>
      <w:r>
        <w:rPr>
          <w:rFonts w:hint="eastAsia" w:ascii="仿宋_GB2312" w:hAnsi="仿宋_GB2312" w:eastAsia="仿宋_GB2312" w:cs="仿宋_GB2312"/>
          <w:bCs/>
          <w:i w:val="0"/>
          <w:iCs w:val="0"/>
          <w:sz w:val="32"/>
          <w:szCs w:val="32"/>
          <w:highlight w:val="yellow"/>
          <w:u w:val="single"/>
          <w:lang w:val="en-US" w:eastAsia="zh-CN"/>
        </w:rPr>
        <w:t xml:space="preserve">本项目无特定资格要求，无需提供。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right="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项目采购活动的合法代理人，以本单位名义全权处理一切与该项目采购有关的事务。</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213" w:name="_Hlt26671380"/>
      <w:r/>
      <w:bookmarkEnd w:id="213"/>
      <w:r/>
      <w:bookmarkStart w:id="214" w:name="_Hlt26955070"/>
      <w:r/>
      <w:bookmarkEnd w:id="214"/>
      <w:r/>
      <w:bookmarkStart w:id="215" w:name="_格式3__银行出具的资信证明"/>
      <w:r/>
      <w:bookmarkEnd w:id="215"/>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center"/>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16" w:name="TBR"/>
      <w:r/>
      <w:bookmarkEnd w:id="216"/>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17" w:name="XMMC"/>
      <w:r/>
      <w:bookmarkEnd w:id="217"/>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18" w:name="XMBH"/>
      <w:r/>
      <w:bookmarkEnd w:id="218"/>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19" w:name="FBH"/>
      <w:r/>
      <w:bookmarkEnd w:id="219"/>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792"/>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20" w:name="JEDX"/>
            <w:r/>
            <w:bookmarkEnd w:id="220"/>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21" w:name="JEXX"/>
            <w:r/>
            <w:bookmarkEnd w:id="221"/>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22" w:name="NF"/>
      <w:r/>
      <w:bookmarkEnd w:id="222"/>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23" w:name="YF"/>
      <w:r/>
      <w:bookmarkEnd w:id="223"/>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24" w:name="RI"/>
      <w:r/>
      <w:bookmarkEnd w:id="224"/>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_GBK" w:hAnsi="方正小标宋_GBK" w:eastAsia="方正小标宋_GBK" w:cs="方正小标宋_GBK"/>
          <w:sz w:val="40"/>
          <w:szCs w:val="40"/>
          <w:highlight w:val="yellow"/>
        </w:rPr>
      </w:pPr>
      <w:r>
        <w:rPr>
          <w:rFonts w:hint="eastAsia" w:ascii="方正小标宋_GBK" w:hAnsi="方正小标宋_GBK" w:eastAsia="方正小标宋_GBK" w:cs="方正小标宋_GBK"/>
          <w:sz w:val="40"/>
          <w:szCs w:val="40"/>
          <w:highlight w:val="yellow"/>
        </w:rPr>
        <w:t xml:space="preserve">报价合理性</w:t>
      </w:r>
      <w:r>
        <w:rPr>
          <w:rFonts w:hint="eastAsia" w:ascii="方正小标宋_GBK" w:hAnsi="方正小标宋_GBK" w:eastAsia="方正小标宋_GBK" w:cs="方正小标宋_GBK"/>
          <w:sz w:val="40"/>
          <w:szCs w:val="40"/>
          <w:highlight w:val="yellow"/>
          <w:lang w:eastAsia="zh-CN"/>
        </w:rPr>
        <w:t xml:space="preserve">告知</w:t>
      </w:r>
      <w:r>
        <w:rPr>
          <w:rFonts w:hint="eastAsia" w:ascii="方正小标宋_GBK" w:hAnsi="方正小标宋_GBK" w:eastAsia="方正小标宋_GBK" w:cs="方正小标宋_GBK"/>
          <w:sz w:val="40"/>
          <w:szCs w:val="40"/>
          <w:highlight w:val="yellow"/>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ind w:firstLine="560"/>
        <w:keepLines w:val="0"/>
        <w:keepNext w:val="0"/>
        <w:pageBreakBefore w:val="0"/>
        <w:spacing w:line="500" w:lineRule="exact"/>
        <w:widowControl w:val="off"/>
        <w:rPr>
          <w:rFonts w:hint="eastAsia" w:ascii="仿宋_GB2312" w:hAnsi="仿宋_GB2312" w:eastAsia="仿宋_GB2312" w:cs="仿宋_GB2312"/>
          <w:b/>
          <w:sz w:val="28"/>
          <w:szCs w:val="28"/>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right="0"/>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p>
    <w:p>
      <w:pPr>
        <w:ind w:right="0"/>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right="0"/>
        <w:jc w:val="both"/>
        <w:pageBreakBefore w:val="0"/>
        <w:spacing w:line="520" w:lineRule="exact"/>
        <w:rPr>
          <w:rFonts w:hint="eastAsia" w:ascii="仿宋_GB2312" w:hAnsi="仿宋_GB2312" w:eastAsia="仿宋_GB2312" w:cs="仿宋_GB2312"/>
          <w:b/>
          <w:sz w:val="32"/>
          <w:szCs w:val="32"/>
          <w:highlight w:val="none"/>
          <w:lang w:eastAsia="zh-CN"/>
        </w:rPr>
      </w:pPr>
      <w:r>
        <w:rPr>
          <w:rFonts w:hint="eastAsia" w:ascii="仿宋_GB2312" w:hAnsi="仿宋_GB2312" w:eastAsia="仿宋_GB2312" w:cs="仿宋_GB2312"/>
          <w:b/>
          <w:sz w:val="32"/>
          <w:szCs w:val="32"/>
          <w:highlight w:val="none"/>
          <w:lang w:eastAsia="zh-CN"/>
        </w:rPr>
        <w:t xml:space="preserve">【如供应商非</w:t>
      </w:r>
      <w:r>
        <w:rPr>
          <w:rFonts w:hint="eastAsia" w:ascii="仿宋_GB2312" w:hAnsi="仿宋_GB2312" w:eastAsia="仿宋_GB2312" w:cs="仿宋_GB2312"/>
          <w:b/>
          <w:sz w:val="32"/>
          <w:szCs w:val="32"/>
          <w:highlight w:val="none"/>
        </w:rPr>
        <w:t xml:space="preserve">残疾人福利性单位</w:t>
      </w:r>
      <w:r>
        <w:rPr>
          <w:rFonts w:hint="eastAsia" w:ascii="仿宋_GB2312" w:hAnsi="仿宋_GB2312" w:eastAsia="仿宋_GB2312" w:cs="仿宋_GB2312"/>
          <w:b/>
          <w:sz w:val="32"/>
          <w:szCs w:val="32"/>
          <w:highlight w:val="none"/>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225" w:name="_Hlk76057113"/>
      <w:r>
        <w:rPr>
          <w:rFonts w:hint="eastAsia" w:ascii="黑体" w:hAnsi="黑体" w:eastAsia="黑体" w:cs="黑体"/>
          <w:b w:val="0"/>
          <w:bCs/>
          <w:i/>
          <w:iCs/>
          <w:sz w:val="28"/>
          <w:szCs w:val="28"/>
          <w:highlight w:val="none"/>
          <w:u w:val="single"/>
        </w:rPr>
        <w:t xml:space="preserve">分项报价表（服务）</w:t>
      </w:r>
      <w:bookmarkEnd w:id="225"/>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792"/>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1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default" w:ascii="宋体" w:hAnsi="宋体" w:eastAsia="宋体"/>
                <w:sz w:val="24"/>
                <w:szCs w:val="24"/>
                <w:u w:val="single"/>
                <w:lang w:eastAsia="zh-CN"/>
              </w:rPr>
            </w:pPr>
            <w:r>
              <w:rPr>
                <w:rFonts w:hint="eastAsia" w:ascii="宋体" w:hAnsi="宋体"/>
                <w:sz w:val="24"/>
                <w:szCs w:val="24"/>
              </w:rPr>
              <w:t xml:space="preserve">投标总报价（人民币：元）</w:t>
            </w:r>
            <w:r>
              <w:rPr>
                <w:rFonts w:hint="eastAsia" w:ascii="宋体" w:hAnsi="宋体"/>
                <w:sz w:val="24"/>
                <w:szCs w:val="24"/>
                <w:lang w:eastAsia="zh-CN"/>
              </w:rPr>
              <w:t xml:space="preserve">：</w:t>
            </w:r>
            <w:r>
              <w:rPr>
                <w:rFonts w:hint="eastAsia" w:ascii="宋体" w:hAnsi="宋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pStyle w:val="794"/>
        <w:keepLines w:val="0"/>
        <w:keepNext w:val="0"/>
        <w:pageBreakBefore w:val="0"/>
        <w:spacing w:line="500" w:lineRule="exact"/>
        <w:widowControl w:val="off"/>
        <w:rPr>
          <w:rFonts w:hint="eastAsia"/>
          <w:sz w:val="28"/>
          <w:szCs w:val="28"/>
        </w:rPr>
      </w:pPr>
      <w:r>
        <w:rPr>
          <w:rFonts w:hint="eastAsia"/>
          <w:sz w:val="28"/>
          <w:szCs w:val="28"/>
        </w:rPr>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注：合同中分项单价按同比例折算确定，计算规则为：合同分项单价 = 首轮响应分项单价 ×（最终磋商总报价 ÷ 首轮响应总报价）</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bookmarkStart w:id="227" w:name="_GoBack"/>
      <w:r/>
      <w:bookmarkEnd w:id="227"/>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服务</w:t>
      </w:r>
      <w:r>
        <w:rPr>
          <w:rFonts w:hint="eastAsia" w:ascii="黑体" w:hAnsi="黑体" w:eastAsia="黑体" w:cs="黑体"/>
          <w:b w:val="0"/>
          <w:bCs/>
          <w:i/>
          <w:iCs/>
          <w:sz w:val="28"/>
          <w:szCs w:val="28"/>
          <w:u w:val="single"/>
        </w:rPr>
        <w:t xml:space="preserve">要求响应及偏离表</w:t>
      </w:r>
      <w:r/>
    </w:p>
    <w:p>
      <w:pPr>
        <w:pStyle w:val="819"/>
      </w:pPr>
      <w:r/>
      <w:r/>
    </w:p>
    <w:tbl>
      <w:tblPr>
        <w:tblStyle w:val="792"/>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212"/>
      <w:r/>
    </w:p>
    <w:p>
      <w:pPr>
        <w:rPr>
          <w:rFonts w:hint="eastAsia" w:ascii="仿宋_GB2312" w:hAnsi="仿宋_GB2312" w:eastAsia="仿宋_GB2312" w:cs="仿宋_GB2312"/>
          <w:b/>
          <w:sz w:val="28"/>
          <w:szCs w:val="28"/>
        </w:rPr>
      </w:pPr>
      <w:r/>
      <w:bookmarkStart w:id="226" w:name="_Hlt26955054"/>
      <w:r/>
      <w:bookmarkEnd w:id="226"/>
      <w:r>
        <w:rPr>
          <w:rFonts w:hint="eastAsia" w:ascii="仿宋_GB2312" w:hAnsi="仿宋_GB2312" w:eastAsia="仿宋_GB2312" w:cs="仿宋_GB2312"/>
          <w:b/>
          <w:sz w:val="28"/>
          <w:szCs w:val="28"/>
        </w:rPr>
        <w:br w:type="page" w:clear="all"/>
      </w:r>
      <w:bookmarkEnd w:id="185"/>
      <w:bookmarkEnd w:id="186"/>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817"/>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17"/>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7"/>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24"/>
          <w:rFonts w:hint="eastAsia" w:ascii="仿宋_GB2312" w:hAnsi="仿宋_GB2312" w:eastAsia="仿宋_GB2312" w:cs="仿宋_GB2312"/>
          <w:i w:val="0"/>
          <w:color w:val="auto"/>
          <w:sz w:val="28"/>
          <w:szCs w:val="28"/>
          <w:u w:val="single"/>
          <w:shd w:val="clear" w:color="auto" w:fill="ffffff"/>
        </w:rPr>
        <w:t xml:space="preserve">（产品名称1）</w:t>
      </w:r>
      <w:r>
        <w:rPr>
          <w:rStyle w:val="824"/>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24"/>
          <w:rFonts w:hint="eastAsia" w:ascii="仿宋_GB2312" w:hAnsi="仿宋_GB2312" w:eastAsia="仿宋_GB2312" w:cs="仿宋_GB2312"/>
          <w:i w:val="0"/>
          <w:color w:val="auto"/>
          <w:sz w:val="28"/>
          <w:szCs w:val="28"/>
          <w:u w:val="single"/>
          <w:shd w:val="clear" w:color="auto" w:fill="ffffff"/>
        </w:rPr>
        <w:t xml:space="preserve">（厂名）</w:t>
      </w:r>
      <w:r>
        <w:rPr>
          <w:rStyle w:val="824"/>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24"/>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24"/>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24"/>
          <w:rFonts w:hint="eastAsia" w:ascii="仿宋_GB2312" w:hAnsi="仿宋_GB2312" w:eastAsia="仿宋_GB2312" w:cs="仿宋_GB2312"/>
          <w:strike/>
          <w:color w:val="ff0000"/>
          <w:sz w:val="28"/>
          <w:szCs w:val="28"/>
          <w:highlight w:val="none"/>
          <w:u w:val="single"/>
          <w:shd w:val="clear" w:color="auto" w:fill="ffffff"/>
        </w:rPr>
        <w:t xml:space="preserve">。</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24"/>
          <w:rFonts w:hint="eastAsia" w:ascii="仿宋_GB2312" w:hAnsi="仿宋_GB2312" w:eastAsia="仿宋_GB2312" w:cs="仿宋_GB2312"/>
          <w:strike/>
          <w:color w:val="ff0000"/>
          <w:sz w:val="28"/>
          <w:szCs w:val="28"/>
          <w:highlight w:val="none"/>
          <w:u w:val="single"/>
          <w:shd w:val="clear" w:color="auto" w:fill="ffffff"/>
        </w:rPr>
        <w:t xml:space="preserve">的</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24"/>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24"/>
          <w:rFonts w:hint="eastAsia" w:ascii="仿宋_GB2312" w:hAnsi="仿宋_GB2312" w:eastAsia="仿宋_GB2312" w:cs="仿宋_GB2312"/>
          <w:strike/>
          <w:color w:val="ff0000"/>
          <w:sz w:val="28"/>
          <w:szCs w:val="28"/>
          <w:highlight w:val="none"/>
          <w:u w:val="single"/>
          <w:shd w:val="clear" w:color="auto" w:fill="ffffff"/>
        </w:rPr>
        <w:t xml:space="preserve">的</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24"/>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17"/>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24"/>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24"/>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24"/>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24"/>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24"/>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17"/>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17"/>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17"/>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17"/>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17"/>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17"/>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p>
    <w:p>
      <w:pPr>
        <w:pStyle w:val="817"/>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17"/>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17"/>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17"/>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17"/>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17"/>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17"/>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磋商</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楷体">
    <w:panose1 w:val="02010609060101010101"/>
  </w:font>
  <w:font w:name="Symbol">
    <w:panose1 w:val="05050102010706020507"/>
  </w:font>
  <w:font w:name="方正仿宋_GB2312">
    <w:panose1 w:val="020B0503020202020204"/>
  </w:font>
  <w:font w:name="仿宋">
    <w:panose1 w:val="0201060906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3"/>
      <w:isLgl w:val="false"/>
      <w:suff w:val="nothing"/>
      <w:lvlText w:val=""/>
      <w:lvlJc w:val="left"/>
      <w:pPr>
        <w:ind w:left="0" w:firstLine="0"/>
      </w:pPr>
      <w:rPr>
        <w:rFonts w:hint="eastAsia"/>
      </w:rPr>
    </w:lvl>
    <w:lvl w:ilvl="6">
      <w:start w:val="1"/>
      <w:numFmt w:val="decimal"/>
      <w:pStyle w:val="984"/>
      <w:isLgl w:val="false"/>
      <w:suff w:val="nothing"/>
      <w:lvlText w:val=""/>
      <w:lvlJc w:val="left"/>
      <w:pPr>
        <w:ind w:left="0" w:firstLine="0"/>
      </w:pPr>
      <w:rPr>
        <w:rFonts w:hint="eastAsia"/>
      </w:rPr>
    </w:lvl>
    <w:lvl w:ilvl="7">
      <w:start w:val="1"/>
      <w:numFmt w:val="decimal"/>
      <w:pStyle w:val="985"/>
      <w:isLgl w:val="false"/>
      <w:suff w:val="nothing"/>
      <w:lvlText w:val=""/>
      <w:lvlJc w:val="left"/>
      <w:pPr>
        <w:ind w:left="0" w:firstLine="0"/>
      </w:pPr>
      <w:rPr>
        <w:rFonts w:hint="eastAsia"/>
      </w:rPr>
    </w:lvl>
    <w:lvl w:ilvl="8">
      <w:start w:val="1"/>
      <w:numFmt w:val="decimal"/>
      <w:pStyle w:val="986"/>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096"/>
    <w:uiPriority w:val="0"/>
    <w:qFormat/>
    <w:pPr>
      <w:jc w:val="both"/>
      <w:widowControl w:val="off"/>
    </w:pPr>
    <w:rPr>
      <w:rFonts w:hint="default" w:ascii="Calibri" w:hAnsi="Calibri" w:eastAsia="宋体" w:cs="Times New Roman"/>
      <w:sz w:val="21"/>
      <w:szCs w:val="22"/>
      <w:lang w:val="en-US" w:eastAsia="zh-CN" w:bidi="ar-SA"/>
    </w:rPr>
  </w:style>
  <w:style w:type="paragraph" w:styleId="782">
    <w:name w:val="Heading 1"/>
    <w:basedOn w:val="781"/>
    <w:next w:val="781"/>
    <w:link w:val="1092"/>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30"/>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31"/>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32"/>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33"/>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34"/>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36"/>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37"/>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0"/>
    <w:semiHidden/>
    <w:qFormat/>
    <w:pPr>
      <w:ind w:left="1260"/>
      <w:jc w:val="left"/>
    </w:pPr>
    <w:rPr>
      <w:rFonts w:ascii="Times New Roman" w:hAnsi="Times New Roman"/>
      <w:szCs w:val="21"/>
    </w:rPr>
  </w:style>
  <w:style w:type="paragraph" w:styleId="794">
    <w:name w:val="table of authorities"/>
    <w:basedOn w:val="781"/>
    <w:next w:val="781"/>
    <w:uiPriority w:val="99"/>
    <w:qFormat/>
    <w:pPr>
      <w:ind w:left="420"/>
    </w:pPr>
  </w:style>
  <w:style w:type="paragraph" w:styleId="795">
    <w:name w:val="Normal Indent"/>
    <w:basedOn w:val="781"/>
    <w:next w:val="796"/>
    <w:uiPriority w:val="0"/>
    <w:unhideWhenUsed/>
    <w:qFormat/>
    <w:pPr>
      <w:ind w:firstLine="420"/>
    </w:pPr>
    <w:rPr>
      <w:rFonts w:ascii="Times New Roman" w:hAnsi="Times New Roman" w:eastAsia="宋体"/>
      <w:sz w:val="20"/>
      <w:szCs w:val="21"/>
    </w:rPr>
  </w:style>
  <w:style w:type="paragraph" w:styleId="796">
    <w:name w:val="Body Text"/>
    <w:basedOn w:val="781"/>
    <w:next w:val="781"/>
    <w:uiPriority w:val="0"/>
    <w:unhideWhenUsed/>
    <w:qFormat/>
    <w:rPr>
      <w:rFonts w:ascii="楷体_GB2312" w:hAnsi="Arial" w:eastAsia="楷体_GB2312" w:cs="Times New Roman"/>
      <w:sz w:val="28"/>
      <w:szCs w:val="28"/>
    </w:rPr>
  </w:style>
  <w:style w:type="paragraph" w:styleId="797">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Document Map"/>
    <w:basedOn w:val="781"/>
    <w:uiPriority w:val="99"/>
    <w:unhideWhenUsed/>
    <w:qFormat/>
    <w:pPr>
      <w:jc w:val="left"/>
      <w:spacing w:line="360" w:lineRule="auto"/>
      <w:widowControl/>
    </w:pPr>
    <w:rPr>
      <w:rFonts w:ascii="宋体" w:hAnsi="Calibri" w:eastAsia="宋体" w:cs="Times New Roman"/>
      <w:sz w:val="18"/>
      <w:szCs w:val="18"/>
      <w14:ligatures w14:val="none"/>
    </w:rPr>
  </w:style>
  <w:style w:type="paragraph" w:styleId="799">
    <w:name w:val="Body Text Indent"/>
    <w:basedOn w:val="781"/>
    <w:uiPriority w:val="99"/>
    <w:qFormat/>
    <w:pPr>
      <w:ind w:firstLine="600"/>
    </w:pPr>
    <w:rPr>
      <w:rFonts w:eastAsia="仿宋_GB2312"/>
      <w:sz w:val="28"/>
    </w:rPr>
  </w:style>
  <w:style w:type="paragraph" w:styleId="800">
    <w:name w:val="index 4"/>
    <w:basedOn w:val="781"/>
    <w:next w:val="781"/>
    <w:uiPriority w:val="0"/>
    <w:qFormat/>
    <w:pPr>
      <w:ind w:left="600"/>
    </w:pPr>
    <w:rPr>
      <w:rFonts w:ascii="Verdana" w:hAnsi="Verdana"/>
      <w:szCs w:val="20"/>
    </w:rPr>
  </w:style>
  <w:style w:type="paragraph" w:styleId="801">
    <w:name w:val="toc 5"/>
    <w:basedOn w:val="781"/>
    <w:next w:val="781"/>
    <w:uiPriority w:val="0"/>
    <w:semiHidden/>
    <w:qFormat/>
    <w:pPr>
      <w:ind w:left="840"/>
      <w:jc w:val="left"/>
    </w:pPr>
    <w:rPr>
      <w:rFonts w:ascii="Times New Roman" w:hAnsi="Times New Roman"/>
      <w:szCs w:val="21"/>
    </w:rPr>
  </w:style>
  <w:style w:type="paragraph" w:styleId="802">
    <w:name w:val="toc 3"/>
    <w:basedOn w:val="781"/>
    <w:next w:val="781"/>
    <w:uiPriority w:val="0"/>
    <w:semiHidden/>
    <w:qFormat/>
    <w:pPr>
      <w:ind w:left="420"/>
      <w:jc w:val="left"/>
    </w:pPr>
    <w:rPr>
      <w:rFonts w:ascii="Times New Roman" w:hAnsi="Times New Roman"/>
      <w:i/>
      <w:iCs/>
      <w:szCs w:val="24"/>
    </w:rPr>
  </w:style>
  <w:style w:type="paragraph" w:styleId="803">
    <w:name w:val="Plain Text"/>
    <w:basedOn w:val="781"/>
    <w:uiPriority w:val="0"/>
    <w:qFormat/>
    <w:rPr>
      <w:rFonts w:ascii="宋体" w:hAnsi="Courier New"/>
      <w:szCs w:val="22"/>
    </w:rPr>
  </w:style>
  <w:style w:type="paragraph" w:styleId="804">
    <w:name w:val="toc 8"/>
    <w:basedOn w:val="781"/>
    <w:next w:val="781"/>
    <w:uiPriority w:val="0"/>
    <w:semiHidden/>
    <w:qFormat/>
    <w:pPr>
      <w:ind w:left="1470"/>
      <w:jc w:val="left"/>
    </w:pPr>
    <w:rPr>
      <w:rFonts w:ascii="Times New Roman" w:hAnsi="Times New Roman"/>
      <w:szCs w:val="21"/>
    </w:rPr>
  </w:style>
  <w:style w:type="paragraph" w:styleId="805">
    <w:name w:val="endnote text"/>
    <w:basedOn w:val="781"/>
    <w:link w:val="975"/>
    <w:uiPriority w:val="99"/>
    <w:semiHidden/>
    <w:unhideWhenUsed/>
    <w:qFormat/>
    <w:pPr>
      <w:spacing w:after="0" w:line="240" w:lineRule="auto"/>
    </w:pPr>
    <w:rPr>
      <w:sz w:val="20"/>
    </w:rPr>
  </w:style>
  <w:style w:type="paragraph" w:styleId="806">
    <w:name w:val="Footer"/>
    <w:basedOn w:val="781"/>
    <w:link w:val="848"/>
    <w:uiPriority w:val="99"/>
    <w:unhideWhenUsed/>
    <w:qFormat/>
    <w:pPr>
      <w:spacing w:after="0" w:line="240" w:lineRule="auto"/>
      <w:tabs>
        <w:tab w:val="center" w:pos="7143" w:leader="none"/>
        <w:tab w:val="right" w:pos="14287" w:leader="none"/>
      </w:tabs>
    </w:pPr>
  </w:style>
  <w:style w:type="paragraph" w:styleId="807">
    <w:name w:val="Header"/>
    <w:basedOn w:val="781"/>
    <w:link w:val="846"/>
    <w:uiPriority w:val="99"/>
    <w:unhideWhenUsed/>
    <w:qFormat/>
    <w:pPr>
      <w:spacing w:after="0" w:line="240" w:lineRule="auto"/>
      <w:tabs>
        <w:tab w:val="center" w:pos="7143" w:leader="none"/>
        <w:tab w:val="right" w:pos="14287" w:leader="none"/>
      </w:tabs>
    </w:pPr>
  </w:style>
  <w:style w:type="paragraph" w:styleId="808">
    <w:name w:val="toc 1"/>
    <w:basedOn w:val="781"/>
    <w:next w:val="781"/>
    <w:uiPriority w:val="0"/>
    <w:semiHidden/>
    <w:qFormat/>
    <w:pPr>
      <w:jc w:val="left"/>
      <w:spacing w:before="120" w:after="120" w:line="400" w:lineRule="exact"/>
      <w:tabs>
        <w:tab w:val="right" w:pos="8720" w:leader="dot"/>
      </w:tabs>
    </w:pPr>
    <w:rPr>
      <w:rFonts w:ascii="宋体" w:hAnsi="宋体"/>
      <w:caps/>
      <w:sz w:val="24"/>
      <w:szCs w:val="24"/>
    </w:rPr>
  </w:style>
  <w:style w:type="paragraph" w:styleId="809">
    <w:name w:val="toc 4"/>
    <w:basedOn w:val="781"/>
    <w:next w:val="781"/>
    <w:uiPriority w:val="0"/>
    <w:semiHidden/>
    <w:qFormat/>
    <w:pPr>
      <w:ind w:left="630"/>
      <w:jc w:val="left"/>
    </w:pPr>
    <w:rPr>
      <w:rFonts w:ascii="Times New Roman" w:hAnsi="Times New Roman"/>
      <w:szCs w:val="21"/>
    </w:rPr>
  </w:style>
  <w:style w:type="paragraph" w:styleId="810">
    <w:name w:val="Subtitle"/>
    <w:basedOn w:val="781"/>
    <w:next w:val="781"/>
    <w:link w:val="841"/>
    <w:uiPriority w:val="11"/>
    <w:qFormat/>
    <w:pPr>
      <w:spacing w:before="200" w:after="200"/>
    </w:pPr>
    <w:rPr>
      <w:sz w:val="24"/>
      <w:szCs w:val="24"/>
    </w:rPr>
  </w:style>
  <w:style w:type="paragraph" w:styleId="811">
    <w:name w:val="footnote text"/>
    <w:basedOn w:val="781"/>
    <w:link w:val="974"/>
    <w:uiPriority w:val="99"/>
    <w:semiHidden/>
    <w:unhideWhenUsed/>
    <w:qFormat/>
    <w:pPr>
      <w:spacing w:after="40" w:line="240" w:lineRule="auto"/>
    </w:pPr>
    <w:rPr>
      <w:sz w:val="18"/>
    </w:rPr>
  </w:style>
  <w:style w:type="paragraph" w:styleId="812">
    <w:name w:val="toc 6"/>
    <w:basedOn w:val="781"/>
    <w:next w:val="781"/>
    <w:uiPriority w:val="0"/>
    <w:semiHidden/>
    <w:qFormat/>
    <w:pPr>
      <w:ind w:left="1050"/>
      <w:jc w:val="left"/>
    </w:pPr>
    <w:rPr>
      <w:rFonts w:ascii="Times New Roman" w:hAnsi="Times New Roman"/>
      <w:szCs w:val="21"/>
    </w:rPr>
  </w:style>
  <w:style w:type="paragraph" w:styleId="813">
    <w:name w:val="table of figures"/>
    <w:basedOn w:val="781"/>
    <w:next w:val="781"/>
    <w:uiPriority w:val="99"/>
    <w:unhideWhenUsed/>
    <w:qFormat/>
    <w:pPr>
      <w:spacing w:after="0" w:afterAutospacing="0"/>
    </w:pPr>
  </w:style>
  <w:style w:type="paragraph" w:styleId="814">
    <w:name w:val="toc 2"/>
    <w:basedOn w:val="781"/>
    <w:next w:val="781"/>
    <w:uiPriority w:val="0"/>
    <w:semiHidden/>
    <w:qFormat/>
    <w:pPr>
      <w:ind w:left="210"/>
      <w:jc w:val="left"/>
    </w:pPr>
    <w:rPr>
      <w:rFonts w:ascii="Times New Roman" w:hAnsi="Times New Roman"/>
      <w:smallCaps/>
      <w:szCs w:val="24"/>
    </w:rPr>
  </w:style>
  <w:style w:type="paragraph" w:styleId="815">
    <w:name w:val="toc 9"/>
    <w:basedOn w:val="781"/>
    <w:next w:val="781"/>
    <w:uiPriority w:val="0"/>
    <w:semiHidden/>
    <w:qFormat/>
    <w:pPr>
      <w:ind w:left="1680"/>
      <w:jc w:val="left"/>
    </w:pPr>
    <w:rPr>
      <w:rFonts w:ascii="Times New Roman" w:hAnsi="Times New Roman"/>
      <w:szCs w:val="21"/>
    </w:rPr>
  </w:style>
  <w:style w:type="paragraph" w:styleId="816">
    <w:name w:val="HTML Preformatted"/>
    <w:basedOn w:val="781"/>
    <w:uiPriority w:val="99"/>
    <w:unhideWhenUsed/>
    <w:qFormat/>
    <w:rPr>
      <w:rFonts w:ascii="Courier New" w:hAnsi="Courier New" w:cs="Courier New"/>
      <w:sz w:val="20"/>
      <w:szCs w:val="20"/>
    </w:rPr>
  </w:style>
  <w:style w:type="paragraph" w:styleId="817">
    <w:name w:val="Normal (Web)"/>
    <w:basedOn w:val="781"/>
    <w:uiPriority w:val="99"/>
    <w:qFormat/>
    <w:pPr>
      <w:ind w:firstLine="420"/>
    </w:pPr>
    <w:rPr>
      <w:rFonts w:ascii="Calibri" w:hAnsi="Calibri"/>
      <w:szCs w:val="22"/>
    </w:rPr>
  </w:style>
  <w:style w:type="paragraph" w:styleId="818">
    <w:name w:val="Title"/>
    <w:basedOn w:val="781"/>
    <w:next w:val="781"/>
    <w:link w:val="840"/>
    <w:uiPriority w:val="10"/>
    <w:qFormat/>
    <w:pPr>
      <w:contextualSpacing/>
      <w:spacing w:before="300" w:after="200"/>
    </w:pPr>
    <w:rPr>
      <w:sz w:val="48"/>
      <w:szCs w:val="48"/>
    </w:rPr>
  </w:style>
  <w:style w:type="paragraph" w:styleId="819">
    <w:name w:val="Body Text First Indent"/>
    <w:basedOn w:val="796"/>
    <w:uiPriority w:val="0"/>
    <w:qFormat/>
    <w:pPr>
      <w:ind w:firstLine="200"/>
      <w:jc w:val="left"/>
      <w:spacing w:line="360" w:lineRule="auto"/>
    </w:pPr>
    <w:rPr>
      <w:bCs/>
      <w:sz w:val="24"/>
    </w:rPr>
  </w:style>
  <w:style w:type="table" w:styleId="8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91"/>
    <w:uiPriority w:val="22"/>
    <w:qFormat/>
    <w:rPr>
      <w:b/>
    </w:rPr>
  </w:style>
  <w:style w:type="character" w:styleId="822">
    <w:name w:val="endnote reference"/>
    <w:uiPriority w:val="99"/>
    <w:semiHidden/>
    <w:unhideWhenUsed/>
    <w:qFormat/>
    <w:rPr>
      <w:vertAlign w:val="superscript"/>
    </w:rPr>
  </w:style>
  <w:style w:type="character" w:styleId="823">
    <w:name w:val="page number"/>
    <w:basedOn w:val="791"/>
    <w:uiPriority w:val="99"/>
    <w:qFormat/>
    <w:rPr>
      <w:rFonts w:cs="Times New Roman"/>
    </w:rPr>
  </w:style>
  <w:style w:type="character" w:styleId="824">
    <w:name w:val="Emphasis"/>
    <w:basedOn w:val="791"/>
    <w:uiPriority w:val="0"/>
    <w:qFormat/>
    <w:rPr>
      <w:i/>
    </w:rPr>
  </w:style>
  <w:style w:type="character" w:styleId="825">
    <w:name w:val="Hyperlink"/>
    <w:basedOn w:val="791"/>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索引 41"/>
    <w:basedOn w:val="781"/>
    <w:next w:val="781"/>
    <w:uiPriority w:val="0"/>
    <w:semiHidden/>
    <w:qFormat/>
    <w:pPr>
      <w:ind w:left="1260"/>
    </w:pPr>
    <w:rPr>
      <w:rFonts w:ascii="Calibri" w:hAnsi="Calibri" w:eastAsia="Calibri" w:cs="宋体"/>
      <w:sz w:val="20"/>
      <w:lang w:val="zh-CN"/>
    </w:rPr>
  </w:style>
  <w:style w:type="paragraph" w:styleId="82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29" w:customStyle="1">
    <w:name w:val="Heading 1 Char"/>
    <w:link w:val="782"/>
    <w:uiPriority w:val="9"/>
    <w:qFormat/>
    <w:rPr>
      <w:rFonts w:ascii="Arial" w:hAnsi="Arial" w:eastAsia="Arial" w:cs="Arial"/>
      <w:sz w:val="40"/>
      <w:szCs w:val="40"/>
    </w:rPr>
  </w:style>
  <w:style w:type="character" w:styleId="830" w:customStyle="1">
    <w:name w:val="Heading 2 Char"/>
    <w:link w:val="783"/>
    <w:uiPriority w:val="9"/>
    <w:qFormat/>
    <w:rPr>
      <w:rFonts w:ascii="Arial" w:hAnsi="Arial" w:eastAsia="Arial" w:cs="Arial"/>
      <w:sz w:val="34"/>
    </w:rPr>
  </w:style>
  <w:style w:type="character" w:styleId="831" w:customStyle="1">
    <w:name w:val="Heading 3 Char"/>
    <w:link w:val="784"/>
    <w:uiPriority w:val="9"/>
    <w:qFormat/>
    <w:rPr>
      <w:rFonts w:ascii="Arial" w:hAnsi="Arial" w:eastAsia="Arial" w:cs="Arial"/>
      <w:sz w:val="30"/>
      <w:szCs w:val="30"/>
    </w:rPr>
  </w:style>
  <w:style w:type="character" w:styleId="832" w:customStyle="1">
    <w:name w:val="Heading 4 Char"/>
    <w:link w:val="785"/>
    <w:uiPriority w:val="9"/>
    <w:qFormat/>
    <w:rPr>
      <w:rFonts w:ascii="Arial" w:hAnsi="Arial" w:eastAsia="Arial" w:cs="Arial"/>
      <w:b/>
      <w:bCs/>
      <w:sz w:val="26"/>
      <w:szCs w:val="26"/>
    </w:rPr>
  </w:style>
  <w:style w:type="character" w:styleId="833" w:customStyle="1">
    <w:name w:val="Heading 5 Char"/>
    <w:link w:val="786"/>
    <w:uiPriority w:val="9"/>
    <w:qFormat/>
    <w:rPr>
      <w:rFonts w:ascii="Arial" w:hAnsi="Arial" w:eastAsia="Arial" w:cs="Arial"/>
      <w:b/>
      <w:bCs/>
      <w:sz w:val="24"/>
      <w:szCs w:val="24"/>
    </w:rPr>
  </w:style>
  <w:style w:type="character" w:styleId="834" w:customStyle="1">
    <w:name w:val="Heading 6 Char"/>
    <w:link w:val="787"/>
    <w:uiPriority w:val="9"/>
    <w:qFormat/>
    <w:rPr>
      <w:rFonts w:ascii="Arial" w:hAnsi="Arial" w:eastAsia="Arial" w:cs="Arial"/>
      <w:b/>
      <w:bCs/>
      <w:sz w:val="22"/>
      <w:szCs w:val="22"/>
    </w:rPr>
  </w:style>
  <w:style w:type="character" w:styleId="835" w:customStyle="1">
    <w:name w:val="Heading 7 Char"/>
    <w:link w:val="788"/>
    <w:uiPriority w:val="9"/>
    <w:qFormat/>
    <w:rPr>
      <w:rFonts w:ascii="Arial" w:hAnsi="Arial" w:eastAsia="Arial" w:cs="Arial"/>
      <w:b/>
      <w:bCs/>
      <w:i/>
      <w:iCs/>
      <w:sz w:val="22"/>
      <w:szCs w:val="22"/>
    </w:rPr>
  </w:style>
  <w:style w:type="character" w:styleId="836" w:customStyle="1">
    <w:name w:val="Heading 8 Char"/>
    <w:link w:val="789"/>
    <w:uiPriority w:val="9"/>
    <w:qFormat/>
    <w:rPr>
      <w:rFonts w:ascii="Arial" w:hAnsi="Arial" w:eastAsia="Arial" w:cs="Arial"/>
      <w:i/>
      <w:iCs/>
      <w:sz w:val="22"/>
      <w:szCs w:val="22"/>
    </w:rPr>
  </w:style>
  <w:style w:type="character" w:styleId="837" w:customStyle="1">
    <w:name w:val="Heading 9 Char"/>
    <w:link w:val="790"/>
    <w:uiPriority w:val="9"/>
    <w:qFormat/>
    <w:rPr>
      <w:rFonts w:ascii="Arial" w:hAnsi="Arial" w:eastAsia="Arial" w:cs="Arial"/>
      <w:i/>
      <w:iCs/>
      <w:sz w:val="21"/>
      <w:szCs w:val="21"/>
    </w:rPr>
  </w:style>
  <w:style w:type="paragraph" w:styleId="838">
    <w:name w:val="List Paragraph"/>
    <w:basedOn w:val="781"/>
    <w:uiPriority w:val="34"/>
    <w:qFormat/>
    <w:pPr>
      <w:contextualSpacing/>
      <w:ind w:left="720"/>
    </w:pPr>
  </w:style>
  <w:style w:type="paragraph" w:styleId="839">
    <w:name w:val="No Spacing"/>
    <w:uiPriority w:val="1"/>
    <w:qFormat/>
    <w:pPr>
      <w:spacing w:before="0" w:after="0" w:line="240" w:lineRule="auto"/>
    </w:pPr>
    <w:rPr>
      <w:rFonts w:hint="default" w:ascii="Calibri" w:hAnsi="Calibri" w:eastAsia="宋体" w:cs="Times New Roman"/>
    </w:rPr>
  </w:style>
  <w:style w:type="character" w:styleId="840" w:customStyle="1">
    <w:name w:val="Title Char"/>
    <w:link w:val="818"/>
    <w:uiPriority w:val="10"/>
    <w:qFormat/>
    <w:rPr>
      <w:sz w:val="48"/>
      <w:szCs w:val="48"/>
    </w:rPr>
  </w:style>
  <w:style w:type="character" w:styleId="841" w:customStyle="1">
    <w:name w:val="Subtitle Char"/>
    <w:link w:val="810"/>
    <w:uiPriority w:val="11"/>
    <w:qFormat/>
    <w:rPr>
      <w:sz w:val="24"/>
      <w:szCs w:val="24"/>
    </w:rPr>
  </w:style>
  <w:style w:type="paragraph" w:styleId="842">
    <w:name w:val="Quote"/>
    <w:basedOn w:val="781"/>
    <w:next w:val="781"/>
    <w:link w:val="843"/>
    <w:uiPriority w:val="29"/>
    <w:qFormat/>
    <w:pPr>
      <w:ind w:left="720" w:right="720"/>
    </w:pPr>
    <w:rPr>
      <w:i/>
    </w:rPr>
  </w:style>
  <w:style w:type="character" w:styleId="843" w:customStyle="1">
    <w:name w:val="Quote Char"/>
    <w:link w:val="842"/>
    <w:uiPriority w:val="29"/>
    <w:qFormat/>
    <w:rPr>
      <w:i/>
    </w:rPr>
  </w:style>
  <w:style w:type="paragraph" w:styleId="844">
    <w:name w:val="Intense Quote"/>
    <w:basedOn w:val="781"/>
    <w:next w:val="781"/>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Intense Quote Char"/>
    <w:link w:val="844"/>
    <w:uiPriority w:val="30"/>
    <w:qFormat/>
    <w:rPr>
      <w:i/>
    </w:rPr>
  </w:style>
  <w:style w:type="character" w:styleId="846" w:customStyle="1">
    <w:name w:val="Header Char"/>
    <w:link w:val="807"/>
    <w:uiPriority w:val="99"/>
    <w:qFormat/>
  </w:style>
  <w:style w:type="character" w:styleId="847" w:customStyle="1">
    <w:name w:val="Footer Char"/>
    <w:link w:val="806"/>
    <w:uiPriority w:val="99"/>
    <w:qFormat/>
  </w:style>
  <w:style w:type="character" w:styleId="848" w:customStyle="1">
    <w:name w:val="Caption Char"/>
    <w:link w:val="806"/>
    <w:uiPriority w:val="99"/>
    <w:qFormat/>
  </w:style>
  <w:style w:type="table" w:styleId="8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Footnote Text Char"/>
    <w:link w:val="811"/>
    <w:uiPriority w:val="99"/>
    <w:qFormat/>
    <w:rPr>
      <w:sz w:val="18"/>
    </w:rPr>
  </w:style>
  <w:style w:type="character" w:styleId="975" w:customStyle="1">
    <w:name w:val="Endnote Text Char"/>
    <w:link w:val="805"/>
    <w:uiPriority w:val="99"/>
    <w:qFormat/>
    <w:rPr>
      <w:sz w:val="20"/>
    </w:rPr>
  </w:style>
  <w:style w:type="paragraph" w:styleId="976" w:customStyle="1">
    <w:name w:val="TOC Heading"/>
    <w:uiPriority w:val="39"/>
    <w:unhideWhenUsed/>
    <w:qFormat/>
    <w:rPr>
      <w:rFonts w:hint="default" w:ascii="Calibri" w:hAnsi="Calibri" w:eastAsia="宋体" w:cs="Times New Roman"/>
    </w:rPr>
  </w:style>
  <w:style w:type="paragraph" w:styleId="977" w:customStyle="1">
    <w:name w:val="标题 11"/>
    <w:basedOn w:val="781"/>
    <w:next w:val="781"/>
    <w:link w:val="993"/>
    <w:uiPriority w:val="0"/>
    <w:qFormat/>
    <w:pPr>
      <w:jc w:val="center"/>
      <w:keepNext/>
      <w:outlineLvl w:val="0"/>
    </w:pPr>
    <w:rPr>
      <w:rFonts w:ascii="楷体_GB2312" w:hAnsi="Times New Roman" w:eastAsia="楷体_GB2312"/>
      <w:sz w:val="28"/>
      <w:szCs w:val="28"/>
    </w:rPr>
  </w:style>
  <w:style w:type="paragraph" w:styleId="978" w:customStyle="1">
    <w:name w:val="标题 21"/>
    <w:basedOn w:val="781"/>
    <w:next w:val="781"/>
    <w:link w:val="9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正文缩进1"/>
    <w:basedOn w:val="781"/>
    <w:link w:val="995"/>
    <w:uiPriority w:val="0"/>
    <w:qFormat/>
    <w:pPr>
      <w:ind w:firstLine="420"/>
    </w:pPr>
    <w:rPr>
      <w:szCs w:val="21"/>
    </w:rPr>
  </w:style>
  <w:style w:type="paragraph" w:styleId="980" w:customStyle="1">
    <w:name w:val="标题 31"/>
    <w:basedOn w:val="781"/>
    <w:next w:val="979"/>
    <w:link w:val="996"/>
    <w:uiPriority w:val="0"/>
    <w:qFormat/>
    <w:pPr>
      <w:keepLines/>
      <w:keepNext/>
      <w:spacing w:before="260" w:after="260" w:line="416" w:lineRule="auto"/>
      <w:outlineLvl w:val="2"/>
    </w:pPr>
    <w:rPr>
      <w:rFonts w:ascii="Times New Roman" w:hAnsi="Times New Roman"/>
      <w:b/>
      <w:bCs/>
      <w:sz w:val="32"/>
      <w:szCs w:val="32"/>
    </w:rPr>
  </w:style>
  <w:style w:type="paragraph" w:styleId="981" w:customStyle="1">
    <w:name w:val="标题 41"/>
    <w:basedOn w:val="781"/>
    <w:next w:val="979"/>
    <w:link w:val="997"/>
    <w:uiPriority w:val="0"/>
    <w:qFormat/>
    <w:pPr>
      <w:keepLines/>
      <w:keepNext/>
      <w:spacing w:before="280" w:after="290" w:line="376" w:lineRule="auto"/>
      <w:outlineLvl w:val="3"/>
    </w:pPr>
    <w:rPr>
      <w:rFonts w:ascii="Arial" w:hAnsi="Arial" w:eastAsia="黑体" w:cs="Arial"/>
      <w:b/>
      <w:bCs/>
      <w:sz w:val="28"/>
      <w:szCs w:val="28"/>
    </w:rPr>
  </w:style>
  <w:style w:type="paragraph" w:styleId="982" w:customStyle="1">
    <w:name w:val="标题 51"/>
    <w:basedOn w:val="781"/>
    <w:next w:val="979"/>
    <w:link w:val="998"/>
    <w:uiPriority w:val="0"/>
    <w:qFormat/>
    <w:pPr>
      <w:keepNext/>
      <w:outlineLvl w:val="4"/>
    </w:pPr>
    <w:rPr>
      <w:rFonts w:ascii="宋体" w:hAnsi="Times New Roman"/>
      <w:color w:val="000000"/>
      <w:sz w:val="28"/>
      <w:szCs w:val="28"/>
    </w:rPr>
  </w:style>
  <w:style w:type="paragraph" w:styleId="983" w:customStyle="1">
    <w:name w:val="标题 61"/>
    <w:basedOn w:val="781"/>
    <w:next w:val="781"/>
    <w:link w:val="99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4" w:customStyle="1">
    <w:name w:val="标题 71"/>
    <w:basedOn w:val="781"/>
    <w:next w:val="781"/>
    <w:link w:val="100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5" w:customStyle="1">
    <w:name w:val="标题 81"/>
    <w:basedOn w:val="781"/>
    <w:next w:val="781"/>
    <w:link w:val="10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6" w:customStyle="1">
    <w:name w:val="标题 91"/>
    <w:basedOn w:val="781"/>
    <w:next w:val="781"/>
    <w:link w:val="1002"/>
    <w:uiPriority w:val="0"/>
    <w:qFormat/>
    <w:pPr>
      <w:numPr>
        <w:ilvl w:val="8"/>
        <w:numId w:val="1"/>
      </w:numPr>
      <w:keepLines/>
      <w:keepNext/>
      <w:spacing w:before="240" w:after="64" w:line="320" w:lineRule="auto"/>
      <w:outlineLvl w:val="8"/>
    </w:pPr>
    <w:rPr>
      <w:rFonts w:ascii="Arial" w:hAnsi="Arial" w:eastAsia="黑体"/>
      <w:szCs w:val="21"/>
    </w:rPr>
  </w:style>
  <w:style w:type="character" w:styleId="987" w:customStyle="1">
    <w:name w:val="默认段落字体1"/>
    <w:link w:val="781"/>
    <w:uiPriority w:val="1"/>
    <w:unhideWhenUsed/>
    <w:qFormat/>
  </w:style>
  <w:style w:type="table" w:styleId="988" w:customStyle="1">
    <w:name w:val="普通表格1"/>
    <w:uiPriority w:val="99"/>
    <w:unhideWhenUsed/>
    <w:qFormat/>
    <w:tblPr/>
  </w:style>
  <w:style w:type="paragraph" w:styleId="989" w:customStyle="1">
    <w:name w:val="正文文本首行缩进"/>
    <w:basedOn w:val="990"/>
    <w:link w:val="992"/>
    <w:uiPriority w:val="0"/>
    <w:qFormat/>
    <w:pPr>
      <w:ind w:firstLine="200"/>
      <w:spacing w:line="360" w:lineRule="auto"/>
    </w:pPr>
    <w:rPr>
      <w:rFonts w:ascii="仿宋_GB2312" w:hAnsi="Times New Roman" w:eastAsia="仿宋_GB2312"/>
      <w:sz w:val="30"/>
      <w:szCs w:val="30"/>
    </w:rPr>
  </w:style>
  <w:style w:type="paragraph" w:styleId="990" w:customStyle="1">
    <w:name w:val="正文文本1"/>
    <w:basedOn w:val="781"/>
    <w:link w:val="991"/>
    <w:uiPriority w:val="0"/>
    <w:qFormat/>
    <w:rPr>
      <w:rFonts w:ascii="楷体_GB2312" w:hAnsi="Arial" w:eastAsia="楷体_GB2312"/>
      <w:sz w:val="28"/>
      <w:szCs w:val="28"/>
    </w:rPr>
  </w:style>
  <w:style w:type="character" w:styleId="991" w:customStyle="1">
    <w:name w:val="正文文本 字符"/>
    <w:link w:val="990"/>
    <w:uiPriority w:val="0"/>
    <w:qFormat/>
    <w:rPr>
      <w:rFonts w:ascii="楷体_GB2312" w:hAnsi="Arial" w:eastAsia="楷体_GB2312" w:cs="Times New Roman"/>
      <w:sz w:val="28"/>
      <w:szCs w:val="28"/>
    </w:rPr>
  </w:style>
  <w:style w:type="character" w:styleId="992" w:customStyle="1">
    <w:name w:val="正文文本首行缩进 字符"/>
    <w:link w:val="989"/>
    <w:uiPriority w:val="0"/>
    <w:qFormat/>
    <w:rPr>
      <w:rFonts w:ascii="仿宋_GB2312" w:hAnsi="Times New Roman" w:eastAsia="仿宋_GB2312" w:cs="Times New Roman"/>
      <w:sz w:val="30"/>
      <w:szCs w:val="30"/>
    </w:rPr>
  </w:style>
  <w:style w:type="character" w:styleId="993" w:customStyle="1">
    <w:name w:val="标题 1 字符"/>
    <w:link w:val="977"/>
    <w:uiPriority w:val="0"/>
    <w:qFormat/>
    <w:rPr>
      <w:rFonts w:ascii="楷体_GB2312" w:hAnsi="Times New Roman" w:eastAsia="楷体_GB2312" w:cs="Times New Roman"/>
      <w:sz w:val="28"/>
      <w:szCs w:val="28"/>
    </w:rPr>
  </w:style>
  <w:style w:type="character" w:styleId="994" w:customStyle="1">
    <w:name w:val="标题 2 字符"/>
    <w:link w:val="978"/>
    <w:uiPriority w:val="0"/>
    <w:qFormat/>
    <w:rPr>
      <w:rFonts w:ascii="Arial" w:hAnsi="Arial" w:eastAsia="幼圆" w:cs="Arial"/>
      <w:b/>
      <w:bCs/>
      <w:sz w:val="44"/>
      <w:szCs w:val="44"/>
    </w:rPr>
  </w:style>
  <w:style w:type="character" w:styleId="995" w:customStyle="1">
    <w:name w:val="正文缩进 字符"/>
    <w:link w:val="979"/>
    <w:uiPriority w:val="0"/>
    <w:qFormat/>
    <w:rPr>
      <w:rFonts w:ascii="Calibri" w:hAnsi="Calibri" w:eastAsia="宋体" w:cs="Times New Roman"/>
      <w:szCs w:val="21"/>
    </w:rPr>
  </w:style>
  <w:style w:type="character" w:styleId="996" w:customStyle="1">
    <w:name w:val="标题 3 字符"/>
    <w:link w:val="980"/>
    <w:uiPriority w:val="0"/>
    <w:qFormat/>
    <w:rPr>
      <w:rFonts w:ascii="Times New Roman" w:hAnsi="Times New Roman" w:eastAsia="宋体" w:cs="Times New Roman"/>
      <w:b/>
      <w:bCs/>
      <w:sz w:val="32"/>
      <w:szCs w:val="32"/>
    </w:rPr>
  </w:style>
  <w:style w:type="character" w:styleId="997" w:customStyle="1">
    <w:name w:val="标题 4 字符"/>
    <w:link w:val="981"/>
    <w:uiPriority w:val="0"/>
    <w:qFormat/>
    <w:rPr>
      <w:rFonts w:ascii="Arial" w:hAnsi="Arial" w:eastAsia="黑体" w:cs="Arial"/>
      <w:b/>
      <w:bCs/>
      <w:sz w:val="28"/>
      <w:szCs w:val="28"/>
    </w:rPr>
  </w:style>
  <w:style w:type="character" w:styleId="998" w:customStyle="1">
    <w:name w:val="标题 5 字符"/>
    <w:link w:val="982"/>
    <w:uiPriority w:val="0"/>
    <w:qFormat/>
    <w:rPr>
      <w:rFonts w:ascii="宋体" w:hAnsi="Times New Roman" w:eastAsia="宋体" w:cs="Times New Roman"/>
      <w:color w:val="000000"/>
      <w:sz w:val="28"/>
      <w:szCs w:val="28"/>
    </w:rPr>
  </w:style>
  <w:style w:type="character" w:styleId="999" w:customStyle="1">
    <w:name w:val="标题 6 字符"/>
    <w:link w:val="983"/>
    <w:uiPriority w:val="0"/>
    <w:qFormat/>
    <w:rPr>
      <w:rFonts w:ascii="Arial" w:hAnsi="Arial" w:eastAsia="黑体" w:cs="Times New Roman"/>
      <w:b/>
      <w:bCs/>
      <w:sz w:val="24"/>
      <w:szCs w:val="24"/>
    </w:rPr>
  </w:style>
  <w:style w:type="character" w:styleId="1000" w:customStyle="1">
    <w:name w:val="标题 7 字符"/>
    <w:link w:val="984"/>
    <w:uiPriority w:val="0"/>
    <w:qFormat/>
    <w:rPr>
      <w:rFonts w:ascii="Times New Roman" w:hAnsi="Times New Roman" w:eastAsia="宋体" w:cs="Times New Roman"/>
      <w:b/>
      <w:bCs/>
      <w:sz w:val="24"/>
      <w:szCs w:val="24"/>
    </w:rPr>
  </w:style>
  <w:style w:type="character" w:styleId="1001" w:customStyle="1">
    <w:name w:val="标题 8 字符"/>
    <w:link w:val="985"/>
    <w:uiPriority w:val="0"/>
    <w:qFormat/>
    <w:rPr>
      <w:rFonts w:ascii="Arial" w:hAnsi="Arial" w:eastAsia="黑体" w:cs="Times New Roman"/>
      <w:sz w:val="24"/>
      <w:szCs w:val="24"/>
    </w:rPr>
  </w:style>
  <w:style w:type="character" w:styleId="1002" w:customStyle="1">
    <w:name w:val="标题 9 字符"/>
    <w:link w:val="986"/>
    <w:uiPriority w:val="0"/>
    <w:qFormat/>
    <w:rPr>
      <w:rFonts w:ascii="Arial" w:hAnsi="Arial" w:eastAsia="黑体" w:cs="Times New Roman"/>
      <w:szCs w:val="21"/>
    </w:rPr>
  </w:style>
  <w:style w:type="paragraph" w:styleId="1003" w:customStyle="1">
    <w:name w:val="列表 31"/>
    <w:basedOn w:val="781"/>
    <w:uiPriority w:val="0"/>
    <w:qFormat/>
    <w:pPr>
      <w:ind w:left="100" w:hanging="200"/>
    </w:pPr>
    <w:rPr>
      <w:rFonts w:ascii="Times New Roman" w:hAnsi="Times New Roman"/>
      <w:szCs w:val="21"/>
    </w:rPr>
  </w:style>
  <w:style w:type="paragraph" w:styleId="1004" w:customStyle="1">
    <w:name w:val="文档结构图1"/>
    <w:basedOn w:val="781"/>
    <w:link w:val="1005"/>
    <w:uiPriority w:val="0"/>
    <w:semiHidden/>
    <w:qFormat/>
    <w:pPr>
      <w:shd w:val="clear" w:color="auto" w:fill="000080"/>
    </w:pPr>
    <w:rPr>
      <w:rFonts w:ascii="Times New Roman" w:hAnsi="Times New Roman"/>
      <w:szCs w:val="21"/>
    </w:rPr>
  </w:style>
  <w:style w:type="character" w:styleId="1005" w:customStyle="1">
    <w:name w:val="文档结构图 字符"/>
    <w:link w:val="1004"/>
    <w:uiPriority w:val="0"/>
    <w:semiHidden/>
    <w:qFormat/>
    <w:rPr>
      <w:rFonts w:ascii="Times New Roman" w:hAnsi="Times New Roman" w:eastAsia="宋体" w:cs="Times New Roman"/>
      <w:szCs w:val="21"/>
      <w:shd w:val="clear" w:color="auto" w:fill="000080"/>
    </w:rPr>
  </w:style>
  <w:style w:type="paragraph" w:styleId="1006" w:customStyle="1">
    <w:name w:val="批注文字1"/>
    <w:basedOn w:val="781"/>
    <w:link w:val="1007"/>
    <w:uiPriority w:val="0"/>
    <w:unhideWhenUsed/>
    <w:qFormat/>
    <w:pPr>
      <w:jc w:val="left"/>
    </w:pPr>
  </w:style>
  <w:style w:type="character" w:styleId="1007" w:customStyle="1">
    <w:name w:val="批注文字 字符"/>
    <w:link w:val="1006"/>
    <w:uiPriority w:val="0"/>
    <w:qFormat/>
    <w:rPr>
      <w:rFonts w:ascii="Calibri" w:hAnsi="Calibri" w:eastAsia="宋体" w:cs="Times New Roman"/>
    </w:rPr>
  </w:style>
  <w:style w:type="paragraph" w:styleId="1008" w:customStyle="1">
    <w:name w:val="正文文本 31"/>
    <w:basedOn w:val="781"/>
    <w:link w:val="1009"/>
    <w:uiPriority w:val="0"/>
    <w:qFormat/>
    <w:rPr>
      <w:rFonts w:ascii="仿宋_GB2312" w:hAnsi="Arial" w:eastAsia="仿宋_GB2312"/>
      <w:sz w:val="32"/>
      <w:szCs w:val="32"/>
    </w:rPr>
  </w:style>
  <w:style w:type="character" w:styleId="1009" w:customStyle="1">
    <w:name w:val="正文文本 3 字符"/>
    <w:link w:val="1008"/>
    <w:uiPriority w:val="0"/>
    <w:qFormat/>
    <w:rPr>
      <w:rFonts w:ascii="仿宋_GB2312" w:hAnsi="Arial" w:eastAsia="仿宋_GB2312" w:cs="Times New Roman"/>
      <w:sz w:val="32"/>
      <w:szCs w:val="32"/>
    </w:rPr>
  </w:style>
  <w:style w:type="paragraph" w:styleId="1010" w:customStyle="1">
    <w:name w:val="正文文本缩进1"/>
    <w:basedOn w:val="1011"/>
    <w:next w:val="781"/>
    <w:link w:val="1012"/>
    <w:uiPriority w:val="0"/>
    <w:unhideWhenUsed/>
    <w:qFormat/>
    <w:pPr>
      <w:ind w:left="420"/>
      <w:spacing w:after="120"/>
    </w:pPr>
  </w:style>
  <w:style w:type="paragraph" w:styleId="1011"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12" w:customStyle="1">
    <w:name w:val="正文文本缩进 字符"/>
    <w:link w:val="1010"/>
    <w:uiPriority w:val="0"/>
    <w:qFormat/>
    <w:rPr>
      <w:rFonts w:ascii="Calibri" w:hAnsi="Calibri" w:eastAsia="宋体" w:cs="Times New Roman"/>
    </w:rPr>
  </w:style>
  <w:style w:type="paragraph" w:styleId="1013" w:customStyle="1">
    <w:name w:val="列表 21"/>
    <w:basedOn w:val="781"/>
    <w:uiPriority w:val="0"/>
    <w:qFormat/>
    <w:pPr>
      <w:ind w:left="100" w:hanging="200"/>
    </w:pPr>
    <w:rPr>
      <w:rFonts w:ascii="Times New Roman" w:hAnsi="Times New Roman"/>
      <w:szCs w:val="21"/>
    </w:rPr>
  </w:style>
  <w:style w:type="paragraph" w:styleId="1014" w:customStyle="1">
    <w:name w:val="纯文本1"/>
    <w:basedOn w:val="781"/>
    <w:link w:val="1015"/>
    <w:uiPriority w:val="0"/>
    <w:qFormat/>
    <w:rPr>
      <w:rFonts w:ascii="宋体" w:hAnsi="Courier New" w:cs="Courier New"/>
      <w:szCs w:val="21"/>
    </w:rPr>
  </w:style>
  <w:style w:type="character" w:styleId="1015" w:customStyle="1">
    <w:name w:val="纯文本 字符"/>
    <w:link w:val="1014"/>
    <w:uiPriority w:val="0"/>
    <w:qFormat/>
    <w:rPr>
      <w:rFonts w:ascii="宋体" w:hAnsi="Courier New" w:eastAsia="宋体" w:cs="Courier New"/>
      <w:szCs w:val="21"/>
    </w:rPr>
  </w:style>
  <w:style w:type="paragraph" w:styleId="1016" w:customStyle="1">
    <w:name w:val="日期1"/>
    <w:basedOn w:val="781"/>
    <w:next w:val="781"/>
    <w:link w:val="1017"/>
    <w:uiPriority w:val="0"/>
    <w:qFormat/>
    <w:rPr>
      <w:rFonts w:ascii="Times New Roman" w:hAnsi="Times New Roman"/>
      <w:sz w:val="24"/>
      <w:szCs w:val="24"/>
    </w:rPr>
  </w:style>
  <w:style w:type="character" w:styleId="1017" w:customStyle="1">
    <w:name w:val="日期 字符"/>
    <w:link w:val="1016"/>
    <w:uiPriority w:val="0"/>
    <w:qFormat/>
    <w:rPr>
      <w:rFonts w:ascii="Times New Roman" w:hAnsi="Times New Roman" w:eastAsia="宋体" w:cs="Times New Roman"/>
      <w:sz w:val="24"/>
      <w:szCs w:val="24"/>
    </w:rPr>
  </w:style>
  <w:style w:type="paragraph" w:styleId="1018" w:customStyle="1">
    <w:name w:val="正文文本缩进 21"/>
    <w:basedOn w:val="781"/>
    <w:link w:val="1019"/>
    <w:uiPriority w:val="0"/>
    <w:qFormat/>
    <w:pPr>
      <w:ind w:left="630" w:firstLine="645"/>
    </w:pPr>
    <w:rPr>
      <w:rFonts w:ascii="Arial" w:hAnsi="Arial" w:eastAsia="仿宋_GB2312" w:cs="Arial"/>
      <w:sz w:val="32"/>
      <w:szCs w:val="32"/>
    </w:rPr>
  </w:style>
  <w:style w:type="character" w:styleId="1019" w:customStyle="1">
    <w:name w:val="正文文本缩进 2 字符"/>
    <w:link w:val="1018"/>
    <w:uiPriority w:val="0"/>
    <w:qFormat/>
    <w:rPr>
      <w:rFonts w:ascii="Arial" w:hAnsi="Arial" w:eastAsia="仿宋_GB2312" w:cs="Arial"/>
      <w:sz w:val="32"/>
      <w:szCs w:val="32"/>
    </w:rPr>
  </w:style>
  <w:style w:type="paragraph" w:styleId="1020" w:customStyle="1">
    <w:name w:val="批注框文本1"/>
    <w:basedOn w:val="781"/>
    <w:link w:val="1021"/>
    <w:uiPriority w:val="0"/>
    <w:semiHidden/>
    <w:qFormat/>
    <w:rPr>
      <w:rFonts w:ascii="Times New Roman" w:hAnsi="Times New Roman"/>
      <w:sz w:val="18"/>
      <w:szCs w:val="18"/>
    </w:rPr>
  </w:style>
  <w:style w:type="character" w:styleId="1021" w:customStyle="1">
    <w:name w:val="批注框文本 字符"/>
    <w:link w:val="1020"/>
    <w:uiPriority w:val="0"/>
    <w:semiHidden/>
    <w:qFormat/>
    <w:rPr>
      <w:rFonts w:ascii="Times New Roman" w:hAnsi="Times New Roman" w:eastAsia="宋体" w:cs="Times New Roman"/>
      <w:sz w:val="18"/>
      <w:szCs w:val="18"/>
    </w:rPr>
  </w:style>
  <w:style w:type="paragraph" w:styleId="1022" w:customStyle="1">
    <w:name w:val="页脚1"/>
    <w:basedOn w:val="781"/>
    <w:link w:val="1023"/>
    <w:uiPriority w:val="0"/>
    <w:qFormat/>
    <w:pPr>
      <w:jc w:val="left"/>
      <w:tabs>
        <w:tab w:val="center" w:pos="4153" w:leader="none"/>
        <w:tab w:val="right" w:pos="8306" w:leader="none"/>
      </w:tabs>
    </w:pPr>
    <w:rPr>
      <w:rFonts w:ascii="Times New Roman" w:hAnsi="Times New Roman"/>
      <w:sz w:val="18"/>
      <w:szCs w:val="18"/>
    </w:rPr>
  </w:style>
  <w:style w:type="character" w:styleId="1023" w:customStyle="1">
    <w:name w:val="页脚 字符"/>
    <w:link w:val="1022"/>
    <w:uiPriority w:val="0"/>
    <w:qFormat/>
    <w:rPr>
      <w:rFonts w:ascii="Times New Roman" w:hAnsi="Times New Roman" w:eastAsia="宋体" w:cs="Times New Roman"/>
      <w:sz w:val="18"/>
      <w:szCs w:val="18"/>
    </w:rPr>
  </w:style>
  <w:style w:type="paragraph" w:styleId="1024" w:customStyle="1">
    <w:name w:val="页眉1"/>
    <w:basedOn w:val="781"/>
    <w:link w:val="102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5" w:customStyle="1">
    <w:name w:val="页眉 字符"/>
    <w:link w:val="1024"/>
    <w:uiPriority w:val="0"/>
    <w:qFormat/>
    <w:rPr>
      <w:rFonts w:ascii="Times New Roman" w:hAnsi="Times New Roman" w:eastAsia="宋体" w:cs="Times New Roman"/>
      <w:sz w:val="18"/>
      <w:szCs w:val="18"/>
    </w:rPr>
  </w:style>
  <w:style w:type="paragraph" w:styleId="1026" w:customStyle="1">
    <w:name w:val="列表1"/>
    <w:basedOn w:val="781"/>
    <w:uiPriority w:val="0"/>
    <w:qFormat/>
    <w:pPr>
      <w:ind w:left="200" w:hanging="200"/>
    </w:pPr>
    <w:rPr>
      <w:rFonts w:ascii="Times New Roman" w:hAnsi="Times New Roman"/>
      <w:szCs w:val="21"/>
    </w:rPr>
  </w:style>
  <w:style w:type="paragraph" w:styleId="1027" w:customStyle="1">
    <w:name w:val="正文文本缩进 31"/>
    <w:basedOn w:val="781"/>
    <w:link w:val="1028"/>
    <w:uiPriority w:val="0"/>
    <w:qFormat/>
    <w:pPr>
      <w:ind w:left="645" w:firstLine="645"/>
    </w:pPr>
    <w:rPr>
      <w:rFonts w:ascii="Arial" w:hAnsi="Arial" w:eastAsia="仿宋_GB2312" w:cs="Arial"/>
      <w:color w:val="ffff00"/>
      <w:sz w:val="32"/>
      <w:szCs w:val="32"/>
    </w:rPr>
  </w:style>
  <w:style w:type="character" w:styleId="1028" w:customStyle="1">
    <w:name w:val="正文文本缩进 3 字符"/>
    <w:link w:val="1027"/>
    <w:uiPriority w:val="0"/>
    <w:qFormat/>
    <w:rPr>
      <w:rFonts w:ascii="Arial" w:hAnsi="Arial" w:eastAsia="仿宋_GB2312" w:cs="Arial"/>
      <w:color w:val="ffff00"/>
      <w:sz w:val="32"/>
      <w:szCs w:val="32"/>
    </w:rPr>
  </w:style>
  <w:style w:type="paragraph" w:styleId="1029" w:customStyle="1">
    <w:name w:val="图表目录1"/>
    <w:basedOn w:val="781"/>
    <w:next w:val="781"/>
    <w:uiPriority w:val="0"/>
    <w:semiHidden/>
    <w:qFormat/>
    <w:pPr>
      <w:ind w:left="840" w:hanging="420"/>
    </w:pPr>
    <w:rPr>
      <w:rFonts w:ascii="Times New Roman" w:hAnsi="Times New Roman"/>
      <w:szCs w:val="21"/>
    </w:rPr>
  </w:style>
  <w:style w:type="paragraph" w:styleId="1030" w:customStyle="1">
    <w:name w:val="正文文本 21"/>
    <w:basedOn w:val="781"/>
    <w:link w:val="1031"/>
    <w:uiPriority w:val="0"/>
    <w:qFormat/>
    <w:pPr>
      <w:jc w:val="center"/>
      <w:widowControl/>
    </w:pPr>
    <w:rPr>
      <w:rFonts w:ascii="楷体_GB2312" w:hAnsi="Times New Roman" w:eastAsia="楷体_GB2312"/>
      <w:sz w:val="28"/>
      <w:szCs w:val="28"/>
    </w:rPr>
  </w:style>
  <w:style w:type="character" w:styleId="1031" w:customStyle="1">
    <w:name w:val="正文文本 2 字符"/>
    <w:link w:val="1030"/>
    <w:uiPriority w:val="0"/>
    <w:qFormat/>
    <w:rPr>
      <w:rFonts w:ascii="楷体_GB2312" w:hAnsi="Times New Roman" w:eastAsia="楷体_GB2312" w:cs="Times New Roman"/>
      <w:sz w:val="28"/>
      <w:szCs w:val="28"/>
    </w:rPr>
  </w:style>
  <w:style w:type="paragraph" w:styleId="1032" w:customStyle="1">
    <w:name w:val="普通(网站)1"/>
    <w:basedOn w:val="781"/>
    <w:uiPriority w:val="99"/>
    <w:qFormat/>
    <w:pPr>
      <w:jc w:val="left"/>
      <w:spacing w:before="100" w:beforeAutospacing="1" w:after="100" w:afterAutospacing="1"/>
      <w:widowControl/>
    </w:pPr>
    <w:rPr>
      <w:rFonts w:ascii="宋体" w:hAnsi="宋体" w:cs="宋体"/>
      <w:sz w:val="24"/>
      <w:szCs w:val="24"/>
    </w:rPr>
  </w:style>
  <w:style w:type="paragraph" w:styleId="1033" w:customStyle="1">
    <w:name w:val="索引 11"/>
    <w:basedOn w:val="781"/>
    <w:next w:val="781"/>
    <w:uiPriority w:val="0"/>
    <w:semiHidden/>
    <w:qFormat/>
    <w:pPr>
      <w:spacing w:line="240" w:lineRule="atLeast"/>
    </w:pPr>
    <w:rPr>
      <w:rFonts w:ascii="Times New Roman" w:hAnsi="Times New Roman"/>
      <w:b/>
      <w:bCs/>
      <w:szCs w:val="21"/>
    </w:rPr>
  </w:style>
  <w:style w:type="paragraph" w:styleId="1034" w:customStyle="1">
    <w:name w:val="批注主题1"/>
    <w:basedOn w:val="1006"/>
    <w:next w:val="1006"/>
    <w:link w:val="1035"/>
    <w:uiPriority w:val="0"/>
    <w:semiHidden/>
    <w:qFormat/>
    <w:rPr>
      <w:rFonts w:ascii="Times New Roman" w:hAnsi="Times New Roman"/>
      <w:b/>
      <w:bCs/>
      <w:szCs w:val="21"/>
    </w:rPr>
  </w:style>
  <w:style w:type="character" w:styleId="1035" w:customStyle="1">
    <w:name w:val="批注主题 字符"/>
    <w:link w:val="1034"/>
    <w:uiPriority w:val="0"/>
    <w:semiHidden/>
    <w:qFormat/>
    <w:rPr>
      <w:rFonts w:ascii="Times New Roman" w:hAnsi="Times New Roman" w:eastAsia="宋体" w:cs="Times New Roman"/>
      <w:b/>
      <w:bCs/>
      <w:szCs w:val="21"/>
    </w:rPr>
  </w:style>
  <w:style w:type="paragraph" w:styleId="1036" w:customStyle="1">
    <w:name w:val="正文文本首行缩进 2"/>
    <w:basedOn w:val="1010"/>
    <w:link w:val="1037"/>
    <w:uiPriority w:val="0"/>
    <w:qFormat/>
    <w:pPr>
      <w:ind w:left="0" w:firstLine="420"/>
      <w:spacing w:after="0" w:line="360" w:lineRule="auto"/>
    </w:pPr>
    <w:rPr>
      <w:rFonts w:ascii="宋体" w:hAnsi="宋体"/>
      <w:szCs w:val="20"/>
    </w:rPr>
  </w:style>
  <w:style w:type="character" w:styleId="1037" w:customStyle="1">
    <w:name w:val="正文文本首行缩进 2 字符"/>
    <w:link w:val="1036"/>
    <w:uiPriority w:val="0"/>
    <w:qFormat/>
    <w:rPr>
      <w:rFonts w:ascii="宋体" w:hAnsi="宋体" w:eastAsia="宋体" w:cs="Times New Roman"/>
      <w:szCs w:val="20"/>
    </w:rPr>
  </w:style>
  <w:style w:type="table" w:styleId="1038" w:customStyle="1">
    <w:name w:val="网格型1"/>
    <w:basedOn w:val="988"/>
    <w:uiPriority w:val="0"/>
    <w:qFormat/>
    <w:pPr>
      <w:jc w:val="both"/>
      <w:widowControl w:val="off"/>
    </w:pPr>
    <w:rPr>
      <w:rFonts w:ascii="Times New Roman" w:hAnsi="Times New Roman" w:eastAsia="宋体" w:cs="Times New Roman"/>
      <w:sz w:val="20"/>
      <w:szCs w:val="20"/>
    </w:rPr>
    <w:tblPr/>
  </w:style>
  <w:style w:type="character" w:styleId="1039" w:customStyle="1">
    <w:name w:val="要点1"/>
    <w:link w:val="781"/>
    <w:uiPriority w:val="0"/>
    <w:qFormat/>
    <w:rPr>
      <w:b/>
      <w:bCs/>
    </w:rPr>
  </w:style>
  <w:style w:type="character" w:styleId="1040" w:customStyle="1">
    <w:name w:val="页码1"/>
    <w:link w:val="781"/>
    <w:uiPriority w:val="0"/>
    <w:qFormat/>
  </w:style>
  <w:style w:type="character" w:styleId="1041" w:customStyle="1">
    <w:name w:val="访问过的超链接"/>
    <w:link w:val="781"/>
    <w:uiPriority w:val="0"/>
    <w:qFormat/>
    <w:rPr>
      <w:color w:val="800080"/>
      <w:u w:val="single"/>
    </w:rPr>
  </w:style>
  <w:style w:type="character" w:styleId="1042" w:customStyle="1">
    <w:name w:val="超链接1"/>
    <w:link w:val="781"/>
    <w:uiPriority w:val="0"/>
    <w:qFormat/>
    <w:rPr>
      <w:color w:val="0000ff"/>
      <w:u w:val="single"/>
    </w:rPr>
  </w:style>
  <w:style w:type="character" w:styleId="1043" w:customStyle="1">
    <w:name w:val="批注引用1"/>
    <w:link w:val="781"/>
    <w:uiPriority w:val="0"/>
    <w:semiHidden/>
    <w:qFormat/>
    <w:rPr>
      <w:sz w:val="21"/>
      <w:szCs w:val="21"/>
    </w:rPr>
  </w:style>
  <w:style w:type="character" w:styleId="1044" w:customStyle="1">
    <w:name w:val="font5 Char"/>
    <w:link w:val="781"/>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b/>
      <w:sz w:val="30"/>
      <w:szCs w:val="28"/>
    </w:rPr>
  </w:style>
  <w:style w:type="paragraph" w:styleId="1046" w:customStyle="1">
    <w:name w:val="二级目录"/>
    <w:next w:val="781"/>
    <w:link w:val="104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81"/>
    <w:link w:val="1047"/>
    <w:uiPriority w:val="0"/>
    <w:qFormat/>
    <w:pPr>
      <w:contextualSpacing/>
      <w:ind w:left="720"/>
      <w:jc w:val="left"/>
      <w:widowControl/>
    </w:pPr>
    <w:rPr>
      <w:rFonts w:eastAsia="宋体" w:cs="Times New Roman"/>
      <w:sz w:val="24"/>
      <w:szCs w:val="24"/>
      <w:lang w:eastAsia="en-US" w:bidi="en-US"/>
    </w:rPr>
  </w:style>
  <w:style w:type="paragraph" w:styleId="1049" w:customStyle="1">
    <w:name w:val="Body Text(ch)"/>
    <w:basedOn w:val="781"/>
    <w:next w:val="990"/>
    <w:uiPriority w:val="0"/>
    <w:qFormat/>
    <w:pPr>
      <w:spacing w:after="120"/>
    </w:pPr>
    <w:rPr>
      <w:rFonts w:ascii="宋体" w:hAnsi="Arial"/>
      <w:bCs/>
      <w:iCs/>
      <w:szCs w:val="24"/>
    </w:rPr>
  </w:style>
  <w:style w:type="paragraph" w:styleId="1050" w:customStyle="1">
    <w:name w:val="xl27"/>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6"/>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781"/>
    <w:uiPriority w:val="0"/>
    <w:qFormat/>
    <w:pPr>
      <w:ind w:firstLine="200"/>
      <w:tabs>
        <w:tab w:val="left" w:pos="360" w:leader="none"/>
      </w:tabs>
    </w:pPr>
    <w:rPr>
      <w:rFonts w:ascii="Times New Roman" w:hAnsi="Times New Roman"/>
      <w:sz w:val="28"/>
      <w:szCs w:val="30"/>
    </w:rPr>
  </w:style>
  <w:style w:type="paragraph" w:styleId="1053" w:customStyle="1">
    <w:name w:val=" Char"/>
    <w:basedOn w:val="1004"/>
    <w:uiPriority w:val="0"/>
    <w:qFormat/>
    <w:rPr>
      <w:rFonts w:ascii="Tahoma" w:hAnsi="Tahoma"/>
      <w:sz w:val="24"/>
      <w:szCs w:val="24"/>
    </w:rPr>
  </w:style>
  <w:style w:type="paragraph" w:styleId="1054"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55" w:customStyle="1">
    <w:name w:val="table_lines"/>
    <w:basedOn w:val="781"/>
    <w:uiPriority w:val="0"/>
    <w:qFormat/>
    <w:pPr>
      <w:jc w:val="left"/>
      <w:widowControl/>
    </w:pPr>
    <w:rPr>
      <w:rFonts w:ascii="Times New Roman" w:hAnsi="Times New Roman"/>
      <w:sz w:val="20"/>
      <w:szCs w:val="20"/>
      <w:lang w:val="de-DE" w:eastAsia="de-DE"/>
    </w:rPr>
  </w:style>
  <w:style w:type="paragraph" w:styleId="105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7" w:customStyle="1">
    <w:name w:val="font7"/>
    <w:basedOn w:val="781"/>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 Char Char Char Char"/>
    <w:basedOn w:val="1004"/>
    <w:uiPriority w:val="0"/>
    <w:qFormat/>
    <w:pPr>
      <w:spacing w:line="360" w:lineRule="auto"/>
    </w:pPr>
    <w:rPr>
      <w:rFonts w:ascii="Tahoma" w:hAnsi="Tahoma"/>
      <w:sz w:val="24"/>
      <w:szCs w:val="24"/>
    </w:rPr>
  </w:style>
  <w:style w:type="paragraph" w:styleId="1059" w:customStyle="1">
    <w:name w:val="列表段落"/>
    <w:basedOn w:val="781"/>
    <w:uiPriority w:val="0"/>
    <w:qFormat/>
    <w:pPr>
      <w:contextualSpacing/>
      <w:ind w:left="720"/>
      <w:jc w:val="left"/>
      <w:widowControl/>
    </w:pPr>
    <w:rPr>
      <w:sz w:val="24"/>
      <w:szCs w:val="24"/>
      <w:lang w:eastAsia="en-US" w:bidi="en-US"/>
    </w:rPr>
  </w:style>
  <w:style w:type="paragraph" w:styleId="1060" w:customStyle="1">
    <w:name w:val="4"/>
    <w:basedOn w:val="781"/>
    <w:next w:val="1027"/>
    <w:uiPriority w:val="0"/>
    <w:qFormat/>
    <w:pPr>
      <w:ind w:firstLine="420"/>
      <w:spacing w:line="360" w:lineRule="auto"/>
    </w:pPr>
    <w:rPr>
      <w:rFonts w:ascii="Times New Roman" w:hAnsi="Times New Roman"/>
      <w:color w:val="ff0000"/>
      <w:sz w:val="24"/>
      <w:szCs w:val="24"/>
    </w:rPr>
  </w:style>
  <w:style w:type="paragraph" w:styleId="1061" w:customStyle="1">
    <w:name w:val="普通 (Web)"/>
    <w:basedOn w:val="781"/>
    <w:uiPriority w:val="0"/>
    <w:qFormat/>
    <w:pPr>
      <w:jc w:val="left"/>
      <w:spacing w:before="100" w:beforeAutospacing="1" w:after="100" w:afterAutospacing="1"/>
      <w:widowControl/>
    </w:pPr>
    <w:rPr>
      <w:rFonts w:ascii="宋体" w:hAnsi="宋体"/>
      <w:sz w:val="24"/>
      <w:szCs w:val="24"/>
    </w:rPr>
  </w:style>
  <w:style w:type="paragraph" w:styleId="1062" w:customStyle="1">
    <w:name w:val=" Char Char Char Char Char Char Char Char Char Char"/>
    <w:basedOn w:val="781"/>
    <w:uiPriority w:val="0"/>
    <w:qFormat/>
    <w:pPr>
      <w:spacing w:line="360" w:lineRule="auto"/>
    </w:pPr>
    <w:rPr>
      <w:rFonts w:ascii="Times New Roman" w:hAnsi="Times New Roman"/>
      <w:sz w:val="24"/>
      <w:szCs w:val="20"/>
    </w:rPr>
  </w:style>
  <w:style w:type="paragraph" w:styleId="1063" w:customStyle="1">
    <w:name w:val="样式1"/>
    <w:basedOn w:val="781"/>
    <w:uiPriority w:val="0"/>
    <w:qFormat/>
    <w:pPr>
      <w:numPr>
        <w:ilvl w:val="0"/>
        <w:numId w:val="3"/>
      </w:numPr>
    </w:pPr>
    <w:rPr>
      <w:rFonts w:ascii="宋体" w:hAnsi="宋体"/>
      <w:szCs w:val="21"/>
    </w:rPr>
  </w:style>
  <w:style w:type="paragraph" w:styleId="1064" w:customStyle="1">
    <w:name w:val="font6"/>
    <w:basedOn w:val="781"/>
    <w:uiPriority w:val="0"/>
    <w:qFormat/>
    <w:pPr>
      <w:jc w:val="left"/>
      <w:spacing w:before="100" w:beforeAutospacing="1" w:after="100" w:afterAutospacing="1"/>
      <w:widowControl/>
    </w:pPr>
    <w:rPr>
      <w:rFonts w:hint="eastAsia" w:ascii="宋体" w:hAnsi="宋体"/>
      <w:sz w:val="28"/>
      <w:szCs w:val="28"/>
      <w:u w:val="single"/>
    </w:rPr>
  </w:style>
  <w:style w:type="paragraph" w:styleId="1065"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7" w:customStyle="1">
    <w:name w:val="标题3"/>
    <w:basedOn w:val="781"/>
    <w:next w:val="781"/>
    <w:uiPriority w:val="0"/>
    <w:qFormat/>
    <w:pPr>
      <w:ind w:firstLine="624"/>
      <w:spacing w:line="590" w:lineRule="atLeast"/>
    </w:pPr>
    <w:rPr>
      <w:rFonts w:ascii="方正黑体_GBK" w:hAnsi="Times New Roman" w:eastAsia="方正黑体_GBK"/>
      <w:sz w:val="32"/>
      <w:szCs w:val="32"/>
    </w:rPr>
  </w:style>
  <w:style w:type="paragraph" w:styleId="1068" w:customStyle="1">
    <w:name w:val="xl24"/>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customStyle="1">
    <w:name w:val="xl29"/>
    <w:basedOn w:val="78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0"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1"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2" w:customStyle="1">
    <w:name w:val="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3"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74" w:customStyle="1">
    <w:name w:val="Char Char Char Char"/>
    <w:basedOn w:val="1004"/>
    <w:uiPriority w:val="0"/>
    <w:qFormat/>
    <w:pPr>
      <w:spacing w:line="360" w:lineRule="auto"/>
    </w:pPr>
    <w:rPr>
      <w:rFonts w:ascii="Tahoma" w:hAnsi="Tahoma"/>
      <w:sz w:val="24"/>
      <w:szCs w:val="24"/>
    </w:rPr>
  </w:style>
  <w:style w:type="paragraph" w:styleId="1075" w:customStyle="1">
    <w:name w:val="table_1stline"/>
    <w:basedOn w:val="781"/>
    <w:uiPriority w:val="0"/>
    <w:qFormat/>
    <w:pPr>
      <w:jc w:val="left"/>
      <w:spacing w:before="120"/>
      <w:widowControl/>
    </w:pPr>
    <w:rPr>
      <w:rFonts w:ascii="Times New Roman" w:hAnsi="Times New Roman"/>
      <w:bCs/>
      <w:sz w:val="20"/>
      <w:szCs w:val="20"/>
      <w:lang w:val="de-DE" w:eastAsia="de-DE"/>
    </w:rPr>
  </w:style>
  <w:style w:type="paragraph" w:styleId="1076"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77" w:customStyle="1">
    <w:name w:val="标题1"/>
    <w:basedOn w:val="781"/>
    <w:next w:val="7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列表段落1"/>
    <w:basedOn w:val="781"/>
    <w:uiPriority w:val="34"/>
    <w:qFormat/>
    <w:pPr>
      <w:ind w:firstLine="420"/>
    </w:pPr>
    <w:rPr>
      <w:rFonts w:ascii="Times New Roman" w:hAnsi="Times New Roman"/>
    </w:rPr>
  </w:style>
  <w:style w:type="paragraph" w:styleId="1081" w:customStyle="1">
    <w:name w:val="_Style 116"/>
    <w:basedOn w:val="781"/>
    <w:next w:val="1059"/>
    <w:uiPriority w:val="0"/>
    <w:qFormat/>
    <w:pPr>
      <w:contextualSpacing/>
      <w:ind w:left="720"/>
      <w:jc w:val="left"/>
      <w:widowControl/>
    </w:pPr>
    <w:rPr>
      <w:sz w:val="24"/>
      <w:szCs w:val="24"/>
      <w:lang w:eastAsia="en-US" w:bidi="en-US"/>
    </w:rPr>
  </w:style>
  <w:style w:type="paragraph" w:styleId="1082" w:customStyle="1">
    <w:name w:val="正文空两格"/>
    <w:basedOn w:val="781"/>
    <w:uiPriority w:val="0"/>
    <w:qFormat/>
    <w:pPr>
      <w:ind w:firstLine="200"/>
    </w:pPr>
    <w:rPr>
      <w:rFonts w:ascii="Times New Roman" w:hAnsi="Times New Roman"/>
      <w:szCs w:val="21"/>
    </w:rPr>
  </w:style>
  <w:style w:type="character" w:styleId="1083" w:customStyle="1">
    <w:name w:val="纯文本 Char"/>
    <w:link w:val="781"/>
    <w:uiPriority w:val="0"/>
    <w:qFormat/>
    <w:rPr>
      <w:rFonts w:ascii="宋体" w:hAnsi="Courier New" w:eastAsia="宋体" w:cs="Courier New"/>
      <w:szCs w:val="21"/>
    </w:rPr>
  </w:style>
  <w:style w:type="paragraph" w:styleId="1084" w:customStyle="1">
    <w:name w:val="black1"/>
    <w:basedOn w:val="781"/>
    <w:uiPriority w:val="99"/>
    <w:qFormat/>
    <w:pPr>
      <w:jc w:val="left"/>
      <w:spacing w:before="100" w:beforeAutospacing="1" w:after="100" w:afterAutospacing="1"/>
      <w:widowControl/>
    </w:pPr>
    <w:rPr>
      <w:rFonts w:ascii="宋体" w:hAnsi="宋体"/>
      <w:sz w:val="24"/>
    </w:rPr>
  </w:style>
  <w:style w:type="character" w:styleId="1085" w:customStyle="1">
    <w:name w:val="l-btn-left"/>
    <w:basedOn w:val="791"/>
    <w:uiPriority w:val="0"/>
    <w:qFormat/>
  </w:style>
  <w:style w:type="character" w:styleId="1086" w:customStyle="1">
    <w:name w:val="current"/>
    <w:basedOn w:val="791"/>
    <w:uiPriority w:val="0"/>
    <w:qFormat/>
    <w:rPr>
      <w:b/>
      <w:bCs/>
      <w:color w:val="05a7d8"/>
      <w:sz w:val="18"/>
      <w:szCs w:val="18"/>
    </w:rPr>
  </w:style>
  <w:style w:type="character" w:styleId="1087" w:customStyle="1">
    <w:name w:val="l-btn-text36"/>
    <w:basedOn w:val="791"/>
    <w:uiPriority w:val="0"/>
    <w:qFormat/>
  </w:style>
  <w:style w:type="paragraph" w:styleId="1088" w:customStyle="1">
    <w:name w:val="段"/>
    <w:basedOn w:val="781"/>
    <w:next w:val="781"/>
    <w:uiPriority w:val="0"/>
    <w:qFormat/>
    <w:pPr>
      <w:ind w:firstLine="200"/>
      <w:spacing w:line="360" w:lineRule="auto"/>
      <w:widowControl/>
    </w:pPr>
    <w:rPr>
      <w:rFonts w:ascii="宋体" w:hAnsi="宋体" w:cs="宋体"/>
      <w:sz w:val="24"/>
    </w:rPr>
  </w:style>
  <w:style w:type="paragraph" w:styleId="1089" w:customStyle="1">
    <w:name w:val="无间隔1"/>
    <w:basedOn w:val="781"/>
    <w:uiPriority w:val="0"/>
    <w:qFormat/>
    <w:pPr>
      <w:ind w:firstLine="200"/>
      <w:jc w:val="left"/>
      <w:spacing w:line="360" w:lineRule="auto"/>
      <w:widowControl/>
    </w:pPr>
    <w:rPr>
      <w:rFonts w:ascii="宋体" w:hAnsi="宋体"/>
      <w:sz w:val="24"/>
    </w:rPr>
  </w:style>
  <w:style w:type="character" w:styleId="1090" w:customStyle="1">
    <w:name w:val="font11"/>
    <w:basedOn w:val="791"/>
    <w:uiPriority w:val="0"/>
    <w:qFormat/>
    <w:rPr>
      <w:rFonts w:hint="eastAsia" w:ascii="微软雅黑" w:hAnsi="微软雅黑" w:eastAsia="微软雅黑" w:cs="微软雅黑"/>
      <w:color w:val="000000"/>
      <w:sz w:val="20"/>
      <w:szCs w:val="20"/>
      <w:u w:val="none"/>
    </w:rPr>
  </w:style>
  <w:style w:type="character" w:styleId="1091" w:customStyle="1">
    <w:name w:val="font51"/>
    <w:basedOn w:val="791"/>
    <w:uiPriority w:val="0"/>
    <w:qFormat/>
    <w:rPr>
      <w:rFonts w:hint="eastAsia" w:ascii="宋体" w:hAnsi="宋体" w:eastAsia="宋体" w:cs="宋体"/>
      <w:color w:val="000000"/>
      <w:sz w:val="24"/>
      <w:u w:val="none"/>
    </w:rPr>
  </w:style>
  <w:style w:type="character" w:styleId="1092" w:customStyle="1">
    <w:name w:val="标题 1 Char"/>
    <w:basedOn w:val="791"/>
    <w:link w:val="782"/>
    <w:uiPriority w:val="0"/>
    <w:qFormat/>
    <w:rPr>
      <w:rFonts w:ascii="宋体"/>
      <w:b/>
      <w:bCs/>
      <w:sz w:val="32"/>
      <w:szCs w:val="32"/>
    </w:rPr>
  </w:style>
  <w:style w:type="paragraph" w:styleId="1093" w:customStyle="1">
    <w:name w:val="Table Paragraph"/>
    <w:basedOn w:val="781"/>
    <w:uiPriority w:val="1"/>
    <w:qFormat/>
    <w:rPr>
      <w:rFonts w:ascii="宋体" w:hAnsi="宋体" w:eastAsia="宋体" w:cs="宋体"/>
      <w:szCs w:val="22"/>
      <w:lang w:val="zh-CN" w:bidi="zh-CN"/>
    </w:rPr>
  </w:style>
  <w:style w:type="character" w:styleId="1094" w:customStyle="1">
    <w:name w:val="Heading 1 Char1"/>
    <w:uiPriority w:val="99"/>
    <w:qFormat/>
    <w:rPr>
      <w:rFonts w:ascii="Century Schoolbook" w:hAnsi="Century Schoolbook"/>
      <w:sz w:val="20"/>
    </w:rPr>
  </w:style>
  <w:style w:type="paragraph" w:styleId="1095" w:customStyle="1">
    <w:name w:val="正文2"/>
    <w:basedOn w:val="781"/>
    <w:uiPriority w:val="0"/>
    <w:qFormat/>
    <w:pPr>
      <w:widowControl/>
    </w:pPr>
    <w:rPr>
      <w:rFonts w:ascii="Calibri" w:hAnsi="Calibri" w:cs="Calibri"/>
      <w:szCs w:val="21"/>
    </w:rPr>
  </w:style>
  <w:style w:type="character" w:styleId="1096" w:customStyle="1">
    <w:name w:val="超链接11"/>
    <w:link w:val="781"/>
    <w:uiPriority w:val="0"/>
    <w:qFormat/>
    <w:rPr>
      <w:rFonts w:ascii="Calibri" w:hAnsi="Calibri" w:eastAsia="宋体" w:cs="Times New Roman"/>
      <w:sz w:val="21"/>
      <w:szCs w:val="22"/>
      <w:lang w:val="en-US" w:eastAsia="zh-CN" w:bidi="ar-SA"/>
    </w:rPr>
  </w:style>
  <w:style w:type="character" w:styleId="1097" w:customStyle="1">
    <w:name w:val="titlebody"/>
    <w:uiPriority w:val="0"/>
    <w:qFormat/>
    <w:rPr>
      <w:rFonts w:ascii="宋体" w:hAnsi="宋体" w:eastAsia="宋体" w:cs="宋体"/>
      <w:b/>
      <w:bCs/>
      <w:color w:val="000000"/>
      <w:sz w:val="24"/>
      <w:szCs w:val="24"/>
    </w:rPr>
  </w:style>
  <w:style w:type="paragraph" w:styleId="1098" w:customStyle="1">
    <w:name w:val="批注文字12"/>
    <w:basedOn w:val="781"/>
    <w:uiPriority w:val="99"/>
    <w:unhideWhenUsed/>
    <w:qFormat/>
    <w:pPr>
      <w:jc w:val="left"/>
    </w:pPr>
  </w:style>
  <w:style w:type="paragraph" w:styleId="1099" w:customStyle="1">
    <w:name w:val="Plain Text2"/>
    <w:basedOn w:val="781"/>
    <w:uiPriority w:val="99"/>
    <w:qFormat/>
    <w:rPr>
      <w:rFonts w:ascii="宋体" w:hAnsi="Courier New" w:eastAsia="楷体_GB2312"/>
      <w:sz w:val="28"/>
      <w:szCs w:val="20"/>
    </w:rPr>
  </w:style>
  <w:style w:type="paragraph" w:styleId="1100" w:customStyle="1">
    <w:name w:val="脚注文本1"/>
    <w:basedOn w:val="1011"/>
    <w:next w:val="1101"/>
    <w:uiPriority w:val="0"/>
    <w:qFormat/>
    <w:pPr>
      <w:jc w:val="left"/>
    </w:pPr>
    <w:rPr>
      <w:rFonts w:ascii="宋体" w:hAnsi="宋体" w:eastAsia="Times New Roman"/>
      <w:sz w:val="18"/>
      <w:szCs w:val="18"/>
    </w:rPr>
  </w:style>
  <w:style w:type="paragraph" w:styleId="1101" w:customStyle="1">
    <w:name w:val="索引 51"/>
    <w:basedOn w:val="1011"/>
    <w:next w:val="1011"/>
    <w:uiPriority w:val="0"/>
    <w:qFormat/>
    <w:pPr>
      <w:ind w:left="798"/>
      <w:jc w:val="left"/>
    </w:pPr>
    <w:rPr>
      <w:rFonts w:ascii="Calibri" w:hAnsi="Calibri"/>
    </w:rPr>
  </w:style>
  <w:style w:type="paragraph" w:styleId="1102" w:customStyle="1">
    <w:name w:val="普通(网站)11"/>
    <w:basedOn w:val="781"/>
    <w:uiPriority w:val="0"/>
    <w:qFormat/>
    <w:pPr>
      <w:jc w:val="left"/>
      <w:spacing w:before="100" w:beforeAutospacing="1" w:after="100" w:afterAutospacing="1"/>
      <w:widowControl/>
    </w:pPr>
    <w:rPr>
      <w:rFonts w:hint="default" w:ascii="Times New Roman" w:hAnsi="Times New Roman" w:eastAsia="宋体" w:cs="Times New Roman"/>
      <w:sz w:val="24"/>
      <w:szCs w:val="21"/>
      <w:lang w:val="en-US" w:eastAsia="zh-CN" w:bidi="ar"/>
    </w:rPr>
  </w:style>
  <w:style w:type="paragraph" w:styleId="1103" w:customStyle="1">
    <w:name w:val="正文首行缩进 2111"/>
    <w:next w:val="781"/>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1104" w:customStyle="1">
    <w:name w:val="Table Text"/>
    <w:basedOn w:val="781"/>
    <w:uiPriority w:val="0"/>
    <w:semiHidden/>
    <w:qFormat/>
    <w:rPr>
      <w:rFonts w:ascii="仿宋" w:hAnsi="仿宋" w:eastAsia="仿宋" w:cs="仿宋"/>
      <w:sz w:val="22"/>
      <w:szCs w:val="22"/>
      <w:lang w:val="en-US" w:eastAsia="en-US" w:bidi="ar-SA"/>
    </w:rPr>
  </w:style>
  <w:style w:type="table" w:styleId="1105"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06" w:customStyle="1">
    <w:name w:val="正文仿宋"/>
    <w:basedOn w:val="781"/>
    <w:uiPriority w:val="0"/>
    <w:qFormat/>
    <w:pPr>
      <w:ind w:firstLine="520"/>
      <w:spacing w:line="350" w:lineRule="exact"/>
    </w:pPr>
    <w:rPr>
      <w:rFonts w:ascii="Times New Roman" w:hAnsi="Times New Roman" w:eastAsia="方正仿宋_GB2312" w:cs="Times New Roman"/>
      <w:sz w:val="24"/>
      <w:lang w:val="zh-CN"/>
    </w:rPr>
  </w:style>
  <w:style w:type="numbering" w:styleId="7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9</cp:revision>
  <dcterms:created xsi:type="dcterms:W3CDTF">2023-09-14T01:51:00Z</dcterms:created>
  <dcterms:modified xsi:type="dcterms:W3CDTF">2026-10-14T07:08:49Z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570EE263056C4CB5865F55D999F9D82B_13</vt:lpwstr>
  </property>
  <property fmtid="{D5CDD505-2E9C-101B-9397-08002B2CF9AE}" pid="4" name="KSOTemplateDocerSaveRecord">
    <vt:lpwstr>eyJoZGlkIjoiZTk2ZjNlOWQ0YzQzOTA1OWUyYWFlMTIwYzNjYjFkZjYiLCJ1c2VySWQiOiIxMTQ1Mjk0NDgzIn0=</vt:lpwstr>
  </property>
</Properties>
</file>