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1AF3C3">
      <w:pPr>
        <w:spacing w:before="120" w:after="120" w:line="360" w:lineRule="auto"/>
        <w:jc w:val="left"/>
        <w:rPr>
          <w:rFonts w:ascii="宋体" w:hAnsi="宋体" w:eastAsia="宋体" w:cs="宋体"/>
          <w:b/>
          <w:bCs/>
          <w:color w:val="000000" w:themeColor="text1"/>
          <w:sz w:val="84"/>
          <w:highlight w:val="none"/>
          <w14:textFill>
            <w14:solidFill>
              <w14:schemeClr w14:val="tx1"/>
            </w14:solidFill>
          </w14:textFill>
        </w:rPr>
      </w:pPr>
    </w:p>
    <w:p w14:paraId="6FB68754">
      <w:pPr>
        <w:spacing w:before="120" w:after="120" w:line="360" w:lineRule="auto"/>
        <w:jc w:val="center"/>
        <w:rPr>
          <w:rFonts w:ascii="宋体" w:hAnsi="宋体" w:eastAsia="宋体" w:cs="宋体"/>
          <w:b/>
          <w:bCs/>
          <w:color w:val="000000" w:themeColor="text1"/>
          <w:sz w:val="84"/>
          <w:highlight w:val="none"/>
          <w14:textFill>
            <w14:solidFill>
              <w14:schemeClr w14:val="tx1"/>
            </w14:solidFill>
          </w14:textFill>
        </w:rPr>
      </w:pPr>
      <w:r>
        <w:rPr>
          <w:rFonts w:hint="eastAsia" w:ascii="宋体" w:hAnsi="宋体" w:eastAsia="宋体" w:cs="宋体"/>
          <w:b/>
          <w:bCs/>
          <w:color w:val="000000" w:themeColor="text1"/>
          <w:sz w:val="84"/>
          <w:highlight w:val="none"/>
          <w14:textFill>
            <w14:solidFill>
              <w14:schemeClr w14:val="tx1"/>
            </w14:solidFill>
          </w14:textFill>
        </w:rPr>
        <w:t>招　标　文　件</w:t>
      </w:r>
    </w:p>
    <w:p w14:paraId="1C4D72F1">
      <w:pPr>
        <w:keepNext w:val="0"/>
        <w:keepLines w:val="0"/>
        <w:pageBreakBefore w:val="0"/>
        <w:widowControl w:val="0"/>
        <w:kinsoku/>
        <w:wordWrap/>
        <w:overflowPunct/>
        <w:topLinePunct w:val="0"/>
        <w:autoSpaceDE/>
        <w:autoSpaceDN/>
        <w:bidi w:val="0"/>
        <w:adjustRightInd/>
        <w:snapToGrid/>
        <w:spacing w:before="181" w:beforeLines="50" w:after="181" w:afterLines="50" w:line="360" w:lineRule="auto"/>
        <w:textAlignment w:val="auto"/>
        <w:rPr>
          <w:rFonts w:hint="eastAsia"/>
          <w:b/>
          <w:sz w:val="30"/>
          <w:szCs w:val="30"/>
          <w:highlight w:val="none"/>
        </w:rPr>
      </w:pPr>
    </w:p>
    <w:p w14:paraId="28B72108">
      <w:pPr>
        <w:keepNext w:val="0"/>
        <w:keepLines w:val="0"/>
        <w:pageBreakBefore w:val="0"/>
        <w:widowControl w:val="0"/>
        <w:kinsoku/>
        <w:wordWrap/>
        <w:overflowPunct/>
        <w:topLinePunct w:val="0"/>
        <w:autoSpaceDE/>
        <w:autoSpaceDN/>
        <w:bidi w:val="0"/>
        <w:adjustRightInd/>
        <w:snapToGrid/>
        <w:spacing w:before="181" w:beforeLines="50" w:after="181" w:afterLines="50" w:line="360" w:lineRule="auto"/>
        <w:textAlignment w:val="auto"/>
        <w:rPr>
          <w:rFonts w:hint="eastAsia"/>
          <w:b/>
          <w:sz w:val="30"/>
          <w:szCs w:val="30"/>
          <w:highlight w:val="none"/>
        </w:rPr>
      </w:pPr>
    </w:p>
    <w:p w14:paraId="6A6B2EEF">
      <w:pPr>
        <w:keepNext w:val="0"/>
        <w:keepLines w:val="0"/>
        <w:pageBreakBefore w:val="0"/>
        <w:widowControl w:val="0"/>
        <w:kinsoku/>
        <w:wordWrap/>
        <w:overflowPunct/>
        <w:topLinePunct w:val="0"/>
        <w:autoSpaceDE/>
        <w:autoSpaceDN/>
        <w:bidi w:val="0"/>
        <w:adjustRightInd/>
        <w:snapToGrid/>
        <w:spacing w:before="181" w:beforeLines="50" w:after="181" w:afterLines="50" w:line="360" w:lineRule="auto"/>
        <w:ind w:firstLine="1201" w:firstLineChars="400"/>
        <w:textAlignment w:val="auto"/>
        <w:rPr>
          <w:rFonts w:hint="eastAsia"/>
          <w:b/>
          <w:sz w:val="30"/>
          <w:szCs w:val="30"/>
          <w:highlight w:val="none"/>
        </w:rPr>
      </w:pPr>
      <w:r>
        <w:rPr>
          <w:rFonts w:hint="eastAsia"/>
          <w:b/>
          <w:sz w:val="30"/>
          <w:szCs w:val="30"/>
          <w:highlight w:val="none"/>
        </w:rPr>
        <w:t>项目名称：宿迁市计量测试所化学衡器类设备检测</w:t>
      </w:r>
    </w:p>
    <w:p w14:paraId="61181252">
      <w:pPr>
        <w:keepNext w:val="0"/>
        <w:keepLines w:val="0"/>
        <w:pageBreakBefore w:val="0"/>
        <w:widowControl w:val="0"/>
        <w:kinsoku/>
        <w:wordWrap/>
        <w:overflowPunct/>
        <w:topLinePunct w:val="0"/>
        <w:autoSpaceDE/>
        <w:autoSpaceDN/>
        <w:bidi w:val="0"/>
        <w:adjustRightInd/>
        <w:snapToGrid/>
        <w:spacing w:before="181" w:beforeLines="50" w:after="181" w:afterLines="50" w:line="360" w:lineRule="auto"/>
        <w:ind w:firstLine="2701" w:firstLineChars="900"/>
        <w:textAlignment w:val="auto"/>
        <w:rPr>
          <w:rFonts w:hint="eastAsia"/>
          <w:b/>
          <w:sz w:val="30"/>
          <w:szCs w:val="30"/>
          <w:highlight w:val="none"/>
        </w:rPr>
      </w:pPr>
      <w:r>
        <w:rPr>
          <w:rFonts w:hint="eastAsia"/>
          <w:b/>
          <w:sz w:val="30"/>
          <w:szCs w:val="30"/>
          <w:highlight w:val="none"/>
        </w:rPr>
        <w:t>装置采购项目</w:t>
      </w:r>
    </w:p>
    <w:p w14:paraId="1DBCB767">
      <w:pPr>
        <w:keepNext w:val="0"/>
        <w:keepLines w:val="0"/>
        <w:pageBreakBefore w:val="0"/>
        <w:widowControl w:val="0"/>
        <w:kinsoku/>
        <w:wordWrap/>
        <w:overflowPunct/>
        <w:topLinePunct w:val="0"/>
        <w:autoSpaceDE/>
        <w:autoSpaceDN/>
        <w:bidi w:val="0"/>
        <w:adjustRightInd/>
        <w:snapToGrid/>
        <w:spacing w:before="181" w:beforeLines="50" w:after="181" w:afterLines="50" w:line="360" w:lineRule="auto"/>
        <w:ind w:firstLine="1201" w:firstLineChars="400"/>
        <w:textAlignment w:val="auto"/>
        <w:rPr>
          <w:rFonts w:hint="eastAsia"/>
          <w:b/>
          <w:sz w:val="30"/>
          <w:szCs w:val="30"/>
          <w:highlight w:val="none"/>
        </w:rPr>
      </w:pPr>
      <w:r>
        <w:rPr>
          <w:rFonts w:hint="eastAsia"/>
          <w:b/>
          <w:sz w:val="30"/>
          <w:szCs w:val="30"/>
          <w:highlight w:val="none"/>
        </w:rPr>
        <w:t xml:space="preserve">项目编号：JSZC-321300-JSHB-G2026-0008              </w:t>
      </w:r>
    </w:p>
    <w:p w14:paraId="77D22350">
      <w:pPr>
        <w:ind w:left="2100" w:leftChars="1000"/>
        <w:rPr>
          <w:rFonts w:hint="eastAsia"/>
          <w:b/>
          <w:sz w:val="30"/>
          <w:szCs w:val="30"/>
          <w:highlight w:val="none"/>
        </w:rPr>
      </w:pPr>
    </w:p>
    <w:p w14:paraId="1E8280B0">
      <w:pPr>
        <w:ind w:left="2100" w:leftChars="1000"/>
        <w:rPr>
          <w:rFonts w:hint="eastAsia"/>
          <w:b/>
          <w:sz w:val="30"/>
          <w:szCs w:val="30"/>
          <w:highlight w:val="none"/>
        </w:rPr>
      </w:pPr>
      <w:r>
        <w:rPr>
          <w:rFonts w:hint="eastAsia"/>
          <w:b/>
          <w:sz w:val="30"/>
          <w:szCs w:val="30"/>
          <w:highlight w:val="none"/>
        </w:rPr>
        <w:t>（货物类项目，专门面向中小企业采购）</w:t>
      </w:r>
    </w:p>
    <w:p w14:paraId="3045EC0D">
      <w:pPr>
        <w:pStyle w:val="191"/>
        <w:spacing w:before="0" w:after="0"/>
        <w:ind w:firstLine="0"/>
        <w:rPr>
          <w:rFonts w:hint="eastAsia" w:ascii="Times New Roman" w:hAnsi="Times New Roman"/>
          <w:highlight w:val="none"/>
        </w:rPr>
      </w:pPr>
    </w:p>
    <w:p w14:paraId="6F04DE80">
      <w:pPr>
        <w:pStyle w:val="191"/>
        <w:spacing w:before="0" w:after="0"/>
        <w:ind w:firstLine="0"/>
        <w:rPr>
          <w:rFonts w:hint="eastAsia" w:ascii="Times New Roman" w:hAnsi="Times New Roman"/>
          <w:highlight w:val="none"/>
        </w:rPr>
      </w:pPr>
    </w:p>
    <w:p w14:paraId="353EA586">
      <w:pPr>
        <w:pStyle w:val="191"/>
        <w:spacing w:before="0" w:after="0"/>
        <w:ind w:firstLine="0"/>
        <w:rPr>
          <w:rFonts w:hint="eastAsia" w:ascii="Times New Roman" w:hAnsi="Times New Roman"/>
          <w:highlight w:val="none"/>
        </w:rPr>
      </w:pPr>
    </w:p>
    <w:p w14:paraId="0912752A">
      <w:pPr>
        <w:pStyle w:val="191"/>
        <w:spacing w:before="0" w:after="0"/>
        <w:ind w:firstLine="0"/>
        <w:rPr>
          <w:rFonts w:hint="eastAsia" w:ascii="Times New Roman" w:hAnsi="Times New Roman"/>
          <w:highlight w:val="none"/>
        </w:rPr>
      </w:pPr>
    </w:p>
    <w:p w14:paraId="18393AA4">
      <w:pPr>
        <w:pStyle w:val="191"/>
        <w:spacing w:before="0" w:after="0"/>
        <w:ind w:firstLine="0"/>
        <w:rPr>
          <w:rFonts w:hint="eastAsia" w:ascii="Times New Roman" w:hAnsi="Times New Roman"/>
          <w:highlight w:val="none"/>
        </w:rPr>
      </w:pPr>
    </w:p>
    <w:p w14:paraId="04D53694">
      <w:pPr>
        <w:pStyle w:val="191"/>
        <w:spacing w:before="0" w:after="0"/>
        <w:ind w:firstLine="0"/>
        <w:rPr>
          <w:rFonts w:hint="eastAsia" w:ascii="Times New Roman" w:hAnsi="Times New Roman"/>
          <w:highlight w:val="none"/>
        </w:rPr>
      </w:pPr>
    </w:p>
    <w:p w14:paraId="68F8350A">
      <w:pPr>
        <w:pStyle w:val="191"/>
        <w:spacing w:before="0" w:after="0"/>
        <w:ind w:firstLine="0"/>
        <w:rPr>
          <w:rFonts w:hint="eastAsia" w:ascii="Times New Roman" w:hAnsi="Times New Roman"/>
          <w:highlight w:val="none"/>
        </w:rPr>
      </w:pPr>
    </w:p>
    <w:p w14:paraId="7766F95E">
      <w:pPr>
        <w:pStyle w:val="191"/>
        <w:spacing w:before="0" w:after="0"/>
        <w:ind w:firstLine="0"/>
        <w:rPr>
          <w:rFonts w:hint="eastAsia" w:ascii="Times New Roman" w:hAnsi="Times New Roman"/>
          <w:highlight w:val="none"/>
        </w:rPr>
      </w:pPr>
    </w:p>
    <w:p w14:paraId="78A85352">
      <w:pPr>
        <w:pStyle w:val="191"/>
        <w:ind w:firstLine="1684" w:firstLineChars="526"/>
        <w:jc w:val="both"/>
        <w:rPr>
          <w:rFonts w:hint="eastAsia" w:ascii="Times New Roman" w:hAnsi="Times New Roman"/>
          <w:b/>
          <w:bCs/>
          <w:sz w:val="32"/>
          <w:highlight w:val="none"/>
          <w:u w:val="single"/>
        </w:rPr>
      </w:pPr>
      <w:r>
        <w:rPr>
          <w:rFonts w:hint="eastAsia" w:ascii="Times New Roman" w:hAnsi="Times New Roman"/>
          <w:b/>
          <w:bCs/>
          <w:sz w:val="32"/>
          <w:highlight w:val="none"/>
        </w:rPr>
        <w:t>采</w:t>
      </w:r>
      <w:r>
        <w:rPr>
          <w:rFonts w:hint="eastAsia" w:ascii="Times New Roman" w:hAnsi="Times New Roman"/>
          <w:b/>
          <w:bCs/>
          <w:sz w:val="32"/>
          <w:highlight w:val="none"/>
          <w:lang w:val="en-US" w:eastAsia="zh-CN"/>
        </w:rPr>
        <w:t xml:space="preserve">   </w:t>
      </w:r>
      <w:r>
        <w:rPr>
          <w:rFonts w:hint="eastAsia" w:ascii="Times New Roman" w:hAnsi="Times New Roman"/>
          <w:b/>
          <w:bCs/>
          <w:sz w:val="32"/>
          <w:highlight w:val="none"/>
        </w:rPr>
        <w:t>购</w:t>
      </w:r>
      <w:r>
        <w:rPr>
          <w:rFonts w:hint="eastAsia" w:ascii="Times New Roman" w:hAnsi="Times New Roman"/>
          <w:b/>
          <w:bCs/>
          <w:sz w:val="32"/>
          <w:highlight w:val="none"/>
          <w:lang w:val="en-US" w:eastAsia="zh-CN"/>
        </w:rPr>
        <w:t xml:space="preserve">  </w:t>
      </w:r>
      <w:r>
        <w:rPr>
          <w:rFonts w:hint="eastAsia" w:ascii="Times New Roman" w:hAnsi="Times New Roman"/>
          <w:b/>
          <w:bCs/>
          <w:sz w:val="32"/>
          <w:highlight w:val="none"/>
        </w:rPr>
        <w:t>人：</w:t>
      </w:r>
      <w:r>
        <w:rPr>
          <w:rFonts w:hint="eastAsia" w:ascii="Times New Roman" w:hAnsi="Times New Roman"/>
          <w:b/>
          <w:bCs/>
          <w:sz w:val="32"/>
          <w:highlight w:val="none"/>
          <w:u w:val="single"/>
        </w:rPr>
        <w:t xml:space="preserve">    宿迁市计量测试所       </w:t>
      </w:r>
    </w:p>
    <w:p w14:paraId="0B60AF5E">
      <w:pPr>
        <w:pStyle w:val="191"/>
        <w:ind w:firstLine="1601" w:firstLineChars="500"/>
        <w:jc w:val="both"/>
        <w:rPr>
          <w:rFonts w:hint="eastAsia" w:ascii="Times New Roman" w:hAnsi="Times New Roman"/>
          <w:b/>
          <w:bCs/>
          <w:sz w:val="32"/>
          <w:highlight w:val="none"/>
          <w:u w:val="single"/>
        </w:rPr>
      </w:pPr>
      <w:r>
        <w:rPr>
          <w:rFonts w:hint="eastAsia" w:ascii="Times New Roman" w:hAnsi="Times New Roman"/>
          <w:b/>
          <w:bCs/>
          <w:sz w:val="32"/>
          <w:highlight w:val="none"/>
        </w:rPr>
        <w:t>采购代理机构：</w:t>
      </w:r>
      <w:r>
        <w:rPr>
          <w:rFonts w:hint="eastAsia" w:ascii="Times New Roman" w:hAnsi="Times New Roman"/>
          <w:b/>
          <w:bCs/>
          <w:sz w:val="32"/>
          <w:highlight w:val="none"/>
          <w:u w:val="single"/>
        </w:rPr>
        <w:t>江苏宏邦工程管理咨询有限公司</w:t>
      </w:r>
    </w:p>
    <w:p w14:paraId="4CD389BD">
      <w:pPr>
        <w:pStyle w:val="191"/>
        <w:ind w:firstLine="1684" w:firstLineChars="526"/>
        <w:jc w:val="both"/>
        <w:rPr>
          <w:rFonts w:hint="eastAsia" w:ascii="Times New Roman" w:hAnsi="Times New Roman"/>
          <w:b/>
          <w:bCs/>
          <w:sz w:val="32"/>
          <w:highlight w:val="none"/>
        </w:rPr>
      </w:pPr>
      <w:r>
        <w:rPr>
          <w:rFonts w:hint="eastAsia" w:ascii="Times New Roman" w:hAnsi="Times New Roman"/>
          <w:b/>
          <w:bCs/>
          <w:sz w:val="32"/>
          <w:highlight w:val="none"/>
          <w:lang w:eastAsia="zh-CN"/>
        </w:rPr>
        <w:t>日</w:t>
      </w:r>
      <w:r>
        <w:rPr>
          <w:rFonts w:hint="eastAsia" w:ascii="Times New Roman" w:hAnsi="Times New Roman"/>
          <w:b/>
          <w:bCs/>
          <w:sz w:val="32"/>
          <w:highlight w:val="none"/>
          <w:lang w:val="en-US" w:eastAsia="zh-CN"/>
        </w:rPr>
        <w:t xml:space="preserve">        </w:t>
      </w:r>
      <w:r>
        <w:rPr>
          <w:rFonts w:hint="eastAsia" w:ascii="Times New Roman" w:hAnsi="Times New Roman"/>
          <w:b/>
          <w:bCs/>
          <w:sz w:val="32"/>
          <w:highlight w:val="none"/>
          <w:lang w:eastAsia="zh-CN"/>
        </w:rPr>
        <w:t>期：</w:t>
      </w:r>
      <w:r>
        <w:rPr>
          <w:rFonts w:hint="eastAsia" w:ascii="Times New Roman" w:hAnsi="Times New Roman"/>
          <w:b/>
          <w:bCs/>
          <w:sz w:val="32"/>
          <w:highlight w:val="none"/>
        </w:rPr>
        <w:t>2</w:t>
      </w:r>
      <w:r>
        <w:rPr>
          <w:rFonts w:ascii="Times New Roman" w:hAnsi="Times New Roman"/>
          <w:b/>
          <w:bCs/>
          <w:sz w:val="32"/>
          <w:highlight w:val="none"/>
        </w:rPr>
        <w:t>02</w:t>
      </w:r>
      <w:r>
        <w:rPr>
          <w:rFonts w:hint="eastAsia" w:ascii="Times New Roman" w:hAnsi="Times New Roman"/>
          <w:b/>
          <w:bCs/>
          <w:sz w:val="32"/>
          <w:highlight w:val="none"/>
          <w:lang w:val="en-US" w:eastAsia="zh-CN"/>
        </w:rPr>
        <w:t>6</w:t>
      </w:r>
      <w:r>
        <w:rPr>
          <w:rFonts w:hint="eastAsia" w:ascii="Times New Roman" w:hAnsi="Times New Roman"/>
          <w:b/>
          <w:bCs/>
          <w:sz w:val="32"/>
          <w:highlight w:val="none"/>
        </w:rPr>
        <w:t>年</w:t>
      </w:r>
      <w:r>
        <w:rPr>
          <w:rFonts w:hint="eastAsia" w:ascii="Times New Roman" w:hAnsi="Times New Roman" w:eastAsia="宋体"/>
          <w:b/>
          <w:bCs/>
          <w:sz w:val="32"/>
          <w:highlight w:val="none"/>
          <w:lang w:val="en-US" w:eastAsia="zh-CN"/>
        </w:rPr>
        <w:t>10</w:t>
      </w:r>
      <w:r>
        <w:rPr>
          <w:rFonts w:hint="eastAsia" w:ascii="Times New Roman" w:hAnsi="Times New Roman"/>
          <w:b/>
          <w:bCs/>
          <w:sz w:val="32"/>
          <w:highlight w:val="none"/>
        </w:rPr>
        <w:t>月</w:t>
      </w:r>
      <w:r>
        <w:rPr>
          <w:rFonts w:hint="eastAsia" w:ascii="Times New Roman" w:hAnsi="Times New Roman" w:eastAsia="宋体"/>
          <w:b/>
          <w:bCs/>
          <w:sz w:val="32"/>
          <w:highlight w:val="none"/>
          <w:lang w:val="en-US" w:eastAsia="zh-CN"/>
        </w:rPr>
        <w:t xml:space="preserve">27 </w:t>
      </w:r>
      <w:r>
        <w:rPr>
          <w:rFonts w:hint="eastAsia" w:ascii="Times New Roman" w:hAnsi="Times New Roman"/>
          <w:b/>
          <w:bCs/>
          <w:sz w:val="32"/>
          <w:highlight w:val="none"/>
        </w:rPr>
        <w:t>日</w:t>
      </w:r>
    </w:p>
    <w:p w14:paraId="4E05D8B6">
      <w:pPr>
        <w:spacing w:before="120" w:after="120" w:line="360" w:lineRule="auto"/>
        <w:jc w:val="center"/>
        <w:rPr>
          <w:rFonts w:ascii="宋体" w:hAnsi="宋体" w:eastAsia="宋体" w:cs="宋体"/>
          <w:b/>
          <w:bCs/>
          <w:color w:val="000000" w:themeColor="text1"/>
          <w:sz w:val="32"/>
          <w:highlight w:val="none"/>
          <w14:textFill>
            <w14:solidFill>
              <w14:schemeClr w14:val="tx1"/>
            </w14:solidFill>
          </w14:textFill>
        </w:rPr>
      </w:pPr>
    </w:p>
    <w:p w14:paraId="224F9624">
      <w:pPr>
        <w:spacing w:line="360" w:lineRule="auto"/>
        <w:jc w:val="center"/>
        <w:rPr>
          <w:rFonts w:ascii="宋体" w:hAnsi="宋体" w:eastAsia="宋体" w:cs="宋体"/>
          <w:b/>
          <w:color w:val="000000" w:themeColor="text1"/>
          <w:sz w:val="28"/>
          <w:szCs w:val="21"/>
          <w:highlight w:val="none"/>
          <w14:textFill>
            <w14:solidFill>
              <w14:schemeClr w14:val="tx1"/>
            </w14:solidFill>
          </w14:textFill>
        </w:rPr>
      </w:pPr>
      <w:bookmarkStart w:id="0" w:name="_Toc120614210"/>
      <w:bookmarkStart w:id="1" w:name="_Toc513029200"/>
      <w:bookmarkStart w:id="2" w:name="_Toc523127445"/>
      <w:bookmarkStart w:id="3" w:name="_Toc20823272"/>
      <w:bookmarkStart w:id="4" w:name="_Toc479757206"/>
      <w:bookmarkStart w:id="5" w:name="_Toc16938516"/>
      <w:r>
        <w:rPr>
          <w:rFonts w:hint="eastAsia" w:ascii="宋体" w:hAnsi="宋体" w:eastAsia="宋体" w:cs="宋体"/>
          <w:b/>
          <w:color w:val="000000" w:themeColor="text1"/>
          <w:sz w:val="44"/>
          <w:szCs w:val="21"/>
          <w:highlight w:val="none"/>
          <w14:textFill>
            <w14:solidFill>
              <w14:schemeClr w14:val="tx1"/>
            </w14:solidFill>
          </w14:textFill>
        </w:rPr>
        <w:t>总  目  录</w:t>
      </w:r>
    </w:p>
    <w:p w14:paraId="493BF778">
      <w:pPr>
        <w:pStyle w:val="22"/>
        <w:keepNext w:val="0"/>
        <w:keepLines w:val="0"/>
        <w:pageBreakBefore w:val="0"/>
        <w:widowControl w:val="0"/>
        <w:tabs>
          <w:tab w:val="right" w:leader="dot" w:pos="8953"/>
        </w:tabs>
        <w:kinsoku/>
        <w:wordWrap/>
        <w:overflowPunct/>
        <w:topLinePunct w:val="0"/>
        <w:autoSpaceDE/>
        <w:autoSpaceDN/>
        <w:bidi w:val="0"/>
        <w:adjustRightInd/>
        <w:snapToGrid/>
        <w:spacing w:line="720" w:lineRule="auto"/>
        <w:textAlignment w:val="auto"/>
        <w:rPr>
          <w:sz w:val="28"/>
          <w:szCs w:val="36"/>
          <w:highlight w:val="none"/>
        </w:rPr>
      </w:pPr>
      <w:r>
        <w:rPr>
          <w:rFonts w:hint="eastAsia" w:ascii="宋体" w:hAnsi="宋体" w:eastAsia="宋体" w:cs="宋体"/>
          <w:b/>
          <w:bCs/>
          <w:caps/>
          <w:color w:val="000000" w:themeColor="text1"/>
          <w:sz w:val="36"/>
          <w:szCs w:val="36"/>
          <w:highlight w:val="none"/>
          <w14:textFill>
            <w14:solidFill>
              <w14:schemeClr w14:val="tx1"/>
            </w14:solidFill>
          </w14:textFill>
        </w:rPr>
        <w:fldChar w:fldCharType="begin"/>
      </w:r>
      <w:r>
        <w:rPr>
          <w:rFonts w:hint="eastAsia" w:ascii="宋体" w:hAnsi="宋体" w:eastAsia="宋体" w:cs="宋体"/>
          <w:b/>
          <w:bCs/>
          <w:caps/>
          <w:color w:val="000000" w:themeColor="text1"/>
          <w:sz w:val="36"/>
          <w:szCs w:val="36"/>
          <w:highlight w:val="none"/>
          <w14:textFill>
            <w14:solidFill>
              <w14:schemeClr w14:val="tx1"/>
            </w14:solidFill>
          </w14:textFill>
        </w:rPr>
        <w:instrText xml:space="preserve">TOC \o "1-1" \h \u </w:instrText>
      </w:r>
      <w:r>
        <w:rPr>
          <w:rFonts w:hint="eastAsia" w:ascii="宋体" w:hAnsi="宋体" w:eastAsia="宋体" w:cs="宋体"/>
          <w:b/>
          <w:bCs/>
          <w:caps/>
          <w:color w:val="000000" w:themeColor="text1"/>
          <w:sz w:val="36"/>
          <w:szCs w:val="36"/>
          <w:highlight w:val="none"/>
          <w14:textFill>
            <w14:solidFill>
              <w14:schemeClr w14:val="tx1"/>
            </w14:solidFill>
          </w14:textFill>
        </w:rPr>
        <w:fldChar w:fldCharType="separate"/>
      </w:r>
      <w:r>
        <w:rPr>
          <w:rFonts w:hint="eastAsia" w:ascii="宋体" w:hAnsi="宋体" w:eastAsia="宋体" w:cs="宋体"/>
          <w:bCs/>
          <w:caps/>
          <w:color w:val="000000" w:themeColor="text1"/>
          <w:sz w:val="28"/>
          <w:szCs w:val="48"/>
          <w:highlight w:val="none"/>
          <w14:textFill>
            <w14:solidFill>
              <w14:schemeClr w14:val="tx1"/>
            </w14:solidFill>
          </w14:textFill>
        </w:rPr>
        <w:fldChar w:fldCharType="begin"/>
      </w:r>
      <w:r>
        <w:rPr>
          <w:rFonts w:hint="eastAsia" w:ascii="宋体" w:hAnsi="宋体" w:eastAsia="宋体" w:cs="宋体"/>
          <w:bCs/>
          <w:caps/>
          <w:sz w:val="28"/>
          <w:szCs w:val="48"/>
          <w:highlight w:val="none"/>
        </w:rPr>
        <w:instrText xml:space="preserve"> HYPERLINK \l _Toc4339 </w:instrText>
      </w:r>
      <w:r>
        <w:rPr>
          <w:rFonts w:hint="eastAsia" w:ascii="宋体" w:hAnsi="宋体" w:eastAsia="宋体" w:cs="宋体"/>
          <w:bCs/>
          <w:caps/>
          <w:sz w:val="28"/>
          <w:szCs w:val="48"/>
          <w:highlight w:val="none"/>
        </w:rPr>
        <w:fldChar w:fldCharType="separate"/>
      </w:r>
      <w:r>
        <w:rPr>
          <w:rFonts w:hint="eastAsia" w:ascii="宋体" w:hAnsi="宋体" w:eastAsia="宋体" w:cs="宋体"/>
          <w:bCs/>
          <w:sz w:val="28"/>
          <w:szCs w:val="56"/>
          <w:highlight w:val="none"/>
        </w:rPr>
        <w:t>第一章 投标邀请</w:t>
      </w:r>
      <w:r>
        <w:rPr>
          <w:sz w:val="28"/>
          <w:szCs w:val="36"/>
          <w:highlight w:val="none"/>
        </w:rPr>
        <w:tab/>
      </w:r>
      <w:r>
        <w:rPr>
          <w:sz w:val="28"/>
          <w:szCs w:val="36"/>
          <w:highlight w:val="none"/>
        </w:rPr>
        <w:fldChar w:fldCharType="begin"/>
      </w:r>
      <w:r>
        <w:rPr>
          <w:sz w:val="28"/>
          <w:szCs w:val="36"/>
          <w:highlight w:val="none"/>
        </w:rPr>
        <w:instrText xml:space="preserve"> PAGEREF _Toc4339 \h </w:instrText>
      </w:r>
      <w:r>
        <w:rPr>
          <w:sz w:val="28"/>
          <w:szCs w:val="36"/>
          <w:highlight w:val="none"/>
        </w:rPr>
        <w:fldChar w:fldCharType="separate"/>
      </w:r>
      <w:r>
        <w:rPr>
          <w:sz w:val="28"/>
          <w:szCs w:val="36"/>
          <w:highlight w:val="none"/>
        </w:rPr>
        <w:t>2</w:t>
      </w:r>
      <w:r>
        <w:rPr>
          <w:sz w:val="28"/>
          <w:szCs w:val="36"/>
          <w:highlight w:val="none"/>
        </w:rPr>
        <w:fldChar w:fldCharType="end"/>
      </w:r>
      <w:r>
        <w:rPr>
          <w:rFonts w:hint="eastAsia" w:ascii="宋体" w:hAnsi="宋体" w:eastAsia="宋体" w:cs="宋体"/>
          <w:bCs/>
          <w:caps/>
          <w:color w:val="000000" w:themeColor="text1"/>
          <w:sz w:val="28"/>
          <w:szCs w:val="48"/>
          <w:highlight w:val="none"/>
          <w14:textFill>
            <w14:solidFill>
              <w14:schemeClr w14:val="tx1"/>
            </w14:solidFill>
          </w14:textFill>
        </w:rPr>
        <w:fldChar w:fldCharType="end"/>
      </w:r>
    </w:p>
    <w:p w14:paraId="25E0EB9C">
      <w:pPr>
        <w:pStyle w:val="22"/>
        <w:keepNext w:val="0"/>
        <w:keepLines w:val="0"/>
        <w:pageBreakBefore w:val="0"/>
        <w:widowControl w:val="0"/>
        <w:tabs>
          <w:tab w:val="right" w:leader="dot" w:pos="8953"/>
        </w:tabs>
        <w:kinsoku/>
        <w:wordWrap/>
        <w:overflowPunct/>
        <w:topLinePunct w:val="0"/>
        <w:autoSpaceDE/>
        <w:autoSpaceDN/>
        <w:bidi w:val="0"/>
        <w:adjustRightInd/>
        <w:snapToGrid/>
        <w:spacing w:line="720" w:lineRule="auto"/>
        <w:textAlignment w:val="auto"/>
        <w:rPr>
          <w:sz w:val="28"/>
          <w:szCs w:val="36"/>
          <w:highlight w:val="none"/>
        </w:rPr>
      </w:pPr>
      <w:r>
        <w:rPr>
          <w:rFonts w:hint="eastAsia" w:ascii="宋体" w:hAnsi="宋体" w:eastAsia="宋体" w:cs="宋体"/>
          <w:bCs/>
          <w:color w:val="000000" w:themeColor="text1"/>
          <w:sz w:val="28"/>
          <w:szCs w:val="48"/>
          <w:highlight w:val="none"/>
          <w14:textFill>
            <w14:solidFill>
              <w14:schemeClr w14:val="tx1"/>
            </w14:solidFill>
          </w14:textFill>
        </w:rPr>
        <w:fldChar w:fldCharType="begin"/>
      </w:r>
      <w:r>
        <w:rPr>
          <w:rFonts w:hint="eastAsia" w:ascii="宋体" w:hAnsi="宋体" w:eastAsia="宋体" w:cs="宋体"/>
          <w:bCs/>
          <w:sz w:val="28"/>
          <w:szCs w:val="48"/>
          <w:highlight w:val="none"/>
        </w:rPr>
        <w:instrText xml:space="preserve"> HYPERLINK \l _Toc28130 </w:instrText>
      </w:r>
      <w:r>
        <w:rPr>
          <w:rFonts w:hint="eastAsia" w:ascii="宋体" w:hAnsi="宋体" w:eastAsia="宋体" w:cs="宋体"/>
          <w:bCs/>
          <w:sz w:val="28"/>
          <w:szCs w:val="48"/>
          <w:highlight w:val="none"/>
        </w:rPr>
        <w:fldChar w:fldCharType="separate"/>
      </w:r>
      <w:r>
        <w:rPr>
          <w:rFonts w:hint="eastAsia" w:ascii="宋体" w:hAnsi="宋体" w:eastAsia="宋体" w:cs="宋体"/>
          <w:bCs/>
          <w:sz w:val="28"/>
          <w:szCs w:val="56"/>
          <w:highlight w:val="none"/>
        </w:rPr>
        <w:t>第二章 投标人须知</w:t>
      </w:r>
      <w:r>
        <w:rPr>
          <w:sz w:val="28"/>
          <w:szCs w:val="36"/>
          <w:highlight w:val="none"/>
        </w:rPr>
        <w:tab/>
      </w:r>
      <w:r>
        <w:rPr>
          <w:sz w:val="28"/>
          <w:szCs w:val="36"/>
          <w:highlight w:val="none"/>
        </w:rPr>
        <w:fldChar w:fldCharType="begin"/>
      </w:r>
      <w:r>
        <w:rPr>
          <w:sz w:val="28"/>
          <w:szCs w:val="36"/>
          <w:highlight w:val="none"/>
        </w:rPr>
        <w:instrText xml:space="preserve"> PAGEREF _Toc28130 \h </w:instrText>
      </w:r>
      <w:r>
        <w:rPr>
          <w:sz w:val="28"/>
          <w:szCs w:val="36"/>
          <w:highlight w:val="none"/>
        </w:rPr>
        <w:fldChar w:fldCharType="separate"/>
      </w:r>
      <w:r>
        <w:rPr>
          <w:sz w:val="28"/>
          <w:szCs w:val="36"/>
          <w:highlight w:val="none"/>
        </w:rPr>
        <w:t>5</w:t>
      </w:r>
      <w:r>
        <w:rPr>
          <w:sz w:val="28"/>
          <w:szCs w:val="36"/>
          <w:highlight w:val="none"/>
        </w:rPr>
        <w:fldChar w:fldCharType="end"/>
      </w:r>
      <w:r>
        <w:rPr>
          <w:rFonts w:hint="eastAsia" w:ascii="宋体" w:hAnsi="宋体" w:eastAsia="宋体" w:cs="宋体"/>
          <w:bCs/>
          <w:color w:val="000000" w:themeColor="text1"/>
          <w:sz w:val="28"/>
          <w:szCs w:val="48"/>
          <w:highlight w:val="none"/>
          <w14:textFill>
            <w14:solidFill>
              <w14:schemeClr w14:val="tx1"/>
            </w14:solidFill>
          </w14:textFill>
        </w:rPr>
        <w:fldChar w:fldCharType="end"/>
      </w:r>
    </w:p>
    <w:p w14:paraId="7188D802">
      <w:pPr>
        <w:pStyle w:val="22"/>
        <w:keepNext w:val="0"/>
        <w:keepLines w:val="0"/>
        <w:pageBreakBefore w:val="0"/>
        <w:widowControl w:val="0"/>
        <w:tabs>
          <w:tab w:val="right" w:leader="dot" w:pos="8953"/>
        </w:tabs>
        <w:kinsoku/>
        <w:wordWrap/>
        <w:overflowPunct/>
        <w:topLinePunct w:val="0"/>
        <w:autoSpaceDE/>
        <w:autoSpaceDN/>
        <w:bidi w:val="0"/>
        <w:adjustRightInd/>
        <w:snapToGrid/>
        <w:spacing w:line="720" w:lineRule="auto"/>
        <w:textAlignment w:val="auto"/>
        <w:rPr>
          <w:sz w:val="28"/>
          <w:szCs w:val="36"/>
          <w:highlight w:val="none"/>
        </w:rPr>
      </w:pPr>
      <w:r>
        <w:rPr>
          <w:rFonts w:hint="eastAsia" w:ascii="宋体" w:hAnsi="宋体" w:eastAsia="宋体" w:cs="宋体"/>
          <w:bCs/>
          <w:color w:val="000000" w:themeColor="text1"/>
          <w:sz w:val="28"/>
          <w:szCs w:val="48"/>
          <w:highlight w:val="none"/>
          <w14:textFill>
            <w14:solidFill>
              <w14:schemeClr w14:val="tx1"/>
            </w14:solidFill>
          </w14:textFill>
        </w:rPr>
        <w:fldChar w:fldCharType="begin"/>
      </w:r>
      <w:r>
        <w:rPr>
          <w:rFonts w:hint="eastAsia" w:ascii="宋体" w:hAnsi="宋体" w:eastAsia="宋体" w:cs="宋体"/>
          <w:bCs/>
          <w:sz w:val="28"/>
          <w:szCs w:val="48"/>
          <w:highlight w:val="none"/>
        </w:rPr>
        <w:instrText xml:space="preserve"> HYPERLINK \l _Toc27293 </w:instrText>
      </w:r>
      <w:r>
        <w:rPr>
          <w:rFonts w:hint="eastAsia" w:ascii="宋体" w:hAnsi="宋体" w:eastAsia="宋体" w:cs="宋体"/>
          <w:bCs/>
          <w:sz w:val="28"/>
          <w:szCs w:val="48"/>
          <w:highlight w:val="none"/>
        </w:rPr>
        <w:fldChar w:fldCharType="separate"/>
      </w:r>
      <w:r>
        <w:rPr>
          <w:rFonts w:hint="eastAsia" w:ascii="宋体" w:hAnsi="宋体" w:eastAsia="宋体" w:cs="宋体"/>
          <w:sz w:val="28"/>
          <w:szCs w:val="40"/>
          <w:highlight w:val="none"/>
        </w:rPr>
        <w:t>第三章 合同文本</w:t>
      </w:r>
      <w:r>
        <w:rPr>
          <w:sz w:val="28"/>
          <w:szCs w:val="36"/>
          <w:highlight w:val="none"/>
        </w:rPr>
        <w:tab/>
      </w:r>
      <w:r>
        <w:rPr>
          <w:sz w:val="28"/>
          <w:szCs w:val="36"/>
          <w:highlight w:val="none"/>
        </w:rPr>
        <w:fldChar w:fldCharType="begin"/>
      </w:r>
      <w:r>
        <w:rPr>
          <w:sz w:val="28"/>
          <w:szCs w:val="36"/>
          <w:highlight w:val="none"/>
        </w:rPr>
        <w:instrText xml:space="preserve"> PAGEREF _Toc27293 \h </w:instrText>
      </w:r>
      <w:r>
        <w:rPr>
          <w:sz w:val="28"/>
          <w:szCs w:val="36"/>
          <w:highlight w:val="none"/>
        </w:rPr>
        <w:fldChar w:fldCharType="separate"/>
      </w:r>
      <w:r>
        <w:rPr>
          <w:sz w:val="28"/>
          <w:szCs w:val="36"/>
          <w:highlight w:val="none"/>
        </w:rPr>
        <w:t>23</w:t>
      </w:r>
      <w:r>
        <w:rPr>
          <w:sz w:val="28"/>
          <w:szCs w:val="36"/>
          <w:highlight w:val="none"/>
        </w:rPr>
        <w:fldChar w:fldCharType="end"/>
      </w:r>
      <w:r>
        <w:rPr>
          <w:rFonts w:hint="eastAsia" w:ascii="宋体" w:hAnsi="宋体" w:eastAsia="宋体" w:cs="宋体"/>
          <w:bCs/>
          <w:color w:val="000000" w:themeColor="text1"/>
          <w:sz w:val="28"/>
          <w:szCs w:val="48"/>
          <w:highlight w:val="none"/>
          <w14:textFill>
            <w14:solidFill>
              <w14:schemeClr w14:val="tx1"/>
            </w14:solidFill>
          </w14:textFill>
        </w:rPr>
        <w:fldChar w:fldCharType="end"/>
      </w:r>
    </w:p>
    <w:p w14:paraId="2055D7D6">
      <w:pPr>
        <w:pStyle w:val="22"/>
        <w:keepNext w:val="0"/>
        <w:keepLines w:val="0"/>
        <w:pageBreakBefore w:val="0"/>
        <w:widowControl w:val="0"/>
        <w:tabs>
          <w:tab w:val="right" w:leader="dot" w:pos="8953"/>
        </w:tabs>
        <w:kinsoku/>
        <w:wordWrap/>
        <w:overflowPunct/>
        <w:topLinePunct w:val="0"/>
        <w:autoSpaceDE/>
        <w:autoSpaceDN/>
        <w:bidi w:val="0"/>
        <w:adjustRightInd/>
        <w:snapToGrid/>
        <w:spacing w:line="720" w:lineRule="auto"/>
        <w:textAlignment w:val="auto"/>
        <w:rPr>
          <w:sz w:val="28"/>
          <w:szCs w:val="36"/>
          <w:highlight w:val="none"/>
        </w:rPr>
      </w:pPr>
      <w:r>
        <w:rPr>
          <w:rFonts w:hint="eastAsia" w:ascii="宋体" w:hAnsi="宋体" w:eastAsia="宋体" w:cs="宋体"/>
          <w:bCs/>
          <w:color w:val="000000" w:themeColor="text1"/>
          <w:sz w:val="28"/>
          <w:szCs w:val="48"/>
          <w:highlight w:val="none"/>
          <w14:textFill>
            <w14:solidFill>
              <w14:schemeClr w14:val="tx1"/>
            </w14:solidFill>
          </w14:textFill>
        </w:rPr>
        <w:fldChar w:fldCharType="begin"/>
      </w:r>
      <w:r>
        <w:rPr>
          <w:rFonts w:hint="eastAsia" w:ascii="宋体" w:hAnsi="宋体" w:eastAsia="宋体" w:cs="宋体"/>
          <w:bCs/>
          <w:sz w:val="28"/>
          <w:szCs w:val="48"/>
          <w:highlight w:val="none"/>
        </w:rPr>
        <w:instrText xml:space="preserve"> HYPERLINK \l _Toc1604 </w:instrText>
      </w:r>
      <w:r>
        <w:rPr>
          <w:rFonts w:hint="eastAsia" w:ascii="宋体" w:hAnsi="宋体" w:eastAsia="宋体" w:cs="宋体"/>
          <w:bCs/>
          <w:sz w:val="28"/>
          <w:szCs w:val="48"/>
          <w:highlight w:val="none"/>
        </w:rPr>
        <w:fldChar w:fldCharType="separate"/>
      </w:r>
      <w:r>
        <w:rPr>
          <w:rFonts w:hint="eastAsia" w:ascii="宋体" w:hAnsi="宋体" w:eastAsia="宋体" w:cs="宋体"/>
          <w:sz w:val="28"/>
          <w:szCs w:val="40"/>
          <w:highlight w:val="none"/>
        </w:rPr>
        <w:t>第四章 采购需求</w:t>
      </w:r>
      <w:r>
        <w:rPr>
          <w:sz w:val="28"/>
          <w:szCs w:val="36"/>
          <w:highlight w:val="none"/>
        </w:rPr>
        <w:tab/>
      </w:r>
      <w:r>
        <w:rPr>
          <w:sz w:val="28"/>
          <w:szCs w:val="36"/>
          <w:highlight w:val="none"/>
        </w:rPr>
        <w:fldChar w:fldCharType="begin"/>
      </w:r>
      <w:r>
        <w:rPr>
          <w:sz w:val="28"/>
          <w:szCs w:val="36"/>
          <w:highlight w:val="none"/>
        </w:rPr>
        <w:instrText xml:space="preserve"> PAGEREF _Toc1604 \h </w:instrText>
      </w:r>
      <w:r>
        <w:rPr>
          <w:sz w:val="28"/>
          <w:szCs w:val="36"/>
          <w:highlight w:val="none"/>
        </w:rPr>
        <w:fldChar w:fldCharType="separate"/>
      </w:r>
      <w:r>
        <w:rPr>
          <w:sz w:val="28"/>
          <w:szCs w:val="36"/>
          <w:highlight w:val="none"/>
        </w:rPr>
        <w:t>32</w:t>
      </w:r>
      <w:r>
        <w:rPr>
          <w:sz w:val="28"/>
          <w:szCs w:val="36"/>
          <w:highlight w:val="none"/>
        </w:rPr>
        <w:fldChar w:fldCharType="end"/>
      </w:r>
      <w:r>
        <w:rPr>
          <w:rFonts w:hint="eastAsia" w:ascii="宋体" w:hAnsi="宋体" w:eastAsia="宋体" w:cs="宋体"/>
          <w:bCs/>
          <w:color w:val="000000" w:themeColor="text1"/>
          <w:sz w:val="28"/>
          <w:szCs w:val="48"/>
          <w:highlight w:val="none"/>
          <w14:textFill>
            <w14:solidFill>
              <w14:schemeClr w14:val="tx1"/>
            </w14:solidFill>
          </w14:textFill>
        </w:rPr>
        <w:fldChar w:fldCharType="end"/>
      </w:r>
    </w:p>
    <w:p w14:paraId="16EBCFAB">
      <w:pPr>
        <w:pStyle w:val="22"/>
        <w:keepNext w:val="0"/>
        <w:keepLines w:val="0"/>
        <w:pageBreakBefore w:val="0"/>
        <w:widowControl w:val="0"/>
        <w:tabs>
          <w:tab w:val="right" w:leader="dot" w:pos="8953"/>
        </w:tabs>
        <w:kinsoku/>
        <w:wordWrap/>
        <w:overflowPunct/>
        <w:topLinePunct w:val="0"/>
        <w:autoSpaceDE/>
        <w:autoSpaceDN/>
        <w:bidi w:val="0"/>
        <w:adjustRightInd/>
        <w:snapToGrid/>
        <w:spacing w:line="720" w:lineRule="auto"/>
        <w:textAlignment w:val="auto"/>
        <w:rPr>
          <w:sz w:val="28"/>
          <w:szCs w:val="36"/>
          <w:highlight w:val="none"/>
        </w:rPr>
      </w:pPr>
      <w:r>
        <w:rPr>
          <w:rFonts w:hint="eastAsia" w:ascii="宋体" w:hAnsi="宋体" w:eastAsia="宋体" w:cs="宋体"/>
          <w:bCs/>
          <w:color w:val="000000" w:themeColor="text1"/>
          <w:sz w:val="28"/>
          <w:szCs w:val="48"/>
          <w:highlight w:val="none"/>
          <w14:textFill>
            <w14:solidFill>
              <w14:schemeClr w14:val="tx1"/>
            </w14:solidFill>
          </w14:textFill>
        </w:rPr>
        <w:fldChar w:fldCharType="begin"/>
      </w:r>
      <w:r>
        <w:rPr>
          <w:rFonts w:hint="eastAsia" w:ascii="宋体" w:hAnsi="宋体" w:eastAsia="宋体" w:cs="宋体"/>
          <w:bCs/>
          <w:sz w:val="28"/>
          <w:szCs w:val="48"/>
          <w:highlight w:val="none"/>
        </w:rPr>
        <w:instrText xml:space="preserve"> HYPERLINK \l _Toc22651 </w:instrText>
      </w:r>
      <w:r>
        <w:rPr>
          <w:rFonts w:hint="eastAsia" w:ascii="宋体" w:hAnsi="宋体" w:eastAsia="宋体" w:cs="宋体"/>
          <w:bCs/>
          <w:sz w:val="28"/>
          <w:szCs w:val="48"/>
          <w:highlight w:val="none"/>
        </w:rPr>
        <w:fldChar w:fldCharType="separate"/>
      </w:r>
      <w:r>
        <w:rPr>
          <w:rFonts w:hint="eastAsia" w:ascii="宋体" w:hAnsi="宋体" w:eastAsia="宋体" w:cs="宋体"/>
          <w:sz w:val="28"/>
          <w:szCs w:val="40"/>
          <w:highlight w:val="none"/>
        </w:rPr>
        <w:t>第五章 评标方法与评标标准</w:t>
      </w:r>
      <w:r>
        <w:rPr>
          <w:sz w:val="28"/>
          <w:szCs w:val="36"/>
          <w:highlight w:val="none"/>
        </w:rPr>
        <w:tab/>
      </w:r>
      <w:r>
        <w:rPr>
          <w:sz w:val="28"/>
          <w:szCs w:val="36"/>
          <w:highlight w:val="none"/>
        </w:rPr>
        <w:fldChar w:fldCharType="begin"/>
      </w:r>
      <w:r>
        <w:rPr>
          <w:sz w:val="28"/>
          <w:szCs w:val="36"/>
          <w:highlight w:val="none"/>
        </w:rPr>
        <w:instrText xml:space="preserve"> PAGEREF _Toc22651 \h </w:instrText>
      </w:r>
      <w:r>
        <w:rPr>
          <w:sz w:val="28"/>
          <w:szCs w:val="36"/>
          <w:highlight w:val="none"/>
        </w:rPr>
        <w:fldChar w:fldCharType="separate"/>
      </w:r>
      <w:r>
        <w:rPr>
          <w:sz w:val="28"/>
          <w:szCs w:val="36"/>
          <w:highlight w:val="none"/>
        </w:rPr>
        <w:t>40</w:t>
      </w:r>
      <w:r>
        <w:rPr>
          <w:sz w:val="28"/>
          <w:szCs w:val="36"/>
          <w:highlight w:val="none"/>
        </w:rPr>
        <w:fldChar w:fldCharType="end"/>
      </w:r>
      <w:r>
        <w:rPr>
          <w:rFonts w:hint="eastAsia" w:ascii="宋体" w:hAnsi="宋体" w:eastAsia="宋体" w:cs="宋体"/>
          <w:bCs/>
          <w:color w:val="000000" w:themeColor="text1"/>
          <w:sz w:val="28"/>
          <w:szCs w:val="48"/>
          <w:highlight w:val="none"/>
          <w14:textFill>
            <w14:solidFill>
              <w14:schemeClr w14:val="tx1"/>
            </w14:solidFill>
          </w14:textFill>
        </w:rPr>
        <w:fldChar w:fldCharType="end"/>
      </w:r>
    </w:p>
    <w:p w14:paraId="58822520">
      <w:pPr>
        <w:pStyle w:val="22"/>
        <w:keepNext w:val="0"/>
        <w:keepLines w:val="0"/>
        <w:pageBreakBefore w:val="0"/>
        <w:widowControl w:val="0"/>
        <w:tabs>
          <w:tab w:val="right" w:leader="dot" w:pos="8953"/>
        </w:tabs>
        <w:kinsoku/>
        <w:wordWrap/>
        <w:overflowPunct/>
        <w:topLinePunct w:val="0"/>
        <w:autoSpaceDE/>
        <w:autoSpaceDN/>
        <w:bidi w:val="0"/>
        <w:adjustRightInd/>
        <w:snapToGrid/>
        <w:spacing w:line="720" w:lineRule="auto"/>
        <w:textAlignment w:val="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8"/>
          <w:szCs w:val="48"/>
          <w:highlight w:val="none"/>
          <w14:textFill>
            <w14:solidFill>
              <w14:schemeClr w14:val="tx1"/>
            </w14:solidFill>
          </w14:textFill>
        </w:rPr>
        <w:fldChar w:fldCharType="begin"/>
      </w:r>
      <w:r>
        <w:rPr>
          <w:rFonts w:hint="eastAsia" w:ascii="宋体" w:hAnsi="宋体" w:eastAsia="宋体" w:cs="宋体"/>
          <w:bCs/>
          <w:sz w:val="28"/>
          <w:szCs w:val="48"/>
          <w:highlight w:val="none"/>
        </w:rPr>
        <w:instrText xml:space="preserve"> HYPERLINK \l _Toc8770 </w:instrText>
      </w:r>
      <w:r>
        <w:rPr>
          <w:rFonts w:hint="eastAsia" w:ascii="宋体" w:hAnsi="宋体" w:eastAsia="宋体" w:cs="宋体"/>
          <w:bCs/>
          <w:sz w:val="28"/>
          <w:szCs w:val="48"/>
          <w:highlight w:val="none"/>
        </w:rPr>
        <w:fldChar w:fldCharType="separate"/>
      </w:r>
      <w:r>
        <w:rPr>
          <w:rFonts w:hint="eastAsia" w:ascii="宋体" w:hAnsi="宋体" w:eastAsia="宋体" w:cs="宋体"/>
          <w:sz w:val="28"/>
          <w:szCs w:val="40"/>
          <w:highlight w:val="none"/>
        </w:rPr>
        <w:t>第六章 投标文件格式</w:t>
      </w:r>
      <w:r>
        <w:rPr>
          <w:sz w:val="28"/>
          <w:szCs w:val="36"/>
          <w:highlight w:val="none"/>
        </w:rPr>
        <w:tab/>
      </w:r>
      <w:r>
        <w:rPr>
          <w:sz w:val="28"/>
          <w:szCs w:val="36"/>
          <w:highlight w:val="none"/>
        </w:rPr>
        <w:fldChar w:fldCharType="begin"/>
      </w:r>
      <w:r>
        <w:rPr>
          <w:sz w:val="28"/>
          <w:szCs w:val="36"/>
          <w:highlight w:val="none"/>
        </w:rPr>
        <w:instrText xml:space="preserve"> PAGEREF _Toc8770 \h </w:instrText>
      </w:r>
      <w:r>
        <w:rPr>
          <w:sz w:val="28"/>
          <w:szCs w:val="36"/>
          <w:highlight w:val="none"/>
        </w:rPr>
        <w:fldChar w:fldCharType="separate"/>
      </w:r>
      <w:r>
        <w:rPr>
          <w:sz w:val="28"/>
          <w:szCs w:val="36"/>
          <w:highlight w:val="none"/>
        </w:rPr>
        <w:t>48</w:t>
      </w:r>
      <w:r>
        <w:rPr>
          <w:sz w:val="28"/>
          <w:szCs w:val="36"/>
          <w:highlight w:val="none"/>
        </w:rPr>
        <w:fldChar w:fldCharType="end"/>
      </w:r>
      <w:r>
        <w:rPr>
          <w:rFonts w:hint="eastAsia" w:ascii="宋体" w:hAnsi="宋体" w:eastAsia="宋体" w:cs="宋体"/>
          <w:bCs/>
          <w:color w:val="000000" w:themeColor="text1"/>
          <w:sz w:val="28"/>
          <w:szCs w:val="48"/>
          <w:highlight w:val="none"/>
          <w14:textFill>
            <w14:solidFill>
              <w14:schemeClr w14:val="tx1"/>
            </w14:solidFill>
          </w14:textFill>
        </w:rPr>
        <w:fldChar w:fldCharType="end"/>
      </w:r>
      <w:r>
        <w:rPr>
          <w:rFonts w:hint="eastAsia" w:ascii="宋体" w:hAnsi="宋体" w:eastAsia="宋体" w:cs="宋体"/>
          <w:bCs/>
          <w:color w:val="000000" w:themeColor="text1"/>
          <w:szCs w:val="36"/>
          <w:highlight w:val="none"/>
          <w14:textFill>
            <w14:solidFill>
              <w14:schemeClr w14:val="tx1"/>
            </w14:solidFill>
          </w14:textFill>
        </w:rPr>
        <w:fldChar w:fldCharType="end"/>
      </w:r>
    </w:p>
    <w:p w14:paraId="11FC2156">
      <w:pPr>
        <w:rPr>
          <w:rFonts w:ascii="宋体" w:hAnsi="宋体" w:eastAsia="宋体" w:cs="宋体"/>
          <w:color w:val="000000" w:themeColor="text1"/>
          <w:szCs w:val="21"/>
          <w:highlight w:val="none"/>
          <w14:textFill>
            <w14:solidFill>
              <w14:schemeClr w14:val="tx1"/>
            </w14:solidFill>
          </w14:textFill>
        </w:rPr>
      </w:pPr>
    </w:p>
    <w:p w14:paraId="596721FD">
      <w:pPr>
        <w:rPr>
          <w:rFonts w:ascii="宋体" w:hAnsi="宋体" w:eastAsia="宋体" w:cs="宋体"/>
          <w:color w:val="000000" w:themeColor="text1"/>
          <w:szCs w:val="21"/>
          <w:highlight w:val="none"/>
          <w14:textFill>
            <w14:solidFill>
              <w14:schemeClr w14:val="tx1"/>
            </w14:solidFill>
          </w14:textFill>
        </w:rPr>
      </w:pPr>
    </w:p>
    <w:p w14:paraId="28D975F7">
      <w:pPr>
        <w:rPr>
          <w:rFonts w:ascii="宋体" w:hAnsi="宋体" w:eastAsia="宋体" w:cs="宋体"/>
          <w:color w:val="000000" w:themeColor="text1"/>
          <w:szCs w:val="21"/>
          <w:highlight w:val="none"/>
          <w14:textFill>
            <w14:solidFill>
              <w14:schemeClr w14:val="tx1"/>
            </w14:solidFill>
          </w14:textFill>
        </w:rPr>
      </w:pPr>
    </w:p>
    <w:p w14:paraId="4C532010">
      <w:pPr>
        <w:rPr>
          <w:rFonts w:ascii="宋体" w:hAnsi="宋体" w:eastAsia="宋体" w:cs="宋体"/>
          <w:color w:val="000000" w:themeColor="text1"/>
          <w:szCs w:val="21"/>
          <w:highlight w:val="none"/>
          <w14:textFill>
            <w14:solidFill>
              <w14:schemeClr w14:val="tx1"/>
            </w14:solidFill>
          </w14:textFill>
        </w:rPr>
      </w:pPr>
    </w:p>
    <w:p w14:paraId="0AECE9BE">
      <w:pPr>
        <w:rPr>
          <w:rFonts w:ascii="宋体" w:hAnsi="宋体" w:eastAsia="宋体" w:cs="宋体"/>
          <w:color w:val="000000" w:themeColor="text1"/>
          <w:szCs w:val="21"/>
          <w:highlight w:val="none"/>
          <w14:textFill>
            <w14:solidFill>
              <w14:schemeClr w14:val="tx1"/>
            </w14:solidFill>
          </w14:textFill>
        </w:rPr>
      </w:pPr>
    </w:p>
    <w:p w14:paraId="7B1B6CA3">
      <w:pPr>
        <w:rPr>
          <w:rFonts w:ascii="宋体" w:hAnsi="宋体" w:eastAsia="宋体" w:cs="宋体"/>
          <w:color w:val="000000" w:themeColor="text1"/>
          <w:szCs w:val="21"/>
          <w:highlight w:val="none"/>
          <w14:textFill>
            <w14:solidFill>
              <w14:schemeClr w14:val="tx1"/>
            </w14:solidFill>
          </w14:textFill>
        </w:rPr>
      </w:pPr>
    </w:p>
    <w:p w14:paraId="76BE5F63">
      <w:pPr>
        <w:rPr>
          <w:rFonts w:ascii="宋体" w:hAnsi="宋体" w:eastAsia="宋体" w:cs="宋体"/>
          <w:color w:val="000000" w:themeColor="text1"/>
          <w:szCs w:val="21"/>
          <w:highlight w:val="none"/>
          <w14:textFill>
            <w14:solidFill>
              <w14:schemeClr w14:val="tx1"/>
            </w14:solidFill>
          </w14:textFill>
        </w:rPr>
      </w:pPr>
    </w:p>
    <w:p w14:paraId="134605FA">
      <w:pPr>
        <w:rPr>
          <w:rFonts w:ascii="宋体" w:hAnsi="宋体" w:eastAsia="宋体" w:cs="宋体"/>
          <w:color w:val="000000" w:themeColor="text1"/>
          <w:szCs w:val="21"/>
          <w:highlight w:val="none"/>
          <w14:textFill>
            <w14:solidFill>
              <w14:schemeClr w14:val="tx1"/>
            </w14:solidFill>
          </w14:textFill>
        </w:rPr>
      </w:pPr>
    </w:p>
    <w:p w14:paraId="3205B4E2">
      <w:pPr>
        <w:rPr>
          <w:rFonts w:ascii="宋体" w:hAnsi="宋体" w:eastAsia="宋体" w:cs="宋体"/>
          <w:color w:val="000000" w:themeColor="text1"/>
          <w:szCs w:val="21"/>
          <w:highlight w:val="none"/>
          <w14:textFill>
            <w14:solidFill>
              <w14:schemeClr w14:val="tx1"/>
            </w14:solidFill>
          </w14:textFill>
        </w:rPr>
      </w:pPr>
    </w:p>
    <w:p w14:paraId="27DE8AB9">
      <w:pPr>
        <w:rPr>
          <w:rFonts w:ascii="宋体" w:hAnsi="宋体" w:eastAsia="宋体" w:cs="宋体"/>
          <w:color w:val="000000" w:themeColor="text1"/>
          <w:szCs w:val="21"/>
          <w:highlight w:val="none"/>
          <w14:textFill>
            <w14:solidFill>
              <w14:schemeClr w14:val="tx1"/>
            </w14:solidFill>
          </w14:textFill>
        </w:rPr>
      </w:pPr>
    </w:p>
    <w:p w14:paraId="7FF84B25">
      <w:pPr>
        <w:rPr>
          <w:rFonts w:ascii="宋体" w:hAnsi="宋体" w:eastAsia="宋体" w:cs="宋体"/>
          <w:color w:val="000000" w:themeColor="text1"/>
          <w:szCs w:val="21"/>
          <w:highlight w:val="none"/>
          <w14:textFill>
            <w14:solidFill>
              <w14:schemeClr w14:val="tx1"/>
            </w14:solidFill>
          </w14:textFill>
        </w:rPr>
      </w:pPr>
    </w:p>
    <w:p w14:paraId="151193C4">
      <w:pPr>
        <w:rPr>
          <w:rFonts w:ascii="宋体" w:hAnsi="宋体" w:eastAsia="宋体" w:cs="宋体"/>
          <w:color w:val="000000" w:themeColor="text1"/>
          <w:szCs w:val="21"/>
          <w:highlight w:val="none"/>
          <w14:textFill>
            <w14:solidFill>
              <w14:schemeClr w14:val="tx1"/>
            </w14:solidFill>
          </w14:textFill>
        </w:rPr>
      </w:pPr>
    </w:p>
    <w:p w14:paraId="3A7ED29F">
      <w:pPr>
        <w:rPr>
          <w:rFonts w:ascii="宋体" w:hAnsi="宋体" w:eastAsia="宋体" w:cs="宋体"/>
          <w:color w:val="000000" w:themeColor="text1"/>
          <w:szCs w:val="21"/>
          <w:highlight w:val="none"/>
          <w14:textFill>
            <w14:solidFill>
              <w14:schemeClr w14:val="tx1"/>
            </w14:solidFill>
          </w14:textFill>
        </w:rPr>
      </w:pPr>
    </w:p>
    <w:p w14:paraId="6883642C">
      <w:pPr>
        <w:rPr>
          <w:rFonts w:ascii="宋体" w:hAnsi="宋体" w:eastAsia="宋体" w:cs="宋体"/>
          <w:color w:val="000000" w:themeColor="text1"/>
          <w:szCs w:val="21"/>
          <w:highlight w:val="none"/>
          <w14:textFill>
            <w14:solidFill>
              <w14:schemeClr w14:val="tx1"/>
            </w14:solidFill>
          </w14:textFill>
        </w:rPr>
      </w:pPr>
    </w:p>
    <w:p w14:paraId="1C791557">
      <w:pPr>
        <w:rPr>
          <w:rFonts w:ascii="宋体" w:hAnsi="宋体" w:eastAsia="宋体" w:cs="宋体"/>
          <w:color w:val="000000" w:themeColor="text1"/>
          <w:szCs w:val="21"/>
          <w:highlight w:val="none"/>
          <w14:textFill>
            <w14:solidFill>
              <w14:schemeClr w14:val="tx1"/>
            </w14:solidFill>
          </w14:textFill>
        </w:rPr>
      </w:pPr>
    </w:p>
    <w:p w14:paraId="5A0BE169">
      <w:pPr>
        <w:rPr>
          <w:rFonts w:ascii="宋体" w:hAnsi="宋体" w:eastAsia="宋体" w:cs="宋体"/>
          <w:color w:val="000000" w:themeColor="text1"/>
          <w:szCs w:val="21"/>
          <w:highlight w:val="none"/>
          <w14:textFill>
            <w14:solidFill>
              <w14:schemeClr w14:val="tx1"/>
            </w14:solidFill>
          </w14:textFill>
        </w:rPr>
      </w:pPr>
    </w:p>
    <w:p w14:paraId="76B0225E">
      <w:pPr>
        <w:rPr>
          <w:rFonts w:ascii="宋体" w:hAnsi="宋体" w:eastAsia="宋体" w:cs="宋体"/>
          <w:color w:val="000000" w:themeColor="text1"/>
          <w:szCs w:val="21"/>
          <w:highlight w:val="none"/>
          <w14:textFill>
            <w14:solidFill>
              <w14:schemeClr w14:val="tx1"/>
            </w14:solidFill>
          </w14:textFill>
        </w:rPr>
      </w:pPr>
    </w:p>
    <w:p w14:paraId="7CC44E13">
      <w:pPr>
        <w:rPr>
          <w:rFonts w:ascii="宋体" w:hAnsi="宋体" w:eastAsia="宋体" w:cs="宋体"/>
          <w:color w:val="000000" w:themeColor="text1"/>
          <w:szCs w:val="21"/>
          <w:highlight w:val="none"/>
          <w14:textFill>
            <w14:solidFill>
              <w14:schemeClr w14:val="tx1"/>
            </w14:solidFill>
          </w14:textFill>
        </w:rPr>
      </w:pPr>
    </w:p>
    <w:p w14:paraId="70371DAD">
      <w:pPr>
        <w:rPr>
          <w:rFonts w:ascii="宋体" w:hAnsi="宋体" w:eastAsia="宋体" w:cs="宋体"/>
          <w:color w:val="000000" w:themeColor="text1"/>
          <w:szCs w:val="21"/>
          <w:highlight w:val="none"/>
          <w14:textFill>
            <w14:solidFill>
              <w14:schemeClr w14:val="tx1"/>
            </w14:solidFill>
          </w14:textFill>
        </w:rPr>
      </w:pPr>
    </w:p>
    <w:p w14:paraId="7C092B0B">
      <w:pPr>
        <w:rPr>
          <w:rFonts w:ascii="宋体" w:hAnsi="宋体" w:eastAsia="宋体" w:cs="宋体"/>
          <w:color w:val="000000" w:themeColor="text1"/>
          <w:szCs w:val="21"/>
          <w:highlight w:val="none"/>
          <w14:textFill>
            <w14:solidFill>
              <w14:schemeClr w14:val="tx1"/>
            </w14:solidFill>
          </w14:textFill>
        </w:rPr>
      </w:pPr>
    </w:p>
    <w:p w14:paraId="3ACA55A2">
      <w:pPr>
        <w:rPr>
          <w:rFonts w:ascii="宋体" w:hAnsi="宋体" w:eastAsia="宋体" w:cs="宋体"/>
          <w:color w:val="000000" w:themeColor="text1"/>
          <w:szCs w:val="21"/>
          <w:highlight w:val="none"/>
          <w14:textFill>
            <w14:solidFill>
              <w14:schemeClr w14:val="tx1"/>
            </w14:solidFill>
          </w14:textFill>
        </w:rPr>
      </w:pPr>
    </w:p>
    <w:p w14:paraId="13E7EA1D">
      <w:pPr>
        <w:rPr>
          <w:rFonts w:ascii="宋体" w:hAnsi="宋体" w:eastAsia="宋体" w:cs="宋体"/>
          <w:color w:val="000000" w:themeColor="text1"/>
          <w:szCs w:val="21"/>
          <w:highlight w:val="none"/>
          <w14:textFill>
            <w14:solidFill>
              <w14:schemeClr w14:val="tx1"/>
            </w14:solidFill>
          </w14:textFill>
        </w:rPr>
      </w:pPr>
    </w:p>
    <w:p w14:paraId="7B62DB36">
      <w:pPr>
        <w:rPr>
          <w:rFonts w:ascii="宋体" w:hAnsi="宋体" w:eastAsia="宋体" w:cs="宋体"/>
          <w:color w:val="000000" w:themeColor="text1"/>
          <w:szCs w:val="21"/>
          <w:highlight w:val="none"/>
          <w14:textFill>
            <w14:solidFill>
              <w14:schemeClr w14:val="tx1"/>
            </w14:solidFill>
          </w14:textFill>
        </w:rPr>
      </w:pPr>
    </w:p>
    <w:p w14:paraId="3CA89824">
      <w:pPr>
        <w:rPr>
          <w:rFonts w:ascii="宋体" w:hAnsi="宋体" w:eastAsia="宋体" w:cs="宋体"/>
          <w:color w:val="000000" w:themeColor="text1"/>
          <w:szCs w:val="21"/>
          <w:highlight w:val="none"/>
          <w14:textFill>
            <w14:solidFill>
              <w14:schemeClr w14:val="tx1"/>
            </w14:solidFill>
          </w14:textFill>
        </w:rPr>
      </w:pPr>
    </w:p>
    <w:p w14:paraId="2F66D4FA">
      <w:pPr>
        <w:rPr>
          <w:rFonts w:ascii="宋体" w:hAnsi="宋体" w:eastAsia="宋体" w:cs="宋体"/>
          <w:color w:val="000000" w:themeColor="text1"/>
          <w:szCs w:val="21"/>
          <w:highlight w:val="none"/>
          <w14:textFill>
            <w14:solidFill>
              <w14:schemeClr w14:val="tx1"/>
            </w14:solidFill>
          </w14:textFill>
        </w:rPr>
      </w:pPr>
    </w:p>
    <w:p w14:paraId="50F4291A">
      <w:pPr>
        <w:keepNext/>
        <w:keepLines/>
        <w:pageBreakBefore w:val="0"/>
        <w:widowControl w:val="0"/>
        <w:kinsoku/>
        <w:wordWrap/>
        <w:overflowPunct/>
        <w:topLinePunct w:val="0"/>
        <w:autoSpaceDE/>
        <w:autoSpaceDN/>
        <w:bidi w:val="0"/>
        <w:adjustRightInd/>
        <w:snapToGrid/>
        <w:spacing w:line="360" w:lineRule="auto"/>
        <w:jc w:val="center"/>
        <w:textAlignment w:val="auto"/>
        <w:outlineLvl w:val="0"/>
        <w:rPr>
          <w:rFonts w:ascii="宋体" w:hAnsi="宋体" w:eastAsia="宋体" w:cs="宋体"/>
          <w:b/>
          <w:bCs/>
          <w:color w:val="000000" w:themeColor="text1"/>
          <w:sz w:val="44"/>
          <w:szCs w:val="44"/>
          <w:highlight w:val="none"/>
          <w14:textFill>
            <w14:solidFill>
              <w14:schemeClr w14:val="tx1"/>
            </w14:solidFill>
          </w14:textFill>
        </w:rPr>
      </w:pPr>
      <w:bookmarkStart w:id="6" w:name="_Toc4339"/>
      <w:r>
        <w:rPr>
          <w:rFonts w:hint="eastAsia" w:ascii="宋体" w:hAnsi="宋体" w:eastAsia="宋体" w:cs="宋体"/>
          <w:b/>
          <w:bCs/>
          <w:color w:val="000000" w:themeColor="text1"/>
          <w:sz w:val="44"/>
          <w:szCs w:val="44"/>
          <w:highlight w:val="none"/>
          <w14:textFill>
            <w14:solidFill>
              <w14:schemeClr w14:val="tx1"/>
            </w14:solidFill>
          </w14:textFill>
        </w:rPr>
        <w:t>第一章</w:t>
      </w:r>
      <w:bookmarkEnd w:id="0"/>
      <w:r>
        <w:rPr>
          <w:rFonts w:hint="eastAsia" w:ascii="宋体" w:hAnsi="宋体" w:eastAsia="宋体" w:cs="宋体"/>
          <w:b/>
          <w:bCs/>
          <w:color w:val="000000" w:themeColor="text1"/>
          <w:sz w:val="44"/>
          <w:szCs w:val="44"/>
          <w:highlight w:val="none"/>
          <w14:textFill>
            <w14:solidFill>
              <w14:schemeClr w14:val="tx1"/>
            </w14:solidFill>
          </w14:textFill>
        </w:rPr>
        <w:t xml:space="preserve"> 投标邀请</w:t>
      </w:r>
      <w:bookmarkEnd w:id="6"/>
    </w:p>
    <w:p w14:paraId="35B23ED1">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受</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sz w:val="24"/>
          <w:szCs w:val="24"/>
          <w:highlight w:val="none"/>
          <w:u w:val="single"/>
        </w:rPr>
        <w:t>宿迁市计量测试所</w:t>
      </w:r>
      <w:r>
        <w:rPr>
          <w:rFonts w:hint="eastAsia" w:eastAsia="宋体"/>
          <w:sz w:val="24"/>
          <w:szCs w:val="24"/>
          <w:highlight w:val="none"/>
          <w:u w:val="single"/>
          <w:lang w:val="en-US" w:eastAsia="zh-CN"/>
        </w:rPr>
        <w:t xml:space="preserve"> </w:t>
      </w:r>
      <w:r>
        <w:rPr>
          <w:rFonts w:hint="eastAsia" w:ascii="宋体" w:hAnsi="宋体" w:eastAsia="宋体" w:cs="宋体"/>
          <w:color w:val="000000" w:themeColor="text1"/>
          <w:sz w:val="24"/>
          <w:highlight w:val="none"/>
          <w14:textFill>
            <w14:solidFill>
              <w14:schemeClr w14:val="tx1"/>
            </w14:solidFill>
          </w14:textFill>
        </w:rPr>
        <w:t>的委托</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sz w:val="24"/>
          <w:szCs w:val="24"/>
          <w:highlight w:val="none"/>
          <w:u w:val="single"/>
        </w:rPr>
        <w:t>江苏宏邦工程管理咨询有限公司</w:t>
      </w:r>
      <w:r>
        <w:rPr>
          <w:rFonts w:hint="eastAsia" w:eastAsia="宋体"/>
          <w:sz w:val="24"/>
          <w:szCs w:val="24"/>
          <w:highlight w:val="none"/>
          <w:u w:val="single"/>
          <w:lang w:val="en-US" w:eastAsia="zh-CN"/>
        </w:rPr>
        <w:t xml:space="preserve"> </w:t>
      </w:r>
      <w:r>
        <w:rPr>
          <w:rFonts w:hint="eastAsia" w:ascii="宋体" w:hAnsi="宋体" w:eastAsia="宋体" w:cs="宋体"/>
          <w:color w:val="000000" w:themeColor="text1"/>
          <w:sz w:val="24"/>
          <w:highlight w:val="none"/>
          <w14:textFill>
            <w14:solidFill>
              <w14:schemeClr w14:val="tx1"/>
            </w14:solidFill>
          </w14:textFill>
        </w:rPr>
        <w:t>就</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sz w:val="24"/>
          <w:szCs w:val="24"/>
          <w:highlight w:val="none"/>
          <w:u w:val="single"/>
        </w:rPr>
        <w:t>宿迁市计量测试所化学衡器类设备检测装置采购项目(JSZC-321300-JSHB-G2026-0008)</w:t>
      </w:r>
      <w:r>
        <w:rPr>
          <w:rFonts w:hint="eastAsia" w:ascii="宋体" w:hAnsi="宋体" w:eastAsia="宋体" w:cs="宋体"/>
          <w:color w:val="000000" w:themeColor="text1"/>
          <w:sz w:val="24"/>
          <w:highlight w:val="none"/>
          <w14:textFill>
            <w14:solidFill>
              <w14:schemeClr w14:val="tx1"/>
            </w14:solidFill>
          </w14:textFill>
        </w:rPr>
        <w:t>进行公开招标采购，欢迎符合条件的投标人投标。</w:t>
      </w:r>
    </w:p>
    <w:p w14:paraId="2E98EC1C">
      <w:pPr>
        <w:pBdr>
          <w:top w:val="single" w:color="auto" w:sz="4" w:space="1"/>
          <w:left w:val="single" w:color="auto" w:sz="4" w:space="4"/>
          <w:bottom w:val="single" w:color="auto" w:sz="4" w:space="1"/>
          <w:right w:val="single" w:color="auto" w:sz="4" w:space="4"/>
        </w:pBd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项目概况</w:t>
      </w:r>
    </w:p>
    <w:p w14:paraId="5D9B6DD5">
      <w:pPr>
        <w:pBdr>
          <w:top w:val="single" w:color="auto" w:sz="4" w:space="1"/>
          <w:left w:val="single" w:color="auto" w:sz="4" w:space="4"/>
          <w:bottom w:val="single" w:color="auto" w:sz="4" w:space="1"/>
          <w:right w:val="single" w:color="auto" w:sz="4" w:space="4"/>
        </w:pBd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sz w:val="24"/>
          <w:szCs w:val="24"/>
          <w:highlight w:val="none"/>
          <w:u w:val="single"/>
        </w:rPr>
        <w:t>宿迁市计量测试所化学衡器类设备检测装置采购项目</w:t>
      </w:r>
      <w:r>
        <w:rPr>
          <w:rFonts w:hint="eastAsia" w:eastAsia="宋体"/>
          <w:sz w:val="24"/>
          <w:szCs w:val="24"/>
          <w:highlight w:val="none"/>
          <w:u w:val="single"/>
          <w:lang w:val="en-US" w:eastAsia="zh-CN"/>
        </w:rPr>
        <w:t xml:space="preserve"> </w:t>
      </w:r>
      <w:r>
        <w:rPr>
          <w:rFonts w:hint="eastAsia" w:ascii="宋体" w:hAnsi="宋体" w:eastAsia="宋体" w:cs="宋体"/>
          <w:color w:val="000000" w:themeColor="text1"/>
          <w:sz w:val="24"/>
          <w:highlight w:val="none"/>
          <w:u w:val="none"/>
          <w14:textFill>
            <w14:solidFill>
              <w14:schemeClr w14:val="tx1"/>
            </w14:solidFill>
          </w14:textFill>
        </w:rPr>
        <w:t>的潜在投标人应在“苏采云”系统（网址：http://jszfcg.jsczt.cn/）获取招标文件，并于</w:t>
      </w:r>
      <w:r>
        <w:rPr>
          <w:rFonts w:hint="eastAsia" w:ascii="宋体" w:hAnsi="宋体" w:eastAsia="宋体" w:cs="宋体"/>
          <w:color w:val="000000" w:themeColor="text1"/>
          <w:sz w:val="24"/>
          <w:highlight w:val="none"/>
          <w:u w:val="single"/>
          <w14:textFill>
            <w14:solidFill>
              <w14:schemeClr w14:val="tx1"/>
            </w14:solidFill>
          </w14:textFill>
        </w:rPr>
        <w:t>2026年</w:t>
      </w:r>
      <w:r>
        <w:rPr>
          <w:rFonts w:hint="eastAsia" w:ascii="宋体" w:hAnsi="宋体" w:eastAsia="宋体" w:cs="宋体"/>
          <w:color w:val="000000" w:themeColor="text1"/>
          <w:sz w:val="24"/>
          <w:highlight w:val="none"/>
          <w:u w:val="single"/>
          <w:lang w:val="en-US" w:eastAsia="zh-CN"/>
          <w14:textFill>
            <w14:solidFill>
              <w14:schemeClr w14:val="tx1"/>
            </w14:solidFill>
          </w14:textFill>
        </w:rPr>
        <w:t>11</w:t>
      </w:r>
      <w:r>
        <w:rPr>
          <w:rFonts w:hint="eastAsia" w:ascii="宋体" w:hAnsi="宋体" w:eastAsia="宋体" w:cs="宋体"/>
          <w:color w:val="000000" w:themeColor="text1"/>
          <w:sz w:val="24"/>
          <w:highlight w:val="none"/>
          <w:u w:val="single"/>
          <w14:textFill>
            <w14:solidFill>
              <w14:schemeClr w14:val="tx1"/>
            </w14:solidFill>
          </w14:textFill>
        </w:rPr>
        <w:t>月</w:t>
      </w:r>
      <w:r>
        <w:rPr>
          <w:rFonts w:hint="eastAsia" w:ascii="宋体" w:hAnsi="宋体" w:eastAsia="宋体" w:cs="宋体"/>
          <w:color w:val="000000" w:themeColor="text1"/>
          <w:sz w:val="24"/>
          <w:highlight w:val="none"/>
          <w:u w:val="single"/>
          <w:lang w:val="en-US" w:eastAsia="zh-CN"/>
          <w14:textFill>
            <w14:solidFill>
              <w14:schemeClr w14:val="tx1"/>
            </w14:solidFill>
          </w14:textFill>
        </w:rPr>
        <w:t>17</w:t>
      </w:r>
      <w:r>
        <w:rPr>
          <w:rFonts w:hint="eastAsia" w:ascii="宋体" w:hAnsi="宋体" w:eastAsia="宋体" w:cs="宋体"/>
          <w:color w:val="000000" w:themeColor="text1"/>
          <w:sz w:val="24"/>
          <w:highlight w:val="none"/>
          <w:u w:val="single"/>
          <w14:textFill>
            <w14:solidFill>
              <w14:schemeClr w14:val="tx1"/>
            </w14:solidFill>
          </w14:textFill>
        </w:rPr>
        <w:t>日09:30（北京时间）前递交投标文件</w:t>
      </w:r>
      <w:r>
        <w:rPr>
          <w:rFonts w:hint="eastAsia" w:ascii="宋体" w:hAnsi="宋体" w:eastAsia="宋体" w:cs="宋体"/>
          <w:color w:val="000000" w:themeColor="text1"/>
          <w:sz w:val="24"/>
          <w:highlight w:val="none"/>
          <w14:textFill>
            <w14:solidFill>
              <w14:schemeClr w14:val="tx1"/>
            </w14:solidFill>
          </w14:textFill>
        </w:rPr>
        <w:t>。</w:t>
      </w:r>
    </w:p>
    <w:p w14:paraId="290451C5">
      <w:pPr>
        <w:keepNext/>
        <w:keepLines/>
        <w:spacing w:line="360" w:lineRule="auto"/>
        <w:outlineLvl w:val="2"/>
        <w:rPr>
          <w:rFonts w:ascii="宋体" w:hAnsi="宋体" w:eastAsia="宋体" w:cs="宋体"/>
          <w:b/>
          <w:bCs/>
          <w:color w:val="000000" w:themeColor="text1"/>
          <w:sz w:val="32"/>
          <w:szCs w:val="32"/>
          <w:highlight w:val="none"/>
          <w14:textFill>
            <w14:solidFill>
              <w14:schemeClr w14:val="tx1"/>
            </w14:solidFill>
          </w14:textFill>
        </w:rPr>
      </w:pPr>
      <w:bookmarkStart w:id="7" w:name="_Toc28359002"/>
      <w:bookmarkStart w:id="8" w:name="_Toc38985263"/>
      <w:bookmarkStart w:id="9" w:name="_Toc35393621"/>
      <w:bookmarkStart w:id="10" w:name="_Toc28359079"/>
      <w:bookmarkStart w:id="11" w:name="_Toc35393790"/>
      <w:bookmarkStart w:id="12" w:name="_Hlk24379207"/>
      <w:r>
        <w:rPr>
          <w:rFonts w:hint="eastAsia" w:ascii="宋体" w:hAnsi="宋体" w:eastAsia="宋体" w:cs="宋体"/>
          <w:b/>
          <w:bCs/>
          <w:color w:val="000000" w:themeColor="text1"/>
          <w:sz w:val="32"/>
          <w:szCs w:val="32"/>
          <w:highlight w:val="none"/>
          <w14:textFill>
            <w14:solidFill>
              <w14:schemeClr w14:val="tx1"/>
            </w14:solidFill>
          </w14:textFill>
        </w:rPr>
        <w:t>一、项目基本情况</w:t>
      </w:r>
      <w:bookmarkEnd w:id="7"/>
      <w:bookmarkEnd w:id="8"/>
      <w:bookmarkEnd w:id="9"/>
      <w:bookmarkEnd w:id="10"/>
      <w:bookmarkEnd w:id="11"/>
    </w:p>
    <w:p w14:paraId="1DEB6A54">
      <w:pPr>
        <w:keepNext/>
        <w:keepLines/>
        <w:spacing w:line="360" w:lineRule="auto"/>
        <w:ind w:firstLine="48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1.项目编号：JSZC-321300-JSHB-G2026-0008</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p>
    <w:p w14:paraId="56EE167E">
      <w:pPr>
        <w:spacing w:line="360" w:lineRule="auto"/>
        <w:ind w:firstLine="48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2.项目名称：</w:t>
      </w:r>
      <w:bookmarkEnd w:id="12"/>
      <w:r>
        <w:rPr>
          <w:rFonts w:hint="eastAsia" w:ascii="宋体" w:hAnsi="宋体" w:eastAsia="宋体" w:cs="宋体"/>
          <w:color w:val="000000" w:themeColor="text1"/>
          <w:sz w:val="24"/>
          <w:highlight w:val="none"/>
          <w14:textFill>
            <w14:solidFill>
              <w14:schemeClr w14:val="tx1"/>
            </w14:solidFill>
          </w14:textFill>
        </w:rPr>
        <w:t>宿迁市计量测试所化学衡器类设备检测装置采购项目</w:t>
      </w:r>
    </w:p>
    <w:p w14:paraId="15789A3F">
      <w:pPr>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3.预算金额：</w:t>
      </w:r>
      <w:r>
        <w:rPr>
          <w:rFonts w:hint="eastAsia" w:ascii="宋体" w:hAnsi="宋体" w:eastAsia="宋体" w:cs="宋体"/>
          <w:color w:val="000000" w:themeColor="text1"/>
          <w:sz w:val="24"/>
          <w:highlight w:val="none"/>
          <w:lang w:val="en-US" w:eastAsia="zh-CN"/>
          <w14:textFill>
            <w14:solidFill>
              <w14:schemeClr w14:val="tx1"/>
            </w14:solidFill>
          </w14:textFill>
        </w:rPr>
        <w:t>150.2万元</w:t>
      </w:r>
    </w:p>
    <w:p w14:paraId="11E1B54E">
      <w:pPr>
        <w:spacing w:line="360" w:lineRule="auto"/>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4.本项目设定最高限价：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148.7万元 </w:t>
      </w:r>
    </w:p>
    <w:p w14:paraId="2911E4EF">
      <w:pPr>
        <w:spacing w:line="360" w:lineRule="auto"/>
        <w:ind w:firstLine="480"/>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5.采购需求（简介）：宿迁市计量测试所化学衡器类设备检测装置采购项目</w:t>
      </w:r>
      <w:r>
        <w:rPr>
          <w:rFonts w:hint="eastAsia" w:ascii="宋体" w:hAnsi="宋体" w:eastAsia="宋体" w:cs="宋体"/>
          <w:color w:val="000000" w:themeColor="text1"/>
          <w:sz w:val="24"/>
          <w:highlight w:val="none"/>
          <w:lang w:val="en-US" w:eastAsia="zh-CN"/>
          <w14:textFill>
            <w14:solidFill>
              <w14:schemeClr w14:val="tx1"/>
            </w14:solidFill>
          </w14:textFill>
        </w:rPr>
        <w:t>,主要包含：</w:t>
      </w:r>
      <w:r>
        <w:rPr>
          <w:rFonts w:hint="eastAsia" w:ascii="宋体" w:hAnsi="宋体" w:cs="宋体" w:eastAsiaTheme="minorEastAsia"/>
          <w:sz w:val="24"/>
          <w:szCs w:val="24"/>
          <w:highlight w:val="none"/>
          <w:lang w:val="en-US" w:eastAsia="zh-CN" w:bidi="ar-SA"/>
        </w:rPr>
        <w:t>酸度计检定仪</w:t>
      </w:r>
      <w:r>
        <w:rPr>
          <w:rFonts w:hint="eastAsia" w:ascii="宋体" w:hAnsi="宋体" w:cs="宋体"/>
          <w:sz w:val="24"/>
          <w:szCs w:val="24"/>
          <w:highlight w:val="none"/>
          <w:lang w:val="en-US" w:eastAsia="zh-CN" w:bidi="ar-SA"/>
        </w:rPr>
        <w:t>、</w:t>
      </w:r>
      <w:r>
        <w:rPr>
          <w:rFonts w:hint="eastAsia" w:ascii="宋体" w:hAnsi="宋体" w:cs="宋体" w:eastAsiaTheme="minorEastAsia"/>
          <w:sz w:val="24"/>
          <w:szCs w:val="24"/>
          <w:highlight w:val="none"/>
          <w:lang w:val="en-US" w:eastAsia="zh-CN" w:bidi="ar-SA"/>
        </w:rPr>
        <w:t>液体恒温槽</w:t>
      </w:r>
      <w:r>
        <w:rPr>
          <w:rFonts w:hint="eastAsia" w:ascii="宋体" w:hAnsi="宋体" w:cs="宋体"/>
          <w:sz w:val="24"/>
          <w:szCs w:val="24"/>
          <w:highlight w:val="none"/>
          <w:lang w:val="en-US" w:eastAsia="zh-CN" w:bidi="ar-SA"/>
        </w:rPr>
        <w:t>、</w:t>
      </w:r>
      <w:r>
        <w:rPr>
          <w:rFonts w:hint="eastAsia" w:ascii="宋体" w:hAnsi="宋体" w:cs="宋体" w:eastAsiaTheme="minorEastAsia"/>
          <w:sz w:val="24"/>
          <w:szCs w:val="24"/>
          <w:highlight w:val="none"/>
          <w:lang w:val="en-US" w:eastAsia="zh-CN" w:bidi="ar-SA"/>
        </w:rPr>
        <w:t>温湿度检定箱</w:t>
      </w:r>
      <w:r>
        <w:rPr>
          <w:rFonts w:hint="eastAsia" w:ascii="宋体" w:hAnsi="宋体" w:cs="宋体"/>
          <w:sz w:val="24"/>
          <w:szCs w:val="24"/>
          <w:highlight w:val="none"/>
          <w:lang w:val="en-US" w:eastAsia="zh-CN" w:bidi="ar-SA"/>
        </w:rPr>
        <w:t>、</w:t>
      </w:r>
      <w:r>
        <w:rPr>
          <w:rFonts w:hint="eastAsia" w:ascii="宋体" w:hAnsi="宋体" w:cs="宋体" w:eastAsiaTheme="minorEastAsia"/>
          <w:sz w:val="24"/>
          <w:szCs w:val="24"/>
          <w:highlight w:val="none"/>
          <w:lang w:val="en-US" w:eastAsia="zh-CN" w:bidi="ar-SA"/>
        </w:rPr>
        <w:t>温湿度试验设备自动检定系统</w:t>
      </w:r>
      <w:r>
        <w:rPr>
          <w:rFonts w:hint="eastAsia" w:ascii="宋体" w:hAnsi="宋体" w:cs="宋体"/>
          <w:sz w:val="24"/>
          <w:szCs w:val="24"/>
          <w:highlight w:val="none"/>
          <w:lang w:val="en-US" w:eastAsia="zh-CN" w:bidi="ar-SA"/>
        </w:rPr>
        <w:t>、</w:t>
      </w:r>
      <w:r>
        <w:rPr>
          <w:rFonts w:hint="eastAsia" w:ascii="宋体" w:hAnsi="宋体" w:cs="宋体" w:eastAsiaTheme="minorEastAsia"/>
          <w:sz w:val="24"/>
          <w:szCs w:val="24"/>
          <w:highlight w:val="none"/>
          <w:lang w:val="en-US" w:eastAsia="zh-CN" w:bidi="ar-SA"/>
        </w:rPr>
        <w:t>质量比较仪</w:t>
      </w:r>
      <w:r>
        <w:rPr>
          <w:rFonts w:hint="eastAsia" w:ascii="宋体" w:hAnsi="宋体" w:cs="宋体"/>
          <w:sz w:val="24"/>
          <w:szCs w:val="24"/>
          <w:highlight w:val="none"/>
          <w:lang w:val="en-US" w:eastAsia="zh-CN" w:bidi="ar-SA"/>
        </w:rPr>
        <w:t>、</w:t>
      </w:r>
      <w:r>
        <w:rPr>
          <w:rFonts w:hint="eastAsia" w:ascii="宋体" w:hAnsi="宋体" w:cs="宋体" w:eastAsiaTheme="minorEastAsia"/>
          <w:sz w:val="24"/>
          <w:szCs w:val="24"/>
          <w:highlight w:val="none"/>
          <w:lang w:val="en-US" w:eastAsia="zh-CN" w:bidi="ar-SA"/>
        </w:rPr>
        <w:t>检定电导率仪专用交流电阻箱</w:t>
      </w:r>
      <w:r>
        <w:rPr>
          <w:rFonts w:hint="eastAsia" w:ascii="宋体" w:hAnsi="宋体" w:cs="宋体"/>
          <w:sz w:val="24"/>
          <w:szCs w:val="24"/>
          <w:highlight w:val="none"/>
          <w:lang w:val="en-US" w:eastAsia="zh-CN" w:bidi="ar-SA"/>
        </w:rPr>
        <w:t>、</w:t>
      </w:r>
      <w:r>
        <w:rPr>
          <w:rFonts w:hint="eastAsia" w:ascii="宋体" w:hAnsi="宋体" w:cs="宋体" w:eastAsiaTheme="minorEastAsia"/>
          <w:sz w:val="24"/>
          <w:szCs w:val="24"/>
          <w:highlight w:val="none"/>
          <w:lang w:val="en-US" w:eastAsia="zh-CN" w:bidi="ar-SA"/>
        </w:rPr>
        <w:t>水分快速测定仪</w:t>
      </w:r>
      <w:r>
        <w:rPr>
          <w:rFonts w:hint="eastAsia" w:ascii="宋体" w:hAnsi="宋体" w:eastAsia="宋体" w:cs="宋体"/>
          <w:color w:val="000000" w:themeColor="text1"/>
          <w:sz w:val="24"/>
          <w:highlight w:val="none"/>
          <w:lang w:val="en-US" w:eastAsia="zh-CN"/>
          <w14:textFill>
            <w14:solidFill>
              <w14:schemeClr w14:val="tx1"/>
            </w14:solidFill>
          </w14:textFill>
        </w:rPr>
        <w:t>、</w:t>
      </w:r>
      <w:r>
        <w:rPr>
          <w:rFonts w:hint="eastAsia" w:ascii="宋体" w:hAnsi="宋体" w:cs="宋体" w:eastAsiaTheme="minorEastAsia"/>
          <w:sz w:val="24"/>
          <w:szCs w:val="24"/>
          <w:highlight w:val="none"/>
          <w:lang w:val="en-US" w:eastAsia="zh-CN" w:bidi="ar-SA"/>
        </w:rPr>
        <w:t>干燥箱</w:t>
      </w:r>
      <w:r>
        <w:rPr>
          <w:rFonts w:hint="eastAsia" w:ascii="宋体" w:hAnsi="宋体" w:eastAsia="宋体" w:cs="宋体"/>
          <w:color w:val="000000" w:themeColor="text1"/>
          <w:sz w:val="24"/>
          <w:highlight w:val="none"/>
          <w:lang w:val="en-US" w:eastAsia="zh-CN"/>
          <w14:textFill>
            <w14:solidFill>
              <w14:schemeClr w14:val="tx1"/>
            </w14:solidFill>
          </w14:textFill>
        </w:rPr>
        <w:t>、</w:t>
      </w:r>
      <w:r>
        <w:rPr>
          <w:rFonts w:hint="eastAsia" w:ascii="宋体" w:hAnsi="宋体" w:cs="宋体" w:eastAsiaTheme="minorEastAsia"/>
          <w:sz w:val="24"/>
          <w:szCs w:val="24"/>
          <w:highlight w:val="none"/>
          <w:lang w:val="en-US" w:eastAsia="zh-CN" w:bidi="ar-SA"/>
        </w:rPr>
        <w:t>温湿度巡检仪</w:t>
      </w:r>
      <w:r>
        <w:rPr>
          <w:rFonts w:hint="eastAsia" w:ascii="宋体" w:hAnsi="宋体" w:cs="宋体"/>
          <w:sz w:val="24"/>
          <w:szCs w:val="24"/>
          <w:highlight w:val="none"/>
          <w:lang w:val="en-US" w:eastAsia="zh-CN" w:bidi="ar-SA"/>
        </w:rPr>
        <w:t>等</w:t>
      </w:r>
      <w:r>
        <w:rPr>
          <w:rFonts w:hint="eastAsia" w:ascii="宋体" w:hAnsi="宋体" w:eastAsia="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详细内容见第四章采购需求。</w:t>
      </w:r>
    </w:p>
    <w:p w14:paraId="2E24CF87">
      <w:pPr>
        <w:spacing w:line="360" w:lineRule="auto"/>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6.合同履行期限：</w:t>
      </w:r>
      <w:r>
        <w:rPr>
          <w:rFonts w:ascii="Times New Roman" w:hAnsi="Times New Roman"/>
          <w:color w:val="000000"/>
          <w:sz w:val="24"/>
          <w:szCs w:val="24"/>
          <w:highlight w:val="none"/>
        </w:rPr>
        <w:t>合同签订后</w:t>
      </w:r>
      <w:r>
        <w:rPr>
          <w:rFonts w:hint="eastAsia" w:ascii="Times New Roman" w:hAnsi="Times New Roman" w:eastAsia="宋体"/>
          <w:color w:val="000000"/>
          <w:sz w:val="24"/>
          <w:szCs w:val="24"/>
          <w:highlight w:val="none"/>
          <w:lang w:val="en-US" w:eastAsia="zh-CN"/>
        </w:rPr>
        <w:t>30</w:t>
      </w:r>
      <w:r>
        <w:rPr>
          <w:rFonts w:ascii="Times New Roman" w:hAnsi="Times New Roman"/>
          <w:color w:val="000000"/>
          <w:sz w:val="24"/>
          <w:szCs w:val="24"/>
          <w:highlight w:val="none"/>
        </w:rPr>
        <w:t>日历天内送到甲方指定地点完成安装、调试、</w:t>
      </w:r>
      <w:r>
        <w:rPr>
          <w:rFonts w:hint="eastAsia" w:ascii="Times New Roman" w:hAnsi="Times New Roman"/>
          <w:color w:val="000000"/>
          <w:sz w:val="24"/>
          <w:szCs w:val="24"/>
          <w:highlight w:val="none"/>
          <w:lang w:val="zh-CN"/>
        </w:rPr>
        <w:t>检定/校准</w:t>
      </w:r>
      <w:r>
        <w:rPr>
          <w:rFonts w:ascii="Times New Roman" w:hAnsi="Times New Roman"/>
          <w:color w:val="000000"/>
          <w:sz w:val="24"/>
          <w:szCs w:val="24"/>
          <w:highlight w:val="none"/>
        </w:rPr>
        <w:t>并经验收合格后交付甲方使用</w:t>
      </w:r>
      <w:r>
        <w:rPr>
          <w:rFonts w:hint="eastAsia" w:ascii="Times New Roman" w:hAnsi="Times New Roman" w:eastAsia="宋体"/>
          <w:color w:val="000000"/>
          <w:sz w:val="24"/>
          <w:szCs w:val="24"/>
          <w:highlight w:val="none"/>
          <w:lang w:eastAsia="zh-CN"/>
        </w:rPr>
        <w:t>。</w:t>
      </w:r>
    </w:p>
    <w:p w14:paraId="792CD2C2">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7.本项目不接受联合体投标。</w:t>
      </w:r>
    </w:p>
    <w:p w14:paraId="169CC92D">
      <w:pPr>
        <w:keepNext/>
        <w:keepLines/>
        <w:spacing w:line="360" w:lineRule="auto"/>
        <w:outlineLvl w:val="2"/>
        <w:rPr>
          <w:rFonts w:ascii="宋体" w:hAnsi="宋体" w:eastAsia="宋体" w:cs="宋体"/>
          <w:b/>
          <w:bCs/>
          <w:color w:val="000000" w:themeColor="text1"/>
          <w:sz w:val="32"/>
          <w:szCs w:val="32"/>
          <w:highlight w:val="none"/>
          <w14:textFill>
            <w14:solidFill>
              <w14:schemeClr w14:val="tx1"/>
            </w14:solidFill>
          </w14:textFill>
        </w:rPr>
      </w:pPr>
      <w:bookmarkStart w:id="13" w:name="_Toc35393791"/>
      <w:bookmarkStart w:id="14" w:name="_Toc35393622"/>
      <w:bookmarkStart w:id="15" w:name="_Toc28359080"/>
      <w:bookmarkStart w:id="16" w:name="_Toc38985264"/>
      <w:bookmarkStart w:id="17" w:name="_Toc28359003"/>
      <w:r>
        <w:rPr>
          <w:rFonts w:hint="eastAsia" w:ascii="宋体" w:hAnsi="宋体" w:eastAsia="宋体" w:cs="宋体"/>
          <w:b/>
          <w:bCs/>
          <w:color w:val="000000" w:themeColor="text1"/>
          <w:sz w:val="32"/>
          <w:szCs w:val="32"/>
          <w:highlight w:val="none"/>
          <w14:textFill>
            <w14:solidFill>
              <w14:schemeClr w14:val="tx1"/>
            </w14:solidFill>
          </w14:textFill>
        </w:rPr>
        <w:t>二、申请人的资格要求：</w:t>
      </w:r>
      <w:bookmarkEnd w:id="13"/>
      <w:bookmarkEnd w:id="14"/>
      <w:bookmarkEnd w:id="15"/>
      <w:bookmarkEnd w:id="16"/>
      <w:bookmarkEnd w:id="17"/>
    </w:p>
    <w:p w14:paraId="7173781F">
      <w:pPr>
        <w:spacing w:line="360" w:lineRule="auto"/>
        <w:ind w:firstLine="480"/>
        <w:rPr>
          <w:rFonts w:ascii="宋体" w:hAnsi="宋体" w:eastAsia="宋体" w:cs="宋体"/>
          <w:color w:val="000000" w:themeColor="text1"/>
          <w:sz w:val="24"/>
          <w:highlight w:val="none"/>
          <w14:textFill>
            <w14:solidFill>
              <w14:schemeClr w14:val="tx1"/>
            </w14:solidFill>
          </w14:textFill>
        </w:rPr>
      </w:pPr>
      <w:bookmarkStart w:id="18" w:name="_Toc28359081"/>
      <w:bookmarkStart w:id="19" w:name="_Toc38985265"/>
      <w:bookmarkStart w:id="20" w:name="_Toc35393623"/>
      <w:bookmarkStart w:id="21" w:name="_Toc28359004"/>
      <w:bookmarkStart w:id="22" w:name="_Toc35393792"/>
      <w:r>
        <w:rPr>
          <w:rFonts w:hint="eastAsia" w:ascii="宋体" w:hAnsi="宋体" w:eastAsia="宋体" w:cs="宋体"/>
          <w:color w:val="000000" w:themeColor="text1"/>
          <w:sz w:val="24"/>
          <w:highlight w:val="none"/>
          <w14:textFill>
            <w14:solidFill>
              <w14:schemeClr w14:val="tx1"/>
            </w14:solidFill>
          </w14:textFill>
        </w:rPr>
        <w:t>（一）通用资格要求</w:t>
      </w:r>
    </w:p>
    <w:p w14:paraId="5E43EF7F">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1.具备《中华人民共和国政府采购法》第二十二条第一款规定的6项条件（按要求提供投标声明及承诺函）。</w:t>
      </w:r>
    </w:p>
    <w:p w14:paraId="307297DD">
      <w:pPr>
        <w:spacing w:line="360" w:lineRule="auto"/>
        <w:ind w:firstLine="480"/>
        <w:rPr>
          <w:rFonts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647F3CC7">
      <w:pPr>
        <w:spacing w:line="360" w:lineRule="auto"/>
        <w:ind w:firstLine="48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3.落实政府采购政策需满足的资格要求：本项目属于专门面向中小企业采购的项目。</w:t>
      </w:r>
    </w:p>
    <w:p w14:paraId="0B180EC6">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（二）本项目的特定资格要求：无。</w:t>
      </w:r>
    </w:p>
    <w:p w14:paraId="63D0C536">
      <w:pPr>
        <w:keepNext/>
        <w:keepLines/>
        <w:spacing w:line="360" w:lineRule="auto"/>
        <w:outlineLvl w:val="2"/>
        <w:rPr>
          <w:rFonts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三、获取招标文件</w:t>
      </w:r>
      <w:bookmarkEnd w:id="18"/>
      <w:bookmarkEnd w:id="19"/>
      <w:bookmarkEnd w:id="20"/>
      <w:bookmarkEnd w:id="21"/>
      <w:bookmarkEnd w:id="22"/>
    </w:p>
    <w:p w14:paraId="7A2D0FA4">
      <w:pPr>
        <w:spacing w:line="360" w:lineRule="auto"/>
        <w:ind w:firstLine="480"/>
        <w:rPr>
          <w:rFonts w:ascii="宋体" w:hAnsi="宋体" w:eastAsia="宋体" w:cs="宋体"/>
          <w:color w:val="000000" w:themeColor="text1"/>
          <w:sz w:val="24"/>
          <w:highlight w:val="none"/>
          <w14:textFill>
            <w14:solidFill>
              <w14:schemeClr w14:val="tx1"/>
            </w14:solidFill>
          </w14:textFill>
        </w:rPr>
      </w:pPr>
      <w:bookmarkStart w:id="23" w:name="_Toc28359082"/>
      <w:bookmarkStart w:id="24" w:name="_Toc28359005"/>
      <w:bookmarkStart w:id="25" w:name="_Toc38985266"/>
      <w:bookmarkStart w:id="26" w:name="_Toc35393624"/>
      <w:bookmarkStart w:id="27" w:name="_Toc35393793"/>
      <w:r>
        <w:rPr>
          <w:rFonts w:hint="eastAsia" w:ascii="宋体" w:hAnsi="宋体" w:eastAsia="宋体" w:cs="宋体"/>
          <w:color w:val="000000" w:themeColor="text1"/>
          <w:sz w:val="24"/>
          <w:highlight w:val="none"/>
          <w14:textFill>
            <w14:solidFill>
              <w14:schemeClr w14:val="tx1"/>
            </w14:solidFill>
          </w14:textFill>
        </w:rPr>
        <w:t>1.时间：自招标文件公告发布之日起5个工作日。</w:t>
      </w:r>
    </w:p>
    <w:p w14:paraId="6CA1D783">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方式：投标人应在招标文件提供的时间内，通过“苏采云”系统（网址：http://jszfcg.jsczt.cn/）或江苏政府采购网点击“政府采购管理交易系统（苏采云）”，使用CA锁进入系统从“项目参与”--“采购项目”菜单中，找到本项目获取采购文件（后缀名为“.kedt”）。</w:t>
      </w:r>
    </w:p>
    <w:p w14:paraId="5B1ED64C">
      <w:pPr>
        <w:spacing w:line="360" w:lineRule="auto"/>
        <w:ind w:firstLine="480"/>
        <w:rPr>
          <w:rFonts w:ascii="宋体" w:hAnsi="宋体" w:eastAsia="宋体" w:cs="宋体"/>
          <w:color w:val="000000" w:themeColor="text1"/>
          <w:sz w:val="24"/>
          <w:highlight w:val="none"/>
          <w14:textFill>
            <w14:solidFill>
              <w14:schemeClr w14:val="tx1"/>
            </w14:solidFill>
          </w14:textFill>
        </w:rPr>
      </w:pPr>
      <w:bookmarkStart w:id="28" w:name="EB0c44ff4da61f4af989d119fe214be450"/>
      <w:r>
        <w:rPr>
          <w:rFonts w:hint="eastAsia" w:ascii="宋体" w:hAnsi="宋体" w:eastAsia="宋体" w:cs="宋体"/>
          <w:color w:val="000000" w:themeColor="text1"/>
          <w:sz w:val="24"/>
          <w:highlight w:val="none"/>
          <w14:textFill>
            <w14:solidFill>
              <w14:schemeClr w14:val="tx1"/>
            </w14:solidFill>
          </w14:textFill>
        </w:rPr>
        <w:t>3.本项目共分</w:t>
      </w: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包。投标人未按要求获取招标文件导致无法投标的，后果自负（其投标文件不予接受）。</w:t>
      </w:r>
      <w:bookmarkEnd w:id="28"/>
    </w:p>
    <w:p w14:paraId="37DDB963">
      <w:pPr>
        <w:keepNext/>
        <w:keepLines/>
        <w:spacing w:line="360" w:lineRule="auto"/>
        <w:outlineLvl w:val="2"/>
        <w:rPr>
          <w:rFonts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四、提交投标文件</w:t>
      </w:r>
      <w:bookmarkEnd w:id="23"/>
      <w:bookmarkEnd w:id="24"/>
      <w:r>
        <w:rPr>
          <w:rFonts w:hint="eastAsia" w:ascii="宋体" w:hAnsi="宋体" w:eastAsia="宋体" w:cs="宋体"/>
          <w:b/>
          <w:bCs/>
          <w:color w:val="000000" w:themeColor="text1"/>
          <w:sz w:val="32"/>
          <w:szCs w:val="32"/>
          <w:highlight w:val="none"/>
          <w14:textFill>
            <w14:solidFill>
              <w14:schemeClr w14:val="tx1"/>
            </w14:solidFill>
          </w14:textFill>
        </w:rPr>
        <w:t>截止时间、开标时间和地点</w:t>
      </w:r>
      <w:bookmarkEnd w:id="25"/>
      <w:bookmarkEnd w:id="26"/>
      <w:bookmarkEnd w:id="27"/>
    </w:p>
    <w:p w14:paraId="7C517834">
      <w:pPr>
        <w:spacing w:line="360" w:lineRule="auto"/>
        <w:ind w:firstLine="480"/>
        <w:rPr>
          <w:rFonts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提交投标文件截止时间、开标时间：</w:t>
      </w:r>
      <w:r>
        <w:rPr>
          <w:rFonts w:hint="eastAsia" w:ascii="宋体" w:hAnsi="宋体" w:eastAsia="宋体" w:cs="宋体"/>
          <w:bCs/>
          <w:color w:val="000000" w:themeColor="text1"/>
          <w:sz w:val="24"/>
          <w:highlight w:val="none"/>
          <w14:textFill>
            <w14:solidFill>
              <w14:schemeClr w14:val="tx1"/>
            </w14:solidFill>
          </w14:textFill>
        </w:rPr>
        <w:t>2026年</w:t>
      </w:r>
      <w:r>
        <w:rPr>
          <w:rFonts w:hint="eastAsia" w:ascii="宋体" w:hAnsi="宋体" w:eastAsia="宋体" w:cs="宋体"/>
          <w:bCs/>
          <w:color w:val="000000" w:themeColor="text1"/>
          <w:sz w:val="24"/>
          <w:highlight w:val="none"/>
          <w:lang w:val="en-US" w:eastAsia="zh-CN"/>
          <w14:textFill>
            <w14:solidFill>
              <w14:schemeClr w14:val="tx1"/>
            </w14:solidFill>
          </w14:textFill>
        </w:rPr>
        <w:t>11</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lang w:val="en-US" w:eastAsia="zh-CN"/>
          <w14:textFill>
            <w14:solidFill>
              <w14:schemeClr w14:val="tx1"/>
            </w14:solidFill>
          </w14:textFill>
        </w:rPr>
        <w:t>17</w:t>
      </w:r>
      <w:r>
        <w:rPr>
          <w:rFonts w:hint="eastAsia" w:ascii="宋体" w:hAnsi="宋体" w:eastAsia="宋体" w:cs="宋体"/>
          <w:color w:val="000000" w:themeColor="text1"/>
          <w:sz w:val="24"/>
          <w:highlight w:val="none"/>
          <w14:textFill>
            <w14:solidFill>
              <w14:schemeClr w14:val="tx1"/>
            </w14:solidFill>
          </w14:textFill>
        </w:rPr>
        <w:t>日</w:t>
      </w:r>
      <w:r>
        <w:rPr>
          <w:rFonts w:hint="eastAsia" w:ascii="宋体" w:hAnsi="宋体" w:eastAsia="宋体" w:cs="宋体"/>
          <w:bCs/>
          <w:color w:val="000000" w:themeColor="text1"/>
          <w:sz w:val="24"/>
          <w:highlight w:val="none"/>
          <w14:textFill>
            <w14:solidFill>
              <w14:schemeClr w14:val="tx1"/>
            </w14:solidFill>
          </w14:textFill>
        </w:rPr>
        <w:t>09</w:t>
      </w:r>
      <w:r>
        <w:rPr>
          <w:rFonts w:hint="eastAsia" w:ascii="宋体" w:hAnsi="宋体" w:eastAsia="宋体" w:cs="宋体"/>
          <w:bCs/>
          <w:color w:val="000000" w:themeColor="text1"/>
          <w:sz w:val="24"/>
          <w:highlight w:val="none"/>
          <w:lang w:eastAsia="zh-CN"/>
          <w14:textFill>
            <w14:solidFill>
              <w14:schemeClr w14:val="tx1"/>
            </w14:solidFill>
          </w14:textFill>
        </w:rPr>
        <w:t>时</w:t>
      </w:r>
      <w:r>
        <w:rPr>
          <w:rFonts w:hint="eastAsia" w:ascii="宋体" w:hAnsi="宋体" w:eastAsia="宋体" w:cs="宋体"/>
          <w:bCs/>
          <w:color w:val="000000" w:themeColor="text1"/>
          <w:sz w:val="24"/>
          <w:highlight w:val="none"/>
          <w14:textFill>
            <w14:solidFill>
              <w14:schemeClr w14:val="tx1"/>
            </w14:solidFill>
          </w14:textFill>
        </w:rPr>
        <w:t>30分（北京时间）</w:t>
      </w:r>
    </w:p>
    <w:p w14:paraId="2CF79DB9">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2.地点：“苏采云”政府采购交易系统网上开标大厅。</w:t>
      </w:r>
    </w:p>
    <w:p w14:paraId="3168754D">
      <w:pPr>
        <w:keepNext/>
        <w:keepLines/>
        <w:spacing w:line="360" w:lineRule="auto"/>
        <w:outlineLvl w:val="2"/>
        <w:rPr>
          <w:rFonts w:ascii="宋体" w:hAnsi="宋体" w:eastAsia="宋体" w:cs="宋体"/>
          <w:b/>
          <w:bCs/>
          <w:color w:val="000000" w:themeColor="text1"/>
          <w:sz w:val="32"/>
          <w:szCs w:val="32"/>
          <w:highlight w:val="none"/>
          <w14:textFill>
            <w14:solidFill>
              <w14:schemeClr w14:val="tx1"/>
            </w14:solidFill>
          </w14:textFill>
        </w:rPr>
      </w:pPr>
      <w:bookmarkStart w:id="29" w:name="_Toc28359084"/>
      <w:bookmarkStart w:id="30" w:name="_Toc35393794"/>
      <w:bookmarkStart w:id="31" w:name="_Toc35393625"/>
      <w:bookmarkStart w:id="32" w:name="_Toc38985267"/>
      <w:bookmarkStart w:id="33" w:name="_Toc28359007"/>
      <w:r>
        <w:rPr>
          <w:rFonts w:hint="eastAsia" w:ascii="宋体" w:hAnsi="宋体" w:eastAsia="宋体" w:cs="宋体"/>
          <w:b/>
          <w:bCs/>
          <w:color w:val="000000" w:themeColor="text1"/>
          <w:sz w:val="32"/>
          <w:szCs w:val="32"/>
          <w:highlight w:val="none"/>
          <w14:textFill>
            <w14:solidFill>
              <w14:schemeClr w14:val="tx1"/>
            </w14:solidFill>
          </w14:textFill>
        </w:rPr>
        <w:t>五、公告期限</w:t>
      </w:r>
      <w:bookmarkEnd w:id="29"/>
      <w:bookmarkEnd w:id="30"/>
      <w:bookmarkEnd w:id="31"/>
      <w:bookmarkEnd w:id="32"/>
      <w:bookmarkEnd w:id="33"/>
    </w:p>
    <w:p w14:paraId="75239472">
      <w:pPr>
        <w:spacing w:line="360" w:lineRule="auto"/>
        <w:ind w:firstLine="480"/>
        <w:rPr>
          <w:rFonts w:ascii="宋体" w:hAnsi="宋体" w:eastAsia="宋体" w:cs="宋体"/>
          <w:color w:val="000000" w:themeColor="text1"/>
          <w:sz w:val="24"/>
          <w:highlight w:val="none"/>
          <w14:textFill>
            <w14:solidFill>
              <w14:schemeClr w14:val="tx1"/>
            </w14:solidFill>
          </w14:textFill>
        </w:rPr>
      </w:pPr>
      <w:bookmarkStart w:id="34" w:name="_Toc38985268"/>
      <w:bookmarkStart w:id="35" w:name="_Toc35393626"/>
      <w:bookmarkStart w:id="36" w:name="_Toc35393795"/>
      <w:r>
        <w:rPr>
          <w:rFonts w:hint="eastAsia" w:ascii="宋体" w:hAnsi="宋体" w:eastAsia="宋体" w:cs="宋体"/>
          <w:color w:val="000000" w:themeColor="text1"/>
          <w:sz w:val="24"/>
          <w:highlight w:val="none"/>
          <w14:textFill>
            <w14:solidFill>
              <w14:schemeClr w14:val="tx1"/>
            </w14:solidFill>
          </w14:textFill>
        </w:rPr>
        <w:t>招标公告及招标文件公告期限为自本公告发布之日起5个工作日。</w:t>
      </w:r>
      <w:r>
        <w:rPr>
          <w:rFonts w:hint="eastAsia" w:ascii="宋体" w:hAnsi="宋体" w:eastAsia="宋体" w:cs="宋体"/>
          <w:color w:val="000000" w:themeColor="text1"/>
          <w:sz w:val="24"/>
          <w:szCs w:val="21"/>
          <w:highlight w:val="none"/>
          <w14:textFill>
            <w14:solidFill>
              <w14:schemeClr w14:val="tx1"/>
            </w14:solidFill>
          </w14:textFill>
        </w:rPr>
        <w:t>招标公告发布媒体：</w:t>
      </w:r>
      <w:bookmarkStart w:id="37" w:name="OLE_LINK3"/>
      <w:r>
        <w:rPr>
          <w:rFonts w:hint="eastAsia" w:ascii="Times New Roman" w:hAnsi="Times New Roman" w:cs="仿宋"/>
          <w:sz w:val="24"/>
          <w:szCs w:val="24"/>
          <w:highlight w:val="none"/>
        </w:rPr>
        <w:t>江苏政府采购网</w:t>
      </w:r>
      <w:bookmarkEnd w:id="37"/>
      <w:r>
        <w:rPr>
          <w:rFonts w:hint="eastAsia" w:ascii="Times New Roman" w:hAnsi="Times New Roman" w:cs="仿宋"/>
          <w:sz w:val="24"/>
          <w:szCs w:val="24"/>
          <w:highlight w:val="none"/>
        </w:rPr>
        <w:t>、宿迁市政府采购网等</w:t>
      </w:r>
      <w:r>
        <w:rPr>
          <w:rFonts w:hint="eastAsia" w:ascii="宋体" w:hAnsi="宋体" w:eastAsia="宋体" w:cs="宋体"/>
          <w:color w:val="000000" w:themeColor="text1"/>
          <w:sz w:val="24"/>
          <w:highlight w:val="none"/>
          <w14:textFill>
            <w14:solidFill>
              <w14:schemeClr w14:val="tx1"/>
            </w14:solidFill>
          </w14:textFill>
        </w:rPr>
        <w:t>。</w:t>
      </w:r>
    </w:p>
    <w:p w14:paraId="3A85D9E1">
      <w:pPr>
        <w:keepNext/>
        <w:keepLines/>
        <w:spacing w:line="360" w:lineRule="auto"/>
        <w:outlineLvl w:val="2"/>
        <w:rPr>
          <w:rFonts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六、其他补充事宜</w:t>
      </w:r>
      <w:bookmarkEnd w:id="34"/>
      <w:bookmarkEnd w:id="35"/>
      <w:bookmarkEnd w:id="36"/>
    </w:p>
    <w:p w14:paraId="11700C62">
      <w:pPr>
        <w:spacing w:line="360" w:lineRule="auto"/>
        <w:ind w:firstLine="480"/>
        <w:rPr>
          <w:rFonts w:hint="eastAsia" w:ascii="宋体" w:hAnsi="宋体" w:eastAsia="宋体" w:cs="宋体"/>
          <w:bCs/>
          <w:color w:val="000000" w:themeColor="text1"/>
          <w:sz w:val="24"/>
          <w:highlight w:val="none"/>
          <w14:textFill>
            <w14:solidFill>
              <w14:schemeClr w14:val="tx1"/>
            </w14:solidFill>
          </w14:textFill>
        </w:rPr>
      </w:pPr>
      <w:bookmarkStart w:id="38" w:name="_Toc38985269"/>
      <w:bookmarkStart w:id="39" w:name="_Toc35393627"/>
      <w:bookmarkStart w:id="40" w:name="_Toc28359008"/>
      <w:bookmarkStart w:id="41" w:name="_Toc35393796"/>
      <w:bookmarkStart w:id="42" w:name="_Toc28359085"/>
      <w:r>
        <w:rPr>
          <w:rFonts w:hint="eastAsia" w:ascii="宋体" w:hAnsi="宋体" w:eastAsia="宋体" w:cs="宋体"/>
          <w:bCs/>
          <w:color w:val="000000" w:themeColor="text1"/>
          <w:sz w:val="24"/>
          <w:highlight w:val="none"/>
          <w14:textFill>
            <w14:solidFill>
              <w14:schemeClr w14:val="tx1"/>
            </w14:solidFill>
          </w14:textFill>
        </w:rPr>
        <w:t>1.招标公告发布媒体</w:t>
      </w:r>
      <w:r>
        <w:rPr>
          <w:rFonts w:hint="eastAsia" w:ascii="宋体" w:hAnsi="宋体" w:eastAsia="宋体" w:cs="宋体"/>
          <w:bCs/>
          <w:color w:val="000000" w:themeColor="text1"/>
          <w:sz w:val="24"/>
          <w:highlight w:val="none"/>
          <w:lang w:eastAsia="zh-CN"/>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江苏政府采购网、宿迁市政府采购网等。</w:t>
      </w:r>
    </w:p>
    <w:p w14:paraId="751F9F96">
      <w:pPr>
        <w:spacing w:line="360" w:lineRule="auto"/>
        <w:ind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2.“CA”数字证书办理</w:t>
      </w:r>
      <w:r>
        <w:rPr>
          <w:rFonts w:hint="eastAsia" w:ascii="宋体" w:hAnsi="宋体" w:eastAsia="宋体" w:cs="宋体"/>
          <w:bCs/>
          <w:color w:val="000000" w:themeColor="text1"/>
          <w:sz w:val="24"/>
          <w:highlight w:val="none"/>
          <w:lang w:eastAsia="zh-CN"/>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“苏采云”系统目前仅支持“苏采云”系统下的意源CA。省内各地区办理的“苏采云”系统下的意源CA全省通用。宿迁地区CA数字证书办理联系方式</w:t>
      </w:r>
      <w:r>
        <w:rPr>
          <w:rFonts w:hint="eastAsia" w:ascii="宋体" w:hAnsi="宋体" w:eastAsia="宋体" w:cs="宋体"/>
          <w:bCs/>
          <w:color w:val="000000" w:themeColor="text1"/>
          <w:sz w:val="24"/>
          <w:highlight w:val="none"/>
          <w:lang w:eastAsia="zh-CN"/>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18351098172。</w:t>
      </w:r>
    </w:p>
    <w:p w14:paraId="6BF86176">
      <w:pPr>
        <w:spacing w:line="360" w:lineRule="auto"/>
        <w:ind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3.宿迁地区“苏采云”系统技术支持客服电话</w:t>
      </w:r>
      <w:r>
        <w:rPr>
          <w:rFonts w:hint="eastAsia" w:ascii="宋体" w:hAnsi="宋体" w:eastAsia="宋体" w:cs="宋体"/>
          <w:bCs/>
          <w:color w:val="000000" w:themeColor="text1"/>
          <w:sz w:val="24"/>
          <w:highlight w:val="none"/>
          <w:lang w:eastAsia="zh-CN"/>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0527-84363067、0519-86722806。</w:t>
      </w:r>
    </w:p>
    <w:p w14:paraId="1275C4AF">
      <w:pPr>
        <w:spacing w:line="360" w:lineRule="auto"/>
        <w:ind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4.现场勘察及答疑</w:t>
      </w:r>
      <w:r>
        <w:rPr>
          <w:rFonts w:hint="eastAsia" w:ascii="宋体" w:hAnsi="宋体" w:eastAsia="宋体" w:cs="宋体"/>
          <w:bCs/>
          <w:color w:val="000000" w:themeColor="text1"/>
          <w:sz w:val="24"/>
          <w:highlight w:val="none"/>
          <w:lang w:eastAsia="zh-CN"/>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本项目不组织集中勘察及答疑，投标人如对采购需求有疑问，请咨询采购单位联系人。</w:t>
      </w:r>
    </w:p>
    <w:p w14:paraId="7488F4C8">
      <w:pPr>
        <w:spacing w:line="360" w:lineRule="auto"/>
        <w:ind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5</w:t>
      </w:r>
      <w:r>
        <w:rPr>
          <w:rFonts w:hint="eastAsia" w:ascii="宋体" w:hAnsi="宋体" w:eastAsia="宋体" w:cs="宋体"/>
          <w:bCs/>
          <w:color w:val="000000" w:themeColor="text1"/>
          <w:sz w:val="24"/>
          <w:highlight w:val="none"/>
          <w14:textFill>
            <w14:solidFill>
              <w14:schemeClr w14:val="tx1"/>
            </w14:solidFill>
          </w14:textFill>
        </w:rPr>
        <w:t>.财政部门监督电话：0527-84363063。</w:t>
      </w:r>
    </w:p>
    <w:p w14:paraId="03F2DE5B">
      <w:pPr>
        <w:keepNext/>
        <w:keepLines/>
        <w:spacing w:line="360" w:lineRule="auto"/>
        <w:outlineLvl w:val="2"/>
        <w:rPr>
          <w:rFonts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七、本次招标联系方式</w:t>
      </w:r>
      <w:bookmarkEnd w:id="38"/>
      <w:bookmarkEnd w:id="39"/>
      <w:bookmarkEnd w:id="40"/>
      <w:bookmarkEnd w:id="41"/>
      <w:bookmarkEnd w:id="42"/>
    </w:p>
    <w:p w14:paraId="7F8C00AC">
      <w:pPr>
        <w:widowControl/>
        <w:spacing w:line="360" w:lineRule="auto"/>
        <w:ind w:firstLine="560"/>
        <w:jc w:val="left"/>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1.招标人信息</w:t>
      </w:r>
    </w:p>
    <w:p w14:paraId="74BE5BA4">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bookmarkStart w:id="43" w:name="_Toc28359086"/>
      <w:bookmarkStart w:id="44" w:name="_Toc28359009"/>
      <w:r>
        <w:rPr>
          <w:rFonts w:hint="eastAsia" w:ascii="宋体" w:hAnsi="宋体" w:eastAsia="宋体" w:cs="宋体"/>
          <w:color w:val="000000" w:themeColor="text1"/>
          <w:sz w:val="24"/>
          <w:highlight w:val="none"/>
          <w14:textFill>
            <w14:solidFill>
              <w14:schemeClr w14:val="tx1"/>
            </w14:solidFill>
          </w14:textFill>
        </w:rPr>
        <w:t>名 称：</w:t>
      </w:r>
      <w:bookmarkStart w:id="45" w:name="EB1ff633e75df84747a21e47b67129b3f1"/>
      <w:r>
        <w:rPr>
          <w:rFonts w:hint="eastAsia" w:ascii="宋体" w:hAnsi="宋体" w:eastAsia="宋体" w:cs="宋体"/>
          <w:color w:val="000000" w:themeColor="text1"/>
          <w:sz w:val="24"/>
          <w:highlight w:val="none"/>
          <w14:textFill>
            <w14:solidFill>
              <w14:schemeClr w14:val="tx1"/>
            </w14:solidFill>
          </w14:textFill>
        </w:rPr>
        <w:t>宿迁市计量测试所</w:t>
      </w:r>
      <w:bookmarkEnd w:id="45"/>
    </w:p>
    <w:p w14:paraId="4D9A6DC8">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 址：宿迁市经济开发区建陵路西侧</w:t>
      </w:r>
    </w:p>
    <w:p w14:paraId="69BB83E5">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联系人：倪铮铮</w:t>
      </w:r>
    </w:p>
    <w:p w14:paraId="3BF8DDFB">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联系方式：0527-84568695</w:t>
      </w:r>
    </w:p>
    <w:p w14:paraId="524BE657">
      <w:pPr>
        <w:widowControl/>
        <w:spacing w:line="360" w:lineRule="auto"/>
        <w:ind w:firstLine="560"/>
        <w:jc w:val="left"/>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2.采购代理机构信息</w:t>
      </w:r>
      <w:bookmarkEnd w:id="43"/>
      <w:bookmarkEnd w:id="44"/>
    </w:p>
    <w:p w14:paraId="7CFA6999">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名 称：江苏宏邦工程管理咨询有限公司</w:t>
      </w:r>
    </w:p>
    <w:p w14:paraId="3A358F95">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　址：宿迁市凯林瑞百货大楼10楼1002室</w:t>
      </w:r>
    </w:p>
    <w:p w14:paraId="5CB89CAF">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联系人：董田田</w:t>
      </w:r>
    </w:p>
    <w:p w14:paraId="123135F7">
      <w:pPr>
        <w:spacing w:line="360" w:lineRule="auto"/>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联系方式：</w:t>
      </w:r>
      <w:r>
        <w:rPr>
          <w:rFonts w:hint="eastAsia" w:ascii="宋体" w:hAnsi="宋体" w:eastAsia="宋体" w:cs="宋体"/>
          <w:color w:val="000000" w:themeColor="text1"/>
          <w:sz w:val="24"/>
          <w:highlight w:val="none"/>
          <w:lang w:val="en-US" w:eastAsia="zh-CN"/>
          <w14:textFill>
            <w14:solidFill>
              <w14:schemeClr w14:val="tx1"/>
            </w14:solidFill>
          </w14:textFill>
        </w:rPr>
        <w:t>052788858966、</w:t>
      </w:r>
      <w:r>
        <w:rPr>
          <w:rFonts w:hint="eastAsia" w:ascii="宋体" w:hAnsi="宋体" w:eastAsia="宋体" w:cs="宋体"/>
          <w:color w:val="000000" w:themeColor="text1"/>
          <w:sz w:val="24"/>
          <w:highlight w:val="none"/>
          <w14:textFill>
            <w14:solidFill>
              <w14:schemeClr w14:val="tx1"/>
            </w14:solidFill>
          </w14:textFill>
        </w:rPr>
        <w:t>18360131381</w:t>
      </w:r>
    </w:p>
    <w:p w14:paraId="2D72FDDC">
      <w:pPr>
        <w:keepNext/>
        <w:keepLines/>
        <w:spacing w:line="360" w:lineRule="auto"/>
        <w:outlineLvl w:val="2"/>
        <w:rPr>
          <w:rFonts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八、其他</w:t>
      </w:r>
    </w:p>
    <w:p w14:paraId="12E7CB00">
      <w:pPr>
        <w:spacing w:line="360" w:lineRule="auto"/>
        <w:ind w:firstLine="480"/>
        <w:rPr>
          <w:rFonts w:ascii="宋体" w:hAnsi="宋体" w:eastAsia="宋体" w:cs="宋体"/>
          <w:iCs/>
          <w:color w:val="000000" w:themeColor="text1"/>
          <w:sz w:val="24"/>
          <w:szCs w:val="21"/>
          <w:highlight w:val="none"/>
          <w14:textFill>
            <w14:solidFill>
              <w14:schemeClr w14:val="tx1"/>
            </w14:solidFill>
          </w14:textFill>
        </w:rPr>
      </w:pPr>
      <w:r>
        <w:rPr>
          <w:rFonts w:hint="eastAsia" w:ascii="宋体" w:hAnsi="宋体" w:eastAsia="宋体" w:cs="宋体"/>
          <w:iCs/>
          <w:color w:val="000000" w:themeColor="text1"/>
          <w:sz w:val="24"/>
          <w:szCs w:val="21"/>
          <w:highlight w:val="none"/>
          <w14:textFill>
            <w14:solidFill>
              <w14:schemeClr w14:val="tx1"/>
            </w14:solidFill>
          </w14:textFill>
        </w:rPr>
        <w:t>1.有关本次招标的事项若存在变动或修改，敬请及时关注“江苏政府采购网</w:t>
      </w:r>
      <w:r>
        <w:rPr>
          <w:rFonts w:hint="eastAsia" w:ascii="宋体" w:hAnsi="宋体" w:eastAsia="宋体" w:cs="宋体"/>
          <w:iCs/>
          <w:color w:val="000000" w:themeColor="text1"/>
          <w:sz w:val="24"/>
          <w:szCs w:val="21"/>
          <w:highlight w:val="none"/>
          <w:lang w:eastAsia="zh-CN"/>
          <w14:textFill>
            <w14:solidFill>
              <w14:schemeClr w14:val="tx1"/>
            </w14:solidFill>
          </w14:textFill>
        </w:rPr>
        <w:t>、</w:t>
      </w:r>
      <w:r>
        <w:rPr>
          <w:rFonts w:hint="eastAsia" w:cs="仿宋_GB2312"/>
          <w:iCs/>
          <w:sz w:val="24"/>
          <w:highlight w:val="none"/>
        </w:rPr>
        <w:t>宿迁市政府采购网</w:t>
      </w:r>
      <w:r>
        <w:rPr>
          <w:rFonts w:hint="eastAsia" w:ascii="宋体" w:hAnsi="宋体" w:eastAsia="宋体" w:cs="宋体"/>
          <w:iCs/>
          <w:color w:val="000000" w:themeColor="text1"/>
          <w:sz w:val="24"/>
          <w:szCs w:val="21"/>
          <w:highlight w:val="none"/>
          <w14:textFill>
            <w14:solidFill>
              <w14:schemeClr w14:val="tx1"/>
            </w14:solidFill>
          </w14:textFill>
        </w:rPr>
        <w:t>”等平台更正公告。</w:t>
      </w:r>
    </w:p>
    <w:p w14:paraId="4E0A0F06">
      <w:pPr>
        <w:tabs>
          <w:tab w:val="left" w:pos="900"/>
        </w:tabs>
        <w:spacing w:line="360" w:lineRule="auto"/>
        <w:ind w:firstLine="480"/>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iCs/>
          <w:color w:val="000000" w:themeColor="text1"/>
          <w:sz w:val="24"/>
          <w:szCs w:val="21"/>
          <w:highlight w:val="none"/>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本次招标不收取投标保证金。</w:t>
      </w:r>
    </w:p>
    <w:p w14:paraId="48CFF75A">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p>
    <w:p w14:paraId="6F40150E">
      <w:pPr>
        <w:keepNext/>
        <w:keepLines/>
        <w:pageBreakBefore w:val="0"/>
        <w:widowControl w:val="0"/>
        <w:kinsoku/>
        <w:wordWrap/>
        <w:overflowPunct/>
        <w:topLinePunct w:val="0"/>
        <w:autoSpaceDE/>
        <w:autoSpaceDN/>
        <w:bidi w:val="0"/>
        <w:adjustRightInd/>
        <w:snapToGrid/>
        <w:spacing w:before="260" w:after="260"/>
        <w:ind w:firstLine="2426"/>
        <w:textAlignment w:val="auto"/>
        <w:outlineLvl w:val="0"/>
        <w:rPr>
          <w:rFonts w:ascii="宋体" w:hAnsi="宋体" w:eastAsia="宋体" w:cs="宋体"/>
          <w:color w:val="000000" w:themeColor="text1"/>
          <w:sz w:val="44"/>
          <w:szCs w:val="44"/>
          <w:highlight w:val="none"/>
          <w14:textFill>
            <w14:solidFill>
              <w14:schemeClr w14:val="tx1"/>
            </w14:solidFill>
          </w14:textFill>
        </w:rPr>
      </w:pPr>
      <w:bookmarkStart w:id="46" w:name="_Toc120614211"/>
      <w:bookmarkStart w:id="47" w:name="_Toc28130"/>
      <w:r>
        <w:rPr>
          <w:rFonts w:hint="eastAsia" w:ascii="宋体" w:hAnsi="宋体" w:eastAsia="宋体" w:cs="宋体"/>
          <w:b/>
          <w:bCs/>
          <w:color w:val="000000" w:themeColor="text1"/>
          <w:sz w:val="44"/>
          <w:szCs w:val="44"/>
          <w:highlight w:val="none"/>
          <w14:textFill>
            <w14:solidFill>
              <w14:schemeClr w14:val="tx1"/>
            </w14:solidFill>
          </w14:textFill>
        </w:rPr>
        <w:t>第二章</w:t>
      </w:r>
      <w:bookmarkEnd w:id="1"/>
      <w:bookmarkEnd w:id="2"/>
      <w:bookmarkEnd w:id="3"/>
      <w:bookmarkEnd w:id="4"/>
      <w:bookmarkEnd w:id="5"/>
      <w:bookmarkEnd w:id="46"/>
      <w:bookmarkStart w:id="48" w:name="_Toc20823274"/>
      <w:bookmarkStart w:id="49" w:name="_Toc120614213"/>
      <w:bookmarkStart w:id="50" w:name="_Toc513029202"/>
      <w:bookmarkStart w:id="51" w:name="_Toc16938518"/>
      <w:r>
        <w:rPr>
          <w:rFonts w:hint="eastAsia" w:ascii="宋体" w:hAnsi="宋体" w:eastAsia="宋体" w:cs="宋体"/>
          <w:b/>
          <w:bCs/>
          <w:color w:val="000000" w:themeColor="text1"/>
          <w:sz w:val="44"/>
          <w:szCs w:val="44"/>
          <w:highlight w:val="none"/>
          <w14:textFill>
            <w14:solidFill>
              <w14:schemeClr w14:val="tx1"/>
            </w14:solidFill>
          </w14:textFill>
        </w:rPr>
        <w:t xml:space="preserve"> 投标人须知</w:t>
      </w:r>
      <w:bookmarkEnd w:id="47"/>
      <w:bookmarkEnd w:id="48"/>
      <w:bookmarkEnd w:id="49"/>
      <w:bookmarkEnd w:id="50"/>
      <w:bookmarkEnd w:id="51"/>
    </w:p>
    <w:p w14:paraId="0EC74447">
      <w:pPr>
        <w:pStyle w:val="3"/>
        <w:spacing w:before="0" w:after="120" w:line="240" w:lineRule="auto"/>
        <w:rPr>
          <w:rFonts w:ascii="宋体" w:hAnsi="宋体" w:eastAsia="宋体" w:cs="宋体"/>
          <w:bCs/>
          <w:color w:val="000000" w:themeColor="text1"/>
          <w:szCs w:val="22"/>
          <w:highlight w:val="none"/>
          <w14:textFill>
            <w14:solidFill>
              <w14:schemeClr w14:val="tx1"/>
            </w14:solidFill>
          </w14:textFill>
        </w:rPr>
      </w:pPr>
      <w:bookmarkStart w:id="52" w:name="_Toc4529"/>
      <w:bookmarkStart w:id="53" w:name="_Toc120614214"/>
      <w:bookmarkStart w:id="54" w:name="_Toc20823275"/>
      <w:bookmarkStart w:id="55" w:name="_Toc16938519"/>
      <w:bookmarkStart w:id="56" w:name="_Toc513029203"/>
      <w:r>
        <w:rPr>
          <w:rFonts w:hint="eastAsia" w:ascii="宋体" w:hAnsi="宋体" w:eastAsia="宋体" w:cs="宋体"/>
          <w:bCs/>
          <w:color w:val="000000" w:themeColor="text1"/>
          <w:szCs w:val="22"/>
          <w:highlight w:val="none"/>
          <w14:textFill>
            <w14:solidFill>
              <w14:schemeClr w14:val="tx1"/>
            </w14:solidFill>
          </w14:textFill>
        </w:rPr>
        <w:t>投标人须知前附表：</w:t>
      </w:r>
      <w:bookmarkEnd w:id="52"/>
    </w:p>
    <w:tbl>
      <w:tblPr>
        <w:tblStyle w:val="33"/>
        <w:tblpPr w:leftFromText="180" w:rightFromText="180" w:vertAnchor="text" w:horzAnchor="page" w:tblpX="1530" w:tblpY="228"/>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772"/>
        <w:gridCol w:w="6579"/>
      </w:tblGrid>
      <w:tr w14:paraId="33793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858" w:type="dxa"/>
            <w:tcBorders>
              <w:top w:val="single" w:color="auto" w:sz="4" w:space="0"/>
              <w:left w:val="single" w:color="auto" w:sz="4" w:space="0"/>
              <w:bottom w:val="single" w:color="auto" w:sz="4" w:space="0"/>
              <w:right w:val="single" w:color="auto" w:sz="4" w:space="0"/>
            </w:tcBorders>
            <w:noWrap w:val="0"/>
            <w:vAlign w:val="center"/>
          </w:tcPr>
          <w:p w14:paraId="2A3FC09E">
            <w:pPr>
              <w:jc w:val="center"/>
              <w:rPr>
                <w:rFonts w:ascii="宋体" w:hAnsi="宋体" w:eastAsia="宋体" w:cs="宋体"/>
                <w:b/>
                <w:color w:val="000000" w:themeColor="text1"/>
                <w:sz w:val="24"/>
                <w:highlight w:val="none"/>
                <w14:textFill>
                  <w14:solidFill>
                    <w14:schemeClr w14:val="tx1"/>
                  </w14:solidFill>
                </w14:textFill>
              </w:rPr>
            </w:pPr>
            <w:bookmarkStart w:id="57" w:name="_Toc81575154"/>
            <w:bookmarkStart w:id="58" w:name="_Toc81575191"/>
            <w:bookmarkStart w:id="59" w:name="_Toc29262"/>
            <w:r>
              <w:rPr>
                <w:rFonts w:hint="eastAsia" w:ascii="宋体" w:hAnsi="宋体" w:eastAsia="宋体" w:cs="宋体"/>
                <w:b/>
                <w:color w:val="000000" w:themeColor="text1"/>
                <w:sz w:val="24"/>
                <w:highlight w:val="none"/>
                <w14:textFill>
                  <w14:solidFill>
                    <w14:schemeClr w14:val="tx1"/>
                  </w14:solidFill>
                </w14:textFill>
              </w:rPr>
              <w:t>序号</w:t>
            </w:r>
          </w:p>
        </w:tc>
        <w:tc>
          <w:tcPr>
            <w:tcW w:w="1772" w:type="dxa"/>
            <w:tcBorders>
              <w:top w:val="single" w:color="auto" w:sz="4" w:space="0"/>
              <w:left w:val="nil"/>
              <w:bottom w:val="single" w:color="auto" w:sz="4" w:space="0"/>
              <w:right w:val="single" w:color="auto" w:sz="4" w:space="0"/>
            </w:tcBorders>
            <w:noWrap w:val="0"/>
            <w:vAlign w:val="center"/>
          </w:tcPr>
          <w:p w14:paraId="435AE931">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内容</w:t>
            </w:r>
          </w:p>
        </w:tc>
        <w:tc>
          <w:tcPr>
            <w:tcW w:w="6579" w:type="dxa"/>
            <w:tcBorders>
              <w:top w:val="single" w:color="auto" w:sz="4" w:space="0"/>
              <w:left w:val="nil"/>
              <w:bottom w:val="single" w:color="auto" w:sz="4" w:space="0"/>
              <w:right w:val="single" w:color="auto" w:sz="4" w:space="0"/>
            </w:tcBorders>
            <w:noWrap w:val="0"/>
            <w:vAlign w:val="center"/>
          </w:tcPr>
          <w:p w14:paraId="6365D86B">
            <w:pPr>
              <w:jc w:val="center"/>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说明及要求</w:t>
            </w:r>
          </w:p>
        </w:tc>
      </w:tr>
      <w:tr w14:paraId="4C6D6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0D8E7FE6">
            <w:pPr>
              <w:spacing w:line="4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1772" w:type="dxa"/>
            <w:tcBorders>
              <w:top w:val="single" w:color="auto" w:sz="4" w:space="0"/>
              <w:left w:val="nil"/>
              <w:bottom w:val="single" w:color="auto" w:sz="4" w:space="0"/>
              <w:right w:val="single" w:color="auto" w:sz="4" w:space="0"/>
            </w:tcBorders>
            <w:noWrap w:val="0"/>
            <w:vAlign w:val="center"/>
          </w:tcPr>
          <w:p w14:paraId="3B31A0AD">
            <w:pPr>
              <w:spacing w:line="4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项目属性</w:t>
            </w:r>
          </w:p>
        </w:tc>
        <w:tc>
          <w:tcPr>
            <w:tcW w:w="6579" w:type="dxa"/>
            <w:tcBorders>
              <w:top w:val="single" w:color="auto" w:sz="4" w:space="0"/>
              <w:left w:val="nil"/>
              <w:bottom w:val="single" w:color="auto" w:sz="4" w:space="0"/>
              <w:right w:val="single" w:color="auto" w:sz="4" w:space="0"/>
            </w:tcBorders>
            <w:noWrap w:val="0"/>
            <w:vAlign w:val="center"/>
          </w:tcPr>
          <w:p w14:paraId="7F4F5180">
            <w:pPr>
              <w:spacing w:line="400" w:lineRule="exact"/>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本项目</w:t>
            </w:r>
            <w:bookmarkStart w:id="60" w:name="EB9a5853ee094f4f0ea6ec3169265f6f2c"/>
            <w:r>
              <w:rPr>
                <w:rFonts w:hint="eastAsia" w:ascii="宋体" w:hAnsi="宋体" w:eastAsia="宋体" w:cs="宋体"/>
                <w:color w:val="000000" w:themeColor="text1"/>
                <w:sz w:val="24"/>
                <w:highlight w:val="none"/>
                <w14:textFill>
                  <w14:solidFill>
                    <w14:schemeClr w14:val="tx1"/>
                  </w14:solidFill>
                </w14:textFill>
              </w:rPr>
              <w:t>属性按以下第</w:t>
            </w:r>
            <w:bookmarkEnd w:id="60"/>
            <w:r>
              <w:rPr>
                <w:rFonts w:hint="eastAsia" w:ascii="宋体" w:hAnsi="宋体" w:eastAsia="宋体" w:cs="宋体"/>
                <w:color w:val="000000" w:themeColor="text1"/>
                <w:sz w:val="24"/>
                <w:highlight w:val="none"/>
                <w:u w:val="single"/>
                <w14:textFill>
                  <w14:solidFill>
                    <w14:schemeClr w14:val="tx1"/>
                  </w14:solidFill>
                </w14:textFill>
              </w:rPr>
              <w:t xml:space="preserve"> 1 </w:t>
            </w:r>
            <w:r>
              <w:rPr>
                <w:rFonts w:hint="eastAsia" w:ascii="宋体" w:hAnsi="宋体" w:eastAsia="宋体" w:cs="宋体"/>
                <w:color w:val="000000" w:themeColor="text1"/>
                <w:sz w:val="24"/>
                <w:highlight w:val="none"/>
                <w14:textFill>
                  <w14:solidFill>
                    <w14:schemeClr w14:val="tx1"/>
                  </w14:solidFill>
                </w14:textFill>
              </w:rPr>
              <w:t>种确定：</w:t>
            </w:r>
          </w:p>
          <w:p w14:paraId="4284402C">
            <w:pPr>
              <w:spacing w:line="400" w:lineRule="exact"/>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1.货物</w:t>
            </w:r>
            <w:bookmarkStart w:id="61" w:name="EBd5c6c026f9674c39b21b31ecd0c1e7fa"/>
            <w:r>
              <w:rPr>
                <w:rFonts w:hint="eastAsia" w:ascii="宋体" w:hAnsi="宋体" w:eastAsia="宋体" w:cs="宋体"/>
                <w:color w:val="000000" w:themeColor="text1"/>
                <w:sz w:val="24"/>
                <w:highlight w:val="none"/>
                <w14:textFill>
                  <w14:solidFill>
                    <w14:schemeClr w14:val="tx1"/>
                  </w14:solidFill>
                </w14:textFill>
              </w:rPr>
              <w:t>采购；2.</w:t>
            </w:r>
            <w:bookmarkEnd w:id="61"/>
            <w:r>
              <w:rPr>
                <w:rFonts w:hint="eastAsia" w:ascii="宋体" w:hAnsi="宋体" w:eastAsia="宋体" w:cs="宋体"/>
                <w:color w:val="000000" w:themeColor="text1"/>
                <w:sz w:val="24"/>
                <w:highlight w:val="none"/>
                <w14:textFill>
                  <w14:solidFill>
                    <w14:schemeClr w14:val="tx1"/>
                  </w14:solidFill>
                </w14:textFill>
              </w:rPr>
              <w:t>服务</w:t>
            </w:r>
            <w:bookmarkStart w:id="62" w:name="EBf7d2a4f44ecb4166a93ea852e73be69f"/>
            <w:r>
              <w:rPr>
                <w:rFonts w:hint="eastAsia" w:ascii="宋体" w:hAnsi="宋体" w:eastAsia="宋体" w:cs="宋体"/>
                <w:color w:val="000000" w:themeColor="text1"/>
                <w:sz w:val="24"/>
                <w:highlight w:val="none"/>
                <w14:textFill>
                  <w14:solidFill>
                    <w14:schemeClr w14:val="tx1"/>
                  </w14:solidFill>
                </w14:textFill>
              </w:rPr>
              <w:t>采购；3.</w:t>
            </w:r>
            <w:bookmarkEnd w:id="62"/>
            <w:r>
              <w:rPr>
                <w:rFonts w:hint="eastAsia" w:ascii="宋体" w:hAnsi="宋体" w:eastAsia="宋体" w:cs="宋体"/>
                <w:color w:val="000000" w:themeColor="text1"/>
                <w:sz w:val="24"/>
                <w:highlight w:val="none"/>
                <w14:textFill>
                  <w14:solidFill>
                    <w14:schemeClr w14:val="tx1"/>
                  </w14:solidFill>
                </w14:textFill>
              </w:rPr>
              <w:t>工程采购。</w:t>
            </w:r>
          </w:p>
        </w:tc>
      </w:tr>
      <w:tr w14:paraId="41042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676A9313">
            <w:pPr>
              <w:spacing w:line="4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p>
        </w:tc>
        <w:tc>
          <w:tcPr>
            <w:tcW w:w="1772" w:type="dxa"/>
            <w:tcBorders>
              <w:top w:val="single" w:color="auto" w:sz="4" w:space="0"/>
              <w:left w:val="nil"/>
              <w:bottom w:val="single" w:color="auto" w:sz="4" w:space="0"/>
              <w:right w:val="single" w:color="auto" w:sz="4" w:space="0"/>
            </w:tcBorders>
            <w:noWrap w:val="0"/>
            <w:vAlign w:val="center"/>
          </w:tcPr>
          <w:p w14:paraId="0D444C2F">
            <w:pPr>
              <w:spacing w:line="4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投标有效期</w:t>
            </w:r>
          </w:p>
        </w:tc>
        <w:tc>
          <w:tcPr>
            <w:tcW w:w="6579" w:type="dxa"/>
            <w:tcBorders>
              <w:top w:val="single" w:color="auto" w:sz="4" w:space="0"/>
              <w:left w:val="nil"/>
              <w:bottom w:val="single" w:color="auto" w:sz="4" w:space="0"/>
              <w:right w:val="single" w:color="auto" w:sz="4" w:space="0"/>
            </w:tcBorders>
            <w:noWrap w:val="0"/>
            <w:vAlign w:val="center"/>
          </w:tcPr>
          <w:p w14:paraId="68D68969">
            <w:pPr>
              <w:spacing w:line="400" w:lineRule="exact"/>
              <w:jc w:val="left"/>
              <w:rPr>
                <w:rFonts w:ascii="宋体" w:hAnsi="宋体" w:eastAsia="宋体" w:cs="宋体"/>
                <w:color w:val="000000" w:themeColor="text1"/>
                <w:sz w:val="24"/>
                <w:highlight w:val="none"/>
                <w14:textFill>
                  <w14:solidFill>
                    <w14:schemeClr w14:val="tx1"/>
                  </w14:solidFill>
                </w14:textFill>
              </w:rPr>
            </w:pPr>
            <w:bookmarkStart w:id="63" w:name="EBd40b5fb42f2944a3b45e579ce3941f02"/>
            <w:bookmarkEnd w:id="63"/>
            <w:r>
              <w:rPr>
                <w:rFonts w:hint="eastAsia" w:ascii="宋体" w:hAnsi="宋体" w:eastAsia="宋体" w:cs="宋体"/>
                <w:color w:val="000000" w:themeColor="text1"/>
                <w:sz w:val="24"/>
                <w:highlight w:val="none"/>
                <w14:textFill>
                  <w14:solidFill>
                    <w14:schemeClr w14:val="tx1"/>
                  </w14:solidFill>
                </w14:textFill>
              </w:rPr>
              <w:t>60日（从提交投标文件截止之日起算）</w:t>
            </w:r>
          </w:p>
        </w:tc>
      </w:tr>
      <w:tr w14:paraId="2FD8D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578033F3">
            <w:pPr>
              <w:spacing w:line="4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w:t>
            </w:r>
          </w:p>
        </w:tc>
        <w:tc>
          <w:tcPr>
            <w:tcW w:w="1772" w:type="dxa"/>
            <w:tcBorders>
              <w:top w:val="single" w:color="auto" w:sz="4" w:space="0"/>
              <w:left w:val="nil"/>
              <w:bottom w:val="single" w:color="auto" w:sz="4" w:space="0"/>
              <w:right w:val="single" w:color="auto" w:sz="4" w:space="0"/>
            </w:tcBorders>
            <w:noWrap w:val="0"/>
            <w:vAlign w:val="center"/>
          </w:tcPr>
          <w:p w14:paraId="10716EF0">
            <w:pPr>
              <w:spacing w:line="4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投标文件份数</w:t>
            </w:r>
          </w:p>
        </w:tc>
        <w:tc>
          <w:tcPr>
            <w:tcW w:w="6579" w:type="dxa"/>
            <w:tcBorders>
              <w:top w:val="single" w:color="auto" w:sz="4" w:space="0"/>
              <w:left w:val="nil"/>
              <w:bottom w:val="single" w:color="auto" w:sz="4" w:space="0"/>
              <w:right w:val="single" w:color="auto" w:sz="4" w:space="0"/>
            </w:tcBorders>
            <w:noWrap w:val="0"/>
            <w:vAlign w:val="center"/>
          </w:tcPr>
          <w:p w14:paraId="153CC7AA">
            <w:pPr>
              <w:spacing w:line="400" w:lineRule="exact"/>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提交加密电子投标文件</w:t>
            </w:r>
            <w:r>
              <w:rPr>
                <w:rFonts w:hint="eastAsia" w:ascii="宋体" w:hAnsi="宋体" w:eastAsia="宋体" w:cs="宋体"/>
                <w:color w:val="000000" w:themeColor="text1"/>
                <w:sz w:val="24"/>
                <w:highlight w:val="none"/>
                <w:u w:val="single"/>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份</w:t>
            </w:r>
            <w:r>
              <w:rPr>
                <w:rFonts w:hint="eastAsia"/>
                <w:bCs/>
                <w:sz w:val="24"/>
                <w:highlight w:val="none"/>
              </w:rPr>
              <w:t>中标后按相关要求提供与电子投标文件一致的纸质打印投标文件</w:t>
            </w:r>
            <w:r>
              <w:rPr>
                <w:b/>
                <w:bCs/>
                <w:sz w:val="24"/>
                <w:highlight w:val="none"/>
              </w:rPr>
              <w:t>4</w:t>
            </w:r>
            <w:r>
              <w:rPr>
                <w:rFonts w:hint="eastAsia"/>
                <w:b/>
                <w:bCs/>
                <w:sz w:val="24"/>
                <w:highlight w:val="none"/>
              </w:rPr>
              <w:t>份</w:t>
            </w:r>
            <w:r>
              <w:rPr>
                <w:rFonts w:hint="eastAsia"/>
                <w:bCs/>
                <w:sz w:val="24"/>
                <w:highlight w:val="none"/>
              </w:rPr>
              <w:t>。</w:t>
            </w:r>
          </w:p>
        </w:tc>
      </w:tr>
      <w:tr w14:paraId="64692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4815D57D">
            <w:pPr>
              <w:spacing w:line="4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w:t>
            </w:r>
          </w:p>
        </w:tc>
        <w:tc>
          <w:tcPr>
            <w:tcW w:w="1772" w:type="dxa"/>
            <w:tcBorders>
              <w:top w:val="single" w:color="auto" w:sz="4" w:space="0"/>
              <w:left w:val="nil"/>
              <w:bottom w:val="single" w:color="auto" w:sz="4" w:space="0"/>
              <w:right w:val="single" w:color="auto" w:sz="4" w:space="0"/>
            </w:tcBorders>
            <w:noWrap w:val="0"/>
            <w:vAlign w:val="center"/>
          </w:tcPr>
          <w:p w14:paraId="21C2DD70">
            <w:pPr>
              <w:spacing w:line="4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开标</w:t>
            </w:r>
          </w:p>
        </w:tc>
        <w:tc>
          <w:tcPr>
            <w:tcW w:w="6579" w:type="dxa"/>
            <w:tcBorders>
              <w:top w:val="single" w:color="auto" w:sz="4" w:space="0"/>
              <w:left w:val="nil"/>
              <w:bottom w:val="single" w:color="auto" w:sz="4" w:space="0"/>
              <w:right w:val="single" w:color="auto" w:sz="4" w:space="0"/>
            </w:tcBorders>
            <w:noWrap w:val="0"/>
            <w:vAlign w:val="center"/>
          </w:tcPr>
          <w:p w14:paraId="5EE4E955">
            <w:pPr>
              <w:spacing w:line="400" w:lineRule="exact"/>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“苏采云”政府采购交易系统网上开标大厅进行不见面开标。</w:t>
            </w:r>
          </w:p>
        </w:tc>
      </w:tr>
      <w:tr w14:paraId="68261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8" w:type="dxa"/>
            <w:tcBorders>
              <w:top w:val="single" w:color="auto" w:sz="4" w:space="0"/>
              <w:left w:val="single" w:color="auto" w:sz="4" w:space="0"/>
              <w:bottom w:val="single" w:color="auto" w:sz="4" w:space="0"/>
              <w:right w:val="single" w:color="auto" w:sz="4" w:space="0"/>
            </w:tcBorders>
            <w:noWrap w:val="0"/>
            <w:vAlign w:val="center"/>
          </w:tcPr>
          <w:p w14:paraId="5386A8B3">
            <w:pPr>
              <w:spacing w:line="4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w:t>
            </w:r>
          </w:p>
        </w:tc>
        <w:tc>
          <w:tcPr>
            <w:tcW w:w="1772" w:type="dxa"/>
            <w:tcBorders>
              <w:top w:val="single" w:color="auto" w:sz="4" w:space="0"/>
              <w:left w:val="nil"/>
              <w:bottom w:val="single" w:color="auto" w:sz="4" w:space="0"/>
              <w:right w:val="single" w:color="auto" w:sz="4" w:space="0"/>
            </w:tcBorders>
            <w:noWrap w:val="0"/>
            <w:vAlign w:val="center"/>
          </w:tcPr>
          <w:p w14:paraId="55C1D03C">
            <w:pPr>
              <w:spacing w:line="4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进口产品</w:t>
            </w:r>
          </w:p>
        </w:tc>
        <w:tc>
          <w:tcPr>
            <w:tcW w:w="6579" w:type="dxa"/>
            <w:tcBorders>
              <w:top w:val="single" w:color="auto" w:sz="4" w:space="0"/>
              <w:left w:val="nil"/>
              <w:bottom w:val="single" w:color="auto" w:sz="4" w:space="0"/>
              <w:right w:val="single" w:color="auto" w:sz="4" w:space="0"/>
            </w:tcBorders>
            <w:noWrap w:val="0"/>
            <w:vAlign w:val="center"/>
          </w:tcPr>
          <w:p w14:paraId="0A208090">
            <w:pPr>
              <w:spacing w:line="400" w:lineRule="exact"/>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按以下第</w:t>
            </w:r>
            <w:r>
              <w:rPr>
                <w:rFonts w:hint="eastAsia" w:ascii="宋体" w:hAnsi="宋体" w:eastAsia="宋体" w:cs="宋体"/>
                <w:color w:val="000000" w:themeColor="text1"/>
                <w:sz w:val="24"/>
                <w:highlight w:val="none"/>
                <w:u w:val="single"/>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种方式确定：</w:t>
            </w:r>
          </w:p>
          <w:p w14:paraId="3FC1F4F2">
            <w:pPr>
              <w:widowControl/>
              <w:spacing w:line="360" w:lineRule="exact"/>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1.接受进口产品。</w:t>
            </w:r>
            <w:r>
              <w:rPr>
                <w:rFonts w:hint="eastAsia" w:ascii="宋体" w:hAnsi="宋体" w:eastAsia="宋体" w:cs="宋体"/>
                <w:color w:val="000000" w:themeColor="text1"/>
                <w:sz w:val="24"/>
                <w:szCs w:val="22"/>
                <w:highlight w:val="none"/>
                <w14:textFill>
                  <w14:solidFill>
                    <w14:schemeClr w14:val="tx1"/>
                  </w14:solidFill>
                </w14:textFill>
              </w:rPr>
              <w:t>应当符合《政府采购进口产品管理办法》（财库〔2007〕119号）、《关于政府采购进口产品管理有关问题的通知》（财办库〔2008〕248号）等相关规定</w:t>
            </w:r>
            <w:r>
              <w:rPr>
                <w:rFonts w:hint="eastAsia" w:ascii="宋体" w:hAnsi="宋体" w:eastAsia="宋体" w:cs="宋体"/>
                <w:color w:val="000000" w:themeColor="text1"/>
                <w:sz w:val="24"/>
                <w:highlight w:val="none"/>
                <w14:textFill>
                  <w14:solidFill>
                    <w14:schemeClr w14:val="tx1"/>
                  </w14:solidFill>
                </w14:textFill>
              </w:rPr>
              <w:t>；</w:t>
            </w:r>
          </w:p>
          <w:p w14:paraId="4B12F633">
            <w:pPr>
              <w:spacing w:line="400" w:lineRule="exact"/>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2.不接受进口产品。</w:t>
            </w:r>
          </w:p>
        </w:tc>
      </w:tr>
      <w:tr w14:paraId="22312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495686C6">
            <w:pPr>
              <w:spacing w:line="4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w:t>
            </w:r>
          </w:p>
        </w:tc>
        <w:tc>
          <w:tcPr>
            <w:tcW w:w="1772" w:type="dxa"/>
            <w:tcBorders>
              <w:top w:val="single" w:color="auto" w:sz="4" w:space="0"/>
              <w:left w:val="nil"/>
              <w:bottom w:val="single" w:color="auto" w:sz="4" w:space="0"/>
              <w:right w:val="single" w:color="auto" w:sz="4" w:space="0"/>
            </w:tcBorders>
            <w:noWrap w:val="0"/>
            <w:vAlign w:val="center"/>
          </w:tcPr>
          <w:p w14:paraId="3A99FD95">
            <w:pPr>
              <w:spacing w:line="4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评标办法</w:t>
            </w:r>
          </w:p>
        </w:tc>
        <w:tc>
          <w:tcPr>
            <w:tcW w:w="6579" w:type="dxa"/>
            <w:tcBorders>
              <w:top w:val="single" w:color="auto" w:sz="4" w:space="0"/>
              <w:left w:val="nil"/>
              <w:bottom w:val="single" w:color="auto" w:sz="4" w:space="0"/>
              <w:right w:val="single" w:color="auto" w:sz="4" w:space="0"/>
            </w:tcBorders>
            <w:noWrap w:val="0"/>
            <w:vAlign w:val="center"/>
          </w:tcPr>
          <w:p w14:paraId="04D23F1D">
            <w:pPr>
              <w:spacing w:line="400" w:lineRule="exact"/>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具体评标办法详见招标文件第</w:t>
            </w:r>
            <w:r>
              <w:rPr>
                <w:rFonts w:hint="eastAsia" w:ascii="宋体" w:hAnsi="宋体" w:eastAsia="宋体" w:cs="宋体"/>
                <w:color w:val="000000" w:themeColor="text1"/>
                <w:sz w:val="24"/>
                <w:highlight w:val="none"/>
                <w:lang w:eastAsia="zh-CN"/>
                <w14:textFill>
                  <w14:solidFill>
                    <w14:schemeClr w14:val="tx1"/>
                  </w14:solidFill>
                </w14:textFill>
              </w:rPr>
              <w:t>五</w:t>
            </w:r>
            <w:r>
              <w:rPr>
                <w:rFonts w:hint="eastAsia" w:ascii="宋体" w:hAnsi="宋体" w:eastAsia="宋体" w:cs="宋体"/>
                <w:color w:val="000000" w:themeColor="text1"/>
                <w:sz w:val="24"/>
                <w:highlight w:val="none"/>
                <w14:textFill>
                  <w14:solidFill>
                    <w14:schemeClr w14:val="tx1"/>
                  </w14:solidFill>
                </w14:textFill>
              </w:rPr>
              <w:t>章。</w:t>
            </w:r>
          </w:p>
          <w:p w14:paraId="5FAD3479">
            <w:pPr>
              <w:spacing w:line="400" w:lineRule="exact"/>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评标委员会依据招标文件规定的评标办法和标准推荐</w:t>
            </w:r>
            <w:r>
              <w:rPr>
                <w:rFonts w:hint="eastAsia" w:ascii="宋体" w:hAnsi="宋体" w:eastAsia="宋体" w:cs="宋体"/>
                <w:color w:val="000000" w:themeColor="text1"/>
                <w:sz w:val="24"/>
                <w:highlight w:val="none"/>
                <w:u w:val="single"/>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名中标候选人。</w:t>
            </w:r>
          </w:p>
        </w:tc>
      </w:tr>
      <w:tr w14:paraId="3F83B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8" w:type="dxa"/>
            <w:tcBorders>
              <w:top w:val="single" w:color="auto" w:sz="4" w:space="0"/>
              <w:left w:val="single" w:color="auto" w:sz="4" w:space="0"/>
              <w:bottom w:val="single" w:color="auto" w:sz="4" w:space="0"/>
              <w:right w:val="single" w:color="auto" w:sz="4" w:space="0"/>
            </w:tcBorders>
            <w:noWrap w:val="0"/>
            <w:vAlign w:val="center"/>
          </w:tcPr>
          <w:p w14:paraId="609371B7">
            <w:pPr>
              <w:spacing w:line="4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7</w:t>
            </w:r>
          </w:p>
        </w:tc>
        <w:tc>
          <w:tcPr>
            <w:tcW w:w="1772" w:type="dxa"/>
            <w:tcBorders>
              <w:top w:val="single" w:color="auto" w:sz="4" w:space="0"/>
              <w:left w:val="nil"/>
              <w:bottom w:val="single" w:color="auto" w:sz="4" w:space="0"/>
              <w:right w:val="single" w:color="auto" w:sz="4" w:space="0"/>
            </w:tcBorders>
            <w:noWrap w:val="0"/>
            <w:vAlign w:val="center"/>
          </w:tcPr>
          <w:p w14:paraId="69F10B68">
            <w:pPr>
              <w:spacing w:line="4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确定中标人</w:t>
            </w:r>
          </w:p>
        </w:tc>
        <w:tc>
          <w:tcPr>
            <w:tcW w:w="6579" w:type="dxa"/>
            <w:tcBorders>
              <w:top w:val="single" w:color="auto" w:sz="4" w:space="0"/>
              <w:left w:val="nil"/>
              <w:bottom w:val="single" w:color="auto" w:sz="4" w:space="0"/>
              <w:right w:val="single" w:color="auto" w:sz="4" w:space="0"/>
            </w:tcBorders>
            <w:noWrap w:val="0"/>
            <w:vAlign w:val="center"/>
          </w:tcPr>
          <w:p w14:paraId="1BC1DD46">
            <w:pPr>
              <w:spacing w:line="400" w:lineRule="exact"/>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按以下第</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1</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种方式确定中标人：</w:t>
            </w:r>
          </w:p>
          <w:p w14:paraId="125951E6">
            <w:pPr>
              <w:spacing w:line="400" w:lineRule="exact"/>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1.采购人按规定在评标委员会推荐的中标候选人中确定中标人；</w:t>
            </w:r>
          </w:p>
          <w:p w14:paraId="3D884D0A">
            <w:pPr>
              <w:spacing w:line="400" w:lineRule="exact"/>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2.采购人授权评标委员会直接确定中标人。</w:t>
            </w:r>
          </w:p>
        </w:tc>
      </w:tr>
      <w:tr w14:paraId="2F1FC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1C74DCD0">
            <w:pPr>
              <w:spacing w:line="4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8</w:t>
            </w:r>
          </w:p>
        </w:tc>
        <w:tc>
          <w:tcPr>
            <w:tcW w:w="1772" w:type="dxa"/>
            <w:tcBorders>
              <w:top w:val="single" w:color="auto" w:sz="4" w:space="0"/>
              <w:left w:val="nil"/>
              <w:bottom w:val="single" w:color="auto" w:sz="4" w:space="0"/>
              <w:right w:val="single" w:color="auto" w:sz="4" w:space="0"/>
            </w:tcBorders>
            <w:noWrap w:val="0"/>
            <w:vAlign w:val="center"/>
          </w:tcPr>
          <w:p w14:paraId="29411C76">
            <w:pPr>
              <w:spacing w:line="4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分包要求</w:t>
            </w:r>
          </w:p>
        </w:tc>
        <w:tc>
          <w:tcPr>
            <w:tcW w:w="6579" w:type="dxa"/>
            <w:tcBorders>
              <w:top w:val="single" w:color="auto" w:sz="4" w:space="0"/>
              <w:left w:val="nil"/>
              <w:bottom w:val="single" w:color="auto" w:sz="4" w:space="0"/>
              <w:right w:val="single" w:color="auto" w:sz="4" w:space="0"/>
            </w:tcBorders>
            <w:noWrap w:val="0"/>
            <w:vAlign w:val="center"/>
          </w:tcPr>
          <w:p w14:paraId="5D944BDC">
            <w:pPr>
              <w:spacing w:line="400" w:lineRule="exact"/>
              <w:jc w:val="left"/>
              <w:rPr>
                <w:rFonts w:ascii="宋体" w:hAnsi="宋体" w:eastAsia="宋体" w:cs="宋体"/>
                <w:color w:val="000000" w:themeColor="text1"/>
                <w:sz w:val="24"/>
                <w:highlight w:val="none"/>
                <w14:textFill>
                  <w14:solidFill>
                    <w14:schemeClr w14:val="tx1"/>
                  </w14:solidFill>
                </w14:textFill>
              </w:rPr>
            </w:pPr>
            <w:bookmarkStart w:id="64" w:name="EBebac1462c5d9459fbda8a75065c2455d"/>
            <w:r>
              <w:rPr>
                <w:rFonts w:hint="eastAsia" w:ascii="宋体" w:hAnsi="宋体" w:eastAsia="宋体" w:cs="宋体"/>
                <w:color w:val="000000" w:themeColor="text1"/>
                <w:sz w:val="24"/>
                <w:highlight w:val="none"/>
                <w14:textFill>
                  <w14:solidFill>
                    <w14:schemeClr w14:val="tx1"/>
                  </w14:solidFill>
                </w14:textFill>
              </w:rPr>
              <w:t>本项目的非主体、非关键性工作是否允许分包</w:t>
            </w:r>
            <w:bookmarkEnd w:id="64"/>
            <w:r>
              <w:rPr>
                <w:rFonts w:hint="eastAsia" w:ascii="宋体" w:hAnsi="宋体" w:eastAsia="宋体" w:cs="宋体"/>
                <w:color w:val="000000" w:themeColor="text1"/>
                <w:sz w:val="24"/>
                <w:highlight w:val="none"/>
                <w14:textFill>
                  <w14:solidFill>
                    <w14:schemeClr w14:val="tx1"/>
                  </w14:solidFill>
                </w14:textFill>
              </w:rPr>
              <w:t>按以下第</w:t>
            </w:r>
            <w:r>
              <w:rPr>
                <w:rFonts w:hint="eastAsia" w:ascii="宋体" w:hAnsi="宋体" w:eastAsia="宋体" w:cs="宋体"/>
                <w:color w:val="000000" w:themeColor="text1"/>
                <w:sz w:val="24"/>
                <w:highlight w:val="none"/>
                <w:u w:val="single"/>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种方式确定：</w:t>
            </w:r>
          </w:p>
          <w:p w14:paraId="48179E32">
            <w:pPr>
              <w:spacing w:line="400" w:lineRule="exact"/>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1.允许分包，</w:t>
            </w:r>
            <w:bookmarkStart w:id="65" w:name="EB512ba06683724173802e2aae54a26079"/>
            <w:r>
              <w:rPr>
                <w:rFonts w:hint="eastAsia" w:ascii="宋体" w:hAnsi="宋体" w:eastAsia="宋体" w:cs="宋体"/>
                <w:color w:val="000000" w:themeColor="text1"/>
                <w:sz w:val="24"/>
                <w:highlight w:val="none"/>
                <w14:textFill>
                  <w14:solidFill>
                    <w14:schemeClr w14:val="tx1"/>
                  </w14:solidFill>
                </w14:textFill>
              </w:rPr>
              <w:t>允许大中型企业向一家或者多家小微企业分包，分包具体内容、金额或比例：</w:t>
            </w:r>
            <w:bookmarkEnd w:id="65"/>
            <w:r>
              <w:rPr>
                <w:rFonts w:hint="eastAsia" w:ascii="宋体" w:hAnsi="宋体" w:eastAsia="宋体" w:cs="宋体"/>
                <w:color w:val="000000" w:themeColor="text1"/>
                <w:sz w:val="24"/>
                <w:highlight w:val="none"/>
                <w14:textFill>
                  <w14:solidFill>
                    <w14:schemeClr w14:val="tx1"/>
                  </w14:solidFill>
                </w14:textFill>
              </w:rPr>
              <w:t>无</w:t>
            </w:r>
          </w:p>
          <w:p w14:paraId="1425A023">
            <w:pPr>
              <w:spacing w:line="400" w:lineRule="exact"/>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2.不允许分包。</w:t>
            </w:r>
          </w:p>
        </w:tc>
      </w:tr>
      <w:tr w14:paraId="62A5D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1B0C52E3">
            <w:pPr>
              <w:spacing w:line="4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9</w:t>
            </w:r>
          </w:p>
        </w:tc>
        <w:tc>
          <w:tcPr>
            <w:tcW w:w="1772" w:type="dxa"/>
            <w:tcBorders>
              <w:top w:val="single" w:color="auto" w:sz="4" w:space="0"/>
              <w:left w:val="nil"/>
              <w:bottom w:val="single" w:color="auto" w:sz="4" w:space="0"/>
              <w:right w:val="single" w:color="auto" w:sz="4" w:space="0"/>
            </w:tcBorders>
            <w:noWrap w:val="0"/>
            <w:vAlign w:val="center"/>
          </w:tcPr>
          <w:p w14:paraId="77236000">
            <w:pPr>
              <w:spacing w:line="400" w:lineRule="exact"/>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代理费用收取方式及标准</w:t>
            </w:r>
          </w:p>
        </w:tc>
        <w:tc>
          <w:tcPr>
            <w:tcW w:w="6579" w:type="dxa"/>
            <w:tcBorders>
              <w:top w:val="single" w:color="auto" w:sz="4" w:space="0"/>
              <w:left w:val="nil"/>
              <w:bottom w:val="single" w:color="auto" w:sz="4" w:space="0"/>
              <w:right w:val="single" w:color="auto" w:sz="4" w:space="0"/>
            </w:tcBorders>
            <w:noWrap w:val="0"/>
            <w:vAlign w:val="center"/>
          </w:tcPr>
          <w:p w14:paraId="1F06BDD7">
            <w:pPr>
              <w:widowControl/>
              <w:spacing w:line="360" w:lineRule="exact"/>
              <w:rPr>
                <w:rFonts w:ascii="宋体" w:hAnsi="宋体" w:eastAsia="宋体" w:cs="宋体"/>
                <w:color w:val="000000" w:themeColor="text1"/>
                <w:sz w:val="24"/>
                <w:highlight w:val="none"/>
                <w14:textFill>
                  <w14:solidFill>
                    <w14:schemeClr w14:val="tx1"/>
                  </w14:solidFill>
                </w14:textFill>
              </w:rPr>
            </w:pPr>
            <w:bookmarkStart w:id="66" w:name="EBfe735bb6fc4d4e5e9e350f940db98c5f"/>
            <w:bookmarkEnd w:id="66"/>
            <w:r>
              <w:rPr>
                <w:rFonts w:hint="eastAsia" w:ascii="宋体" w:hAnsi="宋体" w:eastAsia="宋体" w:cs="宋体"/>
                <w:color w:val="000000" w:themeColor="text1"/>
                <w:sz w:val="24"/>
                <w:highlight w:val="none"/>
                <w14:textFill>
                  <w14:solidFill>
                    <w14:schemeClr w14:val="tx1"/>
                  </w14:solidFill>
                </w14:textFill>
              </w:rPr>
              <w:t>代理服务费由采购人按计价格〔2002〕1980号文件规定标准的</w:t>
            </w:r>
            <w:r>
              <w:rPr>
                <w:rFonts w:hint="eastAsia" w:ascii="宋体" w:hAnsi="宋体" w:eastAsia="宋体" w:cs="宋体"/>
                <w:color w:val="000000" w:themeColor="text1"/>
                <w:sz w:val="24"/>
                <w:highlight w:val="none"/>
                <w:lang w:val="en-US" w:eastAsia="zh-CN"/>
                <w14:textFill>
                  <w14:solidFill>
                    <w14:schemeClr w14:val="tx1"/>
                  </w14:solidFill>
                </w14:textFill>
              </w:rPr>
              <w:t>60</w:t>
            </w:r>
            <w:r>
              <w:rPr>
                <w:rFonts w:hint="eastAsia" w:ascii="宋体" w:hAnsi="宋体" w:eastAsia="宋体" w:cs="宋体"/>
                <w:color w:val="000000" w:themeColor="text1"/>
                <w:sz w:val="24"/>
                <w:highlight w:val="none"/>
                <w14:textFill>
                  <w14:solidFill>
                    <w14:schemeClr w14:val="tx1"/>
                  </w14:solidFill>
                </w14:textFill>
              </w:rPr>
              <w:t>%计取支付，评委费据实结算。可使用数字人民币支付。</w:t>
            </w:r>
            <w:bookmarkEnd w:id="57"/>
            <w:bookmarkEnd w:id="58"/>
            <w:bookmarkEnd w:id="59"/>
          </w:p>
        </w:tc>
      </w:tr>
      <w:tr w14:paraId="3F12A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tcBorders>
              <w:top w:val="single" w:color="auto" w:sz="4" w:space="0"/>
              <w:left w:val="single" w:color="auto" w:sz="4" w:space="0"/>
              <w:bottom w:val="single" w:color="auto" w:sz="4" w:space="0"/>
              <w:right w:val="single" w:color="auto" w:sz="4" w:space="0"/>
            </w:tcBorders>
            <w:noWrap w:val="0"/>
            <w:vAlign w:val="center"/>
          </w:tcPr>
          <w:p w14:paraId="0A2D1B82">
            <w:pPr>
              <w:spacing w:line="4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w:t>
            </w:r>
          </w:p>
        </w:tc>
        <w:tc>
          <w:tcPr>
            <w:tcW w:w="1772" w:type="dxa"/>
            <w:tcBorders>
              <w:top w:val="single" w:color="auto" w:sz="4" w:space="0"/>
              <w:left w:val="nil"/>
              <w:bottom w:val="single" w:color="auto" w:sz="4" w:space="0"/>
              <w:right w:val="single" w:color="auto" w:sz="4" w:space="0"/>
            </w:tcBorders>
            <w:noWrap w:val="0"/>
            <w:vAlign w:val="center"/>
          </w:tcPr>
          <w:p w14:paraId="1A9BC15C">
            <w:pPr>
              <w:spacing w:line="4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其他</w:t>
            </w:r>
          </w:p>
        </w:tc>
        <w:tc>
          <w:tcPr>
            <w:tcW w:w="6579" w:type="dxa"/>
            <w:tcBorders>
              <w:top w:val="single" w:color="auto" w:sz="4" w:space="0"/>
              <w:left w:val="nil"/>
              <w:bottom w:val="single" w:color="auto" w:sz="4" w:space="0"/>
              <w:right w:val="single" w:color="auto" w:sz="4" w:space="0"/>
            </w:tcBorders>
            <w:noWrap w:val="0"/>
            <w:vAlign w:val="center"/>
          </w:tcPr>
          <w:p w14:paraId="3919A8E0">
            <w:pPr>
              <w:widowControl/>
              <w:spacing w:line="36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1.本招标文件设置“□”的，以□内打√项内容为准。</w:t>
            </w:r>
          </w:p>
          <w:p w14:paraId="44663A1E">
            <w:pPr>
              <w:widowControl/>
              <w:spacing w:line="36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2.踏勘现场：本项目不组织踏勘现场，各投标人自行踏勘，费用自理。因未踏勘或未仔细踏勘造成的损失自负。</w:t>
            </w:r>
          </w:p>
          <w:p w14:paraId="2FD9B547">
            <w:pPr>
              <w:widowControl/>
              <w:spacing w:line="36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3.信用信息查询截止时间：资格审查结束前。由采购人在资格审查现场查询信用信息，网页截屏打印，查询结果留存并归档。</w:t>
            </w:r>
          </w:p>
        </w:tc>
      </w:tr>
      <w:bookmarkEnd w:id="53"/>
      <w:bookmarkEnd w:id="54"/>
      <w:bookmarkEnd w:id="55"/>
      <w:bookmarkEnd w:id="56"/>
    </w:tbl>
    <w:p w14:paraId="678A0856">
      <w:pPr>
        <w:spacing w:line="500" w:lineRule="exact"/>
        <w:rPr>
          <w:rFonts w:ascii="宋体" w:hAnsi="宋体" w:eastAsia="宋体" w:cs="宋体"/>
          <w:b/>
          <w:color w:val="000000" w:themeColor="text1"/>
          <w:sz w:val="24"/>
          <w:szCs w:val="22"/>
          <w:highlight w:val="none"/>
          <w14:textFill>
            <w14:solidFill>
              <w14:schemeClr w14:val="tx1"/>
            </w14:solidFill>
          </w14:textFill>
        </w:rPr>
      </w:pPr>
      <w:bookmarkStart w:id="67" w:name="_Toc28142"/>
      <w:bookmarkStart w:id="68" w:name="_Toc764"/>
      <w:bookmarkStart w:id="69" w:name="_Toc20956"/>
      <w:bookmarkStart w:id="70" w:name="_Toc120614221"/>
      <w:bookmarkStart w:id="71" w:name="_Toc16938558"/>
      <w:bookmarkStart w:id="72" w:name="_Toc479757207"/>
      <w:bookmarkStart w:id="73" w:name="_Toc20823314"/>
      <w:bookmarkStart w:id="74" w:name="_Toc513029242"/>
      <w:r>
        <w:rPr>
          <w:rFonts w:hint="eastAsia" w:ascii="宋体" w:hAnsi="宋体" w:eastAsia="宋体" w:cs="宋体"/>
          <w:b/>
          <w:color w:val="000000" w:themeColor="text1"/>
          <w:sz w:val="28"/>
          <w:highlight w:val="none"/>
          <w14:textFill>
            <w14:solidFill>
              <w14:schemeClr w14:val="tx1"/>
            </w14:solidFill>
          </w14:textFill>
        </w:rPr>
        <w:t>一、总 则</w:t>
      </w:r>
      <w:bookmarkEnd w:id="67"/>
      <w:bookmarkEnd w:id="68"/>
      <w:bookmarkEnd w:id="69"/>
    </w:p>
    <w:p w14:paraId="789F7846">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1.招标方式</w:t>
      </w:r>
    </w:p>
    <w:p w14:paraId="02283338">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本次招标采取公开招标方式。</w:t>
      </w:r>
    </w:p>
    <w:p w14:paraId="78BF001C">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2.合格的投标人</w:t>
      </w:r>
    </w:p>
    <w:p w14:paraId="4C40565A">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2.1合格的投标人必须符合招标文件第一部分《投标邀请函》第二条及须知前附表相关规定，且具备完成本项目的能力，中标后不允许转包。</w:t>
      </w:r>
    </w:p>
    <w:p w14:paraId="1D30FDC5">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2.2合格的投标人应遵守《中华人民共和国政府采购法》《中华人民共和国政府采购法实施条例》《中华人民共和国民法典（第三编合同）》等有关法律法规。</w:t>
      </w:r>
    </w:p>
    <w:p w14:paraId="5CB6871B">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3.适用法律</w:t>
      </w:r>
    </w:p>
    <w:p w14:paraId="7F34FF60">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本次招标及由本次招标产生的合同受到中华人民共和国的相关法律法规制约和保护。</w:t>
      </w:r>
    </w:p>
    <w:p w14:paraId="06093AD0">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4.投标费用</w:t>
      </w:r>
    </w:p>
    <w:p w14:paraId="4D9D85A6">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投标人应自行承担所有参加投标有关的费用。</w:t>
      </w:r>
    </w:p>
    <w:p w14:paraId="2F0B426E">
      <w:pPr>
        <w:spacing w:line="480" w:lineRule="exact"/>
        <w:ind w:firstLine="482"/>
        <w:rPr>
          <w:rFonts w:ascii="Times New Roman" w:hAnsi="Times New Roman" w:cs="仿宋"/>
          <w:b/>
          <w:sz w:val="24"/>
          <w:highlight w:val="none"/>
        </w:rPr>
      </w:pPr>
      <w:r>
        <w:rPr>
          <w:rFonts w:hint="eastAsia" w:ascii="宋体" w:hAnsi="宋体" w:eastAsia="宋体" w:cs="宋体"/>
          <w:b/>
          <w:color w:val="000000" w:themeColor="text1"/>
          <w:sz w:val="24"/>
          <w:szCs w:val="22"/>
          <w:highlight w:val="none"/>
          <w14:textFill>
            <w14:solidFill>
              <w14:schemeClr w14:val="tx1"/>
            </w14:solidFill>
          </w14:textFill>
        </w:rPr>
        <w:t>5.</w:t>
      </w:r>
      <w:r>
        <w:rPr>
          <w:rFonts w:hint="eastAsia" w:ascii="Times New Roman" w:hAnsi="Times New Roman" w:cs="仿宋"/>
          <w:b/>
          <w:sz w:val="24"/>
          <w:highlight w:val="none"/>
        </w:rPr>
        <w:t>招标文件构成</w:t>
      </w:r>
    </w:p>
    <w:p w14:paraId="18C5BD96">
      <w:pPr>
        <w:spacing w:line="480" w:lineRule="exact"/>
        <w:ind w:firstLine="480"/>
        <w:rPr>
          <w:rFonts w:ascii="Times New Roman" w:hAnsi="Times New Roman" w:cs="仿宋"/>
          <w:sz w:val="24"/>
          <w:highlight w:val="none"/>
        </w:rPr>
      </w:pPr>
      <w:r>
        <w:rPr>
          <w:rFonts w:hint="eastAsia" w:ascii="Times New Roman" w:hAnsi="Times New Roman" w:cs="仿宋"/>
          <w:sz w:val="24"/>
          <w:highlight w:val="none"/>
        </w:rPr>
        <w:t>5.1招标文件由以下部分组成：</w:t>
      </w:r>
    </w:p>
    <w:p w14:paraId="62F95058">
      <w:pPr>
        <w:spacing w:line="480" w:lineRule="exact"/>
        <w:ind w:firstLine="480"/>
        <w:rPr>
          <w:rFonts w:ascii="Times New Roman" w:hAnsi="Times New Roman" w:cs="仿宋"/>
          <w:sz w:val="24"/>
          <w:highlight w:val="none"/>
        </w:rPr>
      </w:pPr>
      <w:r>
        <w:rPr>
          <w:rFonts w:hint="eastAsia" w:ascii="Times New Roman" w:hAnsi="Times New Roman" w:cs="仿宋"/>
          <w:sz w:val="24"/>
          <w:highlight w:val="none"/>
        </w:rPr>
        <w:t>第一章：投标邀请；</w:t>
      </w:r>
    </w:p>
    <w:p w14:paraId="11D0FCB6">
      <w:pPr>
        <w:spacing w:line="480" w:lineRule="exact"/>
        <w:ind w:firstLine="480"/>
        <w:rPr>
          <w:rFonts w:ascii="Times New Roman" w:hAnsi="Times New Roman" w:cs="仿宋"/>
          <w:sz w:val="24"/>
          <w:highlight w:val="none"/>
        </w:rPr>
      </w:pPr>
      <w:r>
        <w:rPr>
          <w:rFonts w:hint="eastAsia" w:ascii="Times New Roman" w:hAnsi="Times New Roman" w:cs="仿宋"/>
          <w:sz w:val="24"/>
          <w:highlight w:val="none"/>
        </w:rPr>
        <w:t>第二章：投标人须知；</w:t>
      </w:r>
    </w:p>
    <w:p w14:paraId="7844FDE7">
      <w:pPr>
        <w:spacing w:line="480" w:lineRule="exact"/>
        <w:ind w:firstLine="480"/>
        <w:rPr>
          <w:rFonts w:ascii="Times New Roman" w:hAnsi="Times New Roman" w:cs="仿宋"/>
          <w:sz w:val="24"/>
          <w:highlight w:val="none"/>
        </w:rPr>
      </w:pPr>
      <w:r>
        <w:rPr>
          <w:rFonts w:hint="eastAsia" w:ascii="Times New Roman" w:hAnsi="Times New Roman" w:cs="仿宋"/>
          <w:sz w:val="24"/>
          <w:highlight w:val="none"/>
        </w:rPr>
        <w:t>第三章：资格审查及评标办法；</w:t>
      </w:r>
    </w:p>
    <w:p w14:paraId="03FEE609">
      <w:pPr>
        <w:spacing w:line="480" w:lineRule="exact"/>
        <w:ind w:firstLine="480"/>
        <w:rPr>
          <w:rFonts w:ascii="Times New Roman" w:hAnsi="Times New Roman" w:cs="仿宋"/>
          <w:sz w:val="24"/>
          <w:highlight w:val="none"/>
        </w:rPr>
      </w:pPr>
      <w:r>
        <w:rPr>
          <w:rFonts w:hint="eastAsia" w:ascii="Times New Roman" w:hAnsi="Times New Roman" w:cs="仿宋"/>
          <w:sz w:val="24"/>
          <w:highlight w:val="none"/>
        </w:rPr>
        <w:t>第四章：采购需求；</w:t>
      </w:r>
    </w:p>
    <w:p w14:paraId="442F6226">
      <w:pPr>
        <w:spacing w:line="480" w:lineRule="exact"/>
        <w:ind w:firstLine="480"/>
        <w:rPr>
          <w:rFonts w:ascii="Times New Roman" w:hAnsi="Times New Roman" w:cs="仿宋"/>
          <w:sz w:val="24"/>
          <w:highlight w:val="none"/>
        </w:rPr>
      </w:pPr>
      <w:r>
        <w:rPr>
          <w:rFonts w:hint="eastAsia" w:ascii="Times New Roman" w:hAnsi="Times New Roman" w:cs="仿宋"/>
          <w:sz w:val="24"/>
          <w:highlight w:val="none"/>
        </w:rPr>
        <w:t>第五章：合同文本；</w:t>
      </w:r>
    </w:p>
    <w:p w14:paraId="54CE4C32">
      <w:pPr>
        <w:spacing w:line="480" w:lineRule="exact"/>
        <w:ind w:firstLine="480"/>
        <w:rPr>
          <w:rFonts w:ascii="Times New Roman" w:hAnsi="Times New Roman" w:cs="仿宋"/>
          <w:sz w:val="24"/>
          <w:highlight w:val="none"/>
        </w:rPr>
      </w:pPr>
      <w:r>
        <w:rPr>
          <w:rFonts w:hint="eastAsia" w:ascii="Times New Roman" w:hAnsi="Times New Roman" w:cs="仿宋"/>
          <w:sz w:val="24"/>
          <w:highlight w:val="none"/>
        </w:rPr>
        <w:t>第六章：投标文件格式。</w:t>
      </w:r>
    </w:p>
    <w:p w14:paraId="32E3C9D6">
      <w:pPr>
        <w:spacing w:line="480" w:lineRule="exact"/>
        <w:ind w:firstLine="480"/>
        <w:rPr>
          <w:rFonts w:ascii="Times New Roman" w:hAnsi="Times New Roman" w:cs="仿宋"/>
          <w:sz w:val="24"/>
          <w:highlight w:val="none"/>
        </w:rPr>
      </w:pPr>
      <w:r>
        <w:rPr>
          <w:rFonts w:hint="eastAsia" w:ascii="Times New Roman" w:hAnsi="Times New Roman" w:cs="仿宋"/>
          <w:sz w:val="24"/>
          <w:highlight w:val="none"/>
        </w:rPr>
        <w:t>请仔细检查招标文件是否齐全，如有缺漏请立即与代理机构联系解决。</w:t>
      </w:r>
    </w:p>
    <w:p w14:paraId="1C5574CD">
      <w:pPr>
        <w:spacing w:line="480" w:lineRule="exact"/>
        <w:ind w:firstLine="480"/>
        <w:rPr>
          <w:rFonts w:hint="eastAsia" w:ascii="宋体" w:hAnsi="宋体" w:eastAsia="宋体" w:cs="宋体"/>
          <w:color w:val="000000" w:themeColor="text1"/>
          <w:sz w:val="24"/>
          <w:szCs w:val="22"/>
          <w:highlight w:val="none"/>
          <w14:textFill>
            <w14:solidFill>
              <w14:schemeClr w14:val="tx1"/>
            </w14:solidFill>
          </w14:textFill>
        </w:rPr>
      </w:pPr>
      <w:r>
        <w:rPr>
          <w:rFonts w:hint="eastAsia" w:ascii="Times New Roman" w:hAnsi="Times New Roman" w:cs="仿宋"/>
          <w:sz w:val="24"/>
          <w:highlight w:val="none"/>
        </w:rPr>
        <w:t>5.2投标人应认真阅读招标文件中所有的事项、格式、条款和规范等要求，按招标文件要求和规定编制投标文件</w:t>
      </w:r>
      <w:r>
        <w:rPr>
          <w:rFonts w:hint="eastAsia" w:ascii="宋体" w:hAnsi="宋体" w:eastAsia="宋体" w:cs="宋体"/>
          <w:color w:val="000000" w:themeColor="text1"/>
          <w:sz w:val="24"/>
          <w:szCs w:val="22"/>
          <w:highlight w:val="none"/>
          <w14:textFill>
            <w14:solidFill>
              <w14:schemeClr w14:val="tx1"/>
            </w14:solidFill>
          </w14:textFill>
        </w:rPr>
        <w:t>。</w:t>
      </w:r>
      <w:bookmarkStart w:id="75" w:name="EB03f11de025af49a0b0680fbbffa2bc40"/>
      <w:bookmarkEnd w:id="75"/>
    </w:p>
    <w:p w14:paraId="515F9886">
      <w:pPr>
        <w:spacing w:line="480" w:lineRule="exact"/>
        <w:ind w:firstLine="480"/>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6.政府采购政策</w:t>
      </w:r>
    </w:p>
    <w:p w14:paraId="0F7FEAF7">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本项目落实的政府采购政策为应序号为</w:t>
      </w:r>
      <w:r>
        <w:rPr>
          <w:rFonts w:hint="eastAsia" w:ascii="宋体" w:hAnsi="宋体" w:eastAsia="宋体" w:cs="宋体"/>
          <w:color w:val="000000" w:themeColor="text1"/>
          <w:sz w:val="24"/>
          <w:szCs w:val="22"/>
          <w:highlight w:val="none"/>
          <w:u w:val="single"/>
          <w14:textFill>
            <w14:solidFill>
              <w14:schemeClr w14:val="tx1"/>
            </w14:solidFill>
          </w14:textFill>
        </w:rPr>
        <w:t>6.1、6.3</w:t>
      </w:r>
    </w:p>
    <w:p w14:paraId="5B077590">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6.1中小企业政策</w:t>
      </w:r>
    </w:p>
    <w:p w14:paraId="7B20DFC8">
      <w:pPr>
        <w:spacing w:line="500" w:lineRule="exact"/>
        <w:ind w:firstLine="480"/>
        <w:rPr>
          <w:rFonts w:ascii="宋体" w:hAnsi="宋体" w:eastAsia="宋体" w:cs="宋体"/>
          <w:b/>
          <w:bCs/>
          <w:color w:val="000000" w:themeColor="text1"/>
          <w:sz w:val="24"/>
          <w:szCs w:val="22"/>
          <w:highlight w:val="none"/>
          <w:u w:val="singl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本项目采购标的对应的中小企业划分标准所属行业：</w:t>
      </w:r>
      <w:r>
        <w:rPr>
          <w:rFonts w:hint="eastAsia" w:ascii="宋体" w:hAnsi="宋体" w:eastAsia="宋体" w:cs="宋体"/>
          <w:b/>
          <w:bCs/>
          <w:color w:val="000000" w:themeColor="text1"/>
          <w:sz w:val="24"/>
          <w:szCs w:val="22"/>
          <w:highlight w:val="none"/>
          <w:u w:val="single"/>
          <w14:textFill>
            <w14:solidFill>
              <w14:schemeClr w14:val="tx1"/>
            </w14:solidFill>
          </w14:textFill>
        </w:rPr>
        <w:t>工业</w:t>
      </w:r>
    </w:p>
    <w:p w14:paraId="79E3AFC1">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本项目按以下第</w:t>
      </w:r>
      <w:r>
        <w:rPr>
          <w:rFonts w:hint="eastAsia" w:ascii="宋体" w:hAnsi="宋体" w:eastAsia="宋体" w:cs="宋体"/>
          <w:b/>
          <w:bCs/>
          <w:color w:val="000000" w:themeColor="text1"/>
          <w:sz w:val="24"/>
          <w:szCs w:val="22"/>
          <w:highlight w:val="none"/>
          <w:u w:val="single"/>
          <w14:textFill>
            <w14:solidFill>
              <w14:schemeClr w14:val="tx1"/>
            </w14:solidFill>
          </w14:textFill>
        </w:rPr>
        <w:t>（</w:t>
      </w:r>
      <w:r>
        <w:rPr>
          <w:rFonts w:hint="eastAsia" w:ascii="宋体" w:hAnsi="宋体" w:eastAsia="宋体" w:cs="宋体"/>
          <w:b/>
          <w:bCs/>
          <w:color w:val="000000" w:themeColor="text1"/>
          <w:sz w:val="24"/>
          <w:szCs w:val="22"/>
          <w:highlight w:val="none"/>
          <w:u w:val="single"/>
          <w:lang w:val="en-US" w:eastAsia="zh-CN"/>
          <w14:textFill>
            <w14:solidFill>
              <w14:schemeClr w14:val="tx1"/>
            </w14:solidFill>
          </w14:textFill>
        </w:rPr>
        <w:t>1</w:t>
      </w:r>
      <w:r>
        <w:rPr>
          <w:rFonts w:hint="eastAsia" w:ascii="宋体" w:hAnsi="宋体" w:eastAsia="宋体" w:cs="宋体"/>
          <w:b/>
          <w:bCs/>
          <w:color w:val="000000" w:themeColor="text1"/>
          <w:sz w:val="24"/>
          <w:szCs w:val="22"/>
          <w:highlight w:val="none"/>
          <w:u w:val="single"/>
          <w14:textFill>
            <w14:solidFill>
              <w14:schemeClr w14:val="tx1"/>
            </w14:solidFill>
          </w14:textFill>
        </w:rPr>
        <w:t>）</w:t>
      </w:r>
      <w:r>
        <w:rPr>
          <w:rFonts w:hint="eastAsia" w:ascii="宋体" w:hAnsi="宋体" w:eastAsia="宋体" w:cs="宋体"/>
          <w:color w:val="000000" w:themeColor="text1"/>
          <w:sz w:val="24"/>
          <w:szCs w:val="22"/>
          <w:highlight w:val="none"/>
          <w14:textFill>
            <w14:solidFill>
              <w14:schemeClr w14:val="tx1"/>
            </w14:solidFill>
          </w14:textFill>
        </w:rPr>
        <w:t>项政策确定本项目落实的中小企业政策：</w:t>
      </w:r>
    </w:p>
    <w:p w14:paraId="03F69DD3">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（1）本项目专门面向中小企业（含监狱与戒毒企业、残疾人福利企业）采购。</w:t>
      </w:r>
    </w:p>
    <w:p w14:paraId="6CF7916F">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（2）对符合规定情形的小微企业报价给予</w:t>
      </w:r>
      <w:r>
        <w:rPr>
          <w:rFonts w:hint="eastAsia" w:ascii="宋体" w:hAnsi="宋体" w:eastAsia="宋体" w:cs="宋体"/>
          <w:b/>
          <w:bCs/>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2"/>
          <w:highlight w:val="none"/>
          <w:u w:val="single"/>
          <w14:textFill>
            <w14:solidFill>
              <w14:schemeClr w14:val="tx1"/>
            </w14:solidFill>
          </w14:textFill>
        </w:rPr>
        <w:t>%</w:t>
      </w:r>
      <w:r>
        <w:rPr>
          <w:rFonts w:hint="eastAsia" w:ascii="宋体" w:hAnsi="宋体" w:eastAsia="宋体" w:cs="宋体"/>
          <w:color w:val="000000" w:themeColor="text1"/>
          <w:sz w:val="24"/>
          <w:szCs w:val="22"/>
          <w:highlight w:val="none"/>
          <w14:textFill>
            <w14:solidFill>
              <w14:schemeClr w14:val="tx1"/>
            </w14:solidFill>
          </w14:textFill>
        </w:rPr>
        <w:t>的扣除，用扣除后的价格参加评审。</w:t>
      </w:r>
    </w:p>
    <w:p w14:paraId="70DC629C">
      <w:pPr>
        <w:spacing w:line="48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在服务采购项目中，服务由中小企业承接，即提供服务的人员为中小企业依照《中华人民共和国劳动合同法》订立劳动合同的从业人员。</w:t>
      </w:r>
    </w:p>
    <w:p w14:paraId="0B3D04EB">
      <w:pPr>
        <w:spacing w:line="500" w:lineRule="exact"/>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在货物采购项目中，货物由中小企业制造，即货物由中小企业生产且使用该中小企业商号或者注册商标；</w:t>
      </w:r>
    </w:p>
    <w:p w14:paraId="269E9F0B">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注：①参加投标的中小企业，应当按照《政府采购促进中小企业发展管理办法》（财库〔2020〕46号）规定，出具《中小企业声明函》，中小企业划型依据《关于印发中小企业划型标准规定的通知》（工信部联企业〔2011〕300 号）。</w:t>
      </w:r>
    </w:p>
    <w:p w14:paraId="36AFAF70">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p>
    <w:p w14:paraId="1FB8052C">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674729EB">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④大中型企业与小微企业组成联合体或者允许大中型企业向一家或者多家小微企业分包的采购项目，对于联合协议或者分包意向协议约定小微企业的合同份额占到合同总金额30%及以上的，对大中型企业的报价给予5%的扣除，用扣除后的价格参加评审。（是否接受联合体以“项目基本情况”相关内容为准，是否允许大中型企业向一家或者多家小微企业分包以“须知前附表”“采购需求”相关内容为准）</w:t>
      </w:r>
    </w:p>
    <w:p w14:paraId="74F542BB">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6.2 政府采购节能产品、环境标志产品</w:t>
      </w:r>
    </w:p>
    <w:p w14:paraId="520079F4">
      <w:pPr>
        <w:spacing w:line="500" w:lineRule="exact"/>
        <w:ind w:firstLine="480"/>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6.2.1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6BB902D0">
      <w:pPr>
        <w:spacing w:line="500" w:lineRule="exact"/>
        <w:ind w:firstLine="480"/>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6.2.2采购人拟采购的产品属于政府强制采购的节能产品品目清单范围的，投标人须提供国家确定的认证机构出具的、处于有效期之内的节能产品认证证书的，否则无效标处理。</w:t>
      </w:r>
    </w:p>
    <w:p w14:paraId="4661839A">
      <w:pPr>
        <w:spacing w:line="500" w:lineRule="exact"/>
        <w:ind w:firstLine="480"/>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6.2.3采购人拟采购的产品属于优先采购的节能环保品目清单范围的，按以下条件优先采购：</w:t>
      </w:r>
    </w:p>
    <w:p w14:paraId="5DCB4787">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采用综合评分法的项目，对提供有效节能环保证书的投标人加分。</w:t>
      </w:r>
    </w:p>
    <w:p w14:paraId="664A5C24">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采用最低评标价法的项目，同等条件下优先推荐提供有效节能环保证书多的投标人为中标人。</w:t>
      </w:r>
    </w:p>
    <w:p w14:paraId="5670E755">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6.3政府采购需求标准</w:t>
      </w:r>
    </w:p>
    <w:p w14:paraId="7C748C46">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6.3.1商品包装、快递包装政府采购需求标准（试行）</w:t>
      </w:r>
    </w:p>
    <w:p w14:paraId="4C49F09A">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为助力打好污染防治攻坚战，推广使用绿色包装，根据财政部印发的《商品包装政府采购需求标准（试行）》《快递包装政府采购需求标准（试行）》，如本项目涉及商品包装和快递包装的，具体需求详见第四部分采购需求。</w:t>
      </w:r>
    </w:p>
    <w:p w14:paraId="598ABFB9">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6.3.2绿色数据中心政府采购需求标准（试行）</w:t>
      </w:r>
    </w:p>
    <w:p w14:paraId="61AA04BE">
      <w:pPr>
        <w:spacing w:line="500" w:lineRule="exact"/>
        <w:ind w:firstLine="480"/>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为加快数据中心绿色转型，根据财政部 生态环境部 工业和信息化部关于印发《绿色数据中心政府采购需求标准（试行）》的通知，本项目如涉及绿色数据中心，具体需求详见第四部分采购需求。</w:t>
      </w:r>
    </w:p>
    <w:p w14:paraId="0E326313">
      <w:pPr>
        <w:ind w:firstLine="643"/>
        <w:jc w:val="center"/>
        <w:outlineLvl w:val="1"/>
        <w:rPr>
          <w:rFonts w:ascii="宋体" w:hAnsi="宋体" w:eastAsia="宋体" w:cs="宋体"/>
          <w:b/>
          <w:color w:val="000000" w:themeColor="text1"/>
          <w:sz w:val="32"/>
          <w:highlight w:val="none"/>
          <w14:textFill>
            <w14:solidFill>
              <w14:schemeClr w14:val="tx1"/>
            </w14:solidFill>
          </w14:textFill>
        </w:rPr>
      </w:pPr>
      <w:bookmarkStart w:id="76" w:name="_Toc29306"/>
      <w:bookmarkStart w:id="77" w:name="_Toc81575193"/>
      <w:bookmarkStart w:id="78" w:name="_Toc81575156"/>
      <w:bookmarkStart w:id="79" w:name="_Toc4523"/>
      <w:bookmarkStart w:id="80" w:name="_Toc24837"/>
      <w:r>
        <w:rPr>
          <w:rFonts w:hint="eastAsia" w:ascii="宋体" w:hAnsi="宋体" w:eastAsia="宋体" w:cs="宋体"/>
          <w:b/>
          <w:color w:val="000000" w:themeColor="text1"/>
          <w:sz w:val="32"/>
          <w:highlight w:val="none"/>
          <w14:textFill>
            <w14:solidFill>
              <w14:schemeClr w14:val="tx1"/>
            </w14:solidFill>
          </w14:textFill>
        </w:rPr>
        <w:t>二、招标文件</w:t>
      </w:r>
      <w:bookmarkEnd w:id="76"/>
      <w:bookmarkEnd w:id="77"/>
      <w:bookmarkEnd w:id="78"/>
      <w:bookmarkEnd w:id="79"/>
      <w:bookmarkEnd w:id="80"/>
    </w:p>
    <w:p w14:paraId="4D91476B">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7.招标文件构成</w:t>
      </w:r>
    </w:p>
    <w:p w14:paraId="476AABBD">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7.1招标文件由以下部分组成：</w:t>
      </w:r>
    </w:p>
    <w:p w14:paraId="0AD82CFE">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第一部分：投标邀请函；</w:t>
      </w:r>
    </w:p>
    <w:p w14:paraId="29B2804C">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第二部分：投标人须知； </w:t>
      </w:r>
    </w:p>
    <w:p w14:paraId="49A2EC38">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第三部分：资格审查及评分办法；</w:t>
      </w:r>
    </w:p>
    <w:p w14:paraId="78B48A3E">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第四部分：采购需求；</w:t>
      </w:r>
    </w:p>
    <w:p w14:paraId="03A30BB1">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第五部分：合同格式及条款；</w:t>
      </w:r>
    </w:p>
    <w:p w14:paraId="19FDEAC9">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第六部分：投标文件格式。</w:t>
      </w:r>
    </w:p>
    <w:p w14:paraId="3515D0F1">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请仔细检查招标文件是否齐全，如有缺漏请立即与代理机构联系解决。</w:t>
      </w:r>
    </w:p>
    <w:p w14:paraId="41EA81EF">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BDC8629">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8.招标文件的澄清</w:t>
      </w:r>
    </w:p>
    <w:p w14:paraId="4DBA3D1F">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任何要求对招标文件澄清的投标人，均应在招标文件提供截止时间之前提出，采购代理机构对规定时间内收到的澄清要求予以答复，答复不包括问题的来源。</w:t>
      </w:r>
    </w:p>
    <w:p w14:paraId="0E769694">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9.招标文件的修改</w:t>
      </w:r>
    </w:p>
    <w:p w14:paraId="789041A6">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9.1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或者采购代理机构应当顺延提交投标文件的截止时间。</w:t>
      </w:r>
    </w:p>
    <w:p w14:paraId="31A4DC73">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9.2招标文件的修改将在原公告媒体上发布更正公告，并对投标人具有约束力。 </w:t>
      </w:r>
    </w:p>
    <w:p w14:paraId="0AFB6083">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9.3投标人应及时登录“苏采云”系统获取澄清答疑文件（修改后招标文件），如因投标人原因未能及时下载澄清和修改后的招标文件，由此造成的相关责任，由投标人承担。 </w:t>
      </w:r>
    </w:p>
    <w:p w14:paraId="128B3F04">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9.4采购代理机构发出的所有补充、修改和变更文件均作为招标文件的组成部分，与招标文件具有同等法律效力。 </w:t>
      </w:r>
    </w:p>
    <w:p w14:paraId="14FDCBD7">
      <w:pPr>
        <w:ind w:firstLine="420"/>
        <w:rPr>
          <w:rFonts w:ascii="宋体" w:hAnsi="宋体" w:eastAsia="宋体" w:cs="宋体"/>
          <w:color w:val="000000" w:themeColor="text1"/>
          <w:szCs w:val="22"/>
          <w:highlight w:val="none"/>
          <w14:textFill>
            <w14:solidFill>
              <w14:schemeClr w14:val="tx1"/>
            </w14:solidFill>
          </w14:textFill>
        </w:rPr>
      </w:pPr>
      <w:bookmarkStart w:id="81" w:name="EBec71fc1696a240c4b620fe1e00b2ce58"/>
      <w:bookmarkEnd w:id="81"/>
      <w:bookmarkStart w:id="82" w:name="EB2154fb7cf02b4b0980c6759aa29ee4ed"/>
      <w:bookmarkEnd w:id="82"/>
      <w:bookmarkStart w:id="83" w:name="EB453bde7f4ddc418fae2aad9fbcd82554"/>
      <w:bookmarkEnd w:id="83"/>
    </w:p>
    <w:p w14:paraId="36DC372D">
      <w:pPr>
        <w:ind w:firstLine="643"/>
        <w:jc w:val="center"/>
        <w:outlineLvl w:val="1"/>
        <w:rPr>
          <w:rFonts w:ascii="宋体" w:hAnsi="宋体" w:eastAsia="宋体" w:cs="宋体"/>
          <w:b/>
          <w:color w:val="000000" w:themeColor="text1"/>
          <w:sz w:val="32"/>
          <w:highlight w:val="none"/>
          <w14:textFill>
            <w14:solidFill>
              <w14:schemeClr w14:val="tx1"/>
            </w14:solidFill>
          </w14:textFill>
        </w:rPr>
      </w:pPr>
      <w:bookmarkStart w:id="84" w:name="_Toc11461"/>
      <w:bookmarkStart w:id="85" w:name="_Toc81575157"/>
      <w:bookmarkStart w:id="86" w:name="_Toc81575194"/>
      <w:bookmarkStart w:id="87" w:name="_Toc5756"/>
      <w:bookmarkStart w:id="88" w:name="_Toc2717"/>
      <w:r>
        <w:rPr>
          <w:rFonts w:hint="eastAsia" w:ascii="宋体" w:hAnsi="宋体" w:eastAsia="宋体" w:cs="宋体"/>
          <w:b/>
          <w:color w:val="000000" w:themeColor="text1"/>
          <w:sz w:val="32"/>
          <w:highlight w:val="none"/>
          <w14:textFill>
            <w14:solidFill>
              <w14:schemeClr w14:val="tx1"/>
            </w14:solidFill>
          </w14:textFill>
        </w:rPr>
        <w:t>三、投标文件的编制</w:t>
      </w:r>
      <w:bookmarkEnd w:id="84"/>
      <w:bookmarkEnd w:id="85"/>
      <w:bookmarkEnd w:id="86"/>
      <w:bookmarkEnd w:id="87"/>
      <w:bookmarkEnd w:id="88"/>
    </w:p>
    <w:p w14:paraId="6E38BE1D">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10.投标文件的编制要求</w:t>
      </w:r>
    </w:p>
    <w:p w14:paraId="53E567D4">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10.1投标人应仔细阅读“招标文件”的所有内容，按“招标文件”第六部分“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14:paraId="2A97108C">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10.2投标文件应当对招标文件有关合同履行期限、投标有效期、质量要求、技术标准和要求、招标范围等实质性内容作出响应。</w:t>
      </w:r>
    </w:p>
    <w:p w14:paraId="2778ABFA">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10.3中标后按相关要求提供与电子投标文件一致的纸质打印投标文件。 </w:t>
      </w:r>
    </w:p>
    <w:p w14:paraId="243DE86A">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10.4投标文件须加盖电子签章之处，应按要求加盖投标人数字证书的电子签章。其他需要盖章但未明确要求电子签章的，投标人可按要求加盖公章后上传材料电子件或直接加盖电子签章。 </w:t>
      </w:r>
    </w:p>
    <w:p w14:paraId="136F1D6D">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10.5本项目通过“苏采云”系统进行电子招标投标，即投标人投标文件使用政府采购客户端工具制作并通过“苏采云”系统提交，如标书制作工具中格式和内容与“江苏省政府采购网”发布的采购文件不一致，请以“江苏省政府采购网”发布的采购文件为准。</w:t>
      </w:r>
    </w:p>
    <w:p w14:paraId="3C42D788">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1.6投标人应当通过“苏采云”系统提交数据电文形式的投标文件（即电子投标）。未进行投标文件提交并解密的投标人，按照无效响应处理（因“苏采云”系统导致解密失败的除外）。</w:t>
      </w:r>
    </w:p>
    <w:p w14:paraId="33C75002">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11.投标文件构成</w:t>
      </w:r>
    </w:p>
    <w:p w14:paraId="0BD70269">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11.1投标声明及承诺函。</w:t>
      </w:r>
    </w:p>
    <w:p w14:paraId="0DADDA86">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11.2法人授权书；</w:t>
      </w:r>
    </w:p>
    <w:p w14:paraId="1B06767A">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11.3报价文件</w:t>
      </w:r>
    </w:p>
    <w:p w14:paraId="402C6D1C">
      <w:pPr>
        <w:spacing w:line="500" w:lineRule="exact"/>
        <w:ind w:firstLine="480"/>
        <w:rPr>
          <w:rFonts w:hint="eastAsia" w:ascii="宋体" w:hAnsi="宋体" w:eastAsia="宋体" w:cs="宋体"/>
          <w:color w:val="000000" w:themeColor="text1"/>
          <w:sz w:val="24"/>
          <w:szCs w:val="22"/>
          <w:highlight w:val="none"/>
          <w:lang w:eastAsia="zh-CN"/>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11.3.1开标一览表</w:t>
      </w:r>
      <w:r>
        <w:rPr>
          <w:rFonts w:hint="eastAsia" w:ascii="宋体" w:hAnsi="宋体" w:eastAsia="宋体" w:cs="宋体"/>
          <w:color w:val="000000" w:themeColor="text1"/>
          <w:sz w:val="24"/>
          <w:szCs w:val="22"/>
          <w:highlight w:val="none"/>
          <w:lang w:eastAsia="zh-CN"/>
          <w14:textFill>
            <w14:solidFill>
              <w14:schemeClr w14:val="tx1"/>
            </w14:solidFill>
          </w14:textFill>
        </w:rPr>
        <w:t>。</w:t>
      </w:r>
    </w:p>
    <w:p w14:paraId="76401CC8">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11.4综合评审评分项相关技术文件</w:t>
      </w:r>
    </w:p>
    <w:p w14:paraId="42332702">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11.5商务文件</w:t>
      </w:r>
    </w:p>
    <w:p w14:paraId="232AA307">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bookmarkStart w:id="89" w:name="EBdc2c24f6358343e896cd43bd6621a619"/>
      <w:r>
        <w:rPr>
          <w:rFonts w:hint="eastAsia" w:ascii="宋体" w:hAnsi="宋体" w:eastAsia="宋体" w:cs="宋体"/>
          <w:color w:val="000000" w:themeColor="text1"/>
          <w:sz w:val="24"/>
          <w:szCs w:val="22"/>
          <w:highlight w:val="none"/>
          <w14:textFill>
            <w14:solidFill>
              <w14:schemeClr w14:val="tx1"/>
            </w14:solidFill>
          </w14:textFill>
        </w:rPr>
        <w:t>11.5.1投标人承担的类似项目业绩一览表；</w:t>
      </w:r>
    </w:p>
    <w:p w14:paraId="0BC74254">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11.5.2其他商务文件。</w:t>
      </w:r>
      <w:bookmarkEnd w:id="89"/>
    </w:p>
    <w:p w14:paraId="3AF757FA">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11.6投标人认为有必要提供的其他材料。</w:t>
      </w:r>
    </w:p>
    <w:p w14:paraId="3A54AD28">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bookmarkStart w:id="90" w:name="EBc50e2bb832bb43068403b10c1cce6141"/>
      <w:r>
        <w:rPr>
          <w:rFonts w:hint="eastAsia" w:ascii="宋体" w:hAnsi="宋体" w:eastAsia="宋体" w:cs="宋体"/>
          <w:b/>
          <w:color w:val="000000" w:themeColor="text1"/>
          <w:sz w:val="24"/>
          <w:szCs w:val="22"/>
          <w:highlight w:val="none"/>
          <w14:textFill>
            <w14:solidFill>
              <w14:schemeClr w14:val="tx1"/>
            </w14:solidFill>
          </w14:textFill>
        </w:rPr>
        <w:t>注：（1）投标文件构成资料为非中文时应提供中文译版；（2）招标文件要求提供证书证件等原件电子件的，投标人提供的电子件应是对证书证件等原件通过扫描、拍照等方式进行数字化的可被苏采云系统识别的数字文件，否则评标委员会可以视其未提供。（3）无论何种原因，即使投标人在开标时携带了证书证明资料的原件，但电子投标文件中未包含相关资料电子件的，评标委员会可以视同其未提供。</w:t>
      </w:r>
      <w:bookmarkEnd w:id="90"/>
    </w:p>
    <w:p w14:paraId="0733D14C">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12.投标文件的加密</w:t>
      </w:r>
    </w:p>
    <w:p w14:paraId="6209E91B">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投标人应使用经苏采云系统认可的电子商务认证授权机构（CA认证中心）颁发的数字证书对其电子投标文件认证并加密，未按要求加密并认证的投标文件，不予受理。</w:t>
      </w:r>
    </w:p>
    <w:p w14:paraId="171FB465">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13.投标报价</w:t>
      </w:r>
    </w:p>
    <w:p w14:paraId="7B8D5BD9">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13.1报价为一次报价，于开标会议当场宣读。</w:t>
      </w:r>
    </w:p>
    <w:p w14:paraId="2AE98B52">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13.2本项目不接受备选的投标方案或有选择的报价，只允许有一个报价。</w:t>
      </w:r>
      <w:r>
        <w:rPr>
          <w:rFonts w:hint="eastAsia" w:ascii="宋体" w:hAnsi="宋体" w:eastAsia="宋体" w:cs="宋体"/>
          <w:color w:val="000000" w:themeColor="text1"/>
          <w:sz w:val="24"/>
          <w:highlight w:val="none"/>
          <w14:textFill>
            <w14:solidFill>
              <w14:schemeClr w14:val="tx1"/>
            </w14:solidFill>
          </w14:textFill>
        </w:rPr>
        <w:t>投标报价内容包括：响应报价应包括货款、包装、运输、装卸、保险、税金、售后等完成本项目所涉及的一切相关费用。</w:t>
      </w:r>
    </w:p>
    <w:p w14:paraId="61656AD3">
      <w:pPr>
        <w:spacing w:line="500" w:lineRule="exact"/>
        <w:ind w:firstLine="482"/>
        <w:rPr>
          <w:rFonts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13.3报价注意事项：投标人报价时应充分考虑所有可能影响到报价的因素，一旦评标结束最终中标，如发生漏、缺、少项，都将被认为是中标人的报价让利行为，损失自负。</w:t>
      </w:r>
    </w:p>
    <w:p w14:paraId="49C4D906">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14.投标保证金</w:t>
      </w:r>
    </w:p>
    <w:p w14:paraId="4FC98F4F">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bookmarkStart w:id="91" w:name="EB183a0bf075204c54a4ff090f1aecaaa7"/>
      <w:r>
        <w:rPr>
          <w:rFonts w:hint="eastAsia" w:ascii="宋体" w:hAnsi="宋体" w:eastAsia="宋体" w:cs="宋体"/>
          <w:color w:val="000000" w:themeColor="text1"/>
          <w:sz w:val="24"/>
          <w:szCs w:val="22"/>
          <w:highlight w:val="none"/>
          <w14:textFill>
            <w14:solidFill>
              <w14:schemeClr w14:val="tx1"/>
            </w14:solidFill>
          </w14:textFill>
        </w:rPr>
        <w:t>本项目不收取投标保证金。</w:t>
      </w:r>
      <w:bookmarkEnd w:id="91"/>
    </w:p>
    <w:p w14:paraId="2F216577">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15.投标有效期</w:t>
      </w:r>
    </w:p>
    <w:p w14:paraId="0784F762">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15.1在投标人须知前附表规定的投标有效期内，投标有效期从提交投标文件的截止之日起算。投标有效期不足的投标，在评标时将其视为投标无效。</w:t>
      </w:r>
    </w:p>
    <w:p w14:paraId="7A728A26">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15.2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116CEE3C">
      <w:pPr>
        <w:ind w:firstLine="643"/>
        <w:jc w:val="center"/>
        <w:outlineLvl w:val="1"/>
        <w:rPr>
          <w:rFonts w:ascii="宋体" w:hAnsi="宋体" w:eastAsia="宋体" w:cs="宋体"/>
          <w:b/>
          <w:color w:val="000000" w:themeColor="text1"/>
          <w:sz w:val="32"/>
          <w:highlight w:val="none"/>
          <w14:textFill>
            <w14:solidFill>
              <w14:schemeClr w14:val="tx1"/>
            </w14:solidFill>
          </w14:textFill>
        </w:rPr>
      </w:pPr>
      <w:bookmarkStart w:id="92" w:name="_Toc2130"/>
      <w:bookmarkStart w:id="93" w:name="_Toc23443"/>
      <w:bookmarkStart w:id="94" w:name="_Toc18329"/>
      <w:bookmarkStart w:id="95" w:name="_Toc81575195"/>
      <w:bookmarkStart w:id="96" w:name="_Toc81575158"/>
      <w:r>
        <w:rPr>
          <w:rFonts w:hint="eastAsia" w:ascii="宋体" w:hAnsi="宋体" w:eastAsia="宋体" w:cs="宋体"/>
          <w:b/>
          <w:color w:val="000000" w:themeColor="text1"/>
          <w:sz w:val="32"/>
          <w:highlight w:val="none"/>
          <w14:textFill>
            <w14:solidFill>
              <w14:schemeClr w14:val="tx1"/>
            </w14:solidFill>
          </w14:textFill>
        </w:rPr>
        <w:t>四、投标文件的提交</w:t>
      </w:r>
      <w:bookmarkEnd w:id="92"/>
      <w:bookmarkEnd w:id="93"/>
      <w:bookmarkEnd w:id="94"/>
      <w:bookmarkEnd w:id="95"/>
      <w:bookmarkEnd w:id="96"/>
    </w:p>
    <w:p w14:paraId="567A684F">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16.投标文件的提交</w:t>
      </w:r>
    </w:p>
    <w:p w14:paraId="358C5F2C">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16.1投标人应当按照《操作手册》规定，在投标截止时间前制作并上传电子投标文件。投标人通过“苏采云”系统不见面开标大厅在线参与开标活动。（具体操作详见《“苏采云”系统投标人操作手册》，网址链接http://www.ccgp-jiangsu.gov.cn//webfile/jiangsu/202311/1699268553318052447.pdf）</w:t>
      </w:r>
    </w:p>
    <w:p w14:paraId="345B8FD0">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投标人应将电子投标文件上传至“苏采云”系统对应的本次开标分包中，未及时上传的，招标人不予受理。投标文件提交截止时间后，投标人对投标报价或其他实质性内容修正的函件和增加的任何优惠条件，一律拒绝接收。</w:t>
      </w:r>
    </w:p>
    <w:p w14:paraId="4390223C">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16.2除招标文件另有规定外，投标人所提交的投标文件不予退还。</w:t>
      </w:r>
    </w:p>
    <w:p w14:paraId="77DFF057">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16.3网上投标文件的修改和撤回：在投标截止时间之前，投标人可以撤回或重新提交投标文件，投标文件以最终完成上传的为准。</w:t>
      </w:r>
    </w:p>
    <w:p w14:paraId="5E156F17">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16.4采购代理机构可以通过修改招标文件酌情延长投标文件接收截止日期，在此情况下，投标人的所有权利和义务以及投标人受制约的截止日期均应以延长后新的截止日期为准。</w:t>
      </w:r>
    </w:p>
    <w:p w14:paraId="4902E9AA">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17.投标文件被拒绝接收的情形</w:t>
      </w:r>
    </w:p>
    <w:p w14:paraId="6D6AB545">
      <w:pPr>
        <w:spacing w:line="500" w:lineRule="exact"/>
        <w:ind w:firstLine="480"/>
        <w:rPr>
          <w:rFonts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17.1在招标文件规定的投标截止时间后上传的投标文件。</w:t>
      </w:r>
    </w:p>
    <w:p w14:paraId="5ED8A871">
      <w:pPr>
        <w:ind w:firstLine="643"/>
        <w:jc w:val="center"/>
        <w:outlineLvl w:val="1"/>
        <w:rPr>
          <w:rFonts w:ascii="宋体" w:hAnsi="宋体" w:eastAsia="宋体" w:cs="宋体"/>
          <w:b/>
          <w:color w:val="000000" w:themeColor="text1"/>
          <w:sz w:val="32"/>
          <w:highlight w:val="none"/>
          <w14:textFill>
            <w14:solidFill>
              <w14:schemeClr w14:val="tx1"/>
            </w14:solidFill>
          </w14:textFill>
        </w:rPr>
      </w:pPr>
      <w:bookmarkStart w:id="97" w:name="_Toc8841"/>
      <w:bookmarkStart w:id="98" w:name="_Toc26208"/>
      <w:bookmarkStart w:id="99" w:name="_Toc81575196"/>
      <w:bookmarkStart w:id="100" w:name="_Toc212"/>
      <w:bookmarkStart w:id="101" w:name="_Toc81575159"/>
      <w:r>
        <w:rPr>
          <w:rFonts w:hint="eastAsia" w:ascii="宋体" w:hAnsi="宋体" w:eastAsia="宋体" w:cs="宋体"/>
          <w:b/>
          <w:color w:val="000000" w:themeColor="text1"/>
          <w:sz w:val="32"/>
          <w:highlight w:val="none"/>
          <w14:textFill>
            <w14:solidFill>
              <w14:schemeClr w14:val="tx1"/>
            </w14:solidFill>
          </w14:textFill>
        </w:rPr>
        <w:t>五、无效标、废标、串通投标认定条款</w:t>
      </w:r>
      <w:bookmarkEnd w:id="97"/>
      <w:bookmarkEnd w:id="98"/>
      <w:bookmarkEnd w:id="99"/>
      <w:bookmarkEnd w:id="100"/>
      <w:bookmarkEnd w:id="101"/>
    </w:p>
    <w:p w14:paraId="0869E1D0">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18.无效投标条款</w:t>
      </w:r>
    </w:p>
    <w:p w14:paraId="121C0AFA">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bookmarkStart w:id="102" w:name="EB94942e5430df4fb8a077f3cf7667f212"/>
      <w:r>
        <w:rPr>
          <w:rFonts w:hint="eastAsia" w:ascii="宋体" w:hAnsi="宋体" w:eastAsia="宋体" w:cs="宋体"/>
          <w:color w:val="000000" w:themeColor="text1"/>
          <w:sz w:val="24"/>
          <w:szCs w:val="22"/>
          <w:highlight w:val="none"/>
          <w14:textFill>
            <w14:solidFill>
              <w14:schemeClr w14:val="tx1"/>
            </w14:solidFill>
          </w14:textFill>
        </w:rPr>
        <w:t>18.1投标人不符合招标文件规定资格要求的或未按规定提交资质证件的；</w:t>
      </w:r>
    </w:p>
    <w:p w14:paraId="66B0904D">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18.2投标文件签署、盖章不符合招标文件要求的；</w:t>
      </w:r>
    </w:p>
    <w:p w14:paraId="6B9F92E7">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18.3未按招标文件要求提供电子投标文件，或者在苏采云系统规定的时间内未成功解密电子投标文件；</w:t>
      </w:r>
    </w:p>
    <w:p w14:paraId="3B7FD203">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18.4报价超过招标文件中规定的预算金额或者最高限价的；</w:t>
      </w:r>
    </w:p>
    <w:p w14:paraId="51EC4B78">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18.5投标文件出现重大偏离，未对招标文件进行实质性响应的（★部分为实质性要求）；</w:t>
      </w:r>
    </w:p>
    <w:p w14:paraId="719A6288">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18.6投标文件含有采购人不能接受的附加条件的；</w:t>
      </w:r>
    </w:p>
    <w:p w14:paraId="1EC92A57">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18.7投标人有本招标文件规定的恶意串通投标情形的；</w:t>
      </w:r>
    </w:p>
    <w:p w14:paraId="2EA95B48">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18.8其他评标委员会认为有必要取消的投标；</w:t>
      </w:r>
    </w:p>
    <w:p w14:paraId="5082EB2B">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18.9法律法规规定的其他情况。</w:t>
      </w:r>
      <w:bookmarkEnd w:id="102"/>
    </w:p>
    <w:p w14:paraId="1048E77A">
      <w:pPr>
        <w:spacing w:line="500" w:lineRule="exact"/>
        <w:ind w:firstLine="482"/>
        <w:rPr>
          <w:rFonts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19.废标条款</w:t>
      </w:r>
    </w:p>
    <w:p w14:paraId="3726C422">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19.1符合专业条件的投标人或者对招标文件作实质响应的投标人不足三家的；</w:t>
      </w:r>
    </w:p>
    <w:p w14:paraId="4A710B58">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19.2出现影响采购公正的违法、违规行为的；</w:t>
      </w:r>
    </w:p>
    <w:p w14:paraId="1FC74A2E">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19.3投标人的报价均超过了采购预算，且采购人不能支付的；</w:t>
      </w:r>
    </w:p>
    <w:p w14:paraId="0E61FEEF">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19.4因重大变故，采购任务取消的。</w:t>
      </w:r>
    </w:p>
    <w:p w14:paraId="1C495919">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19.5评标委员会认定招标文件存在歧义、重大缺陷导致评审工作无法进行。</w:t>
      </w:r>
    </w:p>
    <w:p w14:paraId="73E0975C">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19.6因苏采云系统故障原因造成开标不成功的。</w:t>
      </w:r>
    </w:p>
    <w:p w14:paraId="613CA863">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20.投标人不足三家情形处理</w:t>
      </w:r>
    </w:p>
    <w:p w14:paraId="616EEE77">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投标截止后投标人不足3家或者通过资格审查或符合性审查的投标人不足3家的，除采购任务取消情形外，按财政部令第87号第四十三条条款进行处理。</w:t>
      </w:r>
    </w:p>
    <w:p w14:paraId="6C6ED3E5">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21.取消中标候选人资格条款</w:t>
      </w:r>
    </w:p>
    <w:p w14:paraId="43304C7D">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21.1提供虚假材料谋取中标的；</w:t>
      </w:r>
    </w:p>
    <w:p w14:paraId="00D6AB03">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21.2采取不正当手段诋毁、排挤其他投标人的；</w:t>
      </w:r>
    </w:p>
    <w:p w14:paraId="2A445CD1">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21.3与采购人、其他投标人或者采购代理机构恶意串通的；</w:t>
      </w:r>
    </w:p>
    <w:p w14:paraId="57060389">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21.4向采购人、采购代理机构行贿或者提供其他不正当利益的；</w:t>
      </w:r>
    </w:p>
    <w:p w14:paraId="45D9CD79">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21.5未在规定时间内与采购人签订采购合同的；</w:t>
      </w:r>
    </w:p>
    <w:p w14:paraId="4C760A7C">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21.6法律法规规定的其他情况。</w:t>
      </w:r>
    </w:p>
    <w:p w14:paraId="5A5DD748">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22.串通投标的情形</w:t>
      </w:r>
    </w:p>
    <w:p w14:paraId="237F6F0A">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有下列情形之一的，属于恶意串通投标：</w:t>
      </w:r>
    </w:p>
    <w:p w14:paraId="575CC24C">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22.1投标人直接或间接从采购人或采购代理机构处获得其他投标人的投标情况，并修改其投标文件；</w:t>
      </w:r>
    </w:p>
    <w:p w14:paraId="67AC5987">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22.2评审活动开始前投标人直接或间接从采购人或采购代理机构处获得评标委员会组成人员情况；</w:t>
      </w:r>
    </w:p>
    <w:p w14:paraId="0DDDF145">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22.3投标人接受采购人或采购代理机构授意撤换、修改投标文件；</w:t>
      </w:r>
    </w:p>
    <w:p w14:paraId="04B9A391">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22.4投标人之间协商投标报价、技术方案等投标文件实质性内容；</w:t>
      </w:r>
    </w:p>
    <w:p w14:paraId="57E704F7">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22.5属于同一集团、协会、商会等组织成员的投标人按照该组织要求协同投标；</w:t>
      </w:r>
    </w:p>
    <w:p w14:paraId="467AEC26">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22.6投标人之间事先约定由某一特定投标人中标、中标；</w:t>
      </w:r>
    </w:p>
    <w:p w14:paraId="1E9B9D70">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22.7投标人之间商定部分投标人放弃投标或者放弃中标、中标；</w:t>
      </w:r>
    </w:p>
    <w:p w14:paraId="43E55D40">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22.8投标人与采购人或采购代理机构之间、投标人相互之间为谋求特定投标人中标或者排斥其他投标人的其他串通行为；</w:t>
      </w:r>
    </w:p>
    <w:p w14:paraId="24F90B1F">
      <w:pPr>
        <w:spacing w:line="500" w:lineRule="exact"/>
        <w:ind w:firstLine="482"/>
        <w:rPr>
          <w:rFonts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有下列情形之一的，视为投标人串通投标，其投标无效：</w:t>
      </w:r>
    </w:p>
    <w:p w14:paraId="1A99FBB1">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22.9不同投标人的投标文件由同一单位或者个人编制；</w:t>
      </w:r>
    </w:p>
    <w:p w14:paraId="29B5DEB9">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22.10不同投标人委托同一单位或者个人办理投标事宜；</w:t>
      </w:r>
    </w:p>
    <w:p w14:paraId="07DD463B">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22.11不同投标人的投标文件载明的项目管理成员或者联系人员为同一人；</w:t>
      </w:r>
    </w:p>
    <w:p w14:paraId="5C4C2490">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22.12不同投标人的投标文件异常一致或者投标报价呈规律性差异；</w:t>
      </w:r>
    </w:p>
    <w:p w14:paraId="4EF00634">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22.13不同投标人的投标文件相互混装；</w:t>
      </w:r>
    </w:p>
    <w:p w14:paraId="4277ACD1">
      <w:pPr>
        <w:spacing w:line="500" w:lineRule="exact"/>
        <w:ind w:firstLine="480"/>
        <w:rPr>
          <w:rFonts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22.14不同投标人的投标保证金从同一单位或者个人的账户转出。</w:t>
      </w:r>
      <w:bookmarkStart w:id="103" w:name="_Toc81575197"/>
      <w:bookmarkStart w:id="104" w:name="_Toc81575160"/>
      <w:bookmarkStart w:id="105" w:name="_Toc24370"/>
      <w:bookmarkStart w:id="106" w:name="_Toc20026"/>
    </w:p>
    <w:p w14:paraId="354B34AE">
      <w:pPr>
        <w:ind w:firstLine="643"/>
        <w:jc w:val="center"/>
        <w:outlineLvl w:val="1"/>
        <w:rPr>
          <w:rFonts w:ascii="宋体" w:hAnsi="宋体" w:eastAsia="宋体" w:cs="宋体"/>
          <w:b/>
          <w:color w:val="000000" w:themeColor="text1"/>
          <w:sz w:val="32"/>
          <w:highlight w:val="none"/>
          <w14:textFill>
            <w14:solidFill>
              <w14:schemeClr w14:val="tx1"/>
            </w14:solidFill>
          </w14:textFill>
        </w:rPr>
      </w:pPr>
      <w:bookmarkStart w:id="107" w:name="_Toc24905"/>
      <w:r>
        <w:rPr>
          <w:rFonts w:hint="eastAsia" w:ascii="宋体" w:hAnsi="宋体" w:eastAsia="宋体" w:cs="宋体"/>
          <w:b/>
          <w:color w:val="000000" w:themeColor="text1"/>
          <w:sz w:val="32"/>
          <w:highlight w:val="none"/>
          <w14:textFill>
            <w14:solidFill>
              <w14:schemeClr w14:val="tx1"/>
            </w14:solidFill>
          </w14:textFill>
        </w:rPr>
        <w:t>六、开标、资格审查、评标程序</w:t>
      </w:r>
      <w:bookmarkEnd w:id="103"/>
      <w:bookmarkEnd w:id="104"/>
      <w:bookmarkEnd w:id="105"/>
      <w:bookmarkEnd w:id="106"/>
      <w:bookmarkEnd w:id="107"/>
    </w:p>
    <w:p w14:paraId="26F91306">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23.开标会议</w:t>
      </w:r>
    </w:p>
    <w:p w14:paraId="008C45B3">
      <w:pPr>
        <w:spacing w:line="480" w:lineRule="exact"/>
        <w:ind w:firstLine="480"/>
        <w:rPr>
          <w:rFonts w:ascii="Times New Roman" w:hAnsi="Times New Roman" w:cs="仿宋"/>
          <w:sz w:val="24"/>
          <w:highlight w:val="none"/>
        </w:rPr>
      </w:pPr>
      <w:r>
        <w:rPr>
          <w:rFonts w:hint="eastAsia" w:ascii="Times New Roman" w:hAnsi="Times New Roman" w:eastAsia="宋体" w:cs="仿宋"/>
          <w:sz w:val="24"/>
          <w:highlight w:val="none"/>
          <w:lang w:val="en-US" w:eastAsia="zh-CN"/>
        </w:rPr>
        <w:t>23.1</w:t>
      </w:r>
      <w:r>
        <w:rPr>
          <w:rFonts w:hint="eastAsia" w:ascii="Times New Roman" w:hAnsi="Times New Roman" w:cs="仿宋"/>
          <w:sz w:val="24"/>
          <w:highlight w:val="none"/>
        </w:rPr>
        <w:t>采购代理机构将在招标公告中规定的时间和地点组织公开开标。投标人应当按照规定参加开标活动，在“苏采云”系统规定的时间内对投标文件解密。</w:t>
      </w:r>
    </w:p>
    <w:p w14:paraId="6D934777">
      <w:pPr>
        <w:spacing w:line="480" w:lineRule="exact"/>
        <w:ind w:firstLine="480"/>
        <w:rPr>
          <w:rFonts w:ascii="Times New Roman" w:hAnsi="Times New Roman" w:cs="仿宋"/>
          <w:sz w:val="24"/>
          <w:highlight w:val="none"/>
        </w:rPr>
      </w:pPr>
      <w:r>
        <w:rPr>
          <w:rFonts w:hint="eastAsia" w:ascii="Times New Roman" w:hAnsi="Times New Roman" w:eastAsia="宋体" w:cs="仿宋"/>
          <w:sz w:val="24"/>
          <w:highlight w:val="none"/>
          <w:lang w:val="en-US" w:eastAsia="zh-CN"/>
        </w:rPr>
        <w:t>23.2</w:t>
      </w:r>
      <w:r>
        <w:rPr>
          <w:rFonts w:hint="eastAsia" w:ascii="Times New Roman" w:hAnsi="Times New Roman" w:cs="仿宋"/>
          <w:sz w:val="24"/>
          <w:highlight w:val="none"/>
        </w:rPr>
        <w:t>开标仪式由采购代理机构组织。“苏采云”系统将自动对项目进行开标，并宣布各投标人名称和投标价格。</w:t>
      </w:r>
    </w:p>
    <w:p w14:paraId="4EC47088">
      <w:pPr>
        <w:spacing w:line="480" w:lineRule="exact"/>
        <w:ind w:firstLine="482"/>
        <w:rPr>
          <w:rFonts w:ascii="Times New Roman" w:hAnsi="Times New Roman" w:cs="仿宋"/>
          <w:b/>
          <w:bCs/>
          <w:sz w:val="24"/>
          <w:highlight w:val="none"/>
        </w:rPr>
      </w:pPr>
      <w:r>
        <w:rPr>
          <w:rFonts w:hint="eastAsia" w:ascii="Times New Roman" w:hAnsi="Times New Roman" w:eastAsia="宋体" w:cs="仿宋"/>
          <w:b/>
          <w:bCs/>
          <w:sz w:val="24"/>
          <w:highlight w:val="none"/>
          <w:lang w:val="en-US" w:eastAsia="zh-CN"/>
        </w:rPr>
        <w:t>23.3</w:t>
      </w:r>
      <w:r>
        <w:rPr>
          <w:rFonts w:hint="eastAsia" w:ascii="Times New Roman" w:hAnsi="Times New Roman" w:cs="仿宋"/>
          <w:b/>
          <w:bCs/>
          <w:sz w:val="24"/>
          <w:highlight w:val="none"/>
        </w:rPr>
        <w:t>投标人用于解密的CA证书应为该投标文件生成加密、上传的同一把CA证书。投标人应登录“苏采云”系统进入“开标大厅”，在系统约定时间内使用CA证书解密，未成功解密的视为放弃投标。</w:t>
      </w:r>
    </w:p>
    <w:p w14:paraId="5EC1547B">
      <w:pPr>
        <w:spacing w:line="480" w:lineRule="exact"/>
        <w:ind w:firstLine="480"/>
        <w:rPr>
          <w:rFonts w:ascii="Times New Roman" w:hAnsi="Times New Roman" w:cs="仿宋"/>
          <w:sz w:val="24"/>
          <w:highlight w:val="none"/>
        </w:rPr>
      </w:pPr>
      <w:r>
        <w:rPr>
          <w:rFonts w:hint="eastAsia" w:ascii="Times New Roman" w:hAnsi="Times New Roman" w:eastAsia="宋体" w:cs="仿宋"/>
          <w:sz w:val="24"/>
          <w:highlight w:val="none"/>
          <w:lang w:val="en-US" w:eastAsia="zh-CN"/>
        </w:rPr>
        <w:t>23.4</w:t>
      </w:r>
      <w:r>
        <w:rPr>
          <w:rFonts w:hint="eastAsia" w:ascii="Times New Roman" w:hAnsi="Times New Roman" w:cs="仿宋"/>
          <w:sz w:val="24"/>
          <w:highlight w:val="none"/>
        </w:rPr>
        <w:t>投标人如果对开标过程和开标记录有疑义，应当按规定提出。如“苏采云”系统中《开标记录表》宣布后5分钟内未提出的，视同认可开标结果。</w:t>
      </w:r>
    </w:p>
    <w:p w14:paraId="776FFA92">
      <w:pPr>
        <w:spacing w:line="48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Times New Roman" w:hAnsi="Times New Roman" w:eastAsia="宋体" w:cs="仿宋"/>
          <w:sz w:val="24"/>
          <w:highlight w:val="none"/>
          <w:lang w:val="en-US" w:eastAsia="zh-CN"/>
        </w:rPr>
        <w:t>23.5</w:t>
      </w:r>
      <w:r>
        <w:rPr>
          <w:rFonts w:hint="eastAsia" w:ascii="Times New Roman" w:hAnsi="Times New Roman" w:cs="仿宋"/>
          <w:sz w:val="24"/>
          <w:highlight w:val="none"/>
        </w:rPr>
        <w:t>投标人在开、评标全过程中应保持通讯畅通，及时登录“苏采云”系统查阅、答复相关信息。</w:t>
      </w:r>
    </w:p>
    <w:p w14:paraId="5F078F11">
      <w:pPr>
        <w:spacing w:line="500" w:lineRule="exact"/>
        <w:ind w:firstLine="482"/>
        <w:rPr>
          <w:rFonts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24.开标流程</w:t>
      </w:r>
    </w:p>
    <w:p w14:paraId="7A2956F1">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24.1不见面开标主要程序：主持人按下列程序进行开标，开标按分包顺序进行。</w:t>
      </w:r>
    </w:p>
    <w:p w14:paraId="777D42A4">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24.1.1开标主持；</w:t>
      </w:r>
    </w:p>
    <w:p w14:paraId="3C5E5691">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24.1.2投标人对电子投标文件解密；</w:t>
      </w:r>
    </w:p>
    <w:p w14:paraId="355F5A2C">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24.1.3唱标；</w:t>
      </w:r>
    </w:p>
    <w:p w14:paraId="16B6D331">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24.1.4开标会议结束。</w:t>
      </w:r>
    </w:p>
    <w:p w14:paraId="4E235114">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25.资格审查</w:t>
      </w:r>
    </w:p>
    <w:p w14:paraId="3DC00B03">
      <w:pPr>
        <w:pBdr>
          <w:top w:val="none" w:color="000000" w:sz="0" w:space="0"/>
          <w:left w:val="none" w:color="000000" w:sz="0" w:space="0"/>
          <w:bottom w:val="none" w:color="000000" w:sz="0" w:space="0"/>
          <w:right w:val="none" w:color="000000" w:sz="0" w:space="0"/>
        </w:pBdr>
        <w:spacing w:line="561" w:lineRule="exact"/>
        <w:ind w:firstLine="420"/>
        <w:rPr>
          <w:rFonts w:ascii="宋体" w:hAnsi="宋体" w:eastAsia="宋体" w:cs="宋体"/>
          <w:color w:val="000000" w:themeColor="text1"/>
          <w:sz w:val="24"/>
          <w:szCs w:val="22"/>
          <w:highlight w:val="none"/>
          <w14:textFill>
            <w14:solidFill>
              <w14:schemeClr w14:val="tx1"/>
            </w14:solidFill>
          </w14:textFill>
        </w:rPr>
      </w:pPr>
      <w:bookmarkStart w:id="108" w:name="EBa9c0a2c9e523494487594c65b2a92370"/>
      <w:r>
        <w:rPr>
          <w:rFonts w:hint="eastAsia" w:ascii="宋体" w:hAnsi="宋体" w:eastAsia="宋体" w:cs="宋体"/>
          <w:color w:val="000000" w:themeColor="text1"/>
          <w:sz w:val="24"/>
          <w:szCs w:val="22"/>
          <w:highlight w:val="none"/>
          <w14:textFill>
            <w14:solidFill>
              <w14:schemeClr w14:val="tx1"/>
            </w14:solidFill>
          </w14:textFill>
        </w:rPr>
        <w:t>25.1开标结束后，采购人依法根据招标文件的规定对投标人的资格证明文件等进行审查。</w:t>
      </w:r>
      <w:bookmarkEnd w:id="108"/>
    </w:p>
    <w:p w14:paraId="5B1A642D">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26.评标委员会</w:t>
      </w:r>
    </w:p>
    <w:p w14:paraId="47790256">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采购人应根据本项目的特点依法组建评标委员会，评标委员会由采购人代表和有关技术、经济等方面的专家组成，且人员构成符合政府采购有关规定。评标委员会负责具体评标事务，对资格审查合格的投标人进行评标，独立履行相关职责并确定中标人候选人。</w:t>
      </w:r>
    </w:p>
    <w:p w14:paraId="5B1CB197">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27.评标原则</w:t>
      </w:r>
    </w:p>
    <w:p w14:paraId="0B68C1CD">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“公平、公正、客观、择优”为评标的基本原则，以招标文件和投标文件为评标的基本依据，并按照招标文件规定的评标方法和评标标准进行评标。评标委员会将根据这一原则，公正、平等地对待各投标人。</w:t>
      </w:r>
    </w:p>
    <w:p w14:paraId="6DA30CA3">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28.评标程序</w:t>
      </w:r>
    </w:p>
    <w:p w14:paraId="39D2811C">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9" w:name="EB1499356fad43416eb16398733accabf7"/>
      <w:r>
        <w:rPr>
          <w:rFonts w:hint="eastAsia" w:ascii="宋体" w:hAnsi="宋体" w:eastAsia="宋体" w:cs="宋体"/>
          <w:color w:val="000000" w:themeColor="text1"/>
          <w:sz w:val="24"/>
          <w:szCs w:val="22"/>
          <w:highlight w:val="none"/>
          <w14:textFill>
            <w14:solidFill>
              <w14:schemeClr w14:val="tx1"/>
            </w14:solidFill>
          </w14:textFill>
        </w:rPr>
        <w:t>所谓重大偏离是指投标人投标文件中所述设备质量、技术规格、数量、合同履行期限和服务等明显不能满足招标文件要求。</w:t>
      </w:r>
      <w:bookmarkEnd w:id="109"/>
      <w:r>
        <w:rPr>
          <w:rFonts w:hint="eastAsia" w:ascii="宋体" w:hAnsi="宋体" w:eastAsia="宋体" w:cs="宋体"/>
          <w:color w:val="000000" w:themeColor="text1"/>
          <w:sz w:val="24"/>
          <w:szCs w:val="22"/>
          <w:highlight w:val="none"/>
          <w14:textFill>
            <w14:solidFill>
              <w14:schemeClr w14:val="tx1"/>
            </w14:solidFill>
          </w14:textFill>
        </w:rPr>
        <w:t>重大偏离的认定须经评标委员会三分之二以上同意。</w:t>
      </w:r>
    </w:p>
    <w:p w14:paraId="14D9A50C">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评标委员会判断“投标文件”的响应性，仅基于“投标文件”本身而不靠外部证据。对非实质性响应的投标文件，投标人不能通过修正或撤销不符之处，而使其成为实质性响应。</w:t>
      </w:r>
    </w:p>
    <w:p w14:paraId="6E7CB2D7">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28.2相同品牌产品投标</w:t>
      </w:r>
    </w:p>
    <w:p w14:paraId="04F6FDC3">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28.2.1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4D1ACCBC">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28.2.2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2874AA66">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28.2.3非单一产品采购项目，采购人确定核心产品，并在招标文件中载明。</w:t>
      </w:r>
      <w:bookmarkStart w:id="110" w:name="OLE_LINK10"/>
      <w:r>
        <w:rPr>
          <w:rFonts w:hint="eastAsia" w:ascii="宋体" w:hAnsi="宋体" w:eastAsia="宋体" w:cs="宋体"/>
          <w:color w:val="000000" w:themeColor="text1"/>
          <w:sz w:val="24"/>
          <w:szCs w:val="22"/>
          <w:highlight w:val="none"/>
          <w14:textFill>
            <w14:solidFill>
              <w14:schemeClr w14:val="tx1"/>
            </w14:solidFill>
          </w14:textFill>
        </w:rPr>
        <w:t>多家投标人提供的核心产品品牌相同的，</w:t>
      </w:r>
      <w:bookmarkEnd w:id="110"/>
      <w:r>
        <w:rPr>
          <w:rFonts w:hint="eastAsia" w:ascii="宋体" w:hAnsi="宋体" w:eastAsia="宋体" w:cs="宋体"/>
          <w:color w:val="000000" w:themeColor="text1"/>
          <w:sz w:val="24"/>
          <w:szCs w:val="22"/>
          <w:highlight w:val="none"/>
          <w14:textFill>
            <w14:solidFill>
              <w14:schemeClr w14:val="tx1"/>
            </w14:solidFill>
          </w14:textFill>
        </w:rPr>
        <w:t>按前两款规定处理。</w:t>
      </w:r>
    </w:p>
    <w:p w14:paraId="4FD76485">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28.3澄清有关问题。</w:t>
      </w:r>
    </w:p>
    <w:p w14:paraId="3BB9FF66">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28.3.1对投标文件中含义不明确、同类问题表述不一致或者有明显文字和计算错误的内容，评标委员会可以书面形式（应当由评标委员会专家签字）或通过系统要求投标人作出必要的澄清、说明或者纠正。投标人的澄清、说明或者补正应当采用书面形式或通过“苏采云”系统向评标委员会进行澄清回复。投标人的澄清、说明或者补正不得超出投标文件的范围或者改变投标文件的实质性内容。投标人的书面澄清、说明应加盖公章，或者由法定代表人或其授权的代表签字，通过投标人业务系统实施的澄清、说明应加盖电子印章。</w:t>
      </w:r>
    </w:p>
    <w:p w14:paraId="4167E5EF">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28.3.2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w:t>
      </w:r>
    </w:p>
    <w:p w14:paraId="731AE38A">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28.3.2投标文件报价出现前后不一致的，除招标文件另有规定外，按照下列规定修正：</w:t>
      </w:r>
    </w:p>
    <w:p w14:paraId="32A78D11">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①投标文件中开标一览表（报价表）内容与投标文件中相应内容不一致的，以开标一览表（报价表）为准；</w:t>
      </w:r>
    </w:p>
    <w:p w14:paraId="70B83C40">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②大写金额和小写金额不一致的，以大写金额为准；</w:t>
      </w:r>
    </w:p>
    <w:p w14:paraId="7552969E">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③单价金额小数点或者百分比有明显错位的，以开标一览表的总价为准，并修改单价；</w:t>
      </w:r>
    </w:p>
    <w:p w14:paraId="048772C2">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④总价金额与按单价汇总金额不一致的，以单价金额计算结果为准。</w:t>
      </w:r>
    </w:p>
    <w:p w14:paraId="6F858F71">
      <w:pPr>
        <w:spacing w:line="500" w:lineRule="exact"/>
        <w:ind w:firstLine="480"/>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同时出现两种以上不一致的，按照前款规定的顺序修正。</w:t>
      </w:r>
    </w:p>
    <w:p w14:paraId="3AE7D7E8">
      <w:pPr>
        <w:spacing w:line="480" w:lineRule="exact"/>
        <w:ind w:firstLine="480"/>
        <w:rPr>
          <w:rFonts w:ascii="Times New Roman" w:hAnsi="Times New Roman" w:cs="仿宋"/>
          <w:sz w:val="24"/>
          <w:highlight w:val="none"/>
        </w:rPr>
      </w:pPr>
      <w:r>
        <w:rPr>
          <w:rFonts w:hint="eastAsia" w:ascii="Times New Roman" w:hAnsi="Times New Roman" w:cs="仿宋"/>
          <w:sz w:val="24"/>
          <w:highlight w:val="none"/>
        </w:rPr>
        <w:t>评标委员会将按上述修正错误的方法调整投标文件中的投标报价，并通过“苏采云”系统告知投标人，调整后的价格应对投标人具有约束力。投标人不接受修正后的价格，其投标将被拒绝。</w:t>
      </w:r>
    </w:p>
    <w:p w14:paraId="74E285A7">
      <w:pPr>
        <w:spacing w:line="480" w:lineRule="exact"/>
        <w:ind w:firstLine="480"/>
        <w:rPr>
          <w:rFonts w:hint="eastAsia" w:ascii="Times New Roman" w:hAnsi="Times New Roman" w:cs="仿宋"/>
          <w:sz w:val="24"/>
          <w:highlight w:val="none"/>
        </w:rPr>
      </w:pPr>
      <w:r>
        <w:rPr>
          <w:rFonts w:hint="eastAsia" w:ascii="Times New Roman" w:hAnsi="Times New Roman" w:cs="仿宋"/>
          <w:sz w:val="24"/>
          <w:highlight w:val="none"/>
        </w:rPr>
        <w:t>28.4异常低价投标审查。</w:t>
      </w:r>
    </w:p>
    <w:p w14:paraId="3BBEE87C">
      <w:pPr>
        <w:spacing w:line="480" w:lineRule="exact"/>
        <w:ind w:firstLine="480"/>
        <w:rPr>
          <w:rFonts w:hint="eastAsia" w:ascii="Times New Roman" w:hAnsi="Times New Roman" w:cs="仿宋"/>
          <w:sz w:val="24"/>
          <w:highlight w:val="none"/>
        </w:rPr>
      </w:pPr>
      <w:r>
        <w:rPr>
          <w:rFonts w:hint="eastAsia" w:ascii="Times New Roman" w:hAnsi="Times New Roman" w:cs="仿宋"/>
          <w:sz w:val="24"/>
          <w:highlight w:val="none"/>
        </w:rPr>
        <w:t>28.4.1评审过程中出现下列情形之一的，评标委员会应当启动异常低价响应审查程序：</w:t>
      </w:r>
    </w:p>
    <w:p w14:paraId="5E6B8BE1">
      <w:pPr>
        <w:spacing w:line="480" w:lineRule="exact"/>
        <w:ind w:firstLine="480"/>
        <w:rPr>
          <w:rFonts w:hint="eastAsia" w:ascii="Times New Roman" w:hAnsi="Times New Roman" w:cs="仿宋"/>
          <w:sz w:val="24"/>
          <w:highlight w:val="none"/>
        </w:rPr>
      </w:pPr>
      <w:r>
        <w:rPr>
          <w:rFonts w:hint="eastAsia" w:ascii="Times New Roman" w:hAnsi="Times New Roman" w:cs="仿宋"/>
          <w:sz w:val="24"/>
          <w:highlight w:val="none"/>
        </w:rPr>
        <w:t>（1）投标（响应）报价低于全部通过符合性审查投标人投标（响应）报价平均值的50%的，即投标（响应）报价＜全部通过符合性审查投标人投标（响应）报价平均值×50%；</w:t>
      </w:r>
    </w:p>
    <w:p w14:paraId="0E0D3769">
      <w:pPr>
        <w:spacing w:line="480" w:lineRule="exact"/>
        <w:ind w:firstLine="480"/>
        <w:rPr>
          <w:rFonts w:hint="eastAsia" w:ascii="Times New Roman" w:hAnsi="Times New Roman" w:cs="仿宋"/>
          <w:sz w:val="24"/>
          <w:highlight w:val="none"/>
        </w:rPr>
      </w:pPr>
      <w:r>
        <w:rPr>
          <w:rFonts w:hint="eastAsia" w:ascii="Times New Roman" w:hAnsi="Times New Roman" w:cs="仿宋"/>
          <w:sz w:val="24"/>
          <w:highlight w:val="none"/>
        </w:rPr>
        <w:t>（2）投标（响应）报价低于通过符合性审查的次低报价投标人投标（响应）报价50%的，即投标（响应）报价＜通过符合性审查的次低报价投标人投标（响应）报价×50%；</w:t>
      </w:r>
    </w:p>
    <w:p w14:paraId="03165625">
      <w:pPr>
        <w:spacing w:line="480" w:lineRule="exact"/>
        <w:ind w:firstLine="480"/>
        <w:rPr>
          <w:rFonts w:hint="eastAsia" w:ascii="Times New Roman" w:hAnsi="Times New Roman" w:cs="仿宋"/>
          <w:sz w:val="24"/>
          <w:highlight w:val="none"/>
        </w:rPr>
      </w:pPr>
      <w:r>
        <w:rPr>
          <w:rFonts w:hint="eastAsia" w:ascii="Times New Roman" w:hAnsi="Times New Roman" w:cs="仿宋"/>
          <w:sz w:val="24"/>
          <w:highlight w:val="none"/>
        </w:rPr>
        <w:t>（3）投标（响应）报价低于采购项目最高限价45%的，即投标（响应）报价＜采购项目最高限价×45%；</w:t>
      </w:r>
    </w:p>
    <w:p w14:paraId="17266A77">
      <w:pPr>
        <w:spacing w:line="480" w:lineRule="exact"/>
        <w:ind w:firstLine="480"/>
        <w:rPr>
          <w:rFonts w:hint="eastAsia" w:ascii="Times New Roman" w:hAnsi="Times New Roman" w:cs="仿宋"/>
          <w:sz w:val="24"/>
          <w:highlight w:val="none"/>
        </w:rPr>
      </w:pPr>
      <w:r>
        <w:rPr>
          <w:rFonts w:hint="eastAsia" w:ascii="Times New Roman" w:hAnsi="Times New Roman" w:cs="仿宋"/>
          <w:sz w:val="24"/>
          <w:highlight w:val="none"/>
        </w:rPr>
        <w:t>（4）评审委员会基于专业判断，认为投标人报价过低，有可能影响产品质量或者不能诚信履约的其他情形。</w:t>
      </w:r>
    </w:p>
    <w:p w14:paraId="06430B24">
      <w:pPr>
        <w:spacing w:line="480" w:lineRule="exact"/>
        <w:ind w:firstLine="480"/>
        <w:rPr>
          <w:rFonts w:hint="eastAsia" w:ascii="Times New Roman" w:hAnsi="Times New Roman" w:cs="仿宋"/>
          <w:sz w:val="24"/>
          <w:highlight w:val="none"/>
        </w:rPr>
      </w:pPr>
      <w:r>
        <w:rPr>
          <w:rFonts w:hint="eastAsia" w:ascii="Times New Roman" w:hAnsi="Times New Roman" w:cs="仿宋"/>
          <w:sz w:val="24"/>
          <w:highlight w:val="none"/>
        </w:rPr>
        <w:t>28.4.2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p>
    <w:p w14:paraId="212C09B9">
      <w:pPr>
        <w:spacing w:line="480" w:lineRule="exact"/>
        <w:ind w:firstLine="480"/>
        <w:rPr>
          <w:rFonts w:hint="eastAsia" w:ascii="Times New Roman" w:hAnsi="Times New Roman" w:cs="仿宋"/>
          <w:sz w:val="24"/>
          <w:highlight w:val="none"/>
        </w:rPr>
      </w:pPr>
      <w:r>
        <w:rPr>
          <w:rFonts w:hint="eastAsia" w:ascii="Times New Roman" w:hAnsi="Times New Roman" w:cs="仿宋"/>
          <w:sz w:val="24"/>
          <w:highlight w:val="none"/>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p>
    <w:p w14:paraId="74ABE676">
      <w:pPr>
        <w:spacing w:line="480" w:lineRule="exact"/>
        <w:ind w:firstLine="480"/>
        <w:rPr>
          <w:rFonts w:hint="eastAsia" w:ascii="Times New Roman" w:hAnsi="Times New Roman" w:cs="仿宋"/>
          <w:sz w:val="24"/>
          <w:highlight w:val="none"/>
        </w:rPr>
      </w:pPr>
      <w:r>
        <w:rPr>
          <w:rFonts w:hint="eastAsia" w:ascii="Times New Roman" w:hAnsi="Times New Roman" w:cs="仿宋"/>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DBA1D95">
      <w:pPr>
        <w:spacing w:line="480" w:lineRule="exact"/>
        <w:ind w:firstLine="480"/>
        <w:rPr>
          <w:rFonts w:hint="eastAsia" w:ascii="Times New Roman" w:hAnsi="Times New Roman" w:cs="仿宋"/>
          <w:sz w:val="24"/>
          <w:highlight w:val="none"/>
        </w:rPr>
      </w:pPr>
      <w:r>
        <w:rPr>
          <w:rFonts w:hint="eastAsia" w:ascii="Times New Roman" w:hAnsi="Times New Roman" w:cs="仿宋"/>
          <w:sz w:val="24"/>
          <w:highlight w:val="none"/>
        </w:rPr>
        <w:t>异常低价投标（响应）审查的启动原因、审查意见和审查结果应当在评审报告中记录，并随投标人提供的相关书面说明及证明材料，以及评审委员会有关互联网浏览、查询历史一并归档。</w:t>
      </w:r>
    </w:p>
    <w:p w14:paraId="6D772704">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28.5比较。评标委员会将按招标文件中规定的评标方法和标准，对符合性检查合格的投标文件进行商务和技术评比。</w:t>
      </w:r>
    </w:p>
    <w:p w14:paraId="3092734D">
      <w:pPr>
        <w:spacing w:line="500" w:lineRule="exact"/>
        <w:ind w:firstLine="480"/>
        <w:rPr>
          <w:rFonts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28.6推荐中标候选人。评标委员会按照招标文件中规定的评标方法和标准推荐中标候选人。</w:t>
      </w:r>
    </w:p>
    <w:p w14:paraId="24E25968">
      <w:pPr>
        <w:ind w:firstLine="643"/>
        <w:jc w:val="center"/>
        <w:outlineLvl w:val="1"/>
        <w:rPr>
          <w:rFonts w:ascii="宋体" w:hAnsi="宋体" w:eastAsia="宋体" w:cs="宋体"/>
          <w:b/>
          <w:color w:val="000000" w:themeColor="text1"/>
          <w:sz w:val="32"/>
          <w:highlight w:val="none"/>
          <w14:textFill>
            <w14:solidFill>
              <w14:schemeClr w14:val="tx1"/>
            </w14:solidFill>
          </w14:textFill>
        </w:rPr>
      </w:pPr>
      <w:bookmarkStart w:id="111" w:name="_Toc5785"/>
      <w:bookmarkStart w:id="112" w:name="_Toc6494"/>
      <w:bookmarkStart w:id="113" w:name="_Toc8580"/>
      <w:bookmarkStart w:id="114" w:name="_Toc81575198"/>
      <w:bookmarkStart w:id="115" w:name="_Toc81575161"/>
      <w:r>
        <w:rPr>
          <w:rFonts w:hint="eastAsia" w:ascii="宋体" w:hAnsi="宋体" w:eastAsia="宋体" w:cs="宋体"/>
          <w:b/>
          <w:color w:val="000000" w:themeColor="text1"/>
          <w:sz w:val="32"/>
          <w:highlight w:val="none"/>
          <w14:textFill>
            <w14:solidFill>
              <w14:schemeClr w14:val="tx1"/>
            </w14:solidFill>
          </w14:textFill>
        </w:rPr>
        <w:t>七、中标及合同签订</w:t>
      </w:r>
      <w:bookmarkEnd w:id="111"/>
      <w:bookmarkEnd w:id="112"/>
      <w:bookmarkEnd w:id="113"/>
      <w:bookmarkEnd w:id="114"/>
      <w:bookmarkEnd w:id="115"/>
    </w:p>
    <w:p w14:paraId="12B7B479">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29.确定中标人</w:t>
      </w:r>
    </w:p>
    <w:p w14:paraId="1F1A5343">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29.1中标投标人确定之日起2个工作日内，采购人或采购代理机构将在财政部门指定信息媒体上发布中标结果，中标公告的公告期限为 1个工作日。</w:t>
      </w:r>
    </w:p>
    <w:p w14:paraId="6ADE840C">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29.2在中标结果公告期届满前，中标人被列为失信被执行人的，取消其中标资格，并重新确定中标人。</w:t>
      </w:r>
    </w:p>
    <w:p w14:paraId="0984FC6D">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29.3采购人不得通过对样品进行检测、对投标人进行考察等方式改变评审结果。</w:t>
      </w:r>
    </w:p>
    <w:p w14:paraId="10040DA5">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29.4采购人应当自收到评审报告之日起5个工作日内在评审报告推荐的中标候选人中按顺序确定中标人。</w:t>
      </w:r>
    </w:p>
    <w:p w14:paraId="42A3FF89">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30.中标通知书</w:t>
      </w:r>
    </w:p>
    <w:p w14:paraId="1938C972">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30.1中标结果确定后，交易中心将向中标人发出中标通知书。请中标人使用CA数字证书登录“苏采云系统”及时下载中标通知书。中标投标人可自行下载打印《中标通知书》《中标通知书》将作为授予合同资格的唯一合法依据。中标通知书发出后，采购人不得违法改变中标结果，中标投标人不得放弃中标。中标投标人放弃中标的，应当依法承担相应的法律责任。</w:t>
      </w:r>
    </w:p>
    <w:p w14:paraId="4CEA2FEE">
      <w:pPr>
        <w:spacing w:line="500" w:lineRule="exact"/>
        <w:ind w:firstLine="480"/>
        <w:rPr>
          <w:rFonts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30.2中标通知书发出之日起5个工作日内，</w:t>
      </w:r>
      <w:r>
        <w:rPr>
          <w:rFonts w:hint="eastAsia" w:ascii="宋体" w:hAnsi="宋体" w:eastAsia="宋体" w:cs="宋体"/>
          <w:b/>
          <w:bCs/>
          <w:color w:val="000000" w:themeColor="text1"/>
          <w:sz w:val="24"/>
          <w:szCs w:val="22"/>
          <w:highlight w:val="none"/>
          <w14:textFill>
            <w14:solidFill>
              <w14:schemeClr w14:val="tx1"/>
            </w14:solidFill>
          </w14:textFill>
        </w:rPr>
        <w:t>中标人应提供</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4</w:t>
      </w:r>
      <w:r>
        <w:rPr>
          <w:rFonts w:hint="eastAsia" w:ascii="宋体" w:hAnsi="宋体" w:eastAsia="宋体" w:cs="宋体"/>
          <w:b/>
          <w:bCs/>
          <w:color w:val="000000" w:themeColor="text1"/>
          <w:sz w:val="24"/>
          <w:szCs w:val="22"/>
          <w:highlight w:val="none"/>
          <w14:textFill>
            <w14:solidFill>
              <w14:schemeClr w14:val="tx1"/>
            </w14:solidFill>
          </w14:textFill>
        </w:rPr>
        <w:t>份与网上投标文件一致的纸质打印投标文件。</w:t>
      </w:r>
    </w:p>
    <w:p w14:paraId="35E48115">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30.3采用综合评分法评审的，未中标的投标人可于中标结果公告期限届满之日起通过苏采云系统查看自己的评审得分及排序情况。</w:t>
      </w:r>
    </w:p>
    <w:p w14:paraId="3804F460">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30.4项目采购采用最低评标（审）价法的，公告中标、中标结果时应当同时公告因落实政府采购政策等原因进行价格扣除后中标、中标投标人的评审报价；项目采购采用综合评分法的，公告中标、中标结果时应当同时公告中标、中标投标人的评审总得分。</w:t>
      </w:r>
    </w:p>
    <w:p w14:paraId="404142E7">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31.签订和公告合同</w:t>
      </w:r>
    </w:p>
    <w:p w14:paraId="1C115C64">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31.1采购人与中标投标人应当在中标通知书发出之日起15日内签订政府采购合同。招标文件、中标人的投标文件以及评标过程中有关澄清文件均作为合同附件。</w:t>
      </w:r>
    </w:p>
    <w:p w14:paraId="629072D6">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31.2中标投标人拒绝与采购人签订合同的，采购人可以按照评审报告推荐的中标候选人名单排序，确定下一候选人为中标投标人，也可以重新开展政府采购活动。</w:t>
      </w:r>
    </w:p>
    <w:p w14:paraId="304CD00A">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31.3采购人在自合同签订之日起2个工作日内，将合同在指定的媒体上公告。</w:t>
      </w:r>
    </w:p>
    <w:p w14:paraId="218DF138">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32.履约保证金</w:t>
      </w:r>
    </w:p>
    <w:p w14:paraId="05A39F8C">
      <w:pPr>
        <w:spacing w:line="560" w:lineRule="exact"/>
        <w:ind w:firstLine="480"/>
        <w:rPr>
          <w:rFonts w:ascii="宋体" w:hAnsi="宋体" w:eastAsia="宋体" w:cs="宋体"/>
          <w:bCs/>
          <w:color w:val="000000" w:themeColor="text1"/>
          <w:sz w:val="24"/>
          <w:szCs w:val="22"/>
          <w:highlight w:val="none"/>
          <w:lang w:val="zh-CN"/>
          <w14:textFill>
            <w14:solidFill>
              <w14:schemeClr w14:val="tx1"/>
            </w14:solidFill>
          </w14:textFill>
        </w:rPr>
      </w:pPr>
      <w:r>
        <w:rPr>
          <w:rFonts w:hint="eastAsia" w:ascii="宋体" w:hAnsi="宋体" w:eastAsia="宋体" w:cs="宋体"/>
          <w:bCs/>
          <w:color w:val="000000" w:themeColor="text1"/>
          <w:sz w:val="24"/>
          <w:szCs w:val="22"/>
          <w:highlight w:val="none"/>
          <w:lang w:val="zh-CN"/>
          <w14:textFill>
            <w14:solidFill>
              <w14:schemeClr w14:val="tx1"/>
            </w14:solidFill>
          </w14:textFill>
        </w:rPr>
        <w:t>按照以下第</w:t>
      </w:r>
      <w:r>
        <w:rPr>
          <w:rFonts w:hint="eastAsia" w:ascii="宋体" w:hAnsi="宋体" w:eastAsia="宋体" w:cs="宋体"/>
          <w:b/>
          <w:color w:val="000000" w:themeColor="text1"/>
          <w:sz w:val="24"/>
          <w:szCs w:val="22"/>
          <w:highlight w:val="none"/>
          <w:u w:val="single"/>
          <w14:textFill>
            <w14:solidFill>
              <w14:schemeClr w14:val="tx1"/>
            </w14:solidFill>
          </w14:textFill>
        </w:rPr>
        <w:t>（1）</w:t>
      </w:r>
      <w:r>
        <w:rPr>
          <w:rFonts w:hint="eastAsia" w:ascii="宋体" w:hAnsi="宋体" w:eastAsia="宋体" w:cs="宋体"/>
          <w:bCs/>
          <w:color w:val="000000" w:themeColor="text1"/>
          <w:sz w:val="24"/>
          <w:szCs w:val="22"/>
          <w:highlight w:val="none"/>
          <w:lang w:val="zh-CN"/>
          <w14:textFill>
            <w14:solidFill>
              <w14:schemeClr w14:val="tx1"/>
            </w14:solidFill>
          </w14:textFill>
        </w:rPr>
        <w:t>方式确定履约保证收取方式。</w:t>
      </w:r>
    </w:p>
    <w:p w14:paraId="730A8A22">
      <w:pPr>
        <w:spacing w:line="560" w:lineRule="exact"/>
        <w:ind w:firstLine="480"/>
        <w:rPr>
          <w:rFonts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（1）不收取履约保证金。</w:t>
      </w:r>
    </w:p>
    <w:p w14:paraId="00EF05C5">
      <w:pPr>
        <w:spacing w:line="560" w:lineRule="exact"/>
        <w:ind w:firstLine="480"/>
        <w:rPr>
          <w:rFonts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（2）本项目收取履约保证</w:t>
      </w:r>
      <w:r>
        <w:rPr>
          <w:rFonts w:hint="eastAsia" w:ascii="宋体" w:hAnsi="宋体" w:eastAsia="宋体" w:cs="宋体"/>
          <w:bCs/>
          <w:color w:val="000000" w:themeColor="text1"/>
          <w:sz w:val="24"/>
          <w:highlight w:val="none"/>
          <w14:textFill>
            <w14:solidFill>
              <w14:schemeClr w14:val="tx1"/>
            </w14:solidFill>
          </w14:textFill>
        </w:rPr>
        <w:t>金</w:t>
      </w:r>
      <w:r>
        <w:rPr>
          <w:rFonts w:hint="eastAsia" w:ascii="宋体" w:hAnsi="宋体" w:eastAsia="宋体" w:cs="宋体"/>
          <w:bCs/>
          <w:color w:val="000000" w:themeColor="text1"/>
          <w:sz w:val="24"/>
          <w:highlight w:val="none"/>
          <w:lang w:val="zh-CN"/>
          <w14:textFill>
            <w14:solidFill>
              <w14:schemeClr w14:val="tx1"/>
            </w14:solidFill>
          </w14:textFill>
        </w:rPr>
        <w:t>应在采购合同签订前提交，履约保证金的金额：按采购合同总价的</w:t>
      </w:r>
      <w:r>
        <w:rPr>
          <w:rFonts w:hint="eastAsia" w:ascii="宋体" w:hAnsi="宋体" w:eastAsia="宋体" w:cs="宋体"/>
          <w:b/>
          <w:color w:val="000000" w:themeColor="text1"/>
          <w:sz w:val="24"/>
          <w:highlight w:val="none"/>
          <w:u w:val="single"/>
          <w14:textFill>
            <w14:solidFill>
              <w14:schemeClr w14:val="tx1"/>
            </w14:solidFill>
          </w14:textFill>
        </w:rPr>
        <w:t xml:space="preserve"> </w:t>
      </w:r>
      <w:r>
        <w:rPr>
          <w:rFonts w:hint="eastAsia" w:ascii="宋体" w:hAnsi="宋体" w:eastAsia="宋体" w:cs="宋体"/>
          <w:b/>
          <w:color w:val="000000" w:themeColor="text1"/>
          <w:sz w:val="24"/>
          <w:highlight w:val="none"/>
          <w:u w:val="single"/>
          <w:lang w:val="en-US" w:eastAsia="zh-CN"/>
          <w14:textFill>
            <w14:solidFill>
              <w14:schemeClr w14:val="tx1"/>
            </w14:solidFill>
          </w14:textFill>
        </w:rPr>
        <w:t>/</w:t>
      </w:r>
      <w:r>
        <w:rPr>
          <w:rFonts w:hint="eastAsia" w:ascii="宋体" w:hAnsi="宋体" w:eastAsia="宋体" w:cs="宋体"/>
          <w:b/>
          <w:color w:val="000000" w:themeColor="text1"/>
          <w:sz w:val="24"/>
          <w:highlight w:val="none"/>
          <w:u w:val="single"/>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w:t>
      </w:r>
      <w:r>
        <w:rPr>
          <w:rFonts w:hint="eastAsia" w:ascii="宋体" w:hAnsi="宋体" w:eastAsia="宋体" w:cs="宋体"/>
          <w:bCs/>
          <w:color w:val="000000" w:themeColor="text1"/>
          <w:sz w:val="24"/>
          <w:highlight w:val="none"/>
          <w:lang w:val="zh-CN"/>
          <w14:textFill>
            <w14:solidFill>
              <w14:schemeClr w14:val="tx1"/>
            </w14:solidFill>
          </w14:textFill>
        </w:rPr>
        <w:t>使用江苏政府采购电子履约保函（保险）代缴履约保证金，按采购合同价的</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w:t>
      </w:r>
      <w:r>
        <w:rPr>
          <w:rFonts w:hint="eastAsia" w:ascii="宋体" w:hAnsi="宋体" w:eastAsia="宋体" w:cs="宋体"/>
          <w:b/>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w:t>
      </w:r>
      <w:r>
        <w:rPr>
          <w:rFonts w:hint="eastAsia" w:ascii="宋体" w:hAnsi="宋体" w:eastAsia="宋体" w:cs="宋体"/>
          <w:color w:val="000000" w:themeColor="text1"/>
          <w:sz w:val="24"/>
          <w:highlight w:val="none"/>
          <w:u w:val="single"/>
          <w14:textFill>
            <w14:solidFill>
              <w14:schemeClr w14:val="tx1"/>
            </w14:solidFill>
          </w14:textFill>
        </w:rPr>
        <w:t>（以履约保证金原提交金额的6折）</w:t>
      </w:r>
      <w:r>
        <w:rPr>
          <w:rFonts w:hint="eastAsia" w:ascii="宋体" w:hAnsi="宋体" w:eastAsia="宋体" w:cs="宋体"/>
          <w:bCs/>
          <w:color w:val="000000" w:themeColor="text1"/>
          <w:sz w:val="24"/>
          <w:highlight w:val="none"/>
          <w:lang w:val="zh-CN"/>
          <w14:textFill>
            <w14:solidFill>
              <w14:schemeClr w14:val="tx1"/>
            </w14:solidFill>
          </w14:textFill>
        </w:rPr>
        <w:t>）计取。除银行电汇、网上银行、数字人外，投标人还可选用银行保函、担保公司的保证担保或保险公司的保证保险等多种形式向采购人缴纳；</w:t>
      </w:r>
    </w:p>
    <w:p w14:paraId="02C02616">
      <w:pPr>
        <w:spacing w:line="560" w:lineRule="exact"/>
        <w:ind w:firstLine="480"/>
        <w:rPr>
          <w:rFonts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履约保证金退还的方式：</w:t>
      </w:r>
    </w:p>
    <w:p w14:paraId="35136274">
      <w:pPr>
        <w:spacing w:line="560" w:lineRule="exact"/>
        <w:ind w:firstLine="480"/>
        <w:rPr>
          <w:rFonts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以银行电汇、网上银行、数字人民币形式缴纳履约保证金的，退回至投标人存款账户或投标人数字人民币账户；以保函、担保、保险等形式缴纳履约保证金的，在保函、担保、保险约定的保证期限届满之日起自行失效；</w:t>
      </w:r>
    </w:p>
    <w:p w14:paraId="62EC4CA1">
      <w:pPr>
        <w:spacing w:line="560" w:lineRule="exact"/>
        <w:ind w:firstLine="480"/>
        <w:rPr>
          <w:rFonts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履约保证金退还的条件：</w:t>
      </w:r>
    </w:p>
    <w:p w14:paraId="5477C0AD">
      <w:pPr>
        <w:spacing w:line="560" w:lineRule="exact"/>
        <w:ind w:firstLine="48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a、货物类项目，项目验收合格，出具验收报告及履约保证金收据申请退付；</w:t>
      </w:r>
    </w:p>
    <w:p w14:paraId="5746A351">
      <w:pPr>
        <w:spacing w:line="560" w:lineRule="exact"/>
        <w:ind w:firstLine="48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b、服务类项目，项目履约期满评价合格，出具履约评价报告及履约保证金收据申请退付；</w:t>
      </w:r>
    </w:p>
    <w:p w14:paraId="26BCF91F">
      <w:pPr>
        <w:spacing w:line="560" w:lineRule="exact"/>
        <w:ind w:firstLine="48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c、工程类项目，项目完工验收合格，出具完工证明及履约保证金收据申请退付；</w:t>
      </w:r>
    </w:p>
    <w:p w14:paraId="318F028F">
      <w:pPr>
        <w:spacing w:line="560" w:lineRule="exact"/>
        <w:ind w:firstLine="480"/>
        <w:rPr>
          <w:rFonts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履约保证金退还时间：</w:t>
      </w:r>
    </w:p>
    <w:p w14:paraId="2C930EEB">
      <w:pPr>
        <w:spacing w:line="560" w:lineRule="exact"/>
        <w:ind w:firstLine="480"/>
        <w:rPr>
          <w:rFonts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采购人收到投标人退付申请后5个工作日内退还</w:t>
      </w:r>
      <w:r>
        <w:rPr>
          <w:rFonts w:hint="eastAsia" w:ascii="宋体" w:hAnsi="宋体" w:eastAsia="宋体" w:cs="宋体"/>
          <w:bCs/>
          <w:color w:val="000000" w:themeColor="text1"/>
          <w:sz w:val="24"/>
          <w:highlight w:val="none"/>
          <w:lang w:val="zh-CN"/>
          <w14:textFill>
            <w14:solidFill>
              <w14:schemeClr w14:val="tx1"/>
            </w14:solidFill>
          </w14:textFill>
        </w:rPr>
        <w:t>；</w:t>
      </w:r>
    </w:p>
    <w:p w14:paraId="11B4039F">
      <w:pPr>
        <w:spacing w:line="560" w:lineRule="exact"/>
        <w:ind w:firstLine="480"/>
        <w:rPr>
          <w:rFonts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履约保证金不予退还情形：</w:t>
      </w:r>
    </w:p>
    <w:p w14:paraId="75C32985">
      <w:pPr>
        <w:spacing w:line="560" w:lineRule="exact"/>
        <w:ind w:firstLine="480"/>
        <w:rPr>
          <w:rFonts w:ascii="宋体" w:hAnsi="宋体" w:eastAsia="宋体" w:cs="宋体"/>
          <w:bCs/>
          <w:color w:val="000000" w:themeColor="text1"/>
          <w:sz w:val="24"/>
          <w:szCs w:val="22"/>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除不可抗力外，中标人不履行与采购人订立的采购合同的，履约保证金不予退还，给采购人造成的损失超过履约保证金数额的，还应对超过部分予以赔偿</w:t>
      </w:r>
      <w:r>
        <w:rPr>
          <w:rFonts w:hint="eastAsia" w:ascii="宋体" w:hAnsi="宋体" w:eastAsia="宋体" w:cs="宋体"/>
          <w:bCs/>
          <w:color w:val="000000" w:themeColor="text1"/>
          <w:sz w:val="24"/>
          <w:szCs w:val="22"/>
          <w:highlight w:val="none"/>
          <w:lang w:val="zh-CN"/>
          <w14:textFill>
            <w14:solidFill>
              <w14:schemeClr w14:val="tx1"/>
            </w14:solidFill>
          </w14:textFill>
        </w:rPr>
        <w:t>；</w:t>
      </w:r>
    </w:p>
    <w:p w14:paraId="5A6F0983">
      <w:pPr>
        <w:spacing w:line="560" w:lineRule="exact"/>
        <w:ind w:firstLine="480"/>
        <w:rPr>
          <w:rFonts w:ascii="宋体" w:hAnsi="宋体" w:eastAsia="宋体" w:cs="宋体"/>
          <w:bCs/>
          <w:color w:val="000000" w:themeColor="text1"/>
          <w:sz w:val="24"/>
          <w:szCs w:val="22"/>
          <w:highlight w:val="none"/>
          <w:lang w:val="zh-CN"/>
          <w14:textFill>
            <w14:solidFill>
              <w14:schemeClr w14:val="tx1"/>
            </w14:solidFill>
          </w14:textFill>
        </w:rPr>
      </w:pPr>
      <w:r>
        <w:rPr>
          <w:rFonts w:hint="eastAsia" w:ascii="宋体" w:hAnsi="宋体" w:eastAsia="宋体" w:cs="宋体"/>
          <w:bCs/>
          <w:color w:val="000000" w:themeColor="text1"/>
          <w:sz w:val="24"/>
          <w:szCs w:val="22"/>
          <w:highlight w:val="none"/>
          <w:lang w:val="zh-CN"/>
          <w14:textFill>
            <w14:solidFill>
              <w14:schemeClr w14:val="tx1"/>
            </w14:solidFill>
          </w14:textFill>
        </w:rPr>
        <w:t>逾期退还履约保证金的违约责任：</w:t>
      </w:r>
    </w:p>
    <w:p w14:paraId="0C660CC0">
      <w:pPr>
        <w:spacing w:line="560" w:lineRule="exact"/>
        <w:ind w:firstLine="480"/>
        <w:rPr>
          <w:rFonts w:ascii="宋体" w:hAnsi="宋体" w:eastAsia="宋体" w:cs="宋体"/>
          <w:bCs/>
          <w:color w:val="000000" w:themeColor="text1"/>
          <w:sz w:val="24"/>
          <w:szCs w:val="22"/>
          <w:highlight w:val="none"/>
          <w:lang w:val="zh-CN"/>
          <w14:textFill>
            <w14:solidFill>
              <w14:schemeClr w14:val="tx1"/>
            </w14:solidFill>
          </w14:textFill>
        </w:rPr>
      </w:pPr>
      <w:r>
        <w:rPr>
          <w:rFonts w:hint="eastAsia" w:ascii="宋体" w:hAnsi="宋体" w:eastAsia="宋体" w:cs="宋体"/>
          <w:bCs/>
          <w:color w:val="000000" w:themeColor="text1"/>
          <w:sz w:val="24"/>
          <w:szCs w:val="22"/>
          <w:highlight w:val="none"/>
          <w:lang w:val="zh-CN"/>
          <w14:textFill>
            <w14:solidFill>
              <w14:schemeClr w14:val="tx1"/>
            </w14:solidFill>
          </w14:textFill>
        </w:rPr>
        <w:t>除应当退还履约保证金外，还应当按中国人民银行同期贷款基准利率上浮20％后的利率支付逾期资金占用费，但因投标人自身原因导致无法及时退还的除外。</w:t>
      </w:r>
    </w:p>
    <w:p w14:paraId="37BC0A40">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33.线上融资</w:t>
      </w:r>
    </w:p>
    <w:p w14:paraId="2C7A65EF">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中小微企业投标人可通过中征应收账款融资服务平台（网址：https://www.crcrfsp.com），凭借中标通知书或政府采购合同向金融机构申请融资。</w:t>
      </w:r>
    </w:p>
    <w:p w14:paraId="60D2056F">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bookmarkStart w:id="116" w:name="EBb07a540bbba846748e1de4dbefab2ad1"/>
      <w:bookmarkEnd w:id="116"/>
      <w:r>
        <w:rPr>
          <w:rFonts w:hint="eastAsia" w:ascii="宋体" w:hAnsi="宋体" w:eastAsia="宋体" w:cs="宋体"/>
          <w:b/>
          <w:color w:val="000000" w:themeColor="text1"/>
          <w:sz w:val="24"/>
          <w:szCs w:val="22"/>
          <w:highlight w:val="none"/>
          <w14:textFill>
            <w14:solidFill>
              <w14:schemeClr w14:val="tx1"/>
            </w14:solidFill>
          </w14:textFill>
        </w:rPr>
        <w:t>34.合同履行</w:t>
      </w:r>
    </w:p>
    <w:p w14:paraId="10DAC43F">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34.1政府采购合同订立后，合同各方不得擅自变更、中止或者终止合同。</w:t>
      </w:r>
    </w:p>
    <w:p w14:paraId="7B05DB2D">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34.2政府采购合同履行中，采购人需追加与合同标的相同的货物、工程或者服务的，在不改变合同其他条款的前提下，可以与中标投标人签订补充合同，但所补充合同的采购金额不得超过原采购金额的10%。</w:t>
      </w:r>
    </w:p>
    <w:p w14:paraId="066C4BC5">
      <w:pPr>
        <w:ind w:firstLine="420"/>
        <w:rPr>
          <w:rFonts w:ascii="宋体" w:hAnsi="宋体" w:eastAsia="宋体" w:cs="宋体"/>
          <w:color w:val="000000" w:themeColor="text1"/>
          <w:szCs w:val="22"/>
          <w:highlight w:val="none"/>
          <w14:textFill>
            <w14:solidFill>
              <w14:schemeClr w14:val="tx1"/>
            </w14:solidFill>
          </w14:textFill>
        </w:rPr>
      </w:pPr>
    </w:p>
    <w:p w14:paraId="7FC726D2">
      <w:pPr>
        <w:ind w:firstLine="643"/>
        <w:jc w:val="center"/>
        <w:outlineLvl w:val="1"/>
        <w:rPr>
          <w:rFonts w:ascii="宋体" w:hAnsi="宋体" w:eastAsia="宋体" w:cs="宋体"/>
          <w:b/>
          <w:color w:val="000000" w:themeColor="text1"/>
          <w:sz w:val="32"/>
          <w:highlight w:val="none"/>
          <w14:textFill>
            <w14:solidFill>
              <w14:schemeClr w14:val="tx1"/>
            </w14:solidFill>
          </w14:textFill>
        </w:rPr>
      </w:pPr>
      <w:bookmarkStart w:id="117" w:name="_Toc81575162"/>
      <w:bookmarkStart w:id="118" w:name="_Toc81575199"/>
      <w:bookmarkStart w:id="119" w:name="_Toc27103"/>
      <w:bookmarkStart w:id="120" w:name="_Toc7550"/>
      <w:bookmarkStart w:id="121" w:name="_Toc14927"/>
      <w:r>
        <w:rPr>
          <w:rFonts w:hint="eastAsia" w:ascii="宋体" w:hAnsi="宋体" w:eastAsia="宋体" w:cs="宋体"/>
          <w:b/>
          <w:color w:val="000000" w:themeColor="text1"/>
          <w:sz w:val="32"/>
          <w:highlight w:val="none"/>
          <w14:textFill>
            <w14:solidFill>
              <w14:schemeClr w14:val="tx1"/>
            </w14:solidFill>
          </w14:textFill>
        </w:rPr>
        <w:t>八、验收及付款</w:t>
      </w:r>
      <w:bookmarkEnd w:id="117"/>
      <w:bookmarkEnd w:id="118"/>
      <w:bookmarkEnd w:id="119"/>
      <w:bookmarkEnd w:id="120"/>
      <w:bookmarkEnd w:id="121"/>
    </w:p>
    <w:p w14:paraId="03F33AF0">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35.验收（考核）</w:t>
      </w:r>
    </w:p>
    <w:p w14:paraId="585940A2">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bookmarkStart w:id="122" w:name="EBbbb2492ed6b84c9193a6bb6f72a512f3"/>
      <w:r>
        <w:rPr>
          <w:rFonts w:hint="eastAsia" w:ascii="宋体" w:hAnsi="宋体" w:eastAsia="宋体" w:cs="宋体"/>
          <w:color w:val="000000" w:themeColor="text1"/>
          <w:sz w:val="24"/>
          <w:szCs w:val="22"/>
          <w:highlight w:val="none"/>
          <w14:textFill>
            <w14:solidFill>
              <w14:schemeClr w14:val="tx1"/>
            </w14:solidFill>
          </w14:textFill>
        </w:rPr>
        <w:t>采购人应当组成验收（考核）小组，验收（考核）人员应当按照约定的验收（考核）标准，对投标人的履约情况开展验收（考核）。验收（考核）结束后，验收（考核）人员应当出具验收（考核）报告并签字。政府向社会公众提供的公共服务项目，验收结果应当向社会公告</w:t>
      </w:r>
      <w:bookmarkEnd w:id="122"/>
      <w:r>
        <w:rPr>
          <w:rFonts w:hint="eastAsia" w:ascii="宋体" w:hAnsi="宋体" w:eastAsia="宋体" w:cs="宋体"/>
          <w:color w:val="000000" w:themeColor="text1"/>
          <w:sz w:val="24"/>
          <w:szCs w:val="22"/>
          <w:highlight w:val="none"/>
          <w14:textFill>
            <w14:solidFill>
              <w14:schemeClr w14:val="tx1"/>
            </w14:solidFill>
          </w14:textFill>
        </w:rPr>
        <w:t>。</w:t>
      </w:r>
    </w:p>
    <w:p w14:paraId="653852B5">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36.付款</w:t>
      </w:r>
    </w:p>
    <w:p w14:paraId="352F3A15">
      <w:pPr>
        <w:tabs>
          <w:tab w:val="left" w:pos="2020"/>
        </w:tabs>
        <w:spacing w:line="480" w:lineRule="exact"/>
        <w:ind w:firstLine="480"/>
        <w:jc w:val="left"/>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按照付款方式，采购人及时办理付款手续。对于满足合同约定支付条件的，自收到发票后10个工作日内将资金支付到合同约定的投标人账户或投标人数字人民币账户。</w:t>
      </w:r>
    </w:p>
    <w:p w14:paraId="1FE82B51">
      <w:pPr>
        <w:tabs>
          <w:tab w:val="left" w:pos="2020"/>
        </w:tabs>
        <w:spacing w:line="480" w:lineRule="exact"/>
        <w:ind w:firstLine="480"/>
        <w:jc w:val="left"/>
        <w:rPr>
          <w:rFonts w:hint="eastAsia" w:ascii="宋体" w:hAnsi="宋体" w:eastAsia="宋体" w:cs="宋体"/>
          <w:b/>
          <w:bCs/>
          <w:color w:val="000000" w:themeColor="text1"/>
          <w:sz w:val="24"/>
          <w:szCs w:val="22"/>
          <w:highlight w:val="none"/>
          <w:u w:val="single"/>
          <w14:textFill>
            <w14:solidFill>
              <w14:schemeClr w14:val="tx1"/>
            </w14:solidFill>
          </w14:textFill>
        </w:rPr>
      </w:pPr>
      <w:r>
        <w:rPr>
          <w:rFonts w:hint="eastAsia" w:ascii="宋体" w:hAnsi="宋体" w:eastAsia="宋体" w:cs="宋体"/>
          <w:b/>
          <w:bCs/>
          <w:color w:val="000000" w:themeColor="text1"/>
          <w:sz w:val="24"/>
          <w:szCs w:val="22"/>
          <w:highlight w:val="none"/>
          <w:u w:val="single"/>
          <w14:textFill>
            <w14:solidFill>
              <w14:schemeClr w14:val="tx1"/>
            </w14:solidFill>
          </w14:textFill>
        </w:rPr>
        <w:t>预付款：合同金额的</w:t>
      </w:r>
      <w:r>
        <w:rPr>
          <w:rFonts w:hint="eastAsia" w:ascii="宋体" w:hAnsi="宋体" w:eastAsia="宋体" w:cs="宋体"/>
          <w:b/>
          <w:bCs/>
          <w:color w:val="000000" w:themeColor="text1"/>
          <w:sz w:val="24"/>
          <w:szCs w:val="22"/>
          <w:highlight w:val="none"/>
          <w:u w:val="single"/>
          <w:lang w:val="en-US" w:eastAsia="zh-CN"/>
          <w14:textFill>
            <w14:solidFill>
              <w14:schemeClr w14:val="tx1"/>
            </w14:solidFill>
          </w14:textFill>
        </w:rPr>
        <w:t>5</w:t>
      </w:r>
      <w:r>
        <w:rPr>
          <w:rFonts w:hint="eastAsia" w:ascii="宋体" w:hAnsi="宋体" w:eastAsia="宋体" w:cs="宋体"/>
          <w:b/>
          <w:bCs/>
          <w:color w:val="000000" w:themeColor="text1"/>
          <w:sz w:val="24"/>
          <w:szCs w:val="22"/>
          <w:highlight w:val="none"/>
          <w:u w:val="single"/>
          <w14:textFill>
            <w14:solidFill>
              <w14:schemeClr w14:val="tx1"/>
            </w14:solidFill>
          </w14:textFill>
        </w:rPr>
        <w:t>0%，合同签订后按规定支付；</w:t>
      </w:r>
    </w:p>
    <w:p w14:paraId="051612C7">
      <w:pPr>
        <w:tabs>
          <w:tab w:val="left" w:pos="2020"/>
        </w:tabs>
        <w:spacing w:line="480" w:lineRule="exact"/>
        <w:ind w:firstLine="480"/>
        <w:jc w:val="left"/>
        <w:rPr>
          <w:rFonts w:hint="eastAsia" w:ascii="宋体" w:hAnsi="宋体" w:eastAsia="宋体" w:cs="宋体"/>
          <w:b/>
          <w:bCs/>
          <w:color w:val="000000" w:themeColor="text1"/>
          <w:sz w:val="24"/>
          <w:szCs w:val="22"/>
          <w:highlight w:val="none"/>
          <w:u w:val="single"/>
          <w14:textFill>
            <w14:solidFill>
              <w14:schemeClr w14:val="tx1"/>
            </w14:solidFill>
          </w14:textFill>
        </w:rPr>
      </w:pPr>
      <w:r>
        <w:rPr>
          <w:rFonts w:hint="eastAsia" w:ascii="宋体" w:hAnsi="宋体" w:eastAsia="宋体" w:cs="宋体"/>
          <w:b/>
          <w:bCs/>
          <w:color w:val="000000" w:themeColor="text1"/>
          <w:sz w:val="24"/>
          <w:szCs w:val="22"/>
          <w:highlight w:val="none"/>
          <w:u w:val="single"/>
          <w14:textFill>
            <w14:solidFill>
              <w14:schemeClr w14:val="tx1"/>
            </w14:solidFill>
          </w14:textFill>
        </w:rPr>
        <w:t>进度款：全部设备货物安装调试完毕、检定/校准完成经验收合</w:t>
      </w:r>
      <w:r>
        <w:rPr>
          <w:rFonts w:hint="eastAsia" w:ascii="宋体" w:hAnsi="宋体" w:eastAsia="宋体" w:cs="宋体"/>
          <w:b/>
          <w:bCs/>
          <w:color w:val="000000" w:themeColor="text1"/>
          <w:sz w:val="24"/>
          <w:szCs w:val="22"/>
          <w:highlight w:val="none"/>
          <w:u w:val="single"/>
          <w:lang w:val="zh-CN"/>
          <w14:textFill>
            <w14:solidFill>
              <w14:schemeClr w14:val="tx1"/>
            </w14:solidFill>
          </w14:textFill>
        </w:rPr>
        <w:t>格并提供全额增值税专用发票后付至</w:t>
      </w:r>
      <w:r>
        <w:rPr>
          <w:rFonts w:hint="eastAsia" w:ascii="宋体" w:hAnsi="宋体" w:eastAsia="宋体" w:cs="宋体"/>
          <w:b/>
          <w:bCs/>
          <w:color w:val="000000" w:themeColor="text1"/>
          <w:sz w:val="24"/>
          <w:szCs w:val="22"/>
          <w:highlight w:val="none"/>
          <w:u w:val="single"/>
          <w14:textFill>
            <w14:solidFill>
              <w14:schemeClr w14:val="tx1"/>
            </w14:solidFill>
          </w14:textFill>
        </w:rPr>
        <w:t>合同金额的100%。</w:t>
      </w:r>
    </w:p>
    <w:p w14:paraId="570AFFCE">
      <w:pPr>
        <w:spacing w:line="56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注：在签订合同时，中标人明确表示无需预付款或者主动要求降低预付款比例的，采购人可不适用前述规定。</w:t>
      </w:r>
    </w:p>
    <w:p w14:paraId="35CBF82B">
      <w:pPr>
        <w:ind w:firstLine="643"/>
        <w:jc w:val="center"/>
        <w:outlineLvl w:val="1"/>
        <w:rPr>
          <w:rFonts w:ascii="宋体" w:hAnsi="宋体" w:eastAsia="宋体" w:cs="宋体"/>
          <w:b/>
          <w:color w:val="000000" w:themeColor="text1"/>
          <w:sz w:val="32"/>
          <w:highlight w:val="none"/>
          <w14:textFill>
            <w14:solidFill>
              <w14:schemeClr w14:val="tx1"/>
            </w14:solidFill>
          </w14:textFill>
        </w:rPr>
      </w:pPr>
      <w:bookmarkStart w:id="123" w:name="EB859756b3800e4c948b9ef2cc4c48f3fa"/>
      <w:bookmarkEnd w:id="123"/>
      <w:bookmarkStart w:id="124" w:name="EB277cdb9ada634793b6698cebd3ac7144"/>
      <w:bookmarkEnd w:id="124"/>
      <w:bookmarkStart w:id="125" w:name="_Toc27933"/>
      <w:bookmarkStart w:id="126" w:name="_Toc81575200"/>
      <w:bookmarkStart w:id="127" w:name="_Toc25046"/>
      <w:bookmarkStart w:id="128" w:name="_Toc81575163"/>
      <w:bookmarkStart w:id="129" w:name="_Toc12263"/>
      <w:r>
        <w:rPr>
          <w:rFonts w:hint="eastAsia" w:ascii="宋体" w:hAnsi="宋体" w:eastAsia="宋体" w:cs="宋体"/>
          <w:b/>
          <w:color w:val="000000" w:themeColor="text1"/>
          <w:sz w:val="32"/>
          <w:highlight w:val="none"/>
          <w14:textFill>
            <w14:solidFill>
              <w14:schemeClr w14:val="tx1"/>
            </w14:solidFill>
          </w14:textFill>
        </w:rPr>
        <w:t>九、质疑与投诉</w:t>
      </w:r>
      <w:bookmarkEnd w:id="125"/>
      <w:bookmarkEnd w:id="126"/>
      <w:bookmarkEnd w:id="127"/>
      <w:bookmarkEnd w:id="128"/>
      <w:bookmarkEnd w:id="129"/>
    </w:p>
    <w:p w14:paraId="18F7F080">
      <w:pPr>
        <w:spacing w:line="500" w:lineRule="exact"/>
        <w:ind w:firstLine="482"/>
        <w:rPr>
          <w:rFonts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37.质疑与投诉</w:t>
      </w:r>
    </w:p>
    <w:p w14:paraId="2B210FEB">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37.1投标人认为采购文件、采购过程和中标结果使自己的权益受到损害的，可以在知道或者应知其权益受到损害之日起七个工作日内（具体起算时间见37.2），</w:t>
      </w:r>
      <w:r>
        <w:rPr>
          <w:rFonts w:hint="eastAsia" w:ascii="宋体" w:hAnsi="宋体" w:eastAsia="宋体" w:cs="宋体"/>
          <w:color w:val="000000" w:themeColor="text1"/>
          <w:sz w:val="24"/>
          <w:highlight w:val="none"/>
          <w14:textFill>
            <w14:solidFill>
              <w14:schemeClr w14:val="tx1"/>
            </w14:solidFill>
          </w14:textFill>
        </w:rPr>
        <w:t>以书面形式向采购人或者其委托的采购代理机构提出质疑</w:t>
      </w:r>
      <w:r>
        <w:rPr>
          <w:rFonts w:hint="eastAsia" w:ascii="宋体" w:hAnsi="宋体" w:eastAsia="宋体" w:cs="宋体"/>
          <w:color w:val="000000" w:themeColor="text1"/>
          <w:sz w:val="24"/>
          <w:szCs w:val="22"/>
          <w:highlight w:val="none"/>
          <w14:textFill>
            <w14:solidFill>
              <w14:schemeClr w14:val="tx1"/>
            </w14:solidFill>
          </w14:textFill>
        </w:rPr>
        <w:t>。质疑超出采购机构代理范围的，投标人应当向采购人提出。</w:t>
      </w:r>
    </w:p>
    <w:p w14:paraId="33299125">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本项目接收质疑函的方式：</w:t>
      </w:r>
      <w:bookmarkStart w:id="130" w:name="EB56bd2a40e102476eadbb1fc6a9202461"/>
      <w:bookmarkEnd w:id="130"/>
      <w:r>
        <w:rPr>
          <w:rFonts w:hint="eastAsia" w:ascii="宋体" w:hAnsi="宋体" w:eastAsia="宋体" w:cs="宋体"/>
          <w:color w:val="000000" w:themeColor="text1"/>
          <w:sz w:val="24"/>
          <w:szCs w:val="22"/>
          <w:highlight w:val="none"/>
          <w14:textFill>
            <w14:solidFill>
              <w14:schemeClr w14:val="tx1"/>
            </w14:solidFill>
          </w14:textFill>
        </w:rPr>
        <w:t>现场接收或邮寄接收。</w:t>
      </w:r>
    </w:p>
    <w:p w14:paraId="345C0BDC">
      <w:pPr>
        <w:spacing w:line="500" w:lineRule="exact"/>
        <w:ind w:firstLine="480"/>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联系部门：</w:t>
      </w:r>
      <w:bookmarkStart w:id="131" w:name="EB5e47d6fc0b5b4e22bc47b8fd9ab9894f"/>
      <w:r>
        <w:rPr>
          <w:rFonts w:hint="eastAsia" w:ascii="宋体" w:hAnsi="宋体" w:eastAsia="宋体" w:cs="宋体"/>
          <w:color w:val="000000" w:themeColor="text1"/>
          <w:sz w:val="24"/>
          <w:szCs w:val="22"/>
          <w:highlight w:val="none"/>
          <w14:textFill>
            <w14:solidFill>
              <w14:schemeClr w14:val="tx1"/>
            </w14:solidFill>
          </w14:textFill>
        </w:rPr>
        <w:t>宿迁市计量测试所/江苏宏邦工程管理咨询有限公司</w:t>
      </w:r>
      <w:bookmarkEnd w:id="131"/>
    </w:p>
    <w:p w14:paraId="4049A2EF">
      <w:pPr>
        <w:spacing w:line="500" w:lineRule="exact"/>
        <w:ind w:firstLine="480"/>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联系电话：</w:t>
      </w:r>
      <w:bookmarkStart w:id="132" w:name="EBac24332b85d642ddb6b4a1fa61c8735b"/>
      <w:r>
        <w:rPr>
          <w:rFonts w:hint="eastAsia" w:ascii="宋体" w:hAnsi="宋体" w:eastAsia="宋体" w:cs="宋体"/>
          <w:color w:val="000000" w:themeColor="text1"/>
          <w:sz w:val="24"/>
          <w:szCs w:val="22"/>
          <w:highlight w:val="none"/>
          <w14:textFill>
            <w14:solidFill>
              <w14:schemeClr w14:val="tx1"/>
            </w14:solidFill>
          </w14:textFill>
        </w:rPr>
        <w:t>0527-84568695</w:t>
      </w:r>
      <w:bookmarkEnd w:id="132"/>
      <w:r>
        <w:rPr>
          <w:rFonts w:hint="eastAsia" w:ascii="宋体" w:hAnsi="宋体" w:eastAsia="宋体" w:cs="宋体"/>
          <w:color w:val="000000" w:themeColor="text1"/>
          <w:sz w:val="24"/>
          <w:szCs w:val="22"/>
          <w:highlight w:val="none"/>
          <w14:textFill>
            <w14:solidFill>
              <w14:schemeClr w14:val="tx1"/>
            </w14:solidFill>
          </w14:textFill>
        </w:rPr>
        <w:t>/0527-88858966</w:t>
      </w:r>
    </w:p>
    <w:p w14:paraId="6DBF336A">
      <w:pPr>
        <w:spacing w:line="500" w:lineRule="exact"/>
        <w:ind w:firstLine="480"/>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通讯地址：</w:t>
      </w:r>
      <w:bookmarkStart w:id="133" w:name="EBbc4de356f0dc436eb73023cf20f4397b"/>
      <w:r>
        <w:rPr>
          <w:rFonts w:hint="eastAsia" w:ascii="宋体" w:hAnsi="宋体" w:eastAsia="宋体" w:cs="宋体"/>
          <w:color w:val="000000" w:themeColor="text1"/>
          <w:sz w:val="24"/>
          <w:highlight w:val="none"/>
          <w14:textFill>
            <w14:solidFill>
              <w14:schemeClr w14:val="tx1"/>
            </w14:solidFill>
          </w14:textFill>
        </w:rPr>
        <w:t>宿迁市经济开发区建陵路西侧</w:t>
      </w:r>
      <w:r>
        <w:rPr>
          <w:rFonts w:hint="eastAsia" w:ascii="宋体" w:hAnsi="宋体" w:eastAsia="宋体" w:cs="宋体"/>
          <w:color w:val="000000" w:themeColor="text1"/>
          <w:sz w:val="24"/>
          <w:szCs w:val="22"/>
          <w:highlight w:val="none"/>
          <w14:textFill>
            <w14:solidFill>
              <w14:schemeClr w14:val="tx1"/>
            </w14:solidFill>
          </w14:textFill>
        </w:rPr>
        <w:t>/宿迁市凯琳瑞百货大楼10楼</w:t>
      </w:r>
      <w:bookmarkEnd w:id="133"/>
    </w:p>
    <w:p w14:paraId="3670DA99">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37.2投标人应知其权益受到损害之日，是指：</w:t>
      </w:r>
    </w:p>
    <w:p w14:paraId="721D9E69">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（1）对本项目采购文件提出质疑的，为获取采购文件之日或者采购文件公告期限届满之日；</w:t>
      </w:r>
    </w:p>
    <w:p w14:paraId="76C75987">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（2）对本项目采购过程提出质疑的，为各采购程序环节结束之日；</w:t>
      </w:r>
    </w:p>
    <w:p w14:paraId="452874A2">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（3）对本项目中标或者中标结果提出质疑的，为中标或者中标结果公告期限届满之日。</w:t>
      </w:r>
    </w:p>
    <w:p w14:paraId="1C6138E3">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37.3质疑投标人应当是参与所质疑项目采购活动的投标人。潜在投标人已依法获取其可质疑的采购文件的，方可对该文件提出质疑。投标人在法定质疑期内应一次性提出针对同一采购程序环节的质疑。</w:t>
      </w:r>
    </w:p>
    <w:p w14:paraId="4D489D71">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37.4投标人提出质疑应当提交质疑函和必要的证明材料。质疑函的必备内容：</w:t>
      </w:r>
    </w:p>
    <w:p w14:paraId="3C340627">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（1）投标人的姓名或者名称、地址、邮编、联系人及联系电话；</w:t>
      </w:r>
    </w:p>
    <w:p w14:paraId="1551F23D">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（2）质疑项目的名称、编号；</w:t>
      </w:r>
    </w:p>
    <w:p w14:paraId="5CCA6C62">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（3）获取采购文件的时间。</w:t>
      </w:r>
    </w:p>
    <w:p w14:paraId="40064CAC">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（4）具体、明确的质疑事项和质疑事项相关的请求；</w:t>
      </w:r>
    </w:p>
    <w:p w14:paraId="645F596D">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（5）事实依据；</w:t>
      </w:r>
    </w:p>
    <w:p w14:paraId="0496E1D6">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（6）必要的法律依据；</w:t>
      </w:r>
    </w:p>
    <w:p w14:paraId="141C1338">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（7）提出质疑的日期；</w:t>
      </w:r>
    </w:p>
    <w:p w14:paraId="2B3E6136">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（8）投标人为自然人的，由本人签字；投标人为法人或者其他组织的，应当由法定代表人、主要负责人，或者其授权代表签字或者盖章，并加盖公章。</w:t>
      </w:r>
    </w:p>
    <w:p w14:paraId="5C988604">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p>
    <w:p w14:paraId="2E187976">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37.5采购人、采购代理机构在收到质疑函后7个工作日内作出答复，并以书面形式通知质疑投标人和其他有关投标人，但质疑答复的内容不涉及商业秘密。</w:t>
      </w:r>
    </w:p>
    <w:p w14:paraId="63FB054C">
      <w:pPr>
        <w:spacing w:line="500" w:lineRule="exact"/>
        <w:ind w:firstLine="480"/>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37.6质疑投标人对采购人、采购代理机构的答复不满意，或者采购人、采购代理机构未在规定时间内作出答复的，可以在答复期满后15个工作日内向同级财政部门提起投诉。</w:t>
      </w:r>
    </w:p>
    <w:p w14:paraId="30EF80C7">
      <w:pPr>
        <w:rPr>
          <w:rFonts w:ascii="宋体" w:hAnsi="宋体" w:eastAsia="宋体" w:cs="宋体"/>
          <w:color w:val="000000" w:themeColor="text1"/>
          <w:szCs w:val="21"/>
          <w:highlight w:val="none"/>
          <w14:textFill>
            <w14:solidFill>
              <w14:schemeClr w14:val="tx1"/>
            </w14:solidFill>
          </w14:textFill>
        </w:rPr>
      </w:pPr>
    </w:p>
    <w:p w14:paraId="1D123067">
      <w:pPr>
        <w:rPr>
          <w:rFonts w:ascii="宋体" w:hAnsi="宋体" w:eastAsia="宋体" w:cs="宋体"/>
          <w:color w:val="000000" w:themeColor="text1"/>
          <w:szCs w:val="21"/>
          <w:highlight w:val="none"/>
          <w14:textFill>
            <w14:solidFill>
              <w14:schemeClr w14:val="tx1"/>
            </w14:solidFill>
          </w14:textFill>
        </w:rPr>
      </w:pPr>
    </w:p>
    <w:p w14:paraId="05DD71F7">
      <w:pPr>
        <w:rPr>
          <w:rFonts w:ascii="宋体" w:hAnsi="宋体" w:eastAsia="宋体" w:cs="宋体"/>
          <w:color w:val="000000" w:themeColor="text1"/>
          <w:szCs w:val="21"/>
          <w:highlight w:val="none"/>
          <w14:textFill>
            <w14:solidFill>
              <w14:schemeClr w14:val="tx1"/>
            </w14:solidFill>
          </w14:textFill>
        </w:rPr>
      </w:pPr>
    </w:p>
    <w:p w14:paraId="307FE6A1">
      <w:pPr>
        <w:rPr>
          <w:rFonts w:ascii="宋体" w:hAnsi="宋体" w:eastAsia="宋体" w:cs="宋体"/>
          <w:color w:val="000000" w:themeColor="text1"/>
          <w:szCs w:val="21"/>
          <w:highlight w:val="none"/>
          <w14:textFill>
            <w14:solidFill>
              <w14:schemeClr w14:val="tx1"/>
            </w14:solidFill>
          </w14:textFill>
        </w:rPr>
      </w:pPr>
    </w:p>
    <w:p w14:paraId="0DEE533F">
      <w:pPr>
        <w:rPr>
          <w:rFonts w:ascii="宋体" w:hAnsi="宋体" w:eastAsia="宋体" w:cs="宋体"/>
          <w:color w:val="000000" w:themeColor="text1"/>
          <w:szCs w:val="21"/>
          <w:highlight w:val="none"/>
          <w14:textFill>
            <w14:solidFill>
              <w14:schemeClr w14:val="tx1"/>
            </w14:solidFill>
          </w14:textFill>
        </w:rPr>
      </w:pPr>
    </w:p>
    <w:p w14:paraId="1F789331">
      <w:pPr>
        <w:rPr>
          <w:rFonts w:ascii="宋体" w:hAnsi="宋体" w:eastAsia="宋体" w:cs="宋体"/>
          <w:color w:val="000000" w:themeColor="text1"/>
          <w:szCs w:val="21"/>
          <w:highlight w:val="none"/>
          <w14:textFill>
            <w14:solidFill>
              <w14:schemeClr w14:val="tx1"/>
            </w14:solidFill>
          </w14:textFill>
        </w:rPr>
      </w:pPr>
    </w:p>
    <w:p w14:paraId="5C171D7C">
      <w:pPr>
        <w:rPr>
          <w:rFonts w:ascii="宋体" w:hAnsi="宋体" w:eastAsia="宋体" w:cs="宋体"/>
          <w:color w:val="000000" w:themeColor="text1"/>
          <w:szCs w:val="21"/>
          <w:highlight w:val="none"/>
          <w14:textFill>
            <w14:solidFill>
              <w14:schemeClr w14:val="tx1"/>
            </w14:solidFill>
          </w14:textFill>
        </w:rPr>
      </w:pPr>
    </w:p>
    <w:p w14:paraId="48294F78">
      <w:pPr>
        <w:rPr>
          <w:rFonts w:ascii="宋体" w:hAnsi="宋体" w:eastAsia="宋体" w:cs="宋体"/>
          <w:color w:val="000000" w:themeColor="text1"/>
          <w:szCs w:val="21"/>
          <w:highlight w:val="none"/>
          <w14:textFill>
            <w14:solidFill>
              <w14:schemeClr w14:val="tx1"/>
            </w14:solidFill>
          </w14:textFill>
        </w:rPr>
      </w:pPr>
    </w:p>
    <w:bookmarkEnd w:id="70"/>
    <w:bookmarkEnd w:id="71"/>
    <w:bookmarkEnd w:id="72"/>
    <w:bookmarkEnd w:id="73"/>
    <w:bookmarkEnd w:id="74"/>
    <w:p w14:paraId="38B346B9">
      <w:pPr>
        <w:rPr>
          <w:rFonts w:ascii="宋体" w:hAnsi="宋体" w:eastAsia="宋体" w:cs="宋体"/>
          <w:color w:val="000000" w:themeColor="text1"/>
          <w:szCs w:val="21"/>
          <w:highlight w:val="none"/>
          <w14:textFill>
            <w14:solidFill>
              <w14:schemeClr w14:val="tx1"/>
            </w14:solidFill>
          </w14:textFill>
        </w:rPr>
      </w:pPr>
    </w:p>
    <w:p w14:paraId="4E73F9AC">
      <w:pPr>
        <w:rPr>
          <w:color w:val="000000" w:themeColor="text1"/>
          <w:highlight w:val="none"/>
          <w14:textFill>
            <w14:solidFill>
              <w14:schemeClr w14:val="tx1"/>
            </w14:solidFill>
          </w14:textFill>
        </w:rPr>
      </w:pPr>
    </w:p>
    <w:p w14:paraId="02001B7E">
      <w:pPr>
        <w:rPr>
          <w:rFonts w:ascii="宋体" w:hAnsi="宋体" w:eastAsia="宋体" w:cs="宋体"/>
          <w:b/>
          <w:color w:val="000000" w:themeColor="text1"/>
          <w:sz w:val="44"/>
          <w:szCs w:val="28"/>
          <w:highlight w:val="none"/>
          <w14:textFill>
            <w14:solidFill>
              <w14:schemeClr w14:val="tx1"/>
            </w14:solidFill>
          </w14:textFill>
        </w:rPr>
      </w:pPr>
      <w:bookmarkStart w:id="134" w:name="_Toc155086566"/>
      <w:bookmarkStart w:id="135" w:name="_Toc104802328"/>
      <w:bookmarkStart w:id="136" w:name="_Toc118461986"/>
      <w:bookmarkStart w:id="137" w:name="_Hlt16619350"/>
      <w:bookmarkStart w:id="138" w:name="_Toc20823346"/>
      <w:bookmarkStart w:id="139" w:name="_Toc120614244"/>
      <w:bookmarkStart w:id="140" w:name="_Toc16938590"/>
      <w:bookmarkStart w:id="141" w:name="_Toc462564139"/>
      <w:bookmarkStart w:id="142" w:name="_Toc479757211"/>
      <w:r>
        <w:rPr>
          <w:rFonts w:hint="eastAsia" w:ascii="宋体" w:hAnsi="宋体" w:eastAsia="宋体" w:cs="宋体"/>
          <w:b/>
          <w:color w:val="000000" w:themeColor="text1"/>
          <w:sz w:val="44"/>
          <w:szCs w:val="28"/>
          <w:highlight w:val="none"/>
          <w14:textFill>
            <w14:solidFill>
              <w14:schemeClr w14:val="tx1"/>
            </w14:solidFill>
          </w14:textFill>
        </w:rPr>
        <w:br w:type="page" w:clear="all"/>
      </w:r>
    </w:p>
    <w:p w14:paraId="2061A41F">
      <w:pPr>
        <w:keepNext/>
        <w:spacing w:line="360" w:lineRule="auto"/>
        <w:jc w:val="center"/>
        <w:outlineLvl w:val="0"/>
        <w:rPr>
          <w:rFonts w:ascii="宋体" w:hAnsi="宋体" w:eastAsia="宋体" w:cs="宋体"/>
          <w:bCs/>
          <w:color w:val="000000" w:themeColor="text1"/>
          <w:sz w:val="44"/>
          <w:szCs w:val="28"/>
          <w:highlight w:val="none"/>
          <w14:textFill>
            <w14:solidFill>
              <w14:schemeClr w14:val="tx1"/>
            </w14:solidFill>
          </w14:textFill>
        </w:rPr>
      </w:pPr>
      <w:bookmarkStart w:id="143" w:name="_Toc27293"/>
      <w:r>
        <w:rPr>
          <w:rFonts w:hint="eastAsia" w:ascii="宋体" w:hAnsi="宋体" w:eastAsia="宋体" w:cs="宋体"/>
          <w:b/>
          <w:color w:val="000000" w:themeColor="text1"/>
          <w:sz w:val="44"/>
          <w:szCs w:val="28"/>
          <w:highlight w:val="none"/>
          <w14:textFill>
            <w14:solidFill>
              <w14:schemeClr w14:val="tx1"/>
            </w14:solidFill>
          </w14:textFill>
        </w:rPr>
        <w:t>第三章 合同文本</w:t>
      </w:r>
      <w:bookmarkEnd w:id="134"/>
      <w:bookmarkEnd w:id="135"/>
      <w:bookmarkEnd w:id="136"/>
      <w:bookmarkEnd w:id="143"/>
    </w:p>
    <w:p w14:paraId="33AD4171">
      <w:pPr>
        <w:spacing w:line="360" w:lineRule="auto"/>
        <w:rPr>
          <w:rFonts w:ascii="宋体" w:hAnsi="宋体" w:eastAsia="宋体" w:cs="宋体"/>
          <w:bCs/>
          <w:color w:val="000000" w:themeColor="text1"/>
          <w:sz w:val="24"/>
          <w:szCs w:val="21"/>
          <w:highlight w:val="none"/>
          <w14:textFill>
            <w14:solidFill>
              <w14:schemeClr w14:val="tx1"/>
            </w14:solidFill>
          </w14:textFill>
        </w:rPr>
      </w:pPr>
      <w:bookmarkStart w:id="144" w:name="_Toc20823315"/>
      <w:bookmarkStart w:id="145" w:name="_Toc513029243"/>
      <w:bookmarkStart w:id="146" w:name="_Toc16938559"/>
      <w:r>
        <w:rPr>
          <w:rFonts w:hint="eastAsia" w:ascii="宋体" w:hAnsi="宋体" w:eastAsia="宋体" w:cs="宋体"/>
          <w:bCs/>
          <w:color w:val="000000" w:themeColor="text1"/>
          <w:sz w:val="24"/>
          <w:szCs w:val="21"/>
          <w:highlight w:val="none"/>
          <w14:textFill>
            <w14:solidFill>
              <w14:schemeClr w14:val="tx1"/>
            </w14:solidFill>
          </w14:textFill>
        </w:rPr>
        <w:t>以下为中标后签订本项目合同的通用条款，投标人不得提出实质性的修改。</w:t>
      </w:r>
      <w:bookmarkEnd w:id="144"/>
      <w:bookmarkEnd w:id="145"/>
      <w:bookmarkEnd w:id="146"/>
    </w:p>
    <w:p w14:paraId="09B2AF15">
      <w:pPr>
        <w:spacing w:line="360" w:lineRule="auto"/>
        <w:jc w:val="center"/>
        <w:rPr>
          <w:rFonts w:hint="eastAsia" w:ascii="宋体" w:hAnsi="宋体" w:eastAsia="宋体" w:cs="宋体"/>
          <w:b/>
          <w:color w:val="000000" w:themeColor="text1"/>
          <w:sz w:val="30"/>
          <w:szCs w:val="21"/>
          <w:highlight w:val="none"/>
          <w14:textFill>
            <w14:solidFill>
              <w14:schemeClr w14:val="tx1"/>
            </w14:solidFill>
          </w14:textFill>
        </w:rPr>
      </w:pPr>
      <w:bookmarkStart w:id="147" w:name="_Hlt16619369"/>
      <w:bookmarkEnd w:id="147"/>
      <w:bookmarkStart w:id="148" w:name="_Toc155086567"/>
    </w:p>
    <w:p w14:paraId="2DA3FB30">
      <w:pPr>
        <w:keepNext w:val="0"/>
        <w:keepLines w:val="0"/>
        <w:pageBreakBefore w:val="0"/>
        <w:widowControl w:val="0"/>
        <w:kinsoku/>
        <w:wordWrap/>
        <w:overflowPunct/>
        <w:topLinePunct w:val="0"/>
        <w:autoSpaceDE/>
        <w:autoSpaceDN/>
        <w:bidi w:val="0"/>
        <w:adjustRightInd/>
        <w:snapToGrid/>
        <w:spacing w:before="120" w:after="120"/>
        <w:jc w:val="center"/>
        <w:textAlignment w:val="auto"/>
        <w:outlineLvl w:val="9"/>
        <w:rPr>
          <w:b/>
          <w:bCs/>
          <w:sz w:val="30"/>
          <w:szCs w:val="20"/>
          <w:highlight w:val="none"/>
        </w:rPr>
      </w:pPr>
      <w:r>
        <w:rPr>
          <w:rFonts w:hint="eastAsia"/>
          <w:b/>
          <w:sz w:val="30"/>
          <w:highlight w:val="none"/>
        </w:rPr>
        <w:t>政府采购合同（货物）（合同编号）</w:t>
      </w:r>
    </w:p>
    <w:p w14:paraId="74D997A3">
      <w:pPr>
        <w:spacing w:line="560" w:lineRule="exact"/>
        <w:rPr>
          <w:sz w:val="24"/>
          <w:szCs w:val="24"/>
          <w:highlight w:val="none"/>
        </w:rPr>
      </w:pPr>
      <w:r>
        <w:rPr>
          <w:rFonts w:cs="Courier New"/>
          <w:sz w:val="24"/>
          <w:szCs w:val="24"/>
          <w:highlight w:val="none"/>
        </w:rPr>
        <w:t>项目名称：</w:t>
      </w:r>
      <w:r>
        <w:rPr>
          <w:rFonts w:hint="eastAsia" w:cs="Courier New"/>
          <w:sz w:val="24"/>
          <w:szCs w:val="24"/>
          <w:highlight w:val="none"/>
          <w:u w:val="single"/>
        </w:rPr>
        <w:t xml:space="preserve">宿迁市计量测试所化学衡器类设备检测装置采购项目    </w:t>
      </w:r>
      <w:r>
        <w:rPr>
          <w:rFonts w:cs="Courier New"/>
          <w:sz w:val="24"/>
          <w:szCs w:val="24"/>
          <w:highlight w:val="none"/>
        </w:rPr>
        <w:t xml:space="preserve">            </w:t>
      </w:r>
    </w:p>
    <w:p w14:paraId="17394DC3">
      <w:pPr>
        <w:spacing w:line="560" w:lineRule="exact"/>
        <w:rPr>
          <w:rFonts w:cs="Courier New"/>
          <w:sz w:val="24"/>
          <w:szCs w:val="24"/>
          <w:highlight w:val="none"/>
        </w:rPr>
      </w:pPr>
      <w:r>
        <w:rPr>
          <w:rFonts w:cs="Courier New"/>
          <w:sz w:val="24"/>
          <w:szCs w:val="24"/>
          <w:highlight w:val="none"/>
        </w:rPr>
        <w:t>项目编号：</w:t>
      </w:r>
      <w:r>
        <w:rPr>
          <w:rFonts w:cs="Courier New"/>
          <w:sz w:val="24"/>
          <w:szCs w:val="24"/>
          <w:highlight w:val="none"/>
          <w:u w:val="single"/>
        </w:rPr>
        <w:t xml:space="preserve">                          </w:t>
      </w:r>
    </w:p>
    <w:p w14:paraId="298A4017">
      <w:pPr>
        <w:spacing w:line="560" w:lineRule="exact"/>
        <w:rPr>
          <w:rFonts w:cs="Courier New"/>
          <w:sz w:val="24"/>
          <w:szCs w:val="24"/>
          <w:highlight w:val="none"/>
        </w:rPr>
      </w:pPr>
      <w:r>
        <w:rPr>
          <w:rFonts w:cs="Courier New"/>
          <w:sz w:val="24"/>
          <w:szCs w:val="24"/>
          <w:highlight w:val="none"/>
        </w:rPr>
        <w:t>甲方：（买方）</w:t>
      </w:r>
      <w:r>
        <w:rPr>
          <w:rFonts w:cs="Courier New"/>
          <w:sz w:val="24"/>
          <w:szCs w:val="24"/>
          <w:highlight w:val="none"/>
          <w:u w:val="single"/>
        </w:rPr>
        <w:t xml:space="preserve">  </w:t>
      </w:r>
      <w:r>
        <w:rPr>
          <w:rFonts w:hint="eastAsia" w:cs="Courier New"/>
          <w:sz w:val="24"/>
          <w:szCs w:val="24"/>
          <w:highlight w:val="none"/>
          <w:u w:val="single"/>
        </w:rPr>
        <w:t>宿迁市</w:t>
      </w:r>
      <w:r>
        <w:rPr>
          <w:rFonts w:cs="Courier New"/>
          <w:sz w:val="24"/>
          <w:szCs w:val="24"/>
          <w:highlight w:val="none"/>
          <w:u w:val="single"/>
        </w:rPr>
        <w:t xml:space="preserve">计量测试所  </w:t>
      </w:r>
    </w:p>
    <w:p w14:paraId="70DCCE97">
      <w:pPr>
        <w:spacing w:line="560" w:lineRule="exact"/>
        <w:rPr>
          <w:rFonts w:hint="eastAsia" w:eastAsia="宋体" w:cs="Courier New"/>
          <w:sz w:val="24"/>
          <w:szCs w:val="24"/>
          <w:highlight w:val="none"/>
          <w:u w:val="single"/>
          <w:lang w:val="en-US" w:eastAsia="zh-CN"/>
        </w:rPr>
      </w:pPr>
      <w:r>
        <w:rPr>
          <w:rFonts w:cs="Courier New"/>
          <w:sz w:val="24"/>
          <w:szCs w:val="24"/>
          <w:highlight w:val="none"/>
        </w:rPr>
        <w:t>乙方：（卖方）</w:t>
      </w:r>
      <w:r>
        <w:rPr>
          <w:rFonts w:hint="eastAsia" w:eastAsia="宋体" w:cs="Courier New"/>
          <w:sz w:val="24"/>
          <w:szCs w:val="24"/>
          <w:highlight w:val="none"/>
          <w:u w:val="single"/>
          <w:lang w:val="en-US" w:eastAsia="zh-CN"/>
        </w:rPr>
        <w:t xml:space="preserve"> </w:t>
      </w:r>
      <w:r>
        <w:rPr>
          <w:rFonts w:hint="eastAsia" w:cs="Courier New"/>
          <w:sz w:val="24"/>
          <w:szCs w:val="24"/>
          <w:highlight w:val="none"/>
          <w:u w:val="single"/>
        </w:rPr>
        <w:t xml:space="preserve">      </w:t>
      </w:r>
      <w:r>
        <w:rPr>
          <w:rFonts w:hint="eastAsia" w:eastAsia="宋体" w:cs="Courier New"/>
          <w:sz w:val="24"/>
          <w:szCs w:val="24"/>
          <w:highlight w:val="none"/>
          <w:u w:val="single"/>
          <w:lang w:val="en-US" w:eastAsia="zh-CN"/>
        </w:rPr>
        <w:t xml:space="preserve"> </w:t>
      </w:r>
      <w:r>
        <w:rPr>
          <w:rFonts w:hint="eastAsia" w:cs="Courier New"/>
          <w:sz w:val="24"/>
          <w:szCs w:val="24"/>
          <w:highlight w:val="none"/>
          <w:u w:val="single"/>
        </w:rPr>
        <w:t xml:space="preserve">    </w:t>
      </w:r>
      <w:r>
        <w:rPr>
          <w:rFonts w:hint="eastAsia" w:eastAsia="宋体" w:cs="Courier New"/>
          <w:sz w:val="24"/>
          <w:szCs w:val="24"/>
          <w:highlight w:val="none"/>
          <w:u w:val="single"/>
          <w:lang w:val="en-US" w:eastAsia="zh-CN"/>
        </w:rPr>
        <w:t xml:space="preserve"> </w:t>
      </w:r>
    </w:p>
    <w:p w14:paraId="26DE01D9">
      <w:pPr>
        <w:spacing w:line="560" w:lineRule="exact"/>
        <w:rPr>
          <w:rFonts w:cs="Courier New"/>
          <w:b/>
          <w:sz w:val="24"/>
          <w:szCs w:val="24"/>
          <w:highlight w:val="none"/>
        </w:rPr>
      </w:pPr>
      <w:r>
        <w:rPr>
          <w:rFonts w:cs="Courier New"/>
          <w:b/>
          <w:sz w:val="24"/>
          <w:szCs w:val="24"/>
          <w:highlight w:val="none"/>
        </w:rPr>
        <w:t xml:space="preserve">   </w:t>
      </w:r>
      <w:r>
        <w:rPr>
          <w:rFonts w:cs="Courier New"/>
          <w:sz w:val="24"/>
          <w:szCs w:val="24"/>
          <w:highlight w:val="none"/>
        </w:rPr>
        <w:t>甲、乙双方根据</w:t>
      </w:r>
      <w:r>
        <w:rPr>
          <w:rFonts w:hint="eastAsia" w:cs="Courier New"/>
          <w:sz w:val="24"/>
          <w:szCs w:val="24"/>
          <w:highlight w:val="none"/>
          <w:u w:val="single"/>
        </w:rPr>
        <w:t xml:space="preserve">  宿迁市计量测试所化学衡器类设备检测装置采购项目</w:t>
      </w:r>
      <w:r>
        <w:rPr>
          <w:rFonts w:hint="eastAsia" w:cs="Courier New"/>
          <w:sz w:val="24"/>
          <w:szCs w:val="24"/>
          <w:highlight w:val="none"/>
        </w:rPr>
        <w:t xml:space="preserve">（项目编号： </w:t>
      </w:r>
      <w:r>
        <w:rPr>
          <w:rFonts w:cs="Courier New"/>
          <w:sz w:val="24"/>
          <w:szCs w:val="24"/>
          <w:highlight w:val="none"/>
        </w:rPr>
        <w:t xml:space="preserve">       </w:t>
      </w:r>
      <w:r>
        <w:rPr>
          <w:rFonts w:hint="eastAsia" w:cs="Courier New"/>
          <w:sz w:val="24"/>
          <w:szCs w:val="24"/>
          <w:highlight w:val="none"/>
        </w:rPr>
        <w:t>）</w:t>
      </w:r>
      <w:r>
        <w:rPr>
          <w:rFonts w:cs="Courier New"/>
          <w:sz w:val="24"/>
          <w:szCs w:val="24"/>
          <w:highlight w:val="none"/>
        </w:rPr>
        <w:t>公开招标的结果，签署本合同。</w:t>
      </w:r>
    </w:p>
    <w:p w14:paraId="750988B7">
      <w:pPr>
        <w:spacing w:line="560" w:lineRule="exact"/>
        <w:rPr>
          <w:rFonts w:cs="Courier New"/>
          <w:b/>
          <w:sz w:val="24"/>
          <w:szCs w:val="24"/>
          <w:highlight w:val="none"/>
        </w:rPr>
      </w:pPr>
      <w:r>
        <w:rPr>
          <w:rFonts w:cs="Courier New"/>
          <w:b/>
          <w:sz w:val="24"/>
          <w:szCs w:val="24"/>
          <w:highlight w:val="none"/>
        </w:rPr>
        <w:t>一、</w:t>
      </w:r>
      <w:r>
        <w:rPr>
          <w:rFonts w:hint="eastAsia" w:cs="Courier New"/>
          <w:b/>
          <w:sz w:val="24"/>
          <w:szCs w:val="24"/>
          <w:highlight w:val="none"/>
        </w:rPr>
        <w:t>合同</w:t>
      </w:r>
      <w:r>
        <w:rPr>
          <w:rFonts w:cs="Courier New"/>
          <w:b/>
          <w:sz w:val="24"/>
          <w:szCs w:val="24"/>
          <w:highlight w:val="none"/>
        </w:rPr>
        <w:t>内容</w:t>
      </w:r>
    </w:p>
    <w:p w14:paraId="74ED2037">
      <w:pPr>
        <w:spacing w:line="560" w:lineRule="exact"/>
        <w:ind w:firstLine="480" w:firstLineChars="200"/>
        <w:rPr>
          <w:rFonts w:cs="Courier New"/>
          <w:sz w:val="24"/>
          <w:szCs w:val="24"/>
          <w:highlight w:val="none"/>
        </w:rPr>
      </w:pPr>
      <w:r>
        <w:rPr>
          <w:rFonts w:cs="Courier New"/>
          <w:sz w:val="24"/>
          <w:szCs w:val="24"/>
          <w:highlight w:val="none"/>
        </w:rPr>
        <w:t xml:space="preserve">1.1 </w:t>
      </w:r>
      <w:r>
        <w:rPr>
          <w:rFonts w:hint="eastAsia" w:cs="Courier New"/>
          <w:sz w:val="24"/>
          <w:szCs w:val="24"/>
          <w:highlight w:val="none"/>
        </w:rPr>
        <w:t>标的</w:t>
      </w:r>
      <w:r>
        <w:rPr>
          <w:rFonts w:cs="Courier New"/>
          <w:sz w:val="24"/>
          <w:szCs w:val="24"/>
          <w:highlight w:val="none"/>
        </w:rPr>
        <w:t>名称：</w:t>
      </w:r>
      <w:r>
        <w:rPr>
          <w:rFonts w:hint="eastAsia" w:cs="Courier New"/>
          <w:sz w:val="24"/>
          <w:szCs w:val="24"/>
          <w:highlight w:val="none"/>
          <w:u w:val="single"/>
        </w:rPr>
        <w:t>宿迁市计量测试所化学衡器类设备检测装置采购项目</w:t>
      </w:r>
    </w:p>
    <w:p w14:paraId="0CF6A04D">
      <w:pPr>
        <w:spacing w:line="560" w:lineRule="exact"/>
        <w:ind w:firstLine="480" w:firstLineChars="200"/>
        <w:rPr>
          <w:rFonts w:hint="eastAsia" w:ascii="宋体" w:hAnsi="宋体" w:cs="仿宋"/>
          <w:color w:val="000000"/>
          <w:sz w:val="24"/>
          <w:highlight w:val="none"/>
        </w:rPr>
      </w:pPr>
      <w:r>
        <w:rPr>
          <w:rFonts w:cs="Courier New"/>
          <w:sz w:val="24"/>
          <w:szCs w:val="24"/>
          <w:highlight w:val="none"/>
        </w:rPr>
        <w:t>1.2</w:t>
      </w:r>
      <w:r>
        <w:rPr>
          <w:rFonts w:hint="eastAsia" w:cs="Courier New"/>
          <w:sz w:val="24"/>
          <w:szCs w:val="24"/>
          <w:highlight w:val="none"/>
        </w:rPr>
        <w:t xml:space="preserve"> 标的质量：</w:t>
      </w:r>
      <w:r>
        <w:rPr>
          <w:rFonts w:hint="eastAsia" w:ascii="宋体" w:hAnsi="宋体" w:cs="仿宋"/>
          <w:color w:val="000000"/>
          <w:sz w:val="24"/>
          <w:highlight w:val="none"/>
          <w:u w:val="single"/>
        </w:rPr>
        <w:t>合格；提供的产品性能及质量有国家标准的应符合国家标准。无国家标准的应符合行业标准或企业标准，并满足招标文件要求，实现投标文件承诺条款。</w:t>
      </w:r>
    </w:p>
    <w:p w14:paraId="61D176A2">
      <w:pPr>
        <w:spacing w:line="560" w:lineRule="exact"/>
        <w:ind w:firstLine="480" w:firstLineChars="200"/>
        <w:rPr>
          <w:rFonts w:hint="eastAsia" w:cs="Courier New"/>
          <w:sz w:val="24"/>
          <w:szCs w:val="24"/>
          <w:highlight w:val="none"/>
          <w:u w:val="single"/>
        </w:rPr>
      </w:pPr>
      <w:r>
        <w:rPr>
          <w:rFonts w:hint="eastAsia" w:cs="Courier New"/>
          <w:sz w:val="24"/>
          <w:szCs w:val="24"/>
          <w:highlight w:val="none"/>
        </w:rPr>
        <w:t>1.3 标的数量（规模）：</w:t>
      </w:r>
      <w:r>
        <w:rPr>
          <w:rFonts w:hint="eastAsia" w:ascii="宋体" w:hAnsi="宋体" w:cs="仿宋"/>
          <w:color w:val="000000"/>
          <w:sz w:val="24"/>
          <w:highlight w:val="none"/>
          <w:u w:val="single"/>
        </w:rPr>
        <w:t>共</w:t>
      </w:r>
      <w:r>
        <w:rPr>
          <w:rFonts w:hint="eastAsia" w:ascii="宋体" w:hAnsi="宋体" w:cs="仿宋"/>
          <w:color w:val="000000"/>
          <w:sz w:val="24"/>
          <w:highlight w:val="none"/>
          <w:u w:val="single"/>
          <w:lang w:val="en-US" w:eastAsia="zh-CN"/>
        </w:rPr>
        <w:t>9</w:t>
      </w:r>
      <w:r>
        <w:rPr>
          <w:rFonts w:hint="eastAsia" w:ascii="宋体" w:hAnsi="宋体" w:cs="仿宋"/>
          <w:color w:val="000000"/>
          <w:sz w:val="24"/>
          <w:highlight w:val="none"/>
          <w:u w:val="single"/>
        </w:rPr>
        <w:t>套设备</w:t>
      </w:r>
      <w:r>
        <w:rPr>
          <w:rFonts w:hint="eastAsia" w:cs="Courier New"/>
          <w:sz w:val="24"/>
          <w:szCs w:val="24"/>
          <w:highlight w:val="none"/>
          <w:u w:val="single"/>
        </w:rPr>
        <w:t xml:space="preserve"> </w:t>
      </w:r>
    </w:p>
    <w:p w14:paraId="07C3D523">
      <w:pPr>
        <w:spacing w:line="560" w:lineRule="exact"/>
        <w:ind w:firstLine="480" w:firstLineChars="200"/>
        <w:rPr>
          <w:rFonts w:hint="eastAsia" w:cs="Courier New"/>
          <w:sz w:val="24"/>
          <w:szCs w:val="24"/>
          <w:highlight w:val="none"/>
        </w:rPr>
      </w:pPr>
      <w:r>
        <w:rPr>
          <w:rFonts w:hint="eastAsia" w:cs="Courier New"/>
          <w:sz w:val="24"/>
          <w:szCs w:val="24"/>
          <w:highlight w:val="none"/>
        </w:rPr>
        <w:t>1.4 履行时间（期限）：</w:t>
      </w:r>
    </w:p>
    <w:p w14:paraId="0E11E7F9">
      <w:pPr>
        <w:spacing w:line="560" w:lineRule="exact"/>
        <w:ind w:firstLine="480" w:firstLineChars="200"/>
        <w:rPr>
          <w:rFonts w:hint="eastAsia" w:ascii="宋体" w:hAnsi="宋体" w:cs="仿宋"/>
          <w:color w:val="000000"/>
          <w:sz w:val="24"/>
          <w:highlight w:val="none"/>
          <w:u w:val="single"/>
        </w:rPr>
      </w:pPr>
      <w:r>
        <w:rPr>
          <w:rFonts w:hint="eastAsia" w:ascii="宋体" w:hAnsi="宋体" w:cs="仿宋"/>
          <w:color w:val="000000"/>
          <w:sz w:val="24"/>
          <w:highlight w:val="none"/>
          <w:u w:val="single"/>
        </w:rPr>
        <w:t>供货期：合同签订后</w:t>
      </w:r>
      <w:r>
        <w:rPr>
          <w:rFonts w:hint="eastAsia" w:ascii="宋体" w:hAnsi="宋体" w:cs="仿宋"/>
          <w:color w:val="000000"/>
          <w:sz w:val="24"/>
          <w:highlight w:val="none"/>
          <w:u w:val="single"/>
          <w:lang w:val="en-US" w:eastAsia="zh-CN"/>
        </w:rPr>
        <w:t>30</w:t>
      </w:r>
      <w:r>
        <w:rPr>
          <w:rFonts w:hint="eastAsia" w:ascii="宋体" w:hAnsi="宋体" w:cs="仿宋"/>
          <w:color w:val="000000"/>
          <w:sz w:val="24"/>
          <w:highlight w:val="none"/>
          <w:u w:val="single"/>
        </w:rPr>
        <w:t>日历天内送到甲方指定地点完成安装、调试、检定/校准并经验收合格后交付甲方使用；</w:t>
      </w:r>
    </w:p>
    <w:p w14:paraId="676B959C">
      <w:pPr>
        <w:spacing w:line="560" w:lineRule="exact"/>
        <w:ind w:firstLine="480" w:firstLineChars="200"/>
        <w:rPr>
          <w:rFonts w:hint="eastAsia" w:ascii="宋体" w:hAnsi="宋体" w:cs="宋体"/>
          <w:sz w:val="24"/>
          <w:highlight w:val="none"/>
          <w:u w:val="single"/>
        </w:rPr>
      </w:pPr>
      <w:r>
        <w:rPr>
          <w:rFonts w:hint="eastAsia" w:ascii="宋体" w:hAnsi="宋体" w:cs="仿宋"/>
          <w:color w:val="000000"/>
          <w:sz w:val="24"/>
          <w:highlight w:val="none"/>
          <w:u w:val="single"/>
        </w:rPr>
        <w:t>质保期：</w:t>
      </w:r>
      <w:r>
        <w:rPr>
          <w:rFonts w:hint="eastAsia" w:ascii="宋体" w:hAnsi="宋体" w:cs="仿宋"/>
          <w:color w:val="000000"/>
          <w:sz w:val="24"/>
          <w:highlight w:val="none"/>
          <w:u w:val="single"/>
          <w:lang w:val="en-US" w:eastAsia="zh-CN"/>
        </w:rPr>
        <w:t>24</w:t>
      </w:r>
      <w:r>
        <w:rPr>
          <w:rFonts w:hint="eastAsia" w:ascii="宋体" w:hAnsi="宋体" w:cs="仿宋"/>
          <w:color w:val="000000"/>
          <w:sz w:val="24"/>
          <w:highlight w:val="none"/>
          <w:u w:val="single"/>
        </w:rPr>
        <w:t>个月（从验收合格之日起算起）。</w:t>
      </w:r>
    </w:p>
    <w:p w14:paraId="0CF69467">
      <w:pPr>
        <w:spacing w:line="560" w:lineRule="exact"/>
        <w:ind w:firstLine="480" w:firstLineChars="200"/>
        <w:rPr>
          <w:rFonts w:cs="Courier New"/>
          <w:sz w:val="24"/>
          <w:szCs w:val="24"/>
          <w:highlight w:val="none"/>
          <w:u w:val="single"/>
        </w:rPr>
      </w:pPr>
      <w:r>
        <w:rPr>
          <w:rFonts w:hint="eastAsia" w:cs="Courier New"/>
          <w:sz w:val="24"/>
          <w:szCs w:val="24"/>
          <w:highlight w:val="none"/>
        </w:rPr>
        <w:t>1.5 履行地点：</w:t>
      </w:r>
      <w:r>
        <w:rPr>
          <w:rFonts w:hint="eastAsia" w:cs="Courier New"/>
          <w:sz w:val="24"/>
          <w:szCs w:val="24"/>
          <w:highlight w:val="none"/>
          <w:u w:val="single"/>
        </w:rPr>
        <w:t>宿迁市计量测试所，具体由采购人指定。</w:t>
      </w:r>
    </w:p>
    <w:p w14:paraId="3A8623D4">
      <w:pPr>
        <w:spacing w:line="560" w:lineRule="exact"/>
        <w:ind w:firstLine="480" w:firstLineChars="200"/>
        <w:rPr>
          <w:rFonts w:cs="Courier New"/>
          <w:sz w:val="24"/>
          <w:szCs w:val="24"/>
          <w:highlight w:val="none"/>
          <w:u w:val="single"/>
        </w:rPr>
      </w:pPr>
      <w:r>
        <w:rPr>
          <w:rFonts w:cs="Courier New"/>
          <w:sz w:val="24"/>
          <w:szCs w:val="24"/>
          <w:highlight w:val="none"/>
        </w:rPr>
        <w:t>1.</w:t>
      </w:r>
      <w:r>
        <w:rPr>
          <w:rFonts w:hint="eastAsia" w:cs="Courier New"/>
          <w:sz w:val="24"/>
          <w:szCs w:val="24"/>
          <w:highlight w:val="none"/>
        </w:rPr>
        <w:t>6 履行方式：</w:t>
      </w:r>
      <w:r>
        <w:rPr>
          <w:rFonts w:hint="eastAsia" w:cs="Courier New"/>
          <w:sz w:val="24"/>
          <w:szCs w:val="24"/>
          <w:highlight w:val="none"/>
          <w:u w:val="single"/>
        </w:rPr>
        <w:t xml:space="preserve"> 现场</w:t>
      </w:r>
      <w:r>
        <w:rPr>
          <w:rFonts w:cs="Courier New"/>
          <w:sz w:val="24"/>
          <w:szCs w:val="24"/>
          <w:highlight w:val="none"/>
          <w:u w:val="single"/>
        </w:rPr>
        <w:t xml:space="preserve">交货履行 </w:t>
      </w:r>
    </w:p>
    <w:p w14:paraId="70612DDE">
      <w:pPr>
        <w:spacing w:line="560" w:lineRule="exact"/>
        <w:ind w:firstLine="480" w:firstLineChars="200"/>
        <w:rPr>
          <w:rFonts w:cs="Courier New"/>
          <w:sz w:val="24"/>
          <w:szCs w:val="24"/>
          <w:highlight w:val="none"/>
        </w:rPr>
      </w:pPr>
      <w:r>
        <w:rPr>
          <w:rFonts w:hint="eastAsia" w:cs="Courier New"/>
          <w:sz w:val="24"/>
          <w:szCs w:val="24"/>
          <w:highlight w:val="none"/>
        </w:rPr>
        <w:t>1.7 其他要求</w:t>
      </w:r>
    </w:p>
    <w:p w14:paraId="0A0879E9">
      <w:pPr>
        <w:spacing w:line="560" w:lineRule="exact"/>
        <w:ind w:firstLine="480" w:firstLineChars="200"/>
        <w:rPr>
          <w:rFonts w:cs="Courier New"/>
          <w:sz w:val="24"/>
          <w:szCs w:val="24"/>
          <w:highlight w:val="none"/>
        </w:rPr>
      </w:pPr>
      <w:r>
        <w:rPr>
          <w:rFonts w:hint="eastAsia" w:cs="Courier New"/>
          <w:sz w:val="24"/>
          <w:szCs w:val="24"/>
          <w:highlight w:val="none"/>
        </w:rPr>
        <w:t>1.7.1供货要求</w:t>
      </w:r>
    </w:p>
    <w:p w14:paraId="7994186D">
      <w:pPr>
        <w:spacing w:line="560" w:lineRule="exact"/>
        <w:ind w:firstLine="480" w:firstLineChars="200"/>
        <w:rPr>
          <w:rFonts w:cs="Courier New"/>
          <w:sz w:val="24"/>
          <w:szCs w:val="24"/>
          <w:highlight w:val="none"/>
        </w:rPr>
      </w:pPr>
      <w:r>
        <w:rPr>
          <w:rFonts w:hint="eastAsia" w:cs="Courier New"/>
          <w:sz w:val="24"/>
          <w:szCs w:val="24"/>
          <w:highlight w:val="none"/>
        </w:rPr>
        <w:t>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p>
    <w:p w14:paraId="07F86C0B">
      <w:pPr>
        <w:spacing w:line="560" w:lineRule="exact"/>
        <w:ind w:firstLine="480" w:firstLineChars="200"/>
        <w:rPr>
          <w:rFonts w:cs="Courier New"/>
          <w:sz w:val="24"/>
          <w:szCs w:val="24"/>
          <w:highlight w:val="none"/>
        </w:rPr>
      </w:pPr>
      <w:r>
        <w:rPr>
          <w:rFonts w:hint="eastAsia" w:cs="Courier New"/>
          <w:sz w:val="24"/>
          <w:szCs w:val="24"/>
          <w:highlight w:val="none"/>
        </w:rPr>
        <w:t>1.7.2质量保证</w:t>
      </w:r>
    </w:p>
    <w:p w14:paraId="3294D13C">
      <w:pPr>
        <w:spacing w:line="560" w:lineRule="exact"/>
        <w:ind w:firstLine="480" w:firstLineChars="200"/>
        <w:rPr>
          <w:rFonts w:cs="Courier New"/>
          <w:sz w:val="24"/>
          <w:szCs w:val="24"/>
          <w:highlight w:val="none"/>
        </w:rPr>
      </w:pPr>
      <w:r>
        <w:rPr>
          <w:rFonts w:hint="eastAsia" w:cs="Courier New"/>
          <w:sz w:val="24"/>
          <w:szCs w:val="24"/>
          <w:highlight w:val="none"/>
        </w:rPr>
        <w:t>1.7.2.1投标人应保证提供的货物与服务项目经过正确安装、正常使用和保养条件下，在其使用寿命内应具有满意的性能。货物最终验收后，在售后服务期内，投标人应对由于设计、工艺或材料的缺陷以及其他由于生产厂家或投标人的原因而发生的任何不足或故障负责，费用由投标人负担。</w:t>
      </w:r>
    </w:p>
    <w:p w14:paraId="79872ADC">
      <w:pPr>
        <w:spacing w:line="560" w:lineRule="exact"/>
        <w:ind w:firstLine="480" w:firstLineChars="200"/>
        <w:rPr>
          <w:rFonts w:cs="Courier New"/>
          <w:sz w:val="24"/>
          <w:szCs w:val="24"/>
          <w:highlight w:val="none"/>
        </w:rPr>
      </w:pPr>
      <w:r>
        <w:rPr>
          <w:rFonts w:hint="eastAsia" w:cs="Courier New"/>
          <w:sz w:val="24"/>
          <w:szCs w:val="24"/>
          <w:highlight w:val="none"/>
        </w:rPr>
        <w:t>1.7.2.2根据当地法定检验机构的检验结果或者在售后服务期内，如果货物与服务项目的内在质量或规格型号与合同不符，或证明货物是有缺陷的，包括潜在的缺陷或使用不符合要求的材料等，采购人有权向投标人发出索赔通知。</w:t>
      </w:r>
    </w:p>
    <w:p w14:paraId="202DAFBF">
      <w:pPr>
        <w:spacing w:line="560" w:lineRule="exact"/>
        <w:ind w:firstLine="480" w:firstLineChars="200"/>
        <w:rPr>
          <w:rFonts w:cs="Courier New"/>
          <w:sz w:val="24"/>
          <w:szCs w:val="24"/>
          <w:highlight w:val="none"/>
        </w:rPr>
      </w:pPr>
      <w:r>
        <w:rPr>
          <w:rFonts w:hint="eastAsia" w:cs="Courier New"/>
          <w:sz w:val="24"/>
          <w:szCs w:val="24"/>
          <w:highlight w:val="none"/>
        </w:rPr>
        <w:t>1.7.2.3投标人在收到通知后，应在合同所附服务承诺约定的时间内维修、更换有缺陷的货物或部件。</w:t>
      </w:r>
    </w:p>
    <w:p w14:paraId="2B5E3910">
      <w:pPr>
        <w:spacing w:line="560" w:lineRule="exact"/>
        <w:ind w:firstLine="480" w:firstLineChars="200"/>
        <w:rPr>
          <w:rFonts w:cs="Courier New"/>
          <w:sz w:val="24"/>
          <w:szCs w:val="24"/>
          <w:highlight w:val="none"/>
        </w:rPr>
      </w:pPr>
      <w:r>
        <w:rPr>
          <w:rFonts w:hint="eastAsia" w:cs="Courier New"/>
          <w:sz w:val="24"/>
          <w:szCs w:val="24"/>
          <w:highlight w:val="none"/>
        </w:rPr>
        <w:t>1.7.2.4如果投标人在收到通知后，在合同所附服务承诺约定的时间内没有弥补缺陷，采购人可采取必要的补救措施，但风险和费用将由投标人承担。</w:t>
      </w:r>
    </w:p>
    <w:p w14:paraId="2D4D9306">
      <w:pPr>
        <w:spacing w:line="560" w:lineRule="exact"/>
        <w:ind w:firstLine="480" w:firstLineChars="200"/>
        <w:rPr>
          <w:rFonts w:cs="Courier New"/>
          <w:sz w:val="24"/>
          <w:szCs w:val="24"/>
          <w:highlight w:val="none"/>
        </w:rPr>
      </w:pPr>
      <w:r>
        <w:rPr>
          <w:rFonts w:hint="eastAsia" w:cs="Courier New"/>
          <w:sz w:val="24"/>
          <w:szCs w:val="24"/>
          <w:highlight w:val="none"/>
        </w:rPr>
        <w:t>1.7.3培训要求</w:t>
      </w:r>
    </w:p>
    <w:p w14:paraId="207BABA4">
      <w:pPr>
        <w:spacing w:line="560" w:lineRule="exact"/>
        <w:ind w:firstLine="480" w:firstLineChars="200"/>
        <w:rPr>
          <w:rFonts w:cs="Courier New"/>
          <w:sz w:val="24"/>
          <w:szCs w:val="24"/>
          <w:highlight w:val="none"/>
        </w:rPr>
      </w:pPr>
      <w:r>
        <w:rPr>
          <w:rFonts w:hint="eastAsia" w:cs="Courier New"/>
          <w:sz w:val="24"/>
          <w:szCs w:val="24"/>
          <w:highlight w:val="none"/>
        </w:rPr>
        <w:t xml:space="preserve">1.7.3.1中标人须派遣有设备操作、管理、维护经验的工程师，到采购人单位对采购单位的人员进行优质的培训服务。对设备的使用、操作、维护进行培训，并提供安装使用维护说明书，以确保使用单位能够对设备有足够的了解，能够独立进行日常操作、管理和维护。 </w:t>
      </w:r>
    </w:p>
    <w:p w14:paraId="2DF48138">
      <w:pPr>
        <w:spacing w:line="560" w:lineRule="exact"/>
        <w:ind w:firstLine="480" w:firstLineChars="200"/>
        <w:rPr>
          <w:rFonts w:cs="Courier New"/>
          <w:sz w:val="24"/>
          <w:szCs w:val="24"/>
          <w:highlight w:val="none"/>
        </w:rPr>
      </w:pPr>
      <w:r>
        <w:rPr>
          <w:rFonts w:hint="eastAsia" w:cs="Courier New"/>
          <w:sz w:val="24"/>
          <w:szCs w:val="24"/>
          <w:highlight w:val="none"/>
        </w:rPr>
        <w:t xml:space="preserve">1.7.3.2中标人必须为所有被培训人员提供培训用文字资料和讲义等相关用品。所有的资料必须是中文书写。上述资料的费用包含在投标报价内。 </w:t>
      </w:r>
    </w:p>
    <w:p w14:paraId="6835DB3E">
      <w:pPr>
        <w:spacing w:line="560" w:lineRule="exact"/>
        <w:ind w:firstLine="480" w:firstLineChars="200"/>
        <w:rPr>
          <w:rFonts w:cs="Courier New"/>
          <w:sz w:val="24"/>
          <w:szCs w:val="24"/>
          <w:highlight w:val="none"/>
        </w:rPr>
      </w:pPr>
      <w:r>
        <w:rPr>
          <w:rFonts w:hint="eastAsia" w:cs="Courier New"/>
          <w:sz w:val="24"/>
          <w:szCs w:val="24"/>
          <w:highlight w:val="none"/>
        </w:rPr>
        <w:t>1.7.3.3所有的培训费用包括差旅、食宿、教材、资料等由中标人负责，均计入投标报价中。</w:t>
      </w:r>
    </w:p>
    <w:p w14:paraId="13B680F0">
      <w:pPr>
        <w:spacing w:line="560" w:lineRule="exact"/>
        <w:ind w:firstLine="480" w:firstLineChars="200"/>
        <w:rPr>
          <w:rFonts w:cs="Courier New"/>
          <w:sz w:val="24"/>
          <w:szCs w:val="24"/>
          <w:highlight w:val="none"/>
        </w:rPr>
      </w:pPr>
      <w:r>
        <w:rPr>
          <w:rFonts w:hint="eastAsia" w:cs="Courier New"/>
          <w:sz w:val="24"/>
          <w:szCs w:val="24"/>
          <w:highlight w:val="none"/>
        </w:rPr>
        <w:t>1.7.4售后服务</w:t>
      </w:r>
    </w:p>
    <w:p w14:paraId="557CACB0">
      <w:pPr>
        <w:spacing w:line="560" w:lineRule="exact"/>
        <w:ind w:firstLine="480" w:firstLineChars="200"/>
        <w:rPr>
          <w:rFonts w:cs="Courier New"/>
          <w:sz w:val="24"/>
          <w:szCs w:val="24"/>
          <w:highlight w:val="none"/>
        </w:rPr>
      </w:pPr>
      <w:r>
        <w:rPr>
          <w:rFonts w:hint="eastAsia" w:cs="Courier New"/>
          <w:sz w:val="24"/>
          <w:szCs w:val="24"/>
          <w:highlight w:val="none"/>
        </w:rPr>
        <w:t>1.7.4.1验收通过之日起对设备保修</w:t>
      </w:r>
      <w:r>
        <w:rPr>
          <w:rFonts w:hint="eastAsia" w:eastAsia="宋体" w:cs="Courier New"/>
          <w:b/>
          <w:sz w:val="24"/>
          <w:szCs w:val="24"/>
          <w:highlight w:val="none"/>
          <w:u w:val="single"/>
          <w:lang w:val="en-US" w:eastAsia="zh-CN"/>
        </w:rPr>
        <w:t xml:space="preserve">    </w:t>
      </w:r>
      <w:r>
        <w:rPr>
          <w:rFonts w:hint="eastAsia" w:cs="Courier New"/>
          <w:sz w:val="24"/>
          <w:szCs w:val="24"/>
          <w:highlight w:val="none"/>
        </w:rPr>
        <w:t>年。售后服务期内，投标人对产品质量实行三包，因设备配置或制造质量问题而引起的故障，投标人应在24小时内立即予以维修或更换，由此引起的一切费用由投标人承担。</w:t>
      </w:r>
    </w:p>
    <w:p w14:paraId="5FE57A79">
      <w:pPr>
        <w:spacing w:line="560" w:lineRule="exact"/>
        <w:ind w:firstLine="480" w:firstLineChars="200"/>
        <w:rPr>
          <w:rFonts w:cs="Courier New"/>
          <w:sz w:val="24"/>
          <w:szCs w:val="24"/>
          <w:highlight w:val="none"/>
        </w:rPr>
      </w:pPr>
      <w:r>
        <w:rPr>
          <w:rFonts w:hint="eastAsia" w:cs="Courier New"/>
          <w:sz w:val="24"/>
          <w:szCs w:val="24"/>
          <w:highlight w:val="none"/>
        </w:rPr>
        <w:t>1.7.4.2投标人需提供详细技术服务方案，包括但不限于：设备安装建设规范、设备工作原理、设备部件结构组成、设备操作手册、设备运行维护手册、设备软件使用手册等。</w:t>
      </w:r>
    </w:p>
    <w:p w14:paraId="01420184">
      <w:pPr>
        <w:spacing w:line="560" w:lineRule="exact"/>
        <w:ind w:firstLine="480" w:firstLineChars="200"/>
        <w:rPr>
          <w:rFonts w:cs="Courier New"/>
          <w:sz w:val="24"/>
          <w:szCs w:val="24"/>
          <w:highlight w:val="none"/>
        </w:rPr>
      </w:pPr>
      <w:r>
        <w:rPr>
          <w:rFonts w:hint="eastAsia" w:cs="Courier New"/>
          <w:sz w:val="24"/>
          <w:szCs w:val="24"/>
          <w:highlight w:val="none"/>
        </w:rPr>
        <w:t>1.7.4.3技术支持响应时间。在售后服务期内，投标人服务时间应为 7×24小时，当投标产品或软件遭到损坏或出现故障时，要在用户报修之时起2小时内做出响应，并在24小时内到达现场，开展维修维护工作，视情况双方协商设备恢复正常运行时限。</w:t>
      </w:r>
    </w:p>
    <w:p w14:paraId="7B03CDD8">
      <w:pPr>
        <w:spacing w:line="560" w:lineRule="exact"/>
        <w:ind w:firstLine="480" w:firstLineChars="200"/>
        <w:rPr>
          <w:rFonts w:cs="Courier New"/>
          <w:sz w:val="24"/>
          <w:szCs w:val="24"/>
          <w:highlight w:val="none"/>
        </w:rPr>
      </w:pPr>
      <w:r>
        <w:rPr>
          <w:rFonts w:hint="eastAsia" w:cs="Courier New"/>
          <w:sz w:val="24"/>
          <w:szCs w:val="24"/>
          <w:highlight w:val="none"/>
        </w:rPr>
        <w:t>1.7.4.4售后服务期过后，投标人仍有义务提供优惠的技术服务（包括提供设备维护、备件等）。</w:t>
      </w:r>
    </w:p>
    <w:p w14:paraId="265E9216">
      <w:pPr>
        <w:spacing w:line="560" w:lineRule="exact"/>
        <w:ind w:firstLine="480" w:firstLineChars="200"/>
        <w:rPr>
          <w:rFonts w:cs="Courier New"/>
          <w:sz w:val="24"/>
          <w:szCs w:val="24"/>
          <w:highlight w:val="none"/>
        </w:rPr>
      </w:pPr>
      <w:r>
        <w:rPr>
          <w:rFonts w:hint="eastAsia" w:cs="Courier New"/>
          <w:sz w:val="24"/>
          <w:szCs w:val="24"/>
          <w:highlight w:val="none"/>
        </w:rPr>
        <w:t>1.7.4.5中标人未在上述规定时间内履行售后服务义务的，采购人可选择是否委托第三方代为处理，由此产生的费用及损失均由中标人承担。每出现一次，由中标人向采购人支付合同总额 2%违约金（可在应付款项中扣除）。</w:t>
      </w:r>
    </w:p>
    <w:p w14:paraId="4BEE97E3">
      <w:pPr>
        <w:spacing w:line="560" w:lineRule="exact"/>
        <w:ind w:firstLine="480" w:firstLineChars="200"/>
        <w:rPr>
          <w:rFonts w:cs="Courier New"/>
          <w:sz w:val="24"/>
          <w:szCs w:val="24"/>
          <w:highlight w:val="none"/>
        </w:rPr>
      </w:pPr>
      <w:r>
        <w:rPr>
          <w:rFonts w:hint="eastAsia" w:cs="Courier New"/>
          <w:sz w:val="24"/>
          <w:szCs w:val="24"/>
          <w:highlight w:val="none"/>
        </w:rPr>
        <w:t>1.7.5验收要求</w:t>
      </w:r>
    </w:p>
    <w:p w14:paraId="766CFF1D">
      <w:pPr>
        <w:pStyle w:val="30"/>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480" w:firstLineChars="200"/>
        <w:textAlignment w:val="auto"/>
        <w:rPr>
          <w:rFonts w:hint="eastAsia" w:cs="Courier New" w:asciiTheme="minorHAnsi" w:hAnsiTheme="minorHAnsi" w:eastAsiaTheme="minorEastAsia"/>
          <w:sz w:val="24"/>
          <w:szCs w:val="24"/>
          <w:highlight w:val="none"/>
          <w:lang w:val="en-US" w:eastAsia="zh-CN" w:bidi="ar-SA"/>
        </w:rPr>
      </w:pPr>
      <w:r>
        <w:rPr>
          <w:rFonts w:hint="default" w:cs="Courier New" w:asciiTheme="minorHAnsi" w:hAnsiTheme="minorHAnsi" w:eastAsiaTheme="minorEastAsia"/>
          <w:sz w:val="24"/>
          <w:szCs w:val="24"/>
          <w:highlight w:val="none"/>
          <w:lang w:val="en-US" w:eastAsia="zh-CN" w:bidi="ar-SA"/>
        </w:rPr>
        <w:t>1.7.5.1 验收组织：甲方负责组织履约验收，可委托采购代理机构具体组织，并根据项目特点抽取政府采购专家参与验收。验收小组由甲方（含使用单位）代表、政府采购专家等组成。乙方（制造商或其授权代表）应派员配合验收，并在验收文件上签章确认。</w:t>
      </w:r>
    </w:p>
    <w:p w14:paraId="1BF73DC7">
      <w:pPr>
        <w:pStyle w:val="30"/>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480" w:firstLineChars="200"/>
        <w:textAlignment w:val="auto"/>
        <w:rPr>
          <w:rFonts w:hint="default" w:cs="Courier New" w:asciiTheme="minorHAnsi" w:hAnsiTheme="minorHAnsi" w:eastAsiaTheme="minorEastAsia"/>
          <w:sz w:val="24"/>
          <w:szCs w:val="24"/>
          <w:highlight w:val="none"/>
          <w:lang w:val="en-US" w:eastAsia="zh-CN" w:bidi="ar-SA"/>
        </w:rPr>
      </w:pPr>
      <w:r>
        <w:rPr>
          <w:rFonts w:hint="default" w:cs="Courier New" w:asciiTheme="minorHAnsi" w:hAnsiTheme="minorHAnsi" w:eastAsiaTheme="minorEastAsia"/>
          <w:sz w:val="24"/>
          <w:szCs w:val="24"/>
          <w:highlight w:val="none"/>
          <w:lang w:val="en-US" w:eastAsia="zh-CN" w:bidi="ar-SA"/>
        </w:rPr>
        <w:t>1.7.5.2 到货验收：全部设备送达甲方指定地点后一周内，由验收小组（或甲乙双方）对货物数量、品种、规格型号、外观、包装、运输保存方式、随附资料、合格证及品牌标志等进行检查清点，签署《货物数量清点单据》或到货验收记录。不合格的，乙方应无条件限期退货或换货，费用由乙方承担。</w:t>
      </w:r>
    </w:p>
    <w:p w14:paraId="0851EF3F">
      <w:pPr>
        <w:pStyle w:val="30"/>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480" w:firstLineChars="200"/>
        <w:textAlignment w:val="auto"/>
        <w:rPr>
          <w:rFonts w:hint="default" w:cs="Courier New" w:asciiTheme="minorHAnsi" w:hAnsiTheme="minorHAnsi" w:eastAsiaTheme="minorEastAsia"/>
          <w:sz w:val="24"/>
          <w:szCs w:val="24"/>
          <w:highlight w:val="none"/>
          <w:lang w:val="en-US" w:eastAsia="zh-CN" w:bidi="ar-SA"/>
        </w:rPr>
      </w:pPr>
      <w:r>
        <w:rPr>
          <w:rFonts w:hint="default" w:cs="Courier New" w:asciiTheme="minorHAnsi" w:hAnsiTheme="minorHAnsi" w:eastAsiaTheme="minorEastAsia"/>
          <w:sz w:val="24"/>
          <w:szCs w:val="24"/>
          <w:highlight w:val="none"/>
          <w:lang w:val="en-US" w:eastAsia="zh-CN" w:bidi="ar-SA"/>
        </w:rPr>
        <w:t>1.7.5.3 资料交付及安装调试：设备开箱验收时，乙方应提供使用说明书、产品介绍、装箱清单、合格证等技术资料；由制造商或其授权代表机构、授权技术人员对设备进行安装、调试、操作，使用单位技术人员实际操作检验设备功能、性能指标等符合要求。</w:t>
      </w:r>
    </w:p>
    <w:p w14:paraId="0969F808">
      <w:pPr>
        <w:pStyle w:val="30"/>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480" w:firstLineChars="200"/>
        <w:textAlignment w:val="auto"/>
        <w:rPr>
          <w:rFonts w:hint="default" w:cs="Courier New" w:asciiTheme="minorHAnsi" w:hAnsiTheme="minorHAnsi" w:eastAsiaTheme="minorEastAsia"/>
          <w:sz w:val="24"/>
          <w:szCs w:val="24"/>
          <w:highlight w:val="none"/>
          <w:lang w:val="en-US" w:eastAsia="zh-CN" w:bidi="ar-SA"/>
        </w:rPr>
      </w:pPr>
      <w:r>
        <w:rPr>
          <w:rFonts w:hint="default" w:cs="Courier New" w:asciiTheme="minorHAnsi" w:hAnsiTheme="minorHAnsi" w:eastAsiaTheme="minorEastAsia"/>
          <w:sz w:val="24"/>
          <w:szCs w:val="24"/>
          <w:highlight w:val="none"/>
          <w:lang w:val="en-US" w:eastAsia="zh-CN" w:bidi="ar-SA"/>
        </w:rPr>
        <w:t>1.7.5.4 质量验收：所有计量器具（设备）须附带省级以上（含省级）法定计量机构出具的合格有效溯源（检定/校准）证书，证书单位为宿迁市计量测试所；结果页内容应至少包含检定规程中规定的首次检定项目，或校准规范中规定的全项目，且结果页不能有不符合项。未提供或证书不符合要求的，不予通过验收，检测相关费用由乙方承担；首次检定或校准不合格的，因不合格所发生的全部费用均由乙方承担。校准结果应符合装置技术指标要求。</w:t>
      </w:r>
    </w:p>
    <w:p w14:paraId="5AB49C01">
      <w:pPr>
        <w:pStyle w:val="30"/>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480" w:firstLineChars="200"/>
        <w:textAlignment w:val="auto"/>
        <w:rPr>
          <w:rFonts w:hint="default" w:cs="Courier New" w:asciiTheme="minorHAnsi" w:hAnsiTheme="minorHAnsi" w:eastAsiaTheme="minorEastAsia"/>
          <w:sz w:val="24"/>
          <w:szCs w:val="24"/>
          <w:highlight w:val="none"/>
          <w:lang w:val="en-US" w:eastAsia="zh-CN" w:bidi="ar-SA"/>
        </w:rPr>
      </w:pPr>
      <w:r>
        <w:rPr>
          <w:rFonts w:hint="default" w:cs="Courier New" w:asciiTheme="minorHAnsi" w:hAnsiTheme="minorHAnsi" w:eastAsiaTheme="minorEastAsia"/>
          <w:sz w:val="24"/>
          <w:szCs w:val="24"/>
          <w:highlight w:val="none"/>
          <w:lang w:val="en-US" w:eastAsia="zh-CN" w:bidi="ar-SA"/>
        </w:rPr>
        <w:t>1.7.5.5 终验：全部设备安装调试、检定/校准完成并具备验收条件后，乙方向甲方提交项目验收技术资料及终验申请单；甲方收到申请后3个工作日内组织终验。验收合格的，签署验收书/终验单；验收不合格的，按本合同约定限期整改、更换或退货。因乙方原因造成无法验收通过的，甲方有权拒绝付款，并追究乙方违约责任。</w:t>
      </w:r>
    </w:p>
    <w:p w14:paraId="799D654B">
      <w:pPr>
        <w:pStyle w:val="30"/>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480" w:firstLineChars="200"/>
        <w:textAlignment w:val="auto"/>
        <w:rPr>
          <w:rFonts w:hint="default" w:cs="Courier New" w:asciiTheme="minorHAnsi" w:hAnsiTheme="minorHAnsi" w:eastAsiaTheme="minorEastAsia"/>
          <w:sz w:val="24"/>
          <w:szCs w:val="24"/>
          <w:highlight w:val="none"/>
          <w:lang w:val="en-US" w:eastAsia="zh-CN" w:bidi="ar-SA"/>
        </w:rPr>
      </w:pPr>
      <w:r>
        <w:rPr>
          <w:rFonts w:hint="default" w:cs="Courier New" w:asciiTheme="minorHAnsi" w:hAnsiTheme="minorHAnsi" w:eastAsiaTheme="minorEastAsia"/>
          <w:sz w:val="24"/>
          <w:szCs w:val="24"/>
          <w:highlight w:val="none"/>
          <w:lang w:val="en-US" w:eastAsia="zh-CN" w:bidi="ar-SA"/>
        </w:rPr>
        <w:t>1.7.5.6 验收标准：本合同、招标文件第四章采购需求及乙方投标文件承诺。验收合格之日为质保期起算日，并作为合同款项支付条件。</w:t>
      </w:r>
    </w:p>
    <w:p w14:paraId="7CFC3D37">
      <w:pPr>
        <w:spacing w:line="560" w:lineRule="exact"/>
        <w:ind w:firstLine="480" w:firstLineChars="200"/>
        <w:rPr>
          <w:rFonts w:cs="Courier New"/>
          <w:sz w:val="24"/>
          <w:szCs w:val="24"/>
          <w:highlight w:val="none"/>
        </w:rPr>
      </w:pPr>
      <w:r>
        <w:rPr>
          <w:rFonts w:hint="eastAsia" w:cs="Courier New"/>
          <w:sz w:val="24"/>
          <w:szCs w:val="24"/>
          <w:highlight w:val="none"/>
        </w:rPr>
        <w:t>1.7.6节能、环保产品政策</w:t>
      </w:r>
    </w:p>
    <w:p w14:paraId="5AF74162">
      <w:pPr>
        <w:spacing w:line="560" w:lineRule="exact"/>
        <w:ind w:firstLine="480" w:firstLineChars="200"/>
        <w:rPr>
          <w:rFonts w:cs="Courier New"/>
          <w:sz w:val="24"/>
          <w:szCs w:val="24"/>
          <w:highlight w:val="none"/>
        </w:rPr>
      </w:pPr>
      <w:r>
        <w:rPr>
          <w:rFonts w:hint="eastAsia" w:cs="Courier New"/>
          <w:sz w:val="24"/>
          <w:szCs w:val="24"/>
          <w:highlight w:val="none"/>
        </w:rPr>
        <w:t>对照财库〔2019〕9号、财库〔2019〕19号文件规定，供应商所投产品属于强制采购产品的，应提供国家市场监督管理</w:t>
      </w:r>
      <w:r>
        <w:rPr>
          <w:rFonts w:hint="eastAsia" w:eastAsia="宋体" w:cs="Courier New"/>
          <w:sz w:val="24"/>
          <w:szCs w:val="24"/>
          <w:highlight w:val="none"/>
          <w:lang w:val="en-US" w:eastAsia="zh-CN"/>
        </w:rPr>
        <w:t>总</w:t>
      </w:r>
      <w:r>
        <w:rPr>
          <w:rFonts w:hint="eastAsia" w:cs="Courier New"/>
          <w:sz w:val="24"/>
          <w:szCs w:val="24"/>
          <w:highlight w:val="none"/>
        </w:rPr>
        <w:t>局确定的列入“参与实施政府采购节能产品认证机构名录”内的认证机构出具的、有效期内的该产品的节能产品认证证书电子件，不满足以上要求的按无效标处理。</w:t>
      </w:r>
    </w:p>
    <w:p w14:paraId="2C3A8634">
      <w:pPr>
        <w:spacing w:line="560" w:lineRule="exact"/>
        <w:ind w:firstLine="480" w:firstLineChars="200"/>
        <w:rPr>
          <w:rFonts w:cs="Courier New"/>
          <w:sz w:val="24"/>
          <w:szCs w:val="24"/>
          <w:highlight w:val="none"/>
        </w:rPr>
      </w:pPr>
      <w:r>
        <w:rPr>
          <w:rFonts w:hint="eastAsia" w:cs="Courier New"/>
          <w:sz w:val="24"/>
          <w:szCs w:val="24"/>
          <w:highlight w:val="none"/>
        </w:rPr>
        <w:t>1.7.7商品包装、快递包装政府采购需求标准（试行）</w:t>
      </w:r>
    </w:p>
    <w:p w14:paraId="386A57A7">
      <w:pPr>
        <w:spacing w:line="560" w:lineRule="exact"/>
        <w:ind w:firstLine="480" w:firstLineChars="200"/>
        <w:rPr>
          <w:rFonts w:cs="Courier New"/>
          <w:sz w:val="24"/>
          <w:szCs w:val="24"/>
          <w:highlight w:val="none"/>
        </w:rPr>
      </w:pPr>
      <w:r>
        <w:rPr>
          <w:rFonts w:hint="eastAsia" w:cs="Courier New"/>
          <w:sz w:val="24"/>
          <w:szCs w:val="24"/>
          <w:highlight w:val="none"/>
        </w:rPr>
        <w:t>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p>
    <w:p w14:paraId="4F0B3647">
      <w:pPr>
        <w:spacing w:line="560" w:lineRule="exact"/>
        <w:ind w:firstLine="480" w:firstLineChars="200"/>
        <w:rPr>
          <w:rFonts w:cs="Courier New"/>
          <w:sz w:val="24"/>
          <w:szCs w:val="24"/>
          <w:highlight w:val="none"/>
        </w:rPr>
      </w:pPr>
      <w:r>
        <w:rPr>
          <w:rFonts w:hint="eastAsia" w:cs="Courier New"/>
          <w:sz w:val="24"/>
          <w:szCs w:val="24"/>
          <w:highlight w:val="none"/>
        </w:rPr>
        <w:t>1.7.8采购本国货物、工程和服务</w:t>
      </w:r>
    </w:p>
    <w:p w14:paraId="62B7BAAA">
      <w:pPr>
        <w:spacing w:line="560" w:lineRule="exact"/>
        <w:ind w:firstLine="480" w:firstLineChars="200"/>
        <w:rPr>
          <w:rFonts w:cs="Courier New"/>
          <w:sz w:val="24"/>
          <w:szCs w:val="24"/>
          <w:highlight w:val="none"/>
        </w:rPr>
      </w:pPr>
      <w:r>
        <w:rPr>
          <w:rFonts w:hint="eastAsia" w:cs="Courier New"/>
          <w:sz w:val="24"/>
          <w:szCs w:val="24"/>
          <w:highlight w:val="none"/>
        </w:rPr>
        <w:t>政府采购应当采购本国货物、工程和服务，但有《中华人民共和国政府采购法》第十条规定情形的除外。</w:t>
      </w:r>
    </w:p>
    <w:p w14:paraId="67009E6A">
      <w:pPr>
        <w:spacing w:line="560" w:lineRule="exact"/>
        <w:ind w:firstLine="480" w:firstLineChars="200"/>
        <w:rPr>
          <w:rFonts w:cs="Courier New"/>
          <w:sz w:val="24"/>
          <w:szCs w:val="24"/>
          <w:highlight w:val="none"/>
        </w:rPr>
      </w:pPr>
      <w:r>
        <w:rPr>
          <w:rFonts w:hint="eastAsia" w:cs="Courier New"/>
          <w:sz w:val="24"/>
          <w:szCs w:val="24"/>
          <w:highlight w:val="none"/>
        </w:rPr>
        <w:t>1.8人员配备</w:t>
      </w:r>
    </w:p>
    <w:p w14:paraId="5DB88409">
      <w:pPr>
        <w:spacing w:line="560" w:lineRule="exact"/>
        <w:ind w:firstLine="480" w:firstLineChars="200"/>
        <w:rPr>
          <w:rFonts w:cs="Courier New"/>
          <w:sz w:val="24"/>
          <w:szCs w:val="24"/>
          <w:highlight w:val="none"/>
        </w:rPr>
      </w:pPr>
      <w:r>
        <w:rPr>
          <w:rFonts w:hint="eastAsia" w:cs="Courier New"/>
          <w:sz w:val="24"/>
          <w:szCs w:val="24"/>
          <w:highlight w:val="none"/>
        </w:rPr>
        <w:t>投标人须组建专业的技术服务团队，人员配置满足本次采购需求，其中包含项目组负责人</w:t>
      </w:r>
      <w:r>
        <w:rPr>
          <w:rFonts w:cs="Courier New"/>
          <w:sz w:val="24"/>
          <w:szCs w:val="24"/>
          <w:highlight w:val="none"/>
          <w:u w:val="single"/>
        </w:rPr>
        <w:t xml:space="preserve">  1  </w:t>
      </w:r>
      <w:r>
        <w:rPr>
          <w:rFonts w:hint="eastAsia" w:cs="Courier New"/>
          <w:sz w:val="24"/>
          <w:szCs w:val="24"/>
          <w:highlight w:val="none"/>
        </w:rPr>
        <w:t>名，项目组其他成员不少于</w:t>
      </w:r>
      <w:r>
        <w:rPr>
          <w:rFonts w:hint="eastAsia" w:cs="Courier New"/>
          <w:sz w:val="24"/>
          <w:szCs w:val="24"/>
          <w:highlight w:val="none"/>
          <w:u w:val="single"/>
        </w:rPr>
        <w:t xml:space="preserve">  </w:t>
      </w:r>
      <w:r>
        <w:rPr>
          <w:rFonts w:cs="Courier New"/>
          <w:sz w:val="24"/>
          <w:szCs w:val="24"/>
          <w:highlight w:val="none"/>
          <w:u w:val="single"/>
        </w:rPr>
        <w:t xml:space="preserve">2  </w:t>
      </w:r>
      <w:r>
        <w:rPr>
          <w:rFonts w:hint="eastAsia" w:cs="Courier New"/>
          <w:sz w:val="24"/>
          <w:szCs w:val="24"/>
          <w:highlight w:val="none"/>
        </w:rPr>
        <w:t>名。</w:t>
      </w:r>
    </w:p>
    <w:p w14:paraId="3DEDCA29">
      <w:pPr>
        <w:spacing w:line="560" w:lineRule="exact"/>
        <w:ind w:firstLine="480" w:firstLineChars="200"/>
        <w:rPr>
          <w:rFonts w:cs="Courier New"/>
          <w:sz w:val="24"/>
          <w:szCs w:val="24"/>
          <w:highlight w:val="none"/>
        </w:rPr>
      </w:pPr>
      <w:r>
        <w:rPr>
          <w:rFonts w:hint="eastAsia" w:cs="Courier New"/>
          <w:sz w:val="24"/>
          <w:szCs w:val="24"/>
          <w:highlight w:val="none"/>
        </w:rPr>
        <w:t>1.9项目实施要求</w:t>
      </w:r>
    </w:p>
    <w:p w14:paraId="2D7EB8E0">
      <w:pPr>
        <w:spacing w:line="560" w:lineRule="exact"/>
        <w:ind w:firstLine="480" w:firstLineChars="200"/>
        <w:rPr>
          <w:rFonts w:cs="Courier New"/>
          <w:sz w:val="24"/>
          <w:szCs w:val="24"/>
          <w:highlight w:val="none"/>
        </w:rPr>
      </w:pPr>
      <w:r>
        <w:rPr>
          <w:rFonts w:hint="eastAsia" w:cs="Courier New"/>
          <w:sz w:val="24"/>
          <w:szCs w:val="24"/>
          <w:highlight w:val="none"/>
        </w:rPr>
        <w:t>1.9.1项目实施方案</w:t>
      </w:r>
    </w:p>
    <w:p w14:paraId="25CB499D">
      <w:pPr>
        <w:spacing w:line="560" w:lineRule="exact"/>
        <w:ind w:firstLine="480" w:firstLineChars="200"/>
        <w:rPr>
          <w:rFonts w:cs="Courier New"/>
          <w:sz w:val="24"/>
          <w:szCs w:val="24"/>
          <w:highlight w:val="none"/>
        </w:rPr>
      </w:pPr>
      <w:r>
        <w:rPr>
          <w:rFonts w:hint="eastAsia" w:cs="Courier New"/>
          <w:sz w:val="24"/>
          <w:szCs w:val="24"/>
          <w:highlight w:val="none"/>
        </w:rPr>
        <w:t>针对本项目提供项目实施方案，包括但不限于项目实施方案、供货期管理、完整性要求、风险预防及控制措施突发事件处置方案。</w:t>
      </w:r>
    </w:p>
    <w:p w14:paraId="1700BB0F">
      <w:pPr>
        <w:spacing w:line="560" w:lineRule="exact"/>
        <w:ind w:firstLine="480" w:firstLineChars="200"/>
        <w:rPr>
          <w:rFonts w:cs="Courier New"/>
          <w:sz w:val="24"/>
          <w:szCs w:val="24"/>
          <w:highlight w:val="none"/>
        </w:rPr>
      </w:pPr>
      <w:r>
        <w:rPr>
          <w:rFonts w:hint="eastAsia" w:cs="Courier New"/>
          <w:sz w:val="24"/>
          <w:szCs w:val="24"/>
          <w:highlight w:val="none"/>
        </w:rPr>
        <w:t>1.9.2培训方案</w:t>
      </w:r>
    </w:p>
    <w:p w14:paraId="40AFAFF9">
      <w:pPr>
        <w:spacing w:line="560" w:lineRule="exact"/>
        <w:ind w:firstLine="480" w:firstLineChars="200"/>
        <w:rPr>
          <w:rFonts w:cs="Courier New"/>
          <w:sz w:val="24"/>
          <w:szCs w:val="24"/>
          <w:highlight w:val="none"/>
        </w:rPr>
      </w:pPr>
      <w:r>
        <w:rPr>
          <w:rFonts w:hint="eastAsia" w:cs="Courier New"/>
          <w:sz w:val="24"/>
          <w:szCs w:val="24"/>
          <w:highlight w:val="none"/>
        </w:rPr>
        <w:t>投标人针对本项目提供培训方案，包括但不限于完整、可靠、操作性强的培训方案、培训内容、培训时间、培训地点、培训目标、培训人数、培训方法和培训师资等。</w:t>
      </w:r>
    </w:p>
    <w:p w14:paraId="0C5B06B9">
      <w:pPr>
        <w:spacing w:line="560" w:lineRule="exact"/>
        <w:ind w:firstLine="480" w:firstLineChars="200"/>
        <w:rPr>
          <w:rFonts w:cs="Courier New"/>
          <w:sz w:val="24"/>
          <w:szCs w:val="24"/>
          <w:highlight w:val="none"/>
        </w:rPr>
      </w:pPr>
      <w:r>
        <w:rPr>
          <w:rFonts w:hint="eastAsia" w:cs="Courier New"/>
          <w:sz w:val="24"/>
          <w:szCs w:val="24"/>
          <w:highlight w:val="none"/>
        </w:rPr>
        <w:t>1.9.3质量保障措施</w:t>
      </w:r>
    </w:p>
    <w:p w14:paraId="082A62B0">
      <w:pPr>
        <w:spacing w:line="560" w:lineRule="exact"/>
        <w:ind w:firstLine="480" w:firstLineChars="200"/>
        <w:rPr>
          <w:rFonts w:cs="Courier New"/>
          <w:sz w:val="24"/>
          <w:szCs w:val="24"/>
          <w:highlight w:val="none"/>
        </w:rPr>
      </w:pPr>
      <w:r>
        <w:rPr>
          <w:rFonts w:hint="eastAsia" w:cs="Courier New"/>
          <w:sz w:val="24"/>
          <w:szCs w:val="24"/>
          <w:highlight w:val="none"/>
        </w:rPr>
        <w:t>针对本项目提供质量保障措施，包括但不限于提供所投产品的知名度、市场占有率及质量保障措施。</w:t>
      </w:r>
    </w:p>
    <w:p w14:paraId="2333AFA1">
      <w:pPr>
        <w:spacing w:line="560" w:lineRule="exact"/>
        <w:ind w:firstLine="480" w:firstLineChars="200"/>
        <w:rPr>
          <w:rFonts w:cs="Courier New"/>
          <w:sz w:val="24"/>
          <w:szCs w:val="24"/>
          <w:highlight w:val="none"/>
        </w:rPr>
      </w:pPr>
      <w:r>
        <w:rPr>
          <w:rFonts w:hint="eastAsia" w:cs="Courier New"/>
          <w:sz w:val="24"/>
          <w:szCs w:val="24"/>
          <w:highlight w:val="none"/>
        </w:rPr>
        <w:t>1.9.4人员配备</w:t>
      </w:r>
    </w:p>
    <w:p w14:paraId="72CB1CD4">
      <w:pPr>
        <w:spacing w:line="560" w:lineRule="exact"/>
        <w:ind w:firstLine="480" w:firstLineChars="200"/>
        <w:rPr>
          <w:rFonts w:cs="Courier New"/>
          <w:sz w:val="24"/>
          <w:szCs w:val="24"/>
          <w:highlight w:val="none"/>
        </w:rPr>
      </w:pPr>
      <w:r>
        <w:rPr>
          <w:rFonts w:hint="eastAsia" w:cs="Courier New"/>
          <w:sz w:val="24"/>
          <w:szCs w:val="24"/>
          <w:highlight w:val="none"/>
        </w:rPr>
        <w:t>针对本项目提供人员配备，包括但不限于拟投入本项目人员管理及人员配备情况和使用计划（含人员安排、管理机构健全程度、服务人员素质等内容）。</w:t>
      </w:r>
    </w:p>
    <w:p w14:paraId="336F1EC3">
      <w:pPr>
        <w:spacing w:line="560" w:lineRule="exact"/>
        <w:ind w:firstLine="480" w:firstLineChars="200"/>
        <w:rPr>
          <w:rFonts w:cs="Courier New"/>
          <w:sz w:val="24"/>
          <w:szCs w:val="24"/>
          <w:highlight w:val="none"/>
        </w:rPr>
      </w:pPr>
      <w:r>
        <w:rPr>
          <w:rFonts w:hint="eastAsia" w:cs="Courier New"/>
          <w:sz w:val="24"/>
          <w:szCs w:val="24"/>
          <w:highlight w:val="none"/>
        </w:rPr>
        <w:t>1.9.5售后服务</w:t>
      </w:r>
    </w:p>
    <w:p w14:paraId="6E84219C">
      <w:pPr>
        <w:spacing w:line="560" w:lineRule="exact"/>
        <w:ind w:firstLine="480" w:firstLineChars="200"/>
        <w:rPr>
          <w:rFonts w:cs="Courier New"/>
          <w:sz w:val="24"/>
          <w:szCs w:val="24"/>
          <w:highlight w:val="none"/>
        </w:rPr>
      </w:pPr>
      <w:r>
        <w:rPr>
          <w:rFonts w:hint="eastAsia" w:cs="Courier New"/>
          <w:sz w:val="24"/>
          <w:szCs w:val="24"/>
          <w:highlight w:val="none"/>
        </w:rPr>
        <w:t>针对本项目提供售后服务，包括但不限于响应时间、上门时间、服务人员的技术水平和应急处理方案等。</w:t>
      </w:r>
    </w:p>
    <w:p w14:paraId="009F5612">
      <w:pPr>
        <w:spacing w:line="560" w:lineRule="exact"/>
        <w:rPr>
          <w:rFonts w:cs="Courier New"/>
          <w:b/>
          <w:sz w:val="24"/>
          <w:szCs w:val="24"/>
          <w:highlight w:val="none"/>
        </w:rPr>
      </w:pPr>
      <w:r>
        <w:rPr>
          <w:rFonts w:cs="Courier New"/>
          <w:b/>
          <w:sz w:val="24"/>
          <w:szCs w:val="24"/>
          <w:highlight w:val="none"/>
        </w:rPr>
        <w:t>二、合同金额</w:t>
      </w:r>
    </w:p>
    <w:p w14:paraId="6347370D">
      <w:pPr>
        <w:spacing w:line="560" w:lineRule="exact"/>
        <w:ind w:left="210" w:leftChars="100" w:firstLine="240" w:firstLineChars="100"/>
        <w:rPr>
          <w:rFonts w:cs="Courier New"/>
          <w:sz w:val="24"/>
          <w:szCs w:val="24"/>
          <w:highlight w:val="none"/>
        </w:rPr>
      </w:pPr>
      <w:r>
        <w:rPr>
          <w:rFonts w:cs="Courier New"/>
          <w:sz w:val="24"/>
          <w:szCs w:val="24"/>
          <w:highlight w:val="none"/>
        </w:rPr>
        <w:t xml:space="preserve">2.1 </w:t>
      </w:r>
      <w:r>
        <w:rPr>
          <w:rFonts w:hint="eastAsia" w:cs="Courier New"/>
          <w:sz w:val="24"/>
          <w:szCs w:val="24"/>
          <w:highlight w:val="none"/>
        </w:rPr>
        <w:t>本合同金额为：人民币</w:t>
      </w:r>
      <w:r>
        <w:rPr>
          <w:rFonts w:hint="eastAsia" w:cs="Courier New"/>
          <w:sz w:val="24"/>
          <w:szCs w:val="24"/>
          <w:highlight w:val="none"/>
          <w:u w:val="single"/>
        </w:rPr>
        <w:t xml:space="preserve">          </w:t>
      </w:r>
      <w:r>
        <w:rPr>
          <w:rFonts w:hint="eastAsia" w:cs="Courier New"/>
          <w:sz w:val="24"/>
          <w:szCs w:val="24"/>
          <w:highlight w:val="none"/>
        </w:rPr>
        <w:t>元整（</w:t>
      </w:r>
      <w:r>
        <w:rPr>
          <w:rFonts w:cs="Courier New"/>
          <w:sz w:val="24"/>
          <w:szCs w:val="24"/>
          <w:highlight w:val="none"/>
        </w:rPr>
        <w:t>¥</w:t>
      </w:r>
      <w:r>
        <w:rPr>
          <w:rFonts w:hint="eastAsia" w:cs="Courier New"/>
          <w:sz w:val="24"/>
          <w:szCs w:val="24"/>
          <w:highlight w:val="none"/>
        </w:rPr>
        <w:t>：</w:t>
      </w:r>
      <w:r>
        <w:rPr>
          <w:rFonts w:hint="eastAsia" w:cs="Courier New"/>
          <w:sz w:val="24"/>
          <w:szCs w:val="24"/>
          <w:highlight w:val="none"/>
          <w:u w:val="single"/>
        </w:rPr>
        <w:t xml:space="preserve">       </w:t>
      </w:r>
      <w:r>
        <w:rPr>
          <w:rFonts w:hint="eastAsia" w:cs="Courier New"/>
          <w:sz w:val="24"/>
          <w:szCs w:val="24"/>
          <w:highlight w:val="none"/>
        </w:rPr>
        <w:t>）人民币或其他币种。</w:t>
      </w:r>
    </w:p>
    <w:tbl>
      <w:tblPr>
        <w:tblStyle w:val="33"/>
        <w:tblW w:w="91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7"/>
        <w:gridCol w:w="1027"/>
        <w:gridCol w:w="957"/>
        <w:gridCol w:w="1403"/>
        <w:gridCol w:w="1276"/>
        <w:gridCol w:w="1039"/>
        <w:gridCol w:w="1519"/>
        <w:gridCol w:w="1236"/>
      </w:tblGrid>
      <w:tr w14:paraId="51895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8" w:hRule="atLeast"/>
          <w:jc w:val="center"/>
        </w:trPr>
        <w:tc>
          <w:tcPr>
            <w:tcW w:w="737" w:type="dxa"/>
            <w:noWrap w:val="0"/>
            <w:vAlign w:val="top"/>
          </w:tcPr>
          <w:p w14:paraId="70302AD8">
            <w:pPr>
              <w:spacing w:line="0" w:lineRule="atLeast"/>
              <w:jc w:val="center"/>
              <w:rPr>
                <w:rFonts w:ascii="宋体" w:hAnsi="宋体" w:cs="仿宋"/>
                <w:color w:val="000000"/>
                <w:sz w:val="24"/>
                <w:szCs w:val="24"/>
                <w:highlight w:val="none"/>
              </w:rPr>
            </w:pPr>
          </w:p>
          <w:p w14:paraId="16B497FC">
            <w:pPr>
              <w:spacing w:line="0" w:lineRule="atLeast"/>
              <w:jc w:val="center"/>
              <w:rPr>
                <w:rFonts w:ascii="宋体" w:hAnsi="宋体" w:cs="仿宋"/>
                <w:color w:val="000000"/>
                <w:sz w:val="24"/>
                <w:szCs w:val="24"/>
                <w:highlight w:val="none"/>
              </w:rPr>
            </w:pPr>
            <w:r>
              <w:rPr>
                <w:rFonts w:hint="eastAsia" w:ascii="宋体" w:hAnsi="宋体" w:cs="仿宋"/>
                <w:color w:val="000000"/>
                <w:sz w:val="24"/>
                <w:szCs w:val="24"/>
                <w:highlight w:val="none"/>
              </w:rPr>
              <w:t>序号</w:t>
            </w:r>
          </w:p>
        </w:tc>
        <w:tc>
          <w:tcPr>
            <w:tcW w:w="1027" w:type="dxa"/>
            <w:noWrap w:val="0"/>
            <w:vAlign w:val="center"/>
          </w:tcPr>
          <w:p w14:paraId="422C0018">
            <w:pPr>
              <w:spacing w:line="0" w:lineRule="atLeast"/>
              <w:jc w:val="center"/>
              <w:rPr>
                <w:rFonts w:ascii="宋体" w:hAnsi="宋体" w:cs="仿宋"/>
                <w:color w:val="000000"/>
                <w:sz w:val="24"/>
                <w:szCs w:val="24"/>
                <w:highlight w:val="none"/>
              </w:rPr>
            </w:pPr>
            <w:r>
              <w:rPr>
                <w:rFonts w:hint="eastAsia" w:ascii="宋体" w:hAnsi="宋体" w:cs="仿宋"/>
                <w:color w:val="000000"/>
                <w:sz w:val="24"/>
                <w:szCs w:val="24"/>
                <w:highlight w:val="none"/>
              </w:rPr>
              <w:t>产品</w:t>
            </w:r>
          </w:p>
          <w:p w14:paraId="552110ED">
            <w:pPr>
              <w:spacing w:line="0" w:lineRule="atLeast"/>
              <w:jc w:val="center"/>
              <w:rPr>
                <w:rFonts w:ascii="宋体" w:hAnsi="宋体" w:cs="仿宋"/>
                <w:color w:val="000000"/>
                <w:sz w:val="24"/>
                <w:szCs w:val="24"/>
                <w:highlight w:val="none"/>
              </w:rPr>
            </w:pPr>
            <w:r>
              <w:rPr>
                <w:rFonts w:hint="eastAsia" w:ascii="宋体" w:hAnsi="宋体" w:cs="仿宋"/>
                <w:color w:val="000000"/>
                <w:sz w:val="24"/>
                <w:szCs w:val="24"/>
                <w:highlight w:val="none"/>
              </w:rPr>
              <w:t>名称</w:t>
            </w:r>
          </w:p>
        </w:tc>
        <w:tc>
          <w:tcPr>
            <w:tcW w:w="957" w:type="dxa"/>
            <w:noWrap w:val="0"/>
            <w:vAlign w:val="center"/>
          </w:tcPr>
          <w:p w14:paraId="48154AAF">
            <w:pPr>
              <w:spacing w:line="0" w:lineRule="atLeast"/>
              <w:jc w:val="center"/>
              <w:rPr>
                <w:rFonts w:ascii="宋体" w:hAnsi="宋体" w:cs="仿宋"/>
                <w:color w:val="000000"/>
                <w:sz w:val="24"/>
                <w:szCs w:val="24"/>
                <w:highlight w:val="none"/>
              </w:rPr>
            </w:pPr>
            <w:r>
              <w:rPr>
                <w:rFonts w:hint="eastAsia" w:ascii="宋体" w:hAnsi="宋体" w:cs="仿宋"/>
                <w:color w:val="000000"/>
                <w:sz w:val="24"/>
                <w:szCs w:val="24"/>
                <w:highlight w:val="none"/>
              </w:rPr>
              <w:t>品牌</w:t>
            </w:r>
          </w:p>
        </w:tc>
        <w:tc>
          <w:tcPr>
            <w:tcW w:w="1403" w:type="dxa"/>
            <w:noWrap w:val="0"/>
            <w:vAlign w:val="center"/>
          </w:tcPr>
          <w:p w14:paraId="3E1F69FD">
            <w:pPr>
              <w:spacing w:line="0" w:lineRule="atLeast"/>
              <w:jc w:val="center"/>
              <w:rPr>
                <w:rFonts w:ascii="宋体" w:hAnsi="宋体" w:cs="仿宋"/>
                <w:color w:val="000000"/>
                <w:sz w:val="24"/>
                <w:szCs w:val="24"/>
                <w:highlight w:val="none"/>
              </w:rPr>
            </w:pPr>
            <w:r>
              <w:rPr>
                <w:rFonts w:hint="eastAsia" w:ascii="宋体" w:hAnsi="宋体" w:cs="仿宋"/>
                <w:color w:val="000000"/>
                <w:sz w:val="24"/>
                <w:szCs w:val="24"/>
                <w:highlight w:val="none"/>
              </w:rPr>
              <w:t>规格</w:t>
            </w:r>
          </w:p>
          <w:p w14:paraId="4FB735FC">
            <w:pPr>
              <w:spacing w:line="0" w:lineRule="atLeast"/>
              <w:jc w:val="center"/>
              <w:rPr>
                <w:rFonts w:ascii="宋体" w:hAnsi="宋体" w:cs="仿宋"/>
                <w:color w:val="000000"/>
                <w:sz w:val="24"/>
                <w:szCs w:val="24"/>
                <w:highlight w:val="none"/>
              </w:rPr>
            </w:pPr>
            <w:r>
              <w:rPr>
                <w:rFonts w:hint="eastAsia" w:ascii="宋体" w:hAnsi="宋体" w:cs="仿宋"/>
                <w:color w:val="000000"/>
                <w:sz w:val="24"/>
                <w:szCs w:val="24"/>
                <w:highlight w:val="none"/>
              </w:rPr>
              <w:t>型号</w:t>
            </w:r>
          </w:p>
        </w:tc>
        <w:tc>
          <w:tcPr>
            <w:tcW w:w="1276" w:type="dxa"/>
            <w:noWrap w:val="0"/>
            <w:vAlign w:val="center"/>
          </w:tcPr>
          <w:p w14:paraId="0304390E">
            <w:pPr>
              <w:spacing w:line="0" w:lineRule="atLeast"/>
              <w:jc w:val="center"/>
              <w:rPr>
                <w:rFonts w:ascii="宋体" w:hAnsi="宋体" w:cs="仿宋"/>
                <w:color w:val="000000"/>
                <w:sz w:val="24"/>
                <w:szCs w:val="24"/>
                <w:highlight w:val="none"/>
              </w:rPr>
            </w:pPr>
            <w:r>
              <w:rPr>
                <w:rFonts w:hint="eastAsia" w:ascii="宋体" w:hAnsi="宋体" w:cs="仿宋"/>
                <w:color w:val="000000"/>
                <w:sz w:val="24"/>
                <w:szCs w:val="24"/>
                <w:highlight w:val="none"/>
              </w:rPr>
              <w:t xml:space="preserve">产地 </w:t>
            </w:r>
          </w:p>
        </w:tc>
        <w:tc>
          <w:tcPr>
            <w:tcW w:w="1039" w:type="dxa"/>
            <w:noWrap w:val="0"/>
            <w:vAlign w:val="center"/>
          </w:tcPr>
          <w:p w14:paraId="23C4155F">
            <w:pPr>
              <w:spacing w:line="0" w:lineRule="atLeast"/>
              <w:jc w:val="center"/>
              <w:rPr>
                <w:rFonts w:ascii="宋体" w:hAnsi="宋体" w:cs="仿宋"/>
                <w:color w:val="000000"/>
                <w:sz w:val="24"/>
                <w:szCs w:val="24"/>
                <w:highlight w:val="none"/>
              </w:rPr>
            </w:pPr>
            <w:r>
              <w:rPr>
                <w:rFonts w:hint="eastAsia" w:ascii="宋体" w:hAnsi="宋体" w:cs="仿宋"/>
                <w:color w:val="000000"/>
                <w:sz w:val="24"/>
                <w:szCs w:val="24"/>
                <w:highlight w:val="none"/>
              </w:rPr>
              <w:t>数量</w:t>
            </w:r>
          </w:p>
        </w:tc>
        <w:tc>
          <w:tcPr>
            <w:tcW w:w="1516" w:type="dxa"/>
            <w:noWrap w:val="0"/>
            <w:vAlign w:val="center"/>
          </w:tcPr>
          <w:p w14:paraId="0F6B0775">
            <w:pPr>
              <w:spacing w:line="0" w:lineRule="atLeast"/>
              <w:jc w:val="center"/>
              <w:rPr>
                <w:rFonts w:ascii="宋体" w:hAnsi="宋体" w:cs="仿宋"/>
                <w:color w:val="000000"/>
                <w:sz w:val="24"/>
                <w:szCs w:val="24"/>
                <w:highlight w:val="none"/>
              </w:rPr>
            </w:pPr>
            <w:r>
              <w:rPr>
                <w:rFonts w:hint="eastAsia" w:ascii="宋体" w:hAnsi="宋体" w:cs="仿宋"/>
                <w:color w:val="000000"/>
                <w:sz w:val="24"/>
                <w:szCs w:val="24"/>
                <w:highlight w:val="none"/>
              </w:rPr>
              <w:t>分项单价</w:t>
            </w:r>
          </w:p>
        </w:tc>
        <w:tc>
          <w:tcPr>
            <w:tcW w:w="1236" w:type="dxa"/>
            <w:noWrap w:val="0"/>
            <w:vAlign w:val="center"/>
          </w:tcPr>
          <w:p w14:paraId="68AAF0D5">
            <w:pPr>
              <w:spacing w:line="0" w:lineRule="atLeast"/>
              <w:jc w:val="center"/>
              <w:rPr>
                <w:rFonts w:ascii="宋体" w:hAnsi="宋体" w:cs="仿宋"/>
                <w:color w:val="000000"/>
                <w:sz w:val="24"/>
                <w:szCs w:val="24"/>
                <w:highlight w:val="none"/>
              </w:rPr>
            </w:pPr>
            <w:r>
              <w:rPr>
                <w:rFonts w:hint="eastAsia" w:ascii="宋体" w:hAnsi="宋体" w:cs="仿宋"/>
                <w:color w:val="000000"/>
                <w:sz w:val="24"/>
                <w:szCs w:val="24"/>
                <w:highlight w:val="none"/>
              </w:rPr>
              <w:t>分项总价</w:t>
            </w:r>
          </w:p>
        </w:tc>
      </w:tr>
      <w:tr w14:paraId="03C9E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8" w:hRule="atLeast"/>
          <w:jc w:val="center"/>
        </w:trPr>
        <w:tc>
          <w:tcPr>
            <w:tcW w:w="737" w:type="dxa"/>
            <w:noWrap w:val="0"/>
            <w:vAlign w:val="center"/>
          </w:tcPr>
          <w:p w14:paraId="4F64681A">
            <w:pPr>
              <w:spacing w:line="0" w:lineRule="atLeast"/>
              <w:jc w:val="center"/>
              <w:rPr>
                <w:rFonts w:ascii="宋体" w:hAnsi="宋体" w:cs="仿宋"/>
                <w:color w:val="000000"/>
                <w:sz w:val="24"/>
                <w:szCs w:val="24"/>
                <w:highlight w:val="none"/>
              </w:rPr>
            </w:pPr>
            <w:r>
              <w:rPr>
                <w:rFonts w:hint="eastAsia" w:ascii="宋体" w:hAnsi="宋体" w:cs="仿宋"/>
                <w:color w:val="000000"/>
                <w:sz w:val="24"/>
                <w:szCs w:val="24"/>
                <w:highlight w:val="none"/>
              </w:rPr>
              <w:t>1</w:t>
            </w:r>
          </w:p>
        </w:tc>
        <w:tc>
          <w:tcPr>
            <w:tcW w:w="1027" w:type="dxa"/>
            <w:noWrap w:val="0"/>
            <w:vAlign w:val="center"/>
          </w:tcPr>
          <w:p w14:paraId="048EBC34">
            <w:pPr>
              <w:spacing w:line="0" w:lineRule="atLeast"/>
              <w:jc w:val="center"/>
              <w:rPr>
                <w:rFonts w:ascii="宋体" w:hAnsi="宋体" w:cs="仿宋"/>
                <w:color w:val="000000"/>
                <w:sz w:val="24"/>
                <w:szCs w:val="24"/>
                <w:highlight w:val="none"/>
              </w:rPr>
            </w:pPr>
          </w:p>
        </w:tc>
        <w:tc>
          <w:tcPr>
            <w:tcW w:w="957" w:type="dxa"/>
            <w:noWrap w:val="0"/>
            <w:vAlign w:val="center"/>
          </w:tcPr>
          <w:p w14:paraId="76687F4F">
            <w:pPr>
              <w:spacing w:line="0" w:lineRule="atLeast"/>
              <w:jc w:val="center"/>
              <w:rPr>
                <w:rFonts w:ascii="宋体" w:hAnsi="宋体" w:cs="仿宋"/>
                <w:color w:val="000000"/>
                <w:sz w:val="24"/>
                <w:szCs w:val="24"/>
                <w:highlight w:val="none"/>
              </w:rPr>
            </w:pPr>
          </w:p>
        </w:tc>
        <w:tc>
          <w:tcPr>
            <w:tcW w:w="1403" w:type="dxa"/>
            <w:noWrap w:val="0"/>
            <w:vAlign w:val="center"/>
          </w:tcPr>
          <w:p w14:paraId="7EB4FB1C">
            <w:pPr>
              <w:spacing w:line="0" w:lineRule="atLeast"/>
              <w:jc w:val="center"/>
              <w:rPr>
                <w:rFonts w:ascii="宋体" w:hAnsi="宋体" w:cs="仿宋"/>
                <w:color w:val="000000"/>
                <w:sz w:val="24"/>
                <w:szCs w:val="24"/>
                <w:highlight w:val="none"/>
              </w:rPr>
            </w:pPr>
          </w:p>
        </w:tc>
        <w:tc>
          <w:tcPr>
            <w:tcW w:w="1276" w:type="dxa"/>
            <w:noWrap w:val="0"/>
            <w:vAlign w:val="center"/>
          </w:tcPr>
          <w:p w14:paraId="3C6FC5C7">
            <w:pPr>
              <w:spacing w:line="0" w:lineRule="atLeast"/>
              <w:rPr>
                <w:rFonts w:hint="eastAsia" w:ascii="宋体" w:hAnsi="宋体" w:cs="仿宋"/>
                <w:color w:val="000000"/>
                <w:sz w:val="24"/>
                <w:szCs w:val="24"/>
                <w:highlight w:val="none"/>
              </w:rPr>
            </w:pPr>
          </w:p>
        </w:tc>
        <w:tc>
          <w:tcPr>
            <w:tcW w:w="1039" w:type="dxa"/>
            <w:noWrap w:val="0"/>
            <w:vAlign w:val="center"/>
          </w:tcPr>
          <w:p w14:paraId="01B3F859">
            <w:pPr>
              <w:spacing w:line="0" w:lineRule="atLeast"/>
              <w:jc w:val="center"/>
              <w:rPr>
                <w:rFonts w:ascii="宋体" w:hAnsi="宋体" w:cs="仿宋"/>
                <w:color w:val="000000"/>
                <w:sz w:val="24"/>
                <w:szCs w:val="24"/>
                <w:highlight w:val="none"/>
              </w:rPr>
            </w:pPr>
          </w:p>
        </w:tc>
        <w:tc>
          <w:tcPr>
            <w:tcW w:w="1516" w:type="dxa"/>
            <w:noWrap w:val="0"/>
            <w:vAlign w:val="center"/>
          </w:tcPr>
          <w:p w14:paraId="65B20771">
            <w:pPr>
              <w:spacing w:line="0" w:lineRule="atLeast"/>
              <w:jc w:val="center"/>
              <w:rPr>
                <w:rFonts w:ascii="宋体" w:hAnsi="宋体" w:cs="仿宋"/>
                <w:color w:val="000000"/>
                <w:sz w:val="24"/>
                <w:szCs w:val="24"/>
                <w:highlight w:val="none"/>
              </w:rPr>
            </w:pPr>
          </w:p>
        </w:tc>
        <w:tc>
          <w:tcPr>
            <w:tcW w:w="1236" w:type="dxa"/>
            <w:noWrap w:val="0"/>
            <w:vAlign w:val="center"/>
          </w:tcPr>
          <w:p w14:paraId="0E70B879">
            <w:pPr>
              <w:spacing w:line="0" w:lineRule="atLeast"/>
              <w:jc w:val="center"/>
              <w:rPr>
                <w:rFonts w:ascii="宋体" w:hAnsi="宋体" w:cs="仿宋"/>
                <w:color w:val="000000"/>
                <w:sz w:val="24"/>
                <w:szCs w:val="24"/>
                <w:highlight w:val="none"/>
              </w:rPr>
            </w:pPr>
          </w:p>
        </w:tc>
      </w:tr>
      <w:tr w14:paraId="4F61B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4" w:hRule="atLeast"/>
          <w:jc w:val="center"/>
        </w:trPr>
        <w:tc>
          <w:tcPr>
            <w:tcW w:w="737" w:type="dxa"/>
            <w:noWrap w:val="0"/>
            <w:vAlign w:val="center"/>
          </w:tcPr>
          <w:p w14:paraId="77BC9EAB">
            <w:pPr>
              <w:spacing w:line="0" w:lineRule="atLeast"/>
              <w:jc w:val="center"/>
              <w:rPr>
                <w:rFonts w:ascii="宋体" w:hAnsi="宋体" w:cs="仿宋"/>
                <w:color w:val="000000"/>
                <w:sz w:val="24"/>
                <w:szCs w:val="24"/>
                <w:highlight w:val="none"/>
              </w:rPr>
            </w:pPr>
            <w:r>
              <w:rPr>
                <w:rFonts w:hint="eastAsia" w:ascii="宋体" w:hAnsi="宋体" w:cs="仿宋"/>
                <w:color w:val="000000"/>
                <w:sz w:val="24"/>
                <w:szCs w:val="24"/>
                <w:highlight w:val="none"/>
              </w:rPr>
              <w:t>2</w:t>
            </w:r>
          </w:p>
        </w:tc>
        <w:tc>
          <w:tcPr>
            <w:tcW w:w="1027" w:type="dxa"/>
            <w:noWrap w:val="0"/>
            <w:vAlign w:val="center"/>
          </w:tcPr>
          <w:p w14:paraId="00316B4F">
            <w:pPr>
              <w:spacing w:line="0" w:lineRule="atLeast"/>
              <w:rPr>
                <w:rFonts w:ascii="宋体" w:hAnsi="宋体" w:cs="仿宋"/>
                <w:color w:val="000000"/>
                <w:sz w:val="24"/>
                <w:szCs w:val="24"/>
                <w:highlight w:val="none"/>
              </w:rPr>
            </w:pPr>
          </w:p>
        </w:tc>
        <w:tc>
          <w:tcPr>
            <w:tcW w:w="957" w:type="dxa"/>
            <w:noWrap w:val="0"/>
            <w:vAlign w:val="center"/>
          </w:tcPr>
          <w:p w14:paraId="26491971">
            <w:pPr>
              <w:spacing w:line="0" w:lineRule="atLeast"/>
              <w:rPr>
                <w:rFonts w:ascii="宋体" w:hAnsi="宋体" w:cs="仿宋"/>
                <w:color w:val="000000"/>
                <w:sz w:val="24"/>
                <w:szCs w:val="24"/>
                <w:highlight w:val="none"/>
              </w:rPr>
            </w:pPr>
          </w:p>
        </w:tc>
        <w:tc>
          <w:tcPr>
            <w:tcW w:w="1403" w:type="dxa"/>
            <w:noWrap w:val="0"/>
            <w:vAlign w:val="center"/>
          </w:tcPr>
          <w:p w14:paraId="0D9A7312">
            <w:pPr>
              <w:spacing w:line="0" w:lineRule="atLeast"/>
              <w:rPr>
                <w:rFonts w:ascii="宋体" w:hAnsi="宋体" w:cs="仿宋"/>
                <w:color w:val="000000"/>
                <w:sz w:val="24"/>
                <w:szCs w:val="24"/>
                <w:highlight w:val="none"/>
              </w:rPr>
            </w:pPr>
          </w:p>
        </w:tc>
        <w:tc>
          <w:tcPr>
            <w:tcW w:w="1276" w:type="dxa"/>
            <w:noWrap w:val="0"/>
            <w:vAlign w:val="center"/>
          </w:tcPr>
          <w:p w14:paraId="543EA65A">
            <w:pPr>
              <w:spacing w:line="0" w:lineRule="atLeast"/>
              <w:rPr>
                <w:rFonts w:ascii="宋体" w:hAnsi="宋体" w:cs="仿宋"/>
                <w:color w:val="000000"/>
                <w:sz w:val="24"/>
                <w:szCs w:val="24"/>
                <w:highlight w:val="none"/>
              </w:rPr>
            </w:pPr>
          </w:p>
        </w:tc>
        <w:tc>
          <w:tcPr>
            <w:tcW w:w="1039" w:type="dxa"/>
            <w:noWrap w:val="0"/>
            <w:vAlign w:val="center"/>
          </w:tcPr>
          <w:p w14:paraId="16C7B0CC">
            <w:pPr>
              <w:spacing w:line="0" w:lineRule="atLeast"/>
              <w:rPr>
                <w:rFonts w:ascii="宋体" w:hAnsi="宋体" w:cs="仿宋"/>
                <w:color w:val="000000"/>
                <w:sz w:val="24"/>
                <w:szCs w:val="24"/>
                <w:highlight w:val="none"/>
              </w:rPr>
            </w:pPr>
          </w:p>
        </w:tc>
        <w:tc>
          <w:tcPr>
            <w:tcW w:w="1516" w:type="dxa"/>
            <w:noWrap w:val="0"/>
            <w:vAlign w:val="center"/>
          </w:tcPr>
          <w:p w14:paraId="7F56D663">
            <w:pPr>
              <w:spacing w:line="0" w:lineRule="atLeast"/>
              <w:rPr>
                <w:rFonts w:ascii="宋体" w:hAnsi="宋体" w:cs="仿宋"/>
                <w:color w:val="000000"/>
                <w:sz w:val="24"/>
                <w:szCs w:val="24"/>
                <w:highlight w:val="none"/>
              </w:rPr>
            </w:pPr>
          </w:p>
        </w:tc>
        <w:tc>
          <w:tcPr>
            <w:tcW w:w="1236" w:type="dxa"/>
            <w:noWrap w:val="0"/>
            <w:vAlign w:val="center"/>
          </w:tcPr>
          <w:p w14:paraId="7095FC99">
            <w:pPr>
              <w:spacing w:line="0" w:lineRule="atLeast"/>
              <w:rPr>
                <w:rFonts w:ascii="宋体" w:hAnsi="宋体" w:cs="仿宋"/>
                <w:color w:val="000000"/>
                <w:sz w:val="24"/>
                <w:szCs w:val="24"/>
                <w:highlight w:val="none"/>
              </w:rPr>
            </w:pPr>
          </w:p>
        </w:tc>
      </w:tr>
      <w:tr w14:paraId="08738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42" w:hRule="atLeast"/>
          <w:jc w:val="center"/>
        </w:trPr>
        <w:tc>
          <w:tcPr>
            <w:tcW w:w="737" w:type="dxa"/>
            <w:noWrap w:val="0"/>
            <w:vAlign w:val="center"/>
          </w:tcPr>
          <w:p w14:paraId="76557D6B">
            <w:pPr>
              <w:spacing w:line="0" w:lineRule="atLeast"/>
              <w:jc w:val="center"/>
              <w:rPr>
                <w:rFonts w:ascii="宋体" w:hAnsi="宋体" w:cs="仿宋"/>
                <w:color w:val="000000"/>
                <w:sz w:val="24"/>
                <w:szCs w:val="24"/>
                <w:highlight w:val="none"/>
              </w:rPr>
            </w:pPr>
            <w:r>
              <w:rPr>
                <w:rFonts w:hint="eastAsia" w:ascii="宋体" w:hAnsi="宋体" w:cs="仿宋"/>
                <w:color w:val="000000"/>
                <w:sz w:val="24"/>
                <w:szCs w:val="24"/>
                <w:highlight w:val="none"/>
              </w:rPr>
              <w:t>3</w:t>
            </w:r>
          </w:p>
        </w:tc>
        <w:tc>
          <w:tcPr>
            <w:tcW w:w="1027" w:type="dxa"/>
            <w:noWrap w:val="0"/>
            <w:vAlign w:val="center"/>
          </w:tcPr>
          <w:p w14:paraId="3C394D8C">
            <w:pPr>
              <w:spacing w:line="0" w:lineRule="atLeast"/>
              <w:rPr>
                <w:rFonts w:ascii="宋体" w:hAnsi="宋体" w:cs="仿宋"/>
                <w:color w:val="000000"/>
                <w:sz w:val="24"/>
                <w:szCs w:val="24"/>
                <w:highlight w:val="none"/>
              </w:rPr>
            </w:pPr>
          </w:p>
        </w:tc>
        <w:tc>
          <w:tcPr>
            <w:tcW w:w="957" w:type="dxa"/>
            <w:noWrap w:val="0"/>
            <w:vAlign w:val="center"/>
          </w:tcPr>
          <w:p w14:paraId="1198E4F7">
            <w:pPr>
              <w:spacing w:line="0" w:lineRule="atLeast"/>
              <w:rPr>
                <w:rFonts w:ascii="宋体" w:hAnsi="宋体" w:cs="仿宋"/>
                <w:color w:val="000000"/>
                <w:sz w:val="24"/>
                <w:szCs w:val="24"/>
                <w:highlight w:val="none"/>
              </w:rPr>
            </w:pPr>
          </w:p>
        </w:tc>
        <w:tc>
          <w:tcPr>
            <w:tcW w:w="1403" w:type="dxa"/>
            <w:noWrap w:val="0"/>
            <w:vAlign w:val="center"/>
          </w:tcPr>
          <w:p w14:paraId="728A3F77">
            <w:pPr>
              <w:spacing w:line="0" w:lineRule="atLeast"/>
              <w:rPr>
                <w:rFonts w:ascii="宋体" w:hAnsi="宋体" w:cs="仿宋"/>
                <w:color w:val="000000"/>
                <w:sz w:val="24"/>
                <w:szCs w:val="24"/>
                <w:highlight w:val="none"/>
              </w:rPr>
            </w:pPr>
          </w:p>
        </w:tc>
        <w:tc>
          <w:tcPr>
            <w:tcW w:w="1276" w:type="dxa"/>
            <w:noWrap w:val="0"/>
            <w:vAlign w:val="center"/>
          </w:tcPr>
          <w:p w14:paraId="0BC23802">
            <w:pPr>
              <w:spacing w:line="0" w:lineRule="atLeast"/>
              <w:rPr>
                <w:rFonts w:ascii="宋体" w:hAnsi="宋体" w:cs="仿宋"/>
                <w:color w:val="000000"/>
                <w:sz w:val="24"/>
                <w:szCs w:val="24"/>
                <w:highlight w:val="none"/>
              </w:rPr>
            </w:pPr>
          </w:p>
        </w:tc>
        <w:tc>
          <w:tcPr>
            <w:tcW w:w="1039" w:type="dxa"/>
            <w:noWrap w:val="0"/>
            <w:vAlign w:val="center"/>
          </w:tcPr>
          <w:p w14:paraId="0E15E13A">
            <w:pPr>
              <w:spacing w:line="0" w:lineRule="atLeast"/>
              <w:rPr>
                <w:rFonts w:ascii="宋体" w:hAnsi="宋体" w:cs="仿宋"/>
                <w:color w:val="000000"/>
                <w:sz w:val="24"/>
                <w:szCs w:val="24"/>
                <w:highlight w:val="none"/>
              </w:rPr>
            </w:pPr>
          </w:p>
        </w:tc>
        <w:tc>
          <w:tcPr>
            <w:tcW w:w="1516" w:type="dxa"/>
            <w:noWrap w:val="0"/>
            <w:vAlign w:val="center"/>
          </w:tcPr>
          <w:p w14:paraId="5704E871">
            <w:pPr>
              <w:spacing w:line="0" w:lineRule="atLeast"/>
              <w:rPr>
                <w:rFonts w:ascii="宋体" w:hAnsi="宋体" w:cs="仿宋"/>
                <w:color w:val="000000"/>
                <w:sz w:val="24"/>
                <w:szCs w:val="24"/>
                <w:highlight w:val="none"/>
              </w:rPr>
            </w:pPr>
          </w:p>
        </w:tc>
        <w:tc>
          <w:tcPr>
            <w:tcW w:w="1236" w:type="dxa"/>
            <w:noWrap w:val="0"/>
            <w:vAlign w:val="center"/>
          </w:tcPr>
          <w:p w14:paraId="5F9B22E0">
            <w:pPr>
              <w:spacing w:line="0" w:lineRule="atLeast"/>
              <w:rPr>
                <w:rFonts w:ascii="宋体" w:hAnsi="宋体" w:cs="仿宋"/>
                <w:color w:val="000000"/>
                <w:sz w:val="24"/>
                <w:szCs w:val="24"/>
                <w:highlight w:val="none"/>
              </w:rPr>
            </w:pPr>
          </w:p>
        </w:tc>
      </w:tr>
      <w:tr w14:paraId="22563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7" w:hRule="atLeast"/>
          <w:jc w:val="center"/>
        </w:trPr>
        <w:tc>
          <w:tcPr>
            <w:tcW w:w="737" w:type="dxa"/>
            <w:noWrap w:val="0"/>
            <w:vAlign w:val="center"/>
          </w:tcPr>
          <w:p w14:paraId="3E06ADC8">
            <w:pPr>
              <w:spacing w:line="0" w:lineRule="atLeast"/>
              <w:jc w:val="center"/>
              <w:rPr>
                <w:rFonts w:ascii="宋体" w:hAnsi="宋体" w:cs="仿宋"/>
                <w:color w:val="000000"/>
                <w:sz w:val="24"/>
                <w:szCs w:val="24"/>
                <w:highlight w:val="none"/>
              </w:rPr>
            </w:pPr>
            <w:r>
              <w:rPr>
                <w:rFonts w:hint="eastAsia" w:ascii="宋体" w:hAnsi="宋体" w:cs="仿宋"/>
                <w:color w:val="000000"/>
                <w:sz w:val="24"/>
                <w:szCs w:val="24"/>
                <w:highlight w:val="none"/>
              </w:rPr>
              <w:t>4</w:t>
            </w:r>
          </w:p>
        </w:tc>
        <w:tc>
          <w:tcPr>
            <w:tcW w:w="1027" w:type="dxa"/>
            <w:noWrap w:val="0"/>
            <w:vAlign w:val="center"/>
          </w:tcPr>
          <w:p w14:paraId="68AF3BE9">
            <w:pPr>
              <w:spacing w:line="0" w:lineRule="atLeast"/>
              <w:rPr>
                <w:rFonts w:ascii="宋体" w:hAnsi="宋体" w:cs="仿宋"/>
                <w:color w:val="000000"/>
                <w:sz w:val="24"/>
                <w:szCs w:val="24"/>
                <w:highlight w:val="none"/>
              </w:rPr>
            </w:pPr>
          </w:p>
        </w:tc>
        <w:tc>
          <w:tcPr>
            <w:tcW w:w="957" w:type="dxa"/>
            <w:noWrap w:val="0"/>
            <w:vAlign w:val="center"/>
          </w:tcPr>
          <w:p w14:paraId="388E052B">
            <w:pPr>
              <w:spacing w:line="0" w:lineRule="atLeast"/>
              <w:rPr>
                <w:rFonts w:ascii="宋体" w:hAnsi="宋体" w:cs="仿宋"/>
                <w:color w:val="000000"/>
                <w:sz w:val="24"/>
                <w:szCs w:val="24"/>
                <w:highlight w:val="none"/>
              </w:rPr>
            </w:pPr>
          </w:p>
        </w:tc>
        <w:tc>
          <w:tcPr>
            <w:tcW w:w="1403" w:type="dxa"/>
            <w:noWrap w:val="0"/>
            <w:vAlign w:val="center"/>
          </w:tcPr>
          <w:p w14:paraId="1AF65B59">
            <w:pPr>
              <w:spacing w:line="0" w:lineRule="atLeast"/>
              <w:rPr>
                <w:rFonts w:ascii="宋体" w:hAnsi="宋体" w:cs="仿宋"/>
                <w:color w:val="000000"/>
                <w:sz w:val="24"/>
                <w:szCs w:val="24"/>
                <w:highlight w:val="none"/>
              </w:rPr>
            </w:pPr>
          </w:p>
        </w:tc>
        <w:tc>
          <w:tcPr>
            <w:tcW w:w="1276" w:type="dxa"/>
            <w:noWrap w:val="0"/>
            <w:vAlign w:val="center"/>
          </w:tcPr>
          <w:p w14:paraId="5D58E4A2">
            <w:pPr>
              <w:spacing w:line="0" w:lineRule="atLeast"/>
              <w:rPr>
                <w:rFonts w:ascii="宋体" w:hAnsi="宋体" w:cs="仿宋"/>
                <w:color w:val="000000"/>
                <w:sz w:val="24"/>
                <w:szCs w:val="24"/>
                <w:highlight w:val="none"/>
              </w:rPr>
            </w:pPr>
          </w:p>
        </w:tc>
        <w:tc>
          <w:tcPr>
            <w:tcW w:w="1039" w:type="dxa"/>
            <w:noWrap w:val="0"/>
            <w:vAlign w:val="center"/>
          </w:tcPr>
          <w:p w14:paraId="4DBCC179">
            <w:pPr>
              <w:spacing w:line="0" w:lineRule="atLeast"/>
              <w:rPr>
                <w:rFonts w:ascii="宋体" w:hAnsi="宋体" w:cs="仿宋"/>
                <w:color w:val="000000"/>
                <w:sz w:val="24"/>
                <w:szCs w:val="24"/>
                <w:highlight w:val="none"/>
              </w:rPr>
            </w:pPr>
          </w:p>
        </w:tc>
        <w:tc>
          <w:tcPr>
            <w:tcW w:w="1516" w:type="dxa"/>
            <w:noWrap w:val="0"/>
            <w:vAlign w:val="center"/>
          </w:tcPr>
          <w:p w14:paraId="4A1E6AF7">
            <w:pPr>
              <w:spacing w:line="0" w:lineRule="atLeast"/>
              <w:rPr>
                <w:rFonts w:ascii="宋体" w:hAnsi="宋体" w:cs="仿宋"/>
                <w:color w:val="000000"/>
                <w:sz w:val="24"/>
                <w:szCs w:val="24"/>
                <w:highlight w:val="none"/>
              </w:rPr>
            </w:pPr>
          </w:p>
        </w:tc>
        <w:tc>
          <w:tcPr>
            <w:tcW w:w="1236" w:type="dxa"/>
            <w:noWrap w:val="0"/>
            <w:vAlign w:val="center"/>
          </w:tcPr>
          <w:p w14:paraId="4D68947E">
            <w:pPr>
              <w:spacing w:line="0" w:lineRule="atLeast"/>
              <w:rPr>
                <w:rFonts w:ascii="宋体" w:hAnsi="宋体" w:cs="仿宋"/>
                <w:color w:val="000000"/>
                <w:sz w:val="24"/>
                <w:szCs w:val="24"/>
                <w:highlight w:val="none"/>
              </w:rPr>
            </w:pPr>
          </w:p>
        </w:tc>
      </w:tr>
      <w:tr w14:paraId="5156F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7958" w:type="dxa"/>
            <w:gridSpan w:val="7"/>
            <w:noWrap w:val="0"/>
            <w:vAlign w:val="center"/>
          </w:tcPr>
          <w:p w14:paraId="4B36727E">
            <w:pPr>
              <w:jc w:val="center"/>
              <w:rPr>
                <w:rFonts w:ascii="宋体" w:hAnsi="宋体" w:cs="仿宋"/>
                <w:color w:val="000000"/>
                <w:sz w:val="24"/>
                <w:szCs w:val="24"/>
                <w:highlight w:val="none"/>
              </w:rPr>
            </w:pPr>
            <w:r>
              <w:rPr>
                <w:rFonts w:hint="eastAsia" w:ascii="宋体" w:hAnsi="宋体" w:cs="仿宋"/>
                <w:color w:val="000000"/>
                <w:sz w:val="24"/>
                <w:szCs w:val="24"/>
                <w:highlight w:val="none"/>
              </w:rPr>
              <w:t>合同金额：人民币</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元整（</w:t>
            </w:r>
            <w:r>
              <w:rPr>
                <w:rFonts w:ascii="宋体" w:hAnsi="宋体" w:cs="Calibri"/>
                <w:color w:val="000000"/>
                <w:sz w:val="24"/>
                <w:szCs w:val="24"/>
                <w:highlight w:val="none"/>
              </w:rPr>
              <w:t>¥</w:t>
            </w:r>
            <w:r>
              <w:rPr>
                <w:rFonts w:hint="eastAsia" w:ascii="宋体" w:hAnsi="宋体" w:cs="仿宋"/>
                <w:color w:val="000000"/>
                <w:sz w:val="24"/>
                <w:szCs w:val="24"/>
                <w:highlight w:val="none"/>
              </w:rPr>
              <w:t>：</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   </w:t>
            </w:r>
          </w:p>
        </w:tc>
        <w:tc>
          <w:tcPr>
            <w:tcW w:w="1236" w:type="dxa"/>
            <w:noWrap w:val="0"/>
            <w:vAlign w:val="top"/>
          </w:tcPr>
          <w:p w14:paraId="60EB2F1B">
            <w:pPr>
              <w:rPr>
                <w:rFonts w:ascii="宋体" w:hAnsi="宋体" w:cs="仿宋"/>
                <w:color w:val="000000"/>
                <w:sz w:val="24"/>
                <w:szCs w:val="24"/>
                <w:highlight w:val="none"/>
              </w:rPr>
            </w:pPr>
          </w:p>
        </w:tc>
      </w:tr>
    </w:tbl>
    <w:p w14:paraId="5440E541">
      <w:pPr>
        <w:spacing w:line="560" w:lineRule="exact"/>
        <w:rPr>
          <w:rFonts w:cs="Courier New"/>
          <w:b/>
          <w:sz w:val="24"/>
          <w:szCs w:val="24"/>
          <w:highlight w:val="none"/>
        </w:rPr>
      </w:pPr>
      <w:r>
        <w:rPr>
          <w:rFonts w:cs="Courier New"/>
          <w:sz w:val="24"/>
          <w:szCs w:val="24"/>
          <w:highlight w:val="none"/>
        </w:rPr>
        <w:t>三、</w:t>
      </w:r>
      <w:r>
        <w:rPr>
          <w:rFonts w:cs="Courier New"/>
          <w:b/>
          <w:sz w:val="24"/>
          <w:szCs w:val="24"/>
          <w:highlight w:val="none"/>
        </w:rPr>
        <w:t>技术资料</w:t>
      </w:r>
    </w:p>
    <w:p w14:paraId="7BED438D">
      <w:pPr>
        <w:spacing w:line="560" w:lineRule="exact"/>
        <w:ind w:firstLine="480" w:firstLineChars="200"/>
        <w:rPr>
          <w:rFonts w:cs="Courier New"/>
          <w:sz w:val="24"/>
          <w:szCs w:val="24"/>
          <w:highlight w:val="none"/>
        </w:rPr>
      </w:pPr>
      <w:r>
        <w:rPr>
          <w:rFonts w:cs="Courier New"/>
          <w:sz w:val="24"/>
          <w:szCs w:val="24"/>
          <w:highlight w:val="none"/>
        </w:rPr>
        <w:t>3.1乙方应按招标文件规定的时间向甲方提供使用货物</w:t>
      </w:r>
      <w:r>
        <w:rPr>
          <w:rFonts w:hint="eastAsia" w:cs="Courier New"/>
          <w:sz w:val="24"/>
          <w:szCs w:val="24"/>
          <w:highlight w:val="none"/>
        </w:rPr>
        <w:t>(包含与货物相关的服务)</w:t>
      </w:r>
      <w:r>
        <w:rPr>
          <w:rFonts w:cs="Courier New"/>
          <w:sz w:val="24"/>
          <w:szCs w:val="24"/>
          <w:highlight w:val="none"/>
        </w:rPr>
        <w:t>的有关技术资料。</w:t>
      </w:r>
    </w:p>
    <w:p w14:paraId="2E09E0BC">
      <w:pPr>
        <w:spacing w:line="560" w:lineRule="exact"/>
        <w:ind w:firstLine="480" w:firstLineChars="200"/>
        <w:rPr>
          <w:rFonts w:cs="Courier New"/>
          <w:sz w:val="24"/>
          <w:szCs w:val="24"/>
          <w:highlight w:val="none"/>
        </w:rPr>
      </w:pPr>
      <w:r>
        <w:rPr>
          <w:rFonts w:cs="Courier New"/>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73323AC">
      <w:pPr>
        <w:spacing w:line="560" w:lineRule="exact"/>
        <w:rPr>
          <w:rFonts w:cs="Courier New"/>
          <w:b/>
          <w:sz w:val="24"/>
          <w:szCs w:val="24"/>
          <w:highlight w:val="none"/>
        </w:rPr>
      </w:pPr>
      <w:r>
        <w:rPr>
          <w:rFonts w:cs="Courier New"/>
          <w:b/>
          <w:sz w:val="24"/>
          <w:szCs w:val="24"/>
          <w:highlight w:val="none"/>
        </w:rPr>
        <w:t>四、知识产权</w:t>
      </w:r>
    </w:p>
    <w:p w14:paraId="22023C89">
      <w:pPr>
        <w:spacing w:line="560" w:lineRule="exact"/>
        <w:ind w:firstLine="480" w:firstLineChars="200"/>
        <w:rPr>
          <w:sz w:val="24"/>
          <w:highlight w:val="none"/>
        </w:rPr>
      </w:pPr>
      <w:r>
        <w:rPr>
          <w:sz w:val="24"/>
          <w:szCs w:val="24"/>
          <w:highlight w:val="none"/>
        </w:rPr>
        <w:t>4.1乙</w:t>
      </w:r>
      <w:r>
        <w:rPr>
          <w:rFonts w:hint="eastAsia"/>
          <w:sz w:val="24"/>
          <w:highlight w:val="none"/>
        </w:rPr>
        <w:t>方应保证甲方在使用、接受本合同货物</w:t>
      </w:r>
      <w:r>
        <w:rPr>
          <w:rFonts w:hint="eastAsia"/>
          <w:sz w:val="24"/>
          <w:szCs w:val="24"/>
          <w:highlight w:val="none"/>
        </w:rPr>
        <w:t>（包含与货物相关的服务）</w:t>
      </w:r>
      <w:r>
        <w:rPr>
          <w:rFonts w:hint="eastAsia"/>
          <w:sz w:val="24"/>
          <w:highlight w:val="none"/>
        </w:rPr>
        <w:t>或其任何一部分时不受第三方提出侵犯其专利权、版权、商标权和工业设计权等知识产权的起诉。一旦出现侵权，由乙方负全部责任。</w:t>
      </w:r>
    </w:p>
    <w:p w14:paraId="41B17C06">
      <w:pPr>
        <w:spacing w:line="560" w:lineRule="exact"/>
        <w:rPr>
          <w:rFonts w:cs="Courier New"/>
          <w:sz w:val="24"/>
          <w:szCs w:val="24"/>
          <w:highlight w:val="none"/>
          <w:u w:val="single"/>
        </w:rPr>
      </w:pPr>
      <w:r>
        <w:rPr>
          <w:rFonts w:cs="Courier New"/>
          <w:b/>
          <w:sz w:val="24"/>
          <w:szCs w:val="24"/>
          <w:highlight w:val="none"/>
        </w:rPr>
        <w:t>五、产权担保</w:t>
      </w:r>
    </w:p>
    <w:p w14:paraId="365A5588">
      <w:pPr>
        <w:spacing w:line="560" w:lineRule="exact"/>
        <w:ind w:firstLine="480" w:firstLineChars="200"/>
        <w:rPr>
          <w:rFonts w:cs="Courier New"/>
          <w:sz w:val="24"/>
          <w:szCs w:val="24"/>
          <w:highlight w:val="none"/>
          <w:u w:val="single"/>
        </w:rPr>
      </w:pPr>
      <w:r>
        <w:rPr>
          <w:rFonts w:cs="Courier New"/>
          <w:sz w:val="24"/>
          <w:szCs w:val="24"/>
          <w:highlight w:val="none"/>
        </w:rPr>
        <w:t>5.1 乙方保证所交付的货物</w:t>
      </w:r>
      <w:r>
        <w:rPr>
          <w:rFonts w:hint="eastAsia" w:cs="Courier New"/>
          <w:sz w:val="24"/>
          <w:szCs w:val="24"/>
          <w:highlight w:val="none"/>
        </w:rPr>
        <w:t>（包含与货物相关的服务）</w:t>
      </w:r>
      <w:r>
        <w:rPr>
          <w:rFonts w:cs="Courier New"/>
          <w:sz w:val="24"/>
          <w:szCs w:val="24"/>
          <w:highlight w:val="none"/>
        </w:rPr>
        <w:t>的所有权完全属于乙方且无任何抵押、查封等产权瑕疵。</w:t>
      </w:r>
    </w:p>
    <w:p w14:paraId="3D2ABA8B">
      <w:pPr>
        <w:spacing w:line="560" w:lineRule="exact"/>
        <w:rPr>
          <w:rFonts w:cs="Courier New"/>
          <w:b/>
          <w:sz w:val="24"/>
          <w:szCs w:val="24"/>
          <w:highlight w:val="none"/>
        </w:rPr>
      </w:pPr>
      <w:r>
        <w:rPr>
          <w:rFonts w:cs="Courier New"/>
          <w:b/>
          <w:sz w:val="24"/>
          <w:szCs w:val="24"/>
          <w:highlight w:val="none"/>
        </w:rPr>
        <w:t>六、履约保证金</w:t>
      </w:r>
    </w:p>
    <w:p w14:paraId="21438EA8">
      <w:pPr>
        <w:spacing w:line="560" w:lineRule="exact"/>
        <w:ind w:left="660" w:leftChars="200" w:hanging="240" w:hangingChars="100"/>
        <w:rPr>
          <w:rFonts w:hint="eastAsia"/>
          <w:b/>
          <w:bCs/>
          <w:sz w:val="24"/>
          <w:highlight w:val="none"/>
          <w:lang w:val="zh-CN"/>
        </w:rPr>
      </w:pPr>
      <w:r>
        <w:rPr>
          <w:rFonts w:hint="eastAsia"/>
          <w:b/>
          <w:bCs/>
          <w:sz w:val="24"/>
          <w:highlight w:val="none"/>
          <w:lang w:val="zh-CN"/>
        </w:rPr>
        <w:t>本项目</w:t>
      </w:r>
      <w:r>
        <w:rPr>
          <w:b/>
          <w:bCs/>
          <w:sz w:val="24"/>
          <w:highlight w:val="none"/>
          <w:lang w:val="zh-CN"/>
        </w:rPr>
        <w:t>无须缴纳</w:t>
      </w:r>
      <w:r>
        <w:rPr>
          <w:rFonts w:hint="eastAsia"/>
          <w:b/>
          <w:bCs/>
          <w:sz w:val="24"/>
          <w:highlight w:val="none"/>
          <w:lang w:val="zh-CN"/>
        </w:rPr>
        <w:t>履约保证金。</w:t>
      </w:r>
    </w:p>
    <w:p w14:paraId="7968B83E">
      <w:pPr>
        <w:spacing w:line="560" w:lineRule="exact"/>
        <w:rPr>
          <w:rFonts w:eastAsia="仿宋_GB2312"/>
          <w:b/>
          <w:sz w:val="24"/>
          <w:szCs w:val="24"/>
          <w:highlight w:val="none"/>
        </w:rPr>
      </w:pPr>
      <w:r>
        <w:rPr>
          <w:rFonts w:hint="eastAsia"/>
          <w:b/>
          <w:sz w:val="24"/>
          <w:szCs w:val="24"/>
          <w:highlight w:val="none"/>
        </w:rPr>
        <w:t>七、合同转包或分包</w:t>
      </w:r>
    </w:p>
    <w:p w14:paraId="270862EF">
      <w:pPr>
        <w:spacing w:line="560" w:lineRule="exact"/>
        <w:ind w:firstLine="480" w:firstLineChars="200"/>
        <w:rPr>
          <w:sz w:val="24"/>
          <w:szCs w:val="24"/>
          <w:highlight w:val="none"/>
        </w:rPr>
      </w:pPr>
      <w:r>
        <w:rPr>
          <w:rFonts w:hint="eastAsia"/>
          <w:sz w:val="24"/>
          <w:szCs w:val="24"/>
          <w:highlight w:val="none"/>
        </w:rPr>
        <w:t>7.1乙方不得将合同标的转包给他人履行。</w:t>
      </w:r>
    </w:p>
    <w:p w14:paraId="73A21AA7">
      <w:pPr>
        <w:spacing w:line="560" w:lineRule="exact"/>
        <w:ind w:firstLine="480" w:firstLineChars="200"/>
        <w:rPr>
          <w:sz w:val="24"/>
          <w:szCs w:val="24"/>
          <w:highlight w:val="none"/>
        </w:rPr>
      </w:pPr>
      <w:r>
        <w:rPr>
          <w:rFonts w:hint="eastAsia"/>
          <w:sz w:val="24"/>
          <w:szCs w:val="24"/>
          <w:highlight w:val="none"/>
        </w:rPr>
        <w:t>7.2乙方不得将合同标的分包给他人履行。</w:t>
      </w:r>
    </w:p>
    <w:p w14:paraId="0329CE4A">
      <w:pPr>
        <w:spacing w:line="560" w:lineRule="exact"/>
        <w:ind w:firstLine="480" w:firstLineChars="200"/>
        <w:rPr>
          <w:rFonts w:eastAsia="仿宋_GB2312"/>
          <w:sz w:val="24"/>
          <w:szCs w:val="24"/>
          <w:highlight w:val="none"/>
        </w:rPr>
      </w:pPr>
      <w:r>
        <w:rPr>
          <w:sz w:val="24"/>
          <w:szCs w:val="24"/>
          <w:highlight w:val="none"/>
        </w:rPr>
        <w:t>7.3</w:t>
      </w:r>
      <w:r>
        <w:rPr>
          <w:rFonts w:hint="eastAsia"/>
          <w:sz w:val="24"/>
          <w:szCs w:val="24"/>
          <w:highlight w:val="none"/>
        </w:rPr>
        <w:t>乙方如有转包或未经甲方同意的分包行为，甲方有权给予终止合同。</w:t>
      </w:r>
    </w:p>
    <w:p w14:paraId="20C4A9FF">
      <w:pPr>
        <w:spacing w:line="560" w:lineRule="exact"/>
        <w:rPr>
          <w:rFonts w:cs="Courier New"/>
          <w:b/>
          <w:sz w:val="24"/>
          <w:szCs w:val="24"/>
          <w:highlight w:val="none"/>
        </w:rPr>
      </w:pPr>
      <w:r>
        <w:rPr>
          <w:rFonts w:hint="eastAsia" w:cs="Courier New"/>
          <w:b/>
          <w:sz w:val="24"/>
          <w:szCs w:val="24"/>
          <w:highlight w:val="none"/>
        </w:rPr>
        <w:t>八</w:t>
      </w:r>
      <w:r>
        <w:rPr>
          <w:rFonts w:cs="Courier New"/>
          <w:b/>
          <w:sz w:val="24"/>
          <w:szCs w:val="24"/>
          <w:highlight w:val="none"/>
        </w:rPr>
        <w:t>、</w:t>
      </w:r>
      <w:r>
        <w:rPr>
          <w:rFonts w:hint="eastAsia" w:cs="Courier New"/>
          <w:b/>
          <w:sz w:val="24"/>
          <w:szCs w:val="24"/>
          <w:highlight w:val="none"/>
        </w:rPr>
        <w:t>合同款项</w:t>
      </w:r>
      <w:r>
        <w:rPr>
          <w:rFonts w:cs="Courier New"/>
          <w:b/>
          <w:sz w:val="24"/>
          <w:szCs w:val="24"/>
          <w:highlight w:val="none"/>
        </w:rPr>
        <w:t>支付</w:t>
      </w:r>
    </w:p>
    <w:p w14:paraId="57FA9482">
      <w:pPr>
        <w:spacing w:line="560" w:lineRule="exact"/>
        <w:ind w:firstLine="480" w:firstLineChars="200"/>
        <w:rPr>
          <w:rFonts w:hint="eastAsia" w:ascii="宋体" w:hAnsi="宋体" w:cs="宋体"/>
          <w:b/>
          <w:color w:val="000000"/>
          <w:sz w:val="24"/>
          <w:highlight w:val="none"/>
          <w:u w:val="single"/>
        </w:rPr>
      </w:pPr>
      <w:r>
        <w:rPr>
          <w:rFonts w:hint="eastAsia"/>
          <w:bCs/>
          <w:sz w:val="24"/>
          <w:highlight w:val="none"/>
          <w:lang w:val="zh-CN"/>
        </w:rPr>
        <w:t>8.1合同款项的支付方式及进度安排：</w:t>
      </w:r>
      <w:r>
        <w:rPr>
          <w:rFonts w:hint="eastAsia" w:ascii="宋体" w:hAnsi="宋体" w:cs="宋体"/>
          <w:b/>
          <w:color w:val="000000"/>
          <w:sz w:val="24"/>
          <w:highlight w:val="none"/>
          <w:u w:val="single"/>
          <w:lang w:val="zh-CN"/>
        </w:rPr>
        <w:t>签订合同后按规定支付合同总价款的</w:t>
      </w:r>
      <w:r>
        <w:rPr>
          <w:rFonts w:hint="eastAsia" w:ascii="宋体" w:hAnsi="宋体" w:eastAsia="宋体" w:cs="宋体"/>
          <w:b/>
          <w:color w:val="000000"/>
          <w:sz w:val="24"/>
          <w:highlight w:val="none"/>
          <w:u w:val="single"/>
          <w:lang w:val="en-US" w:eastAsia="zh-CN"/>
        </w:rPr>
        <w:t>5</w:t>
      </w:r>
      <w:r>
        <w:rPr>
          <w:rFonts w:hint="eastAsia" w:ascii="宋体" w:hAnsi="宋体" w:cs="宋体"/>
          <w:b/>
          <w:color w:val="000000"/>
          <w:sz w:val="24"/>
          <w:highlight w:val="none"/>
          <w:u w:val="single"/>
          <w:lang w:val="zh-CN"/>
        </w:rPr>
        <w:t>0%</w:t>
      </w:r>
      <w:r>
        <w:rPr>
          <w:rFonts w:hint="eastAsia" w:ascii="宋体" w:hAnsi="宋体" w:cs="宋体"/>
          <w:b/>
          <w:color w:val="000000"/>
          <w:sz w:val="24"/>
          <w:highlight w:val="none"/>
          <w:u w:val="single"/>
        </w:rPr>
        <w:t>预付款</w:t>
      </w:r>
      <w:r>
        <w:rPr>
          <w:rFonts w:hint="eastAsia" w:ascii="宋体" w:hAnsi="宋体" w:cs="宋体"/>
          <w:b/>
          <w:color w:val="000000"/>
          <w:sz w:val="24"/>
          <w:highlight w:val="none"/>
          <w:u w:val="single"/>
          <w:lang w:val="zh-CN"/>
        </w:rPr>
        <w:t>；</w:t>
      </w:r>
      <w:r>
        <w:rPr>
          <w:rFonts w:hint="eastAsia" w:ascii="宋体" w:hAnsi="宋体" w:cs="宋体"/>
          <w:b/>
          <w:color w:val="000000"/>
          <w:sz w:val="24"/>
          <w:highlight w:val="none"/>
          <w:u w:val="single"/>
        </w:rPr>
        <w:t>全部设备货物安装调试完毕、检定/校准完成经验收合</w:t>
      </w:r>
      <w:r>
        <w:rPr>
          <w:rFonts w:hint="eastAsia" w:ascii="宋体" w:hAnsi="宋体" w:cs="宋体"/>
          <w:b/>
          <w:color w:val="000000"/>
          <w:sz w:val="24"/>
          <w:highlight w:val="none"/>
          <w:u w:val="single"/>
          <w:lang w:val="zh-CN"/>
        </w:rPr>
        <w:t>格并提供全额增值税专用发票后付至</w:t>
      </w:r>
      <w:r>
        <w:rPr>
          <w:rFonts w:hint="eastAsia" w:ascii="宋体" w:hAnsi="宋体" w:cs="宋体"/>
          <w:b/>
          <w:color w:val="000000"/>
          <w:sz w:val="24"/>
          <w:highlight w:val="none"/>
          <w:u w:val="single"/>
        </w:rPr>
        <w:t>合同金额的100%。</w:t>
      </w:r>
    </w:p>
    <w:p w14:paraId="4B577550">
      <w:pPr>
        <w:spacing w:line="560" w:lineRule="exact"/>
        <w:ind w:firstLine="480" w:firstLineChars="200"/>
        <w:rPr>
          <w:rFonts w:hint="eastAsia"/>
          <w:highlight w:val="none"/>
          <w:lang w:val="zh-CN"/>
        </w:rPr>
      </w:pPr>
      <w:r>
        <w:rPr>
          <w:rFonts w:hint="eastAsia" w:cs="Courier New"/>
          <w:bCs/>
          <w:sz w:val="24"/>
          <w:szCs w:val="24"/>
          <w:highlight w:val="none"/>
          <w:lang w:val="zh-CN"/>
        </w:rPr>
        <w:t>乙方应向甲方提供符合要求的增值税专用发票，否则，甲方有权拒绝付款，同时不免除供应商合同履行义务。甲方可从应付款中直接扣除乙方应承担的违约金或其他费用。</w:t>
      </w:r>
    </w:p>
    <w:p w14:paraId="3171EF39">
      <w:pPr>
        <w:spacing w:line="560" w:lineRule="exact"/>
        <w:ind w:firstLine="480" w:firstLineChars="200"/>
        <w:rPr>
          <w:rFonts w:cs="Courier New"/>
          <w:bCs/>
          <w:sz w:val="24"/>
          <w:szCs w:val="24"/>
          <w:highlight w:val="none"/>
        </w:rPr>
      </w:pPr>
      <w:r>
        <w:rPr>
          <w:rFonts w:hint="eastAsia" w:cs="Courier New"/>
          <w:bCs/>
          <w:sz w:val="24"/>
          <w:szCs w:val="24"/>
          <w:highlight w:val="none"/>
        </w:rPr>
        <w:t>在签订合同时，</w:t>
      </w:r>
      <w:r>
        <w:rPr>
          <w:rFonts w:hint="eastAsia" w:eastAsia="宋体" w:cs="Courier New"/>
          <w:bCs/>
          <w:sz w:val="24"/>
          <w:szCs w:val="24"/>
          <w:highlight w:val="none"/>
          <w:lang w:eastAsia="zh-CN"/>
        </w:rPr>
        <w:t>乙方</w:t>
      </w:r>
      <w:r>
        <w:rPr>
          <w:rFonts w:hint="eastAsia" w:cs="Courier New"/>
          <w:bCs/>
          <w:sz w:val="24"/>
          <w:szCs w:val="24"/>
          <w:highlight w:val="none"/>
        </w:rPr>
        <w:t>明确表示无需预付款或者主动要求降低预付款比例的，</w:t>
      </w:r>
      <w:r>
        <w:rPr>
          <w:rFonts w:hint="eastAsia" w:eastAsia="宋体" w:cs="Courier New"/>
          <w:bCs/>
          <w:sz w:val="24"/>
          <w:szCs w:val="24"/>
          <w:highlight w:val="none"/>
          <w:lang w:eastAsia="zh-CN"/>
        </w:rPr>
        <w:t>甲方</w:t>
      </w:r>
      <w:r>
        <w:rPr>
          <w:rFonts w:hint="eastAsia" w:cs="Courier New"/>
          <w:bCs/>
          <w:sz w:val="24"/>
          <w:szCs w:val="24"/>
          <w:highlight w:val="none"/>
        </w:rPr>
        <w:t>可不适用前述规定。</w:t>
      </w:r>
    </w:p>
    <w:p w14:paraId="6EE99C3D">
      <w:pPr>
        <w:spacing w:line="560" w:lineRule="exact"/>
        <w:ind w:firstLine="480" w:firstLineChars="200"/>
        <w:rPr>
          <w:rFonts w:hint="eastAsia"/>
          <w:bCs/>
          <w:sz w:val="24"/>
          <w:highlight w:val="none"/>
          <w:lang w:val="zh-CN"/>
        </w:rPr>
      </w:pPr>
      <w:r>
        <w:rPr>
          <w:rFonts w:hint="eastAsia"/>
          <w:bCs/>
          <w:sz w:val="24"/>
          <w:highlight w:val="none"/>
          <w:lang w:val="zh-CN"/>
        </w:rPr>
        <w:t>8.2当采购数量与实际使用数量不一致时，乙方应根据实际使用量供货，合同的最终结算金额按实际使用量乘以成交单价进行计算。</w:t>
      </w:r>
    </w:p>
    <w:p w14:paraId="5E8B7300">
      <w:pPr>
        <w:spacing w:line="560" w:lineRule="exact"/>
        <w:rPr>
          <w:rFonts w:eastAsia="仿宋_GB2312"/>
          <w:b/>
          <w:sz w:val="24"/>
          <w:szCs w:val="24"/>
          <w:highlight w:val="none"/>
        </w:rPr>
      </w:pPr>
      <w:r>
        <w:rPr>
          <w:rFonts w:hint="eastAsia"/>
          <w:b/>
          <w:sz w:val="24"/>
          <w:szCs w:val="24"/>
          <w:highlight w:val="none"/>
        </w:rPr>
        <w:t>九、税费</w:t>
      </w:r>
    </w:p>
    <w:p w14:paraId="696836CB">
      <w:pPr>
        <w:spacing w:line="560" w:lineRule="exact"/>
        <w:ind w:firstLine="480" w:firstLineChars="200"/>
        <w:rPr>
          <w:rFonts w:eastAsia="仿宋_GB2312"/>
          <w:sz w:val="24"/>
          <w:szCs w:val="24"/>
          <w:highlight w:val="none"/>
        </w:rPr>
      </w:pPr>
      <w:r>
        <w:rPr>
          <w:rFonts w:hint="eastAsia"/>
          <w:sz w:val="24"/>
          <w:szCs w:val="24"/>
          <w:highlight w:val="none"/>
        </w:rPr>
        <w:t>9</w:t>
      </w:r>
      <w:r>
        <w:rPr>
          <w:sz w:val="24"/>
          <w:szCs w:val="24"/>
          <w:highlight w:val="none"/>
        </w:rPr>
        <w:t>.1</w:t>
      </w:r>
      <w:r>
        <w:rPr>
          <w:rFonts w:hint="eastAsia"/>
          <w:sz w:val="24"/>
          <w:szCs w:val="24"/>
          <w:highlight w:val="none"/>
        </w:rPr>
        <w:t>本合同执行中相关的一切税费均由乙方负担。</w:t>
      </w:r>
    </w:p>
    <w:p w14:paraId="68F5CDCB">
      <w:pPr>
        <w:spacing w:line="560" w:lineRule="exact"/>
        <w:rPr>
          <w:rFonts w:eastAsia="仿宋_GB2312"/>
          <w:sz w:val="24"/>
          <w:szCs w:val="24"/>
          <w:highlight w:val="none"/>
        </w:rPr>
      </w:pPr>
      <w:r>
        <w:rPr>
          <w:rFonts w:cs="Courier New"/>
          <w:b/>
          <w:sz w:val="24"/>
          <w:szCs w:val="24"/>
          <w:highlight w:val="none"/>
        </w:rPr>
        <w:t>十、质量</w:t>
      </w:r>
      <w:r>
        <w:rPr>
          <w:rFonts w:hint="eastAsia" w:cs="Courier New"/>
          <w:b/>
          <w:sz w:val="24"/>
          <w:szCs w:val="24"/>
          <w:highlight w:val="none"/>
        </w:rPr>
        <w:t>保修范围和保修期</w:t>
      </w:r>
      <w:r>
        <w:rPr>
          <w:rFonts w:cs="Courier New"/>
          <w:b/>
          <w:sz w:val="24"/>
          <w:szCs w:val="24"/>
          <w:highlight w:val="none"/>
        </w:rPr>
        <w:t>及售后服务</w:t>
      </w:r>
    </w:p>
    <w:p w14:paraId="7E890E9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highlight w:val="none"/>
        </w:rPr>
      </w:pPr>
      <w:r>
        <w:rPr>
          <w:sz w:val="24"/>
          <w:szCs w:val="24"/>
          <w:highlight w:val="none"/>
        </w:rPr>
        <w:t>1</w:t>
      </w:r>
      <w:r>
        <w:rPr>
          <w:rFonts w:hint="eastAsia"/>
          <w:sz w:val="24"/>
          <w:szCs w:val="24"/>
          <w:highlight w:val="none"/>
        </w:rPr>
        <w:t>0</w:t>
      </w:r>
      <w:r>
        <w:rPr>
          <w:sz w:val="24"/>
          <w:szCs w:val="24"/>
          <w:highlight w:val="none"/>
        </w:rPr>
        <w:t>.1 乙方应按招标文件规定的货物性能、技术要求、质量标准向甲方提供未经使用的全新产品。</w:t>
      </w:r>
    </w:p>
    <w:p w14:paraId="2F070F6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highlight w:val="none"/>
        </w:rPr>
      </w:pPr>
      <w:r>
        <w:rPr>
          <w:sz w:val="24"/>
          <w:szCs w:val="24"/>
          <w:highlight w:val="none"/>
        </w:rPr>
        <w:t>1</w:t>
      </w:r>
      <w:r>
        <w:rPr>
          <w:rFonts w:hint="eastAsia"/>
          <w:sz w:val="24"/>
          <w:szCs w:val="24"/>
          <w:highlight w:val="none"/>
        </w:rPr>
        <w:t>0</w:t>
      </w:r>
      <w:r>
        <w:rPr>
          <w:sz w:val="24"/>
          <w:szCs w:val="24"/>
          <w:highlight w:val="none"/>
        </w:rPr>
        <w:t>.2 乙方提供的货物在质量期内因货物本身的质量问题发生故障，乙方应负责免费更换。对达不到技术要求者，根据实际情况，经双方协商，可按以下办法处理：</w:t>
      </w:r>
      <w:r>
        <w:rPr>
          <w:rFonts w:cs="Courier New"/>
          <w:sz w:val="24"/>
          <w:szCs w:val="24"/>
          <w:highlight w:val="none"/>
        </w:rPr>
        <w:t>⑴更换：由乙方承担所发生的全部费用。⑵贬值处理：由甲乙双方合议定价。⑶退货处理：乙方应退还甲方支付的合同款，同时应承担该货物的直接费用（运输、保险、检验、货款利息及银行手续费等）。</w:t>
      </w:r>
    </w:p>
    <w:p w14:paraId="0A1F87C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cs="Courier New"/>
          <w:sz w:val="24"/>
          <w:szCs w:val="24"/>
          <w:highlight w:val="none"/>
        </w:rPr>
      </w:pPr>
      <w:r>
        <w:rPr>
          <w:rFonts w:cs="Courier New"/>
          <w:sz w:val="24"/>
          <w:szCs w:val="24"/>
          <w:highlight w:val="none"/>
        </w:rPr>
        <w:t>1</w:t>
      </w:r>
      <w:r>
        <w:rPr>
          <w:rFonts w:hint="eastAsia" w:cs="Courier New"/>
          <w:sz w:val="24"/>
          <w:szCs w:val="24"/>
          <w:highlight w:val="none"/>
        </w:rPr>
        <w:t>0</w:t>
      </w:r>
      <w:r>
        <w:rPr>
          <w:rFonts w:cs="Courier New"/>
          <w:sz w:val="24"/>
          <w:szCs w:val="24"/>
          <w:highlight w:val="none"/>
        </w:rPr>
        <w:t>.3 如在使用过程中发生质量问题，乙方在接到甲方通知后在</w:t>
      </w:r>
      <w:r>
        <w:rPr>
          <w:rFonts w:hint="eastAsia" w:eastAsia="宋体" w:cs="Courier New"/>
          <w:sz w:val="24"/>
          <w:szCs w:val="24"/>
          <w:highlight w:val="none"/>
          <w:u w:val="single"/>
          <w:lang w:val="en-US" w:eastAsia="zh-CN"/>
        </w:rPr>
        <w:t xml:space="preserve">  4  </w:t>
      </w:r>
      <w:r>
        <w:rPr>
          <w:rFonts w:cs="Courier New"/>
          <w:sz w:val="24"/>
          <w:szCs w:val="24"/>
          <w:highlight w:val="none"/>
        </w:rPr>
        <w:t>小时内到达甲方现场。</w:t>
      </w:r>
    </w:p>
    <w:p w14:paraId="23BF756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cs="Courier New"/>
          <w:sz w:val="24"/>
          <w:szCs w:val="24"/>
          <w:highlight w:val="none"/>
        </w:rPr>
      </w:pPr>
      <w:r>
        <w:rPr>
          <w:rFonts w:cs="Courier New"/>
          <w:sz w:val="24"/>
          <w:szCs w:val="24"/>
          <w:highlight w:val="none"/>
        </w:rPr>
        <w:t>1</w:t>
      </w:r>
      <w:r>
        <w:rPr>
          <w:rFonts w:hint="eastAsia" w:cs="Courier New"/>
          <w:sz w:val="24"/>
          <w:szCs w:val="24"/>
          <w:highlight w:val="none"/>
        </w:rPr>
        <w:t>0</w:t>
      </w:r>
      <w:r>
        <w:rPr>
          <w:rFonts w:cs="Courier New"/>
          <w:sz w:val="24"/>
          <w:szCs w:val="24"/>
          <w:highlight w:val="none"/>
        </w:rPr>
        <w:t>.4 在质保期内，乙方应对货物出现的质量及安全问题负责处理解决并承担一切费用。</w:t>
      </w:r>
    </w:p>
    <w:p w14:paraId="6EAF944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highlight w:val="none"/>
        </w:rPr>
      </w:pPr>
      <w:r>
        <w:rPr>
          <w:sz w:val="24"/>
          <w:szCs w:val="24"/>
          <w:highlight w:val="none"/>
        </w:rPr>
        <w:t>1</w:t>
      </w:r>
      <w:r>
        <w:rPr>
          <w:rFonts w:hint="eastAsia"/>
          <w:sz w:val="24"/>
          <w:szCs w:val="24"/>
          <w:highlight w:val="none"/>
        </w:rPr>
        <w:t>0</w:t>
      </w:r>
      <w:r>
        <w:rPr>
          <w:sz w:val="24"/>
          <w:szCs w:val="24"/>
          <w:highlight w:val="none"/>
        </w:rPr>
        <w:t>.5上述的货物免费保修期为</w:t>
      </w:r>
      <w:r>
        <w:rPr>
          <w:sz w:val="24"/>
          <w:szCs w:val="24"/>
          <w:highlight w:val="none"/>
          <w:u w:val="single"/>
        </w:rPr>
        <w:t xml:space="preserve"> </w:t>
      </w:r>
      <w:r>
        <w:rPr>
          <w:rFonts w:hint="eastAsia" w:eastAsia="宋体"/>
          <w:sz w:val="24"/>
          <w:szCs w:val="24"/>
          <w:highlight w:val="none"/>
          <w:u w:val="single"/>
          <w:lang w:val="en-US" w:eastAsia="zh-CN"/>
        </w:rPr>
        <w:t xml:space="preserve">  </w:t>
      </w:r>
      <w:r>
        <w:rPr>
          <w:sz w:val="24"/>
          <w:szCs w:val="24"/>
          <w:highlight w:val="none"/>
          <w:u w:val="single"/>
        </w:rPr>
        <w:t xml:space="preserve"> </w:t>
      </w:r>
      <w:r>
        <w:rPr>
          <w:rFonts w:hint="eastAsia"/>
          <w:sz w:val="24"/>
          <w:szCs w:val="24"/>
          <w:highlight w:val="none"/>
        </w:rPr>
        <w:t>月</w:t>
      </w:r>
      <w:r>
        <w:rPr>
          <w:sz w:val="24"/>
          <w:szCs w:val="24"/>
          <w:highlight w:val="none"/>
        </w:rPr>
        <w:t>（自交货验收合格之日起计），因人为因素出现的故障不在免费保修范围内。超过保修期的机器设备，终生维修，维修时只收部件成本费。</w:t>
      </w:r>
    </w:p>
    <w:p w14:paraId="3CE65DE9">
      <w:pPr>
        <w:spacing w:line="560" w:lineRule="exact"/>
        <w:rPr>
          <w:rFonts w:hint="eastAsia" w:cs="Courier New"/>
          <w:b/>
          <w:sz w:val="24"/>
          <w:szCs w:val="24"/>
          <w:highlight w:val="none"/>
        </w:rPr>
      </w:pPr>
      <w:r>
        <w:rPr>
          <w:rFonts w:cs="Courier New"/>
          <w:b/>
          <w:sz w:val="24"/>
          <w:szCs w:val="24"/>
          <w:highlight w:val="none"/>
        </w:rPr>
        <w:t>十</w:t>
      </w:r>
      <w:r>
        <w:rPr>
          <w:rFonts w:hint="eastAsia" w:cs="Courier New"/>
          <w:b/>
          <w:sz w:val="24"/>
          <w:szCs w:val="24"/>
          <w:highlight w:val="none"/>
        </w:rPr>
        <w:t>一</w:t>
      </w:r>
      <w:r>
        <w:rPr>
          <w:rFonts w:cs="Courier New"/>
          <w:b/>
          <w:sz w:val="24"/>
          <w:szCs w:val="24"/>
          <w:highlight w:val="none"/>
        </w:rPr>
        <w:t>、</w:t>
      </w:r>
      <w:r>
        <w:rPr>
          <w:rFonts w:hint="eastAsia" w:cs="Courier New"/>
          <w:b/>
          <w:sz w:val="24"/>
          <w:szCs w:val="24"/>
          <w:highlight w:val="none"/>
        </w:rPr>
        <w:t>项目</w:t>
      </w:r>
      <w:r>
        <w:rPr>
          <w:rFonts w:cs="Courier New"/>
          <w:b/>
          <w:sz w:val="24"/>
          <w:szCs w:val="24"/>
          <w:highlight w:val="none"/>
        </w:rPr>
        <w:t>验收</w:t>
      </w:r>
    </w:p>
    <w:p w14:paraId="6F37E92D">
      <w:pPr>
        <w:pStyle w:val="30"/>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480" w:firstLineChars="200"/>
        <w:textAlignment w:val="auto"/>
        <w:rPr>
          <w:rFonts w:hint="eastAsia" w:cs="Courier New" w:asciiTheme="minorHAnsi" w:hAnsiTheme="minorHAnsi" w:eastAsiaTheme="minorEastAsia"/>
          <w:sz w:val="24"/>
          <w:szCs w:val="24"/>
          <w:highlight w:val="none"/>
          <w:lang w:val="en-US" w:eastAsia="zh-CN" w:bidi="ar-SA"/>
        </w:rPr>
      </w:pPr>
      <w:r>
        <w:rPr>
          <w:rFonts w:hint="default" w:cs="Courier New" w:asciiTheme="minorHAnsi" w:hAnsiTheme="minorHAnsi" w:eastAsiaTheme="minorEastAsia"/>
          <w:sz w:val="24"/>
          <w:szCs w:val="24"/>
          <w:highlight w:val="none"/>
          <w:lang w:val="en-US" w:eastAsia="zh-CN" w:bidi="ar-SA"/>
        </w:rPr>
        <w:t>11.1 甲方依法组织履约验收工作，可委托采购代理机构具体组织，并根据项目特点抽取政府采购专家参与验收。验收小组由甲方（含使用单位）代表、政府采购专家等组成。乙方（制造商或其授权代表）应派员配合验收，并在验收文件上签章确认。</w:t>
      </w:r>
    </w:p>
    <w:p w14:paraId="26AD7E32">
      <w:pPr>
        <w:pStyle w:val="30"/>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480" w:firstLineChars="200"/>
        <w:textAlignment w:val="auto"/>
        <w:rPr>
          <w:rFonts w:hint="default" w:cs="Courier New" w:asciiTheme="minorHAnsi" w:hAnsiTheme="minorHAnsi" w:eastAsiaTheme="minorEastAsia"/>
          <w:sz w:val="24"/>
          <w:szCs w:val="24"/>
          <w:highlight w:val="none"/>
          <w:lang w:val="en-US" w:eastAsia="zh-CN" w:bidi="ar-SA"/>
        </w:rPr>
      </w:pPr>
      <w:r>
        <w:rPr>
          <w:rFonts w:hint="default" w:cs="Courier New" w:asciiTheme="minorHAnsi" w:hAnsiTheme="minorHAnsi" w:eastAsiaTheme="minorEastAsia"/>
          <w:sz w:val="24"/>
          <w:szCs w:val="24"/>
          <w:highlight w:val="none"/>
          <w:lang w:val="en-US" w:eastAsia="zh-CN" w:bidi="ar-SA"/>
        </w:rPr>
        <w:t>11.2 甲方在组织履约验收前，根据项目特点制定验收方案，明确履约验收的时间、方式、程序等内容；验收标准按本合同、招标文件第四章采购需求及乙方投标文件承诺执行。乙方应按验收方案做好配合工作。</w:t>
      </w:r>
    </w:p>
    <w:p w14:paraId="02406750">
      <w:pPr>
        <w:pStyle w:val="30"/>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480" w:firstLineChars="200"/>
        <w:textAlignment w:val="auto"/>
        <w:rPr>
          <w:rFonts w:hint="default" w:cs="Courier New" w:asciiTheme="minorHAnsi" w:hAnsiTheme="minorHAnsi" w:eastAsiaTheme="minorEastAsia"/>
          <w:sz w:val="24"/>
          <w:szCs w:val="24"/>
          <w:highlight w:val="none"/>
          <w:lang w:val="en-US" w:eastAsia="zh-CN" w:bidi="ar-SA"/>
        </w:rPr>
      </w:pPr>
      <w:r>
        <w:rPr>
          <w:rFonts w:hint="default" w:cs="Courier New" w:asciiTheme="minorHAnsi" w:hAnsiTheme="minorHAnsi" w:eastAsiaTheme="minorEastAsia"/>
          <w:sz w:val="24"/>
          <w:szCs w:val="24"/>
          <w:highlight w:val="none"/>
          <w:lang w:val="en-US" w:eastAsia="zh-CN" w:bidi="ar-SA"/>
        </w:rPr>
        <w:t>11.3 对于实际使用人与甲方分离的项目，甲方邀请实际使用人参与验收；如有必要，甲方邀请第三方专业机构及专家参与验收，相关意见作为验收资料。</w:t>
      </w:r>
    </w:p>
    <w:p w14:paraId="34C867F4">
      <w:pPr>
        <w:pStyle w:val="30"/>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480" w:firstLineChars="200"/>
        <w:textAlignment w:val="auto"/>
        <w:rPr>
          <w:rFonts w:hint="default" w:cs="Courier New" w:asciiTheme="minorHAnsi" w:hAnsiTheme="minorHAnsi" w:eastAsiaTheme="minorEastAsia"/>
          <w:sz w:val="24"/>
          <w:szCs w:val="24"/>
          <w:highlight w:val="none"/>
          <w:lang w:val="en-US" w:eastAsia="zh-CN" w:bidi="ar-SA"/>
        </w:rPr>
      </w:pPr>
      <w:r>
        <w:rPr>
          <w:rFonts w:hint="default" w:cs="Courier New" w:asciiTheme="minorHAnsi" w:hAnsiTheme="minorHAnsi" w:eastAsiaTheme="minorEastAsia"/>
          <w:sz w:val="24"/>
          <w:szCs w:val="24"/>
          <w:highlight w:val="none"/>
          <w:lang w:val="en-US" w:eastAsia="zh-CN" w:bidi="ar-SA"/>
        </w:rPr>
        <w:t>11.4 验收按到货验收、安装调试及检定/校准、终验分阶段实施，具体按本合同1.7.5及招标文件第四章采购需求执行。到货验收签署《货物数量清点单据》或到货验收记录；终验合格签署验收书/终验单。</w:t>
      </w:r>
    </w:p>
    <w:p w14:paraId="0624AF9C">
      <w:pPr>
        <w:pStyle w:val="30"/>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480" w:firstLineChars="200"/>
        <w:textAlignment w:val="auto"/>
        <w:rPr>
          <w:rFonts w:hint="default" w:cs="Courier New" w:asciiTheme="minorHAnsi" w:hAnsiTheme="minorHAnsi" w:eastAsiaTheme="minorEastAsia"/>
          <w:sz w:val="24"/>
          <w:szCs w:val="24"/>
          <w:highlight w:val="none"/>
          <w:lang w:val="en-US" w:eastAsia="zh-CN" w:bidi="ar-SA"/>
        </w:rPr>
      </w:pPr>
      <w:r>
        <w:rPr>
          <w:rFonts w:hint="default" w:cs="Courier New" w:asciiTheme="minorHAnsi" w:hAnsiTheme="minorHAnsi" w:eastAsiaTheme="minorEastAsia"/>
          <w:sz w:val="24"/>
          <w:szCs w:val="24"/>
          <w:highlight w:val="none"/>
          <w:lang w:val="en-US" w:eastAsia="zh-CN" w:bidi="ar-SA"/>
        </w:rPr>
        <w:t>11.5 验收时，验收小组按照合同约定对每一项技术、商务要求的履约情况进行确认，出具验收书，列明各项标准验收情况及项目总体评价。验收书由验收小组出具，甲方（含使用单位）和乙方（制造商或其授权代表）签章确认，验收资料存档备查。验收结果作为合同款项支付及质保期起算的依据；本项目不收取履约保证金。</w:t>
      </w:r>
    </w:p>
    <w:p w14:paraId="4C7454A8">
      <w:pPr>
        <w:pStyle w:val="30"/>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360" w:lineRule="auto"/>
        <w:ind w:left="0" w:right="0" w:firstLine="480" w:firstLineChars="200"/>
        <w:textAlignment w:val="auto"/>
        <w:rPr>
          <w:rFonts w:hint="default" w:cs="Courier New" w:asciiTheme="minorHAnsi" w:hAnsiTheme="minorHAnsi" w:eastAsiaTheme="minorEastAsia"/>
          <w:sz w:val="24"/>
          <w:szCs w:val="24"/>
          <w:highlight w:val="none"/>
          <w:lang w:val="en-US" w:eastAsia="zh-CN" w:bidi="ar-SA"/>
        </w:rPr>
      </w:pPr>
      <w:r>
        <w:rPr>
          <w:rFonts w:hint="default" w:cs="Courier New" w:asciiTheme="minorHAnsi" w:hAnsiTheme="minorHAnsi" w:eastAsiaTheme="minorEastAsia"/>
          <w:sz w:val="24"/>
          <w:szCs w:val="24"/>
          <w:highlight w:val="none"/>
          <w:lang w:val="en-US" w:eastAsia="zh-CN" w:bidi="ar-SA"/>
        </w:rPr>
        <w:t>11.6 验收合格的项目，甲方按合同约定及时向乙方支付合同款项。验收不合格的，甲方有权要求乙方限期整改、更换或退货；因乙方原因造成无法验收通过的，甲方有权拒绝付款并追究乙方违约责任。乙方在履约过程中有政府采购法律法规规定的违法违规情形的，甲方及时报告本级财政部门。合同履行、违约责任和争议解决适用《中华人民共和国民法典》及本合同约定。</w:t>
      </w:r>
    </w:p>
    <w:p w14:paraId="2985CBD0">
      <w:pPr>
        <w:keepNext w:val="0"/>
        <w:keepLines w:val="0"/>
        <w:pageBreakBefore w:val="0"/>
        <w:widowControl w:val="0"/>
        <w:kinsoku/>
        <w:wordWrap/>
        <w:overflowPunct/>
        <w:topLinePunct w:val="0"/>
        <w:autoSpaceDE/>
        <w:autoSpaceDN/>
        <w:bidi w:val="0"/>
        <w:adjustRightInd/>
        <w:snapToGrid/>
        <w:spacing w:line="440" w:lineRule="exact"/>
        <w:textAlignment w:val="auto"/>
        <w:rPr>
          <w:rFonts w:cs="Courier New"/>
          <w:b/>
          <w:sz w:val="24"/>
          <w:szCs w:val="24"/>
          <w:highlight w:val="none"/>
        </w:rPr>
      </w:pPr>
      <w:r>
        <w:rPr>
          <w:rFonts w:cs="Courier New"/>
          <w:b/>
          <w:sz w:val="24"/>
          <w:szCs w:val="24"/>
          <w:highlight w:val="none"/>
        </w:rPr>
        <w:t>十</w:t>
      </w:r>
      <w:r>
        <w:rPr>
          <w:rFonts w:hint="eastAsia" w:cs="Courier New"/>
          <w:b/>
          <w:sz w:val="24"/>
          <w:szCs w:val="24"/>
          <w:highlight w:val="none"/>
        </w:rPr>
        <w:t>二</w:t>
      </w:r>
      <w:r>
        <w:rPr>
          <w:rFonts w:cs="Courier New"/>
          <w:b/>
          <w:sz w:val="24"/>
          <w:szCs w:val="24"/>
          <w:highlight w:val="none"/>
        </w:rPr>
        <w:t>、货物</w:t>
      </w:r>
      <w:r>
        <w:rPr>
          <w:rFonts w:hint="eastAsia" w:cs="Courier New"/>
          <w:b/>
          <w:sz w:val="24"/>
          <w:szCs w:val="24"/>
          <w:highlight w:val="none"/>
        </w:rPr>
        <w:t>的</w:t>
      </w:r>
      <w:r>
        <w:rPr>
          <w:rFonts w:cs="Courier New"/>
          <w:b/>
          <w:sz w:val="24"/>
          <w:szCs w:val="24"/>
          <w:highlight w:val="none"/>
        </w:rPr>
        <w:t>包装、发运及运输</w:t>
      </w:r>
    </w:p>
    <w:p w14:paraId="5A830A8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highlight w:val="none"/>
        </w:rPr>
      </w:pPr>
      <w:r>
        <w:rPr>
          <w:sz w:val="24"/>
          <w:szCs w:val="24"/>
          <w:highlight w:val="none"/>
        </w:rPr>
        <w:t>1</w:t>
      </w:r>
      <w:r>
        <w:rPr>
          <w:rFonts w:hint="eastAsia"/>
          <w:sz w:val="24"/>
          <w:szCs w:val="24"/>
          <w:highlight w:val="none"/>
        </w:rPr>
        <w:t>2</w:t>
      </w:r>
      <w:r>
        <w:rPr>
          <w:sz w:val="24"/>
          <w:szCs w:val="24"/>
          <w:highlight w:val="none"/>
        </w:rPr>
        <w:t>.1 乙方应在货物发运前对其进行满足运输距离、防潮、防震、防锈和防破损装卸等要求包装，以保证货物安全运达甲方指定地点。</w:t>
      </w:r>
      <w:r>
        <w:rPr>
          <w:rFonts w:hint="eastAsia"/>
          <w:sz w:val="24"/>
          <w:szCs w:val="24"/>
          <w:highlight w:val="none"/>
        </w:rPr>
        <w:t>乙方对货物的包装应符合《商品包装政府采购需求标准（试行）》、《快递包装政府采购需求标准（试行）》的规定。</w:t>
      </w:r>
    </w:p>
    <w:p w14:paraId="1C6A89D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highlight w:val="none"/>
        </w:rPr>
      </w:pPr>
      <w:r>
        <w:rPr>
          <w:rFonts w:cs="Courier New"/>
          <w:sz w:val="24"/>
          <w:szCs w:val="24"/>
          <w:highlight w:val="none"/>
        </w:rPr>
        <w:t>1</w:t>
      </w:r>
      <w:r>
        <w:rPr>
          <w:rFonts w:hint="eastAsia" w:cs="Courier New"/>
          <w:sz w:val="24"/>
          <w:szCs w:val="24"/>
          <w:highlight w:val="none"/>
        </w:rPr>
        <w:t>2</w:t>
      </w:r>
      <w:r>
        <w:rPr>
          <w:rFonts w:cs="Courier New"/>
          <w:sz w:val="24"/>
          <w:szCs w:val="24"/>
          <w:highlight w:val="none"/>
        </w:rPr>
        <w:t>.2 使用说明书、质量检验证明书、随配附件和工具以及清单一并附于货物内。</w:t>
      </w:r>
    </w:p>
    <w:p w14:paraId="0EF2485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highlight w:val="none"/>
        </w:rPr>
      </w:pPr>
      <w:r>
        <w:rPr>
          <w:sz w:val="24"/>
          <w:szCs w:val="24"/>
          <w:highlight w:val="none"/>
        </w:rPr>
        <w:t>1</w:t>
      </w:r>
      <w:r>
        <w:rPr>
          <w:rFonts w:hint="eastAsia"/>
          <w:sz w:val="24"/>
          <w:szCs w:val="24"/>
          <w:highlight w:val="none"/>
        </w:rPr>
        <w:t>2</w:t>
      </w:r>
      <w:r>
        <w:rPr>
          <w:sz w:val="24"/>
          <w:szCs w:val="24"/>
          <w:highlight w:val="none"/>
        </w:rPr>
        <w:t>.3 乙方在货物发运手续办理完毕后24小时内或货到甲方48小时前通知甲方，以准备接货。</w:t>
      </w:r>
    </w:p>
    <w:p w14:paraId="391ACF1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highlight w:val="none"/>
        </w:rPr>
      </w:pPr>
      <w:r>
        <w:rPr>
          <w:rFonts w:cs="Courier New"/>
          <w:sz w:val="24"/>
          <w:szCs w:val="24"/>
          <w:highlight w:val="none"/>
        </w:rPr>
        <w:t>1</w:t>
      </w:r>
      <w:r>
        <w:rPr>
          <w:rFonts w:hint="eastAsia" w:cs="Courier New"/>
          <w:sz w:val="24"/>
          <w:szCs w:val="24"/>
          <w:highlight w:val="none"/>
        </w:rPr>
        <w:t>2</w:t>
      </w:r>
      <w:r>
        <w:rPr>
          <w:rFonts w:cs="Courier New"/>
          <w:sz w:val="24"/>
          <w:szCs w:val="24"/>
          <w:highlight w:val="none"/>
        </w:rPr>
        <w:t>.4 货物在交付甲方前发生的风险均由乙方负责。</w:t>
      </w:r>
    </w:p>
    <w:p w14:paraId="2D99EB5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highlight w:val="none"/>
        </w:rPr>
      </w:pPr>
      <w:r>
        <w:rPr>
          <w:sz w:val="24"/>
          <w:szCs w:val="24"/>
          <w:highlight w:val="none"/>
        </w:rPr>
        <w:t>1</w:t>
      </w:r>
      <w:r>
        <w:rPr>
          <w:rFonts w:hint="eastAsia"/>
          <w:sz w:val="24"/>
          <w:szCs w:val="24"/>
          <w:highlight w:val="none"/>
        </w:rPr>
        <w:t>2</w:t>
      </w:r>
      <w:r>
        <w:rPr>
          <w:sz w:val="24"/>
          <w:szCs w:val="24"/>
          <w:highlight w:val="none"/>
        </w:rPr>
        <w:t>.5 货物在规定的交付期限内由乙方送达甲方指定的地点视为交付，乙方同时需通知甲方货物已送达。</w:t>
      </w:r>
    </w:p>
    <w:p w14:paraId="5C5BCE62">
      <w:pPr>
        <w:keepNext w:val="0"/>
        <w:keepLines w:val="0"/>
        <w:pageBreakBefore w:val="0"/>
        <w:widowControl w:val="0"/>
        <w:kinsoku/>
        <w:wordWrap/>
        <w:overflowPunct/>
        <w:topLinePunct w:val="0"/>
        <w:autoSpaceDE/>
        <w:autoSpaceDN/>
        <w:bidi w:val="0"/>
        <w:adjustRightInd/>
        <w:snapToGrid/>
        <w:spacing w:line="440" w:lineRule="exact"/>
        <w:textAlignment w:val="auto"/>
        <w:rPr>
          <w:rFonts w:cs="Courier New"/>
          <w:b/>
          <w:sz w:val="24"/>
          <w:szCs w:val="24"/>
          <w:highlight w:val="none"/>
        </w:rPr>
      </w:pPr>
      <w:r>
        <w:rPr>
          <w:rFonts w:cs="Courier New"/>
          <w:b/>
          <w:sz w:val="24"/>
          <w:szCs w:val="24"/>
          <w:highlight w:val="none"/>
        </w:rPr>
        <w:t>十</w:t>
      </w:r>
      <w:r>
        <w:rPr>
          <w:rFonts w:hint="eastAsia" w:cs="Courier New"/>
          <w:b/>
          <w:sz w:val="24"/>
          <w:szCs w:val="24"/>
          <w:highlight w:val="none"/>
        </w:rPr>
        <w:t>三</w:t>
      </w:r>
      <w:r>
        <w:rPr>
          <w:rFonts w:cs="Courier New"/>
          <w:b/>
          <w:sz w:val="24"/>
          <w:szCs w:val="24"/>
          <w:highlight w:val="none"/>
        </w:rPr>
        <w:t>、违约责任</w:t>
      </w:r>
    </w:p>
    <w:p w14:paraId="7B1B12E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cs="Courier New"/>
          <w:sz w:val="24"/>
          <w:szCs w:val="24"/>
          <w:highlight w:val="none"/>
        </w:rPr>
      </w:pPr>
      <w:r>
        <w:rPr>
          <w:rFonts w:cs="Courier New"/>
          <w:sz w:val="24"/>
          <w:szCs w:val="24"/>
          <w:highlight w:val="none"/>
        </w:rPr>
        <w:t>1</w:t>
      </w:r>
      <w:r>
        <w:rPr>
          <w:rFonts w:hint="eastAsia" w:cs="Courier New"/>
          <w:sz w:val="24"/>
          <w:szCs w:val="24"/>
          <w:highlight w:val="none"/>
        </w:rPr>
        <w:t>3</w:t>
      </w:r>
      <w:r>
        <w:rPr>
          <w:rFonts w:cs="Courier New"/>
          <w:sz w:val="24"/>
          <w:szCs w:val="24"/>
          <w:highlight w:val="none"/>
        </w:rPr>
        <w:t>.1 甲方无正当理由拒收货物的，甲方向乙方偿付拒收货款总值</w:t>
      </w:r>
      <w:r>
        <w:rPr>
          <w:rFonts w:hint="eastAsia" w:cs="Courier New"/>
          <w:sz w:val="24"/>
          <w:szCs w:val="24"/>
          <w:highlight w:val="none"/>
          <w:u w:val="single"/>
        </w:rPr>
        <w:t xml:space="preserve"> </w:t>
      </w:r>
      <w:r>
        <w:rPr>
          <w:sz w:val="24"/>
          <w:szCs w:val="24"/>
          <w:highlight w:val="none"/>
          <w:u w:val="single"/>
        </w:rPr>
        <w:t>千分之</w:t>
      </w:r>
      <w:r>
        <w:rPr>
          <w:rFonts w:hint="eastAsia"/>
          <w:sz w:val="24"/>
          <w:szCs w:val="24"/>
          <w:highlight w:val="none"/>
          <w:u w:val="single"/>
        </w:rPr>
        <w:t>五</w:t>
      </w:r>
      <w:r>
        <w:rPr>
          <w:rFonts w:hint="eastAsia" w:cs="Courier New"/>
          <w:sz w:val="24"/>
          <w:szCs w:val="24"/>
          <w:highlight w:val="none"/>
          <w:u w:val="single"/>
        </w:rPr>
        <w:t xml:space="preserve"> </w:t>
      </w:r>
      <w:r>
        <w:rPr>
          <w:rFonts w:cs="Courier New"/>
          <w:sz w:val="24"/>
          <w:szCs w:val="24"/>
          <w:highlight w:val="none"/>
        </w:rPr>
        <w:t>的违约金。</w:t>
      </w:r>
    </w:p>
    <w:p w14:paraId="5A012AE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highlight w:val="none"/>
        </w:rPr>
      </w:pPr>
      <w:r>
        <w:rPr>
          <w:sz w:val="24"/>
          <w:szCs w:val="24"/>
          <w:highlight w:val="none"/>
        </w:rPr>
        <w:t>1</w:t>
      </w:r>
      <w:r>
        <w:rPr>
          <w:rFonts w:hint="eastAsia"/>
          <w:sz w:val="24"/>
          <w:szCs w:val="24"/>
          <w:highlight w:val="none"/>
        </w:rPr>
        <w:t>3</w:t>
      </w:r>
      <w:r>
        <w:rPr>
          <w:sz w:val="24"/>
          <w:szCs w:val="24"/>
          <w:highlight w:val="none"/>
        </w:rPr>
        <w:t>.2 甲方无故逾期验收和办理货款支付手续的,甲方应按逾期付款总额每日</w:t>
      </w:r>
      <w:r>
        <w:rPr>
          <w:rFonts w:hint="eastAsia"/>
          <w:sz w:val="24"/>
          <w:szCs w:val="24"/>
          <w:highlight w:val="none"/>
          <w:u w:val="single"/>
        </w:rPr>
        <w:t xml:space="preserve"> 千分之壹   </w:t>
      </w:r>
      <w:r>
        <w:rPr>
          <w:sz w:val="24"/>
          <w:szCs w:val="24"/>
          <w:highlight w:val="none"/>
        </w:rPr>
        <w:t>向乙方支付违约金。</w:t>
      </w:r>
    </w:p>
    <w:p w14:paraId="044F33F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highlight w:val="none"/>
        </w:rPr>
      </w:pPr>
      <w:r>
        <w:rPr>
          <w:sz w:val="24"/>
          <w:szCs w:val="24"/>
          <w:highlight w:val="none"/>
        </w:rPr>
        <w:t>1</w:t>
      </w:r>
      <w:r>
        <w:rPr>
          <w:rFonts w:hint="eastAsia"/>
          <w:sz w:val="24"/>
          <w:szCs w:val="24"/>
          <w:highlight w:val="none"/>
        </w:rPr>
        <w:t>3</w:t>
      </w:r>
      <w:r>
        <w:rPr>
          <w:sz w:val="24"/>
          <w:szCs w:val="24"/>
          <w:highlight w:val="none"/>
        </w:rPr>
        <w:t>.3 乙方逾期交付货物的，乙方应按逾期交货总额每日</w:t>
      </w:r>
      <w:r>
        <w:rPr>
          <w:rFonts w:hint="eastAsia"/>
          <w:sz w:val="24"/>
          <w:szCs w:val="24"/>
          <w:highlight w:val="none"/>
          <w:u w:val="single"/>
        </w:rPr>
        <w:t xml:space="preserve"> </w:t>
      </w:r>
      <w:r>
        <w:rPr>
          <w:sz w:val="24"/>
          <w:szCs w:val="24"/>
          <w:highlight w:val="none"/>
          <w:u w:val="single"/>
        </w:rPr>
        <w:t>千分之</w:t>
      </w:r>
      <w:r>
        <w:rPr>
          <w:rFonts w:hint="eastAsia"/>
          <w:sz w:val="24"/>
          <w:szCs w:val="24"/>
          <w:highlight w:val="none"/>
          <w:u w:val="single"/>
        </w:rPr>
        <w:t xml:space="preserve">五 </w:t>
      </w:r>
      <w:r>
        <w:rPr>
          <w:sz w:val="24"/>
          <w:szCs w:val="24"/>
          <w:highlight w:val="none"/>
        </w:rPr>
        <w:t>向甲方支付违约金，由甲方从待付货款中扣除。逾期超过约定日期10个工作日不能交货的，甲方可解除本合同。乙方因逾期交货或因其他违约行为导致甲方解除合同的，乙方应向甲方支付合同总值</w:t>
      </w:r>
      <w:r>
        <w:rPr>
          <w:rFonts w:hint="eastAsia"/>
          <w:sz w:val="24"/>
          <w:szCs w:val="24"/>
          <w:highlight w:val="none"/>
          <w:u w:val="single"/>
        </w:rPr>
        <w:t xml:space="preserve"> 百分之</w:t>
      </w:r>
      <w:r>
        <w:rPr>
          <w:sz w:val="24"/>
          <w:szCs w:val="24"/>
          <w:highlight w:val="none"/>
          <w:u w:val="single"/>
        </w:rPr>
        <w:t>十</w:t>
      </w:r>
      <w:r>
        <w:rPr>
          <w:rFonts w:hint="eastAsia"/>
          <w:sz w:val="24"/>
          <w:szCs w:val="24"/>
          <w:highlight w:val="none"/>
          <w:u w:val="single"/>
        </w:rPr>
        <w:t xml:space="preserve">  </w:t>
      </w:r>
      <w:r>
        <w:rPr>
          <w:sz w:val="24"/>
          <w:szCs w:val="24"/>
          <w:highlight w:val="none"/>
        </w:rPr>
        <w:t xml:space="preserve">的违约金，如造成甲方损失超过违约金的，超出部分由乙方继续承担赔偿责任。 </w:t>
      </w:r>
    </w:p>
    <w:p w14:paraId="7B5F5FD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highlight w:val="none"/>
        </w:rPr>
      </w:pPr>
      <w:r>
        <w:rPr>
          <w:sz w:val="24"/>
          <w:szCs w:val="24"/>
          <w:highlight w:val="none"/>
        </w:rPr>
        <w:t>1</w:t>
      </w:r>
      <w:r>
        <w:rPr>
          <w:rFonts w:hint="eastAsia"/>
          <w:sz w:val="24"/>
          <w:szCs w:val="24"/>
          <w:highlight w:val="none"/>
        </w:rPr>
        <w:t>3</w:t>
      </w:r>
      <w:r>
        <w:rPr>
          <w:sz w:val="24"/>
          <w:szCs w:val="24"/>
          <w:highlight w:val="none"/>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6E4E6067">
      <w:pPr>
        <w:keepNext w:val="0"/>
        <w:keepLines w:val="0"/>
        <w:pageBreakBefore w:val="0"/>
        <w:widowControl w:val="0"/>
        <w:kinsoku/>
        <w:wordWrap/>
        <w:overflowPunct/>
        <w:topLinePunct w:val="0"/>
        <w:autoSpaceDE/>
        <w:autoSpaceDN/>
        <w:bidi w:val="0"/>
        <w:adjustRightInd/>
        <w:snapToGrid/>
        <w:spacing w:line="440" w:lineRule="exact"/>
        <w:textAlignment w:val="auto"/>
        <w:rPr>
          <w:rFonts w:cs="Courier New"/>
          <w:b/>
          <w:sz w:val="24"/>
          <w:szCs w:val="24"/>
          <w:highlight w:val="none"/>
        </w:rPr>
      </w:pPr>
      <w:r>
        <w:rPr>
          <w:rFonts w:cs="Courier New"/>
          <w:b/>
          <w:sz w:val="24"/>
          <w:szCs w:val="24"/>
          <w:highlight w:val="none"/>
        </w:rPr>
        <w:t>十</w:t>
      </w:r>
      <w:r>
        <w:rPr>
          <w:rFonts w:hint="eastAsia" w:cs="Courier New"/>
          <w:b/>
          <w:sz w:val="24"/>
          <w:szCs w:val="24"/>
          <w:highlight w:val="none"/>
        </w:rPr>
        <w:t>四</w:t>
      </w:r>
      <w:r>
        <w:rPr>
          <w:rFonts w:cs="Courier New"/>
          <w:b/>
          <w:sz w:val="24"/>
          <w:szCs w:val="24"/>
          <w:highlight w:val="none"/>
        </w:rPr>
        <w:t>、</w:t>
      </w:r>
      <w:r>
        <w:rPr>
          <w:rFonts w:hint="eastAsia" w:cs="Courier New"/>
          <w:b/>
          <w:sz w:val="24"/>
          <w:szCs w:val="24"/>
          <w:highlight w:val="none"/>
        </w:rPr>
        <w:t>供应商合法权益补偿机制</w:t>
      </w:r>
    </w:p>
    <w:p w14:paraId="63075D2A">
      <w:pPr>
        <w:pStyle w:val="19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cs="Courier New"/>
          <w:sz w:val="24"/>
          <w:szCs w:val="24"/>
          <w:highlight w:val="none"/>
        </w:rPr>
      </w:pPr>
      <w:bookmarkStart w:id="149" w:name="_Toc23650"/>
      <w:r>
        <w:rPr>
          <w:rFonts w:hint="eastAsia" w:ascii="Times New Roman" w:hAnsi="Times New Roman" w:cs="Courier New"/>
          <w:sz w:val="24"/>
          <w:szCs w:val="24"/>
          <w:highlight w:val="none"/>
        </w:rPr>
        <w:t>供应商合法权益补偿救济机制。在履约过程因政策变化、规划调整而无法履行合同约定，造成企业合法权益受损的，采购人依据实际情况对供应商进行补偿救济。</w:t>
      </w:r>
      <w:bookmarkEnd w:id="149"/>
    </w:p>
    <w:p w14:paraId="38101383">
      <w:pPr>
        <w:keepNext w:val="0"/>
        <w:keepLines w:val="0"/>
        <w:pageBreakBefore w:val="0"/>
        <w:widowControl w:val="0"/>
        <w:kinsoku/>
        <w:wordWrap/>
        <w:overflowPunct/>
        <w:topLinePunct w:val="0"/>
        <w:autoSpaceDE/>
        <w:autoSpaceDN/>
        <w:bidi w:val="0"/>
        <w:adjustRightInd/>
        <w:snapToGrid/>
        <w:spacing w:line="440" w:lineRule="exact"/>
        <w:textAlignment w:val="auto"/>
        <w:rPr>
          <w:rFonts w:cs="Courier New"/>
          <w:b/>
          <w:sz w:val="24"/>
          <w:szCs w:val="24"/>
          <w:highlight w:val="none"/>
        </w:rPr>
      </w:pPr>
      <w:r>
        <w:rPr>
          <w:rFonts w:cs="Courier New"/>
          <w:b/>
          <w:sz w:val="24"/>
          <w:szCs w:val="24"/>
          <w:highlight w:val="none"/>
        </w:rPr>
        <w:t>十</w:t>
      </w:r>
      <w:r>
        <w:rPr>
          <w:rFonts w:hint="eastAsia" w:cs="Courier New"/>
          <w:b/>
          <w:sz w:val="24"/>
          <w:szCs w:val="24"/>
          <w:highlight w:val="none"/>
        </w:rPr>
        <w:t>五</w:t>
      </w:r>
      <w:r>
        <w:rPr>
          <w:rFonts w:cs="Courier New"/>
          <w:b/>
          <w:sz w:val="24"/>
          <w:szCs w:val="24"/>
          <w:highlight w:val="none"/>
        </w:rPr>
        <w:t>、不可抗力事件处理</w:t>
      </w:r>
    </w:p>
    <w:p w14:paraId="5901F70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highlight w:val="none"/>
        </w:rPr>
      </w:pPr>
      <w:r>
        <w:rPr>
          <w:sz w:val="24"/>
          <w:szCs w:val="24"/>
          <w:highlight w:val="none"/>
        </w:rPr>
        <w:t>1</w:t>
      </w:r>
      <w:r>
        <w:rPr>
          <w:rFonts w:hint="eastAsia"/>
          <w:sz w:val="24"/>
          <w:szCs w:val="24"/>
          <w:highlight w:val="none"/>
        </w:rPr>
        <w:t>5</w:t>
      </w:r>
      <w:r>
        <w:rPr>
          <w:sz w:val="24"/>
          <w:szCs w:val="24"/>
          <w:highlight w:val="none"/>
        </w:rPr>
        <w:t>.1 在合同有效期内，任何一方因不可抗力事件导致不能履行合同，则合同履行期可延长，其延长期与不可抗力影响期相同。</w:t>
      </w:r>
    </w:p>
    <w:p w14:paraId="46A3046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cs="Courier New"/>
          <w:sz w:val="24"/>
          <w:szCs w:val="24"/>
          <w:highlight w:val="none"/>
        </w:rPr>
      </w:pPr>
      <w:r>
        <w:rPr>
          <w:rFonts w:cs="Courier New"/>
          <w:sz w:val="24"/>
          <w:szCs w:val="24"/>
          <w:highlight w:val="none"/>
        </w:rPr>
        <w:t>1</w:t>
      </w:r>
      <w:r>
        <w:rPr>
          <w:rFonts w:hint="eastAsia" w:cs="Courier New"/>
          <w:sz w:val="24"/>
          <w:szCs w:val="24"/>
          <w:highlight w:val="none"/>
        </w:rPr>
        <w:t>5</w:t>
      </w:r>
      <w:r>
        <w:rPr>
          <w:rFonts w:cs="Courier New"/>
          <w:sz w:val="24"/>
          <w:szCs w:val="24"/>
          <w:highlight w:val="none"/>
        </w:rPr>
        <w:t>.2 不可抗力事件发生后，应立即通知对方，并寄送有关权威机构出具的证明。</w:t>
      </w:r>
    </w:p>
    <w:p w14:paraId="35EAD5B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cs="Courier New"/>
          <w:sz w:val="24"/>
          <w:szCs w:val="24"/>
          <w:highlight w:val="none"/>
        </w:rPr>
      </w:pPr>
      <w:r>
        <w:rPr>
          <w:rFonts w:cs="Courier New"/>
          <w:sz w:val="24"/>
          <w:szCs w:val="24"/>
          <w:highlight w:val="none"/>
        </w:rPr>
        <w:t>1</w:t>
      </w:r>
      <w:r>
        <w:rPr>
          <w:rFonts w:hint="eastAsia" w:cs="Courier New"/>
          <w:sz w:val="24"/>
          <w:szCs w:val="24"/>
          <w:highlight w:val="none"/>
        </w:rPr>
        <w:t>5</w:t>
      </w:r>
      <w:r>
        <w:rPr>
          <w:rFonts w:cs="Courier New"/>
          <w:sz w:val="24"/>
          <w:szCs w:val="24"/>
          <w:highlight w:val="none"/>
        </w:rPr>
        <w:t>.3 不可抗力事件延续120天以上，双方应通过友好协商，确定是否继续履行合同。</w:t>
      </w:r>
    </w:p>
    <w:p w14:paraId="1F681DDD">
      <w:pPr>
        <w:keepNext w:val="0"/>
        <w:keepLines w:val="0"/>
        <w:pageBreakBefore w:val="0"/>
        <w:widowControl w:val="0"/>
        <w:kinsoku/>
        <w:wordWrap/>
        <w:overflowPunct/>
        <w:topLinePunct w:val="0"/>
        <w:autoSpaceDE/>
        <w:autoSpaceDN/>
        <w:bidi w:val="0"/>
        <w:adjustRightInd/>
        <w:snapToGrid/>
        <w:spacing w:line="440" w:lineRule="exact"/>
        <w:textAlignment w:val="auto"/>
        <w:rPr>
          <w:rFonts w:cs="Courier New"/>
          <w:b/>
          <w:sz w:val="24"/>
          <w:szCs w:val="24"/>
          <w:highlight w:val="none"/>
        </w:rPr>
      </w:pPr>
      <w:r>
        <w:rPr>
          <w:rFonts w:cs="Courier New"/>
          <w:b/>
          <w:sz w:val="24"/>
          <w:szCs w:val="24"/>
          <w:highlight w:val="none"/>
        </w:rPr>
        <w:t>十</w:t>
      </w:r>
      <w:r>
        <w:rPr>
          <w:rFonts w:hint="eastAsia" w:cs="Courier New"/>
          <w:b/>
          <w:sz w:val="24"/>
          <w:szCs w:val="24"/>
          <w:highlight w:val="none"/>
        </w:rPr>
        <w:t>六</w:t>
      </w:r>
      <w:r>
        <w:rPr>
          <w:rFonts w:cs="Courier New"/>
          <w:b/>
          <w:sz w:val="24"/>
          <w:szCs w:val="24"/>
          <w:highlight w:val="none"/>
        </w:rPr>
        <w:t>、</w:t>
      </w:r>
      <w:r>
        <w:rPr>
          <w:rFonts w:hint="eastAsia" w:cs="Courier New"/>
          <w:b/>
          <w:sz w:val="24"/>
          <w:szCs w:val="24"/>
          <w:highlight w:val="none"/>
        </w:rPr>
        <w:t>解决争议的方法</w:t>
      </w:r>
    </w:p>
    <w:p w14:paraId="16C9D90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szCs w:val="24"/>
          <w:highlight w:val="none"/>
        </w:rPr>
      </w:pPr>
      <w:r>
        <w:rPr>
          <w:sz w:val="24"/>
          <w:szCs w:val="24"/>
          <w:highlight w:val="none"/>
        </w:rPr>
        <w:t>1</w:t>
      </w:r>
      <w:r>
        <w:rPr>
          <w:rFonts w:hint="eastAsia"/>
          <w:sz w:val="24"/>
          <w:szCs w:val="24"/>
          <w:highlight w:val="none"/>
        </w:rPr>
        <w:t>6</w:t>
      </w:r>
      <w:r>
        <w:rPr>
          <w:sz w:val="24"/>
          <w:szCs w:val="24"/>
          <w:highlight w:val="none"/>
        </w:rPr>
        <w:t>.1</w:t>
      </w:r>
      <w:r>
        <w:rPr>
          <w:rFonts w:hint="eastAsia"/>
          <w:sz w:val="24"/>
          <w:szCs w:val="24"/>
          <w:highlight w:val="none"/>
        </w:rPr>
        <w:t>甲乙</w:t>
      </w:r>
      <w:r>
        <w:rPr>
          <w:sz w:val="24"/>
          <w:szCs w:val="24"/>
          <w:highlight w:val="none"/>
        </w:rPr>
        <w:t>双方</w:t>
      </w:r>
      <w:r>
        <w:rPr>
          <w:rFonts w:hint="eastAsia"/>
          <w:sz w:val="24"/>
          <w:szCs w:val="24"/>
          <w:highlight w:val="none"/>
        </w:rPr>
        <w:t>因</w:t>
      </w:r>
      <w:r>
        <w:rPr>
          <w:sz w:val="24"/>
          <w:szCs w:val="24"/>
          <w:highlight w:val="none"/>
        </w:rPr>
        <w:t>合同</w:t>
      </w:r>
      <w:r>
        <w:rPr>
          <w:rFonts w:hint="eastAsia"/>
          <w:sz w:val="24"/>
          <w:szCs w:val="24"/>
          <w:highlight w:val="none"/>
        </w:rPr>
        <w:t>签订、履行而</w:t>
      </w:r>
      <w:r>
        <w:rPr>
          <w:sz w:val="24"/>
          <w:szCs w:val="24"/>
          <w:highlight w:val="none"/>
        </w:rPr>
        <w:t>发生的一切争议，应通过</w:t>
      </w:r>
      <w:r>
        <w:rPr>
          <w:rFonts w:hint="eastAsia"/>
          <w:sz w:val="24"/>
          <w:szCs w:val="24"/>
          <w:highlight w:val="none"/>
        </w:rPr>
        <w:t>友好</w:t>
      </w:r>
      <w:r>
        <w:rPr>
          <w:sz w:val="24"/>
          <w:szCs w:val="24"/>
          <w:highlight w:val="none"/>
        </w:rPr>
        <w:t>协商解决。如协商不成</w:t>
      </w:r>
      <w:r>
        <w:rPr>
          <w:rFonts w:hint="eastAsia"/>
          <w:sz w:val="24"/>
          <w:szCs w:val="24"/>
          <w:highlight w:val="none"/>
        </w:rPr>
        <w:t>由甲方住所地人民</w:t>
      </w:r>
      <w:r>
        <w:rPr>
          <w:sz w:val="24"/>
          <w:szCs w:val="24"/>
          <w:highlight w:val="none"/>
        </w:rPr>
        <w:t>法院</w:t>
      </w:r>
      <w:r>
        <w:rPr>
          <w:rFonts w:hint="eastAsia"/>
          <w:sz w:val="24"/>
          <w:szCs w:val="24"/>
          <w:highlight w:val="none"/>
        </w:rPr>
        <w:t>管辖。</w:t>
      </w:r>
    </w:p>
    <w:p w14:paraId="5DA059D0">
      <w:pPr>
        <w:keepNext w:val="0"/>
        <w:keepLines w:val="0"/>
        <w:pageBreakBefore w:val="0"/>
        <w:widowControl w:val="0"/>
        <w:kinsoku/>
        <w:wordWrap/>
        <w:overflowPunct/>
        <w:topLinePunct w:val="0"/>
        <w:autoSpaceDE/>
        <w:autoSpaceDN/>
        <w:bidi w:val="0"/>
        <w:adjustRightInd/>
        <w:snapToGrid/>
        <w:spacing w:line="440" w:lineRule="exact"/>
        <w:textAlignment w:val="auto"/>
        <w:rPr>
          <w:rFonts w:cs="Courier New"/>
          <w:b/>
          <w:sz w:val="24"/>
          <w:szCs w:val="24"/>
          <w:highlight w:val="none"/>
        </w:rPr>
      </w:pPr>
      <w:r>
        <w:rPr>
          <w:rFonts w:cs="Courier New"/>
          <w:b/>
          <w:sz w:val="24"/>
          <w:szCs w:val="24"/>
          <w:highlight w:val="none"/>
        </w:rPr>
        <w:t>十</w:t>
      </w:r>
      <w:r>
        <w:rPr>
          <w:rFonts w:hint="eastAsia" w:cs="Courier New"/>
          <w:b/>
          <w:sz w:val="24"/>
          <w:szCs w:val="24"/>
          <w:highlight w:val="none"/>
        </w:rPr>
        <w:t>七</w:t>
      </w:r>
      <w:r>
        <w:rPr>
          <w:rFonts w:cs="Courier New"/>
          <w:b/>
          <w:sz w:val="24"/>
          <w:szCs w:val="24"/>
          <w:highlight w:val="none"/>
        </w:rPr>
        <w:t>、合同生效及其它</w:t>
      </w:r>
    </w:p>
    <w:p w14:paraId="5EB35D9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cs="Courier New"/>
          <w:sz w:val="24"/>
          <w:szCs w:val="24"/>
          <w:highlight w:val="none"/>
        </w:rPr>
      </w:pPr>
      <w:r>
        <w:rPr>
          <w:rFonts w:cs="Courier New"/>
          <w:sz w:val="24"/>
          <w:szCs w:val="24"/>
          <w:highlight w:val="none"/>
        </w:rPr>
        <w:t>1</w:t>
      </w:r>
      <w:r>
        <w:rPr>
          <w:rFonts w:hint="eastAsia" w:cs="Courier New"/>
          <w:sz w:val="24"/>
          <w:szCs w:val="24"/>
          <w:highlight w:val="none"/>
        </w:rPr>
        <w:t>7</w:t>
      </w:r>
      <w:r>
        <w:rPr>
          <w:rFonts w:cs="Courier New"/>
          <w:sz w:val="24"/>
          <w:szCs w:val="24"/>
          <w:highlight w:val="none"/>
        </w:rPr>
        <w:t>.1 合同经双方法定代表人或授权委托代</w:t>
      </w:r>
      <w:r>
        <w:rPr>
          <w:rFonts w:hint="eastAsia" w:cs="Courier New"/>
          <w:sz w:val="24"/>
          <w:szCs w:val="24"/>
          <w:highlight w:val="none"/>
        </w:rPr>
        <w:t>表</w:t>
      </w:r>
      <w:r>
        <w:rPr>
          <w:rFonts w:cs="Courier New"/>
          <w:sz w:val="24"/>
          <w:szCs w:val="24"/>
          <w:highlight w:val="none"/>
        </w:rPr>
        <w:t>人签字并加盖单位公章后生效。</w:t>
      </w:r>
    </w:p>
    <w:p w14:paraId="52F0FC2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cs="Courier New"/>
          <w:sz w:val="24"/>
          <w:szCs w:val="24"/>
          <w:highlight w:val="none"/>
        </w:rPr>
      </w:pPr>
      <w:r>
        <w:rPr>
          <w:rFonts w:hint="eastAsia" w:cs="Courier New"/>
          <w:sz w:val="24"/>
          <w:szCs w:val="24"/>
          <w:highlight w:val="none"/>
        </w:rPr>
        <w:t>17</w:t>
      </w:r>
      <w:r>
        <w:rPr>
          <w:rFonts w:cs="Courier New"/>
          <w:sz w:val="24"/>
          <w:szCs w:val="24"/>
          <w:highlight w:val="none"/>
        </w:rPr>
        <w:t>.2 本合同未尽事宜，遵照</w:t>
      </w:r>
      <w:r>
        <w:rPr>
          <w:rFonts w:hint="eastAsia" w:cs="Courier New"/>
          <w:sz w:val="24"/>
          <w:szCs w:val="24"/>
          <w:highlight w:val="none"/>
        </w:rPr>
        <w:t>中华人民共和国现行法律法规</w:t>
      </w:r>
      <w:r>
        <w:rPr>
          <w:rFonts w:cs="Courier New"/>
          <w:sz w:val="24"/>
          <w:szCs w:val="24"/>
          <w:highlight w:val="none"/>
        </w:rPr>
        <w:t>有关条文执行。</w:t>
      </w:r>
    </w:p>
    <w:p w14:paraId="684BF14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cs="Courier New"/>
          <w:sz w:val="24"/>
          <w:szCs w:val="24"/>
          <w:highlight w:val="none"/>
        </w:rPr>
      </w:pPr>
      <w:r>
        <w:rPr>
          <w:rFonts w:cs="Courier New"/>
          <w:sz w:val="24"/>
          <w:szCs w:val="24"/>
          <w:highlight w:val="none"/>
        </w:rPr>
        <w:t>1</w:t>
      </w:r>
      <w:r>
        <w:rPr>
          <w:rFonts w:hint="eastAsia" w:cs="Courier New"/>
          <w:sz w:val="24"/>
          <w:szCs w:val="24"/>
          <w:highlight w:val="none"/>
        </w:rPr>
        <w:t>7</w:t>
      </w:r>
      <w:r>
        <w:rPr>
          <w:rFonts w:cs="Courier New"/>
          <w:sz w:val="24"/>
          <w:szCs w:val="24"/>
          <w:highlight w:val="none"/>
        </w:rPr>
        <w:t>.</w:t>
      </w:r>
      <w:r>
        <w:rPr>
          <w:rFonts w:hint="eastAsia" w:cs="Courier New"/>
          <w:sz w:val="24"/>
          <w:szCs w:val="24"/>
          <w:highlight w:val="none"/>
        </w:rPr>
        <w:t>3</w:t>
      </w:r>
      <w:r>
        <w:rPr>
          <w:rFonts w:cs="Courier New"/>
          <w:sz w:val="24"/>
          <w:szCs w:val="24"/>
          <w:highlight w:val="none"/>
        </w:rPr>
        <w:t xml:space="preserve"> 本合同正本一式</w:t>
      </w:r>
      <w:r>
        <w:rPr>
          <w:rFonts w:hint="eastAsia" w:cs="Courier New"/>
          <w:sz w:val="24"/>
          <w:szCs w:val="24"/>
          <w:highlight w:val="none"/>
        </w:rPr>
        <w:t>六</w:t>
      </w:r>
      <w:r>
        <w:rPr>
          <w:rFonts w:cs="Courier New"/>
          <w:sz w:val="24"/>
          <w:szCs w:val="24"/>
          <w:highlight w:val="none"/>
        </w:rPr>
        <w:t>份，具有同等法律效力，甲</w:t>
      </w:r>
      <w:r>
        <w:rPr>
          <w:rFonts w:hint="eastAsia" w:cs="Courier New"/>
          <w:sz w:val="24"/>
          <w:szCs w:val="24"/>
          <w:highlight w:val="none"/>
        </w:rPr>
        <w:t>方、</w:t>
      </w:r>
      <w:r>
        <w:rPr>
          <w:rFonts w:cs="Courier New"/>
          <w:sz w:val="24"/>
          <w:szCs w:val="24"/>
          <w:highlight w:val="none"/>
        </w:rPr>
        <w:t>乙方各执</w:t>
      </w:r>
      <w:r>
        <w:rPr>
          <w:rFonts w:hint="eastAsia" w:cs="Courier New"/>
          <w:sz w:val="24"/>
          <w:szCs w:val="24"/>
          <w:highlight w:val="none"/>
        </w:rPr>
        <w:t>三</w:t>
      </w:r>
      <w:r>
        <w:rPr>
          <w:rFonts w:cs="Courier New"/>
          <w:sz w:val="24"/>
          <w:szCs w:val="24"/>
          <w:highlight w:val="none"/>
        </w:rPr>
        <w:t>份。</w:t>
      </w:r>
    </w:p>
    <w:p w14:paraId="24AF062A">
      <w:pPr>
        <w:keepNext w:val="0"/>
        <w:keepLines w:val="0"/>
        <w:pageBreakBefore w:val="0"/>
        <w:widowControl w:val="0"/>
        <w:kinsoku/>
        <w:wordWrap/>
        <w:overflowPunct/>
        <w:topLinePunct w:val="0"/>
        <w:autoSpaceDE/>
        <w:autoSpaceDN/>
        <w:bidi w:val="0"/>
        <w:adjustRightInd/>
        <w:snapToGrid/>
        <w:spacing w:line="440" w:lineRule="exact"/>
        <w:ind w:hanging="480"/>
        <w:textAlignment w:val="auto"/>
        <w:rPr>
          <w:rFonts w:cs="Courier New"/>
          <w:sz w:val="24"/>
          <w:szCs w:val="24"/>
          <w:highlight w:val="none"/>
        </w:rPr>
      </w:pPr>
      <w:r>
        <w:rPr>
          <w:rFonts w:cs="Courier New"/>
          <w:sz w:val="24"/>
          <w:szCs w:val="24"/>
          <w:highlight w:val="none"/>
        </w:rPr>
        <w:t xml:space="preserve">      </w:t>
      </w:r>
    </w:p>
    <w:p w14:paraId="5388563D">
      <w:pPr>
        <w:keepNext w:val="0"/>
        <w:keepLines w:val="0"/>
        <w:pageBreakBefore w:val="0"/>
        <w:widowControl w:val="0"/>
        <w:kinsoku/>
        <w:wordWrap/>
        <w:overflowPunct/>
        <w:topLinePunct w:val="0"/>
        <w:autoSpaceDE/>
        <w:autoSpaceDN/>
        <w:bidi w:val="0"/>
        <w:adjustRightInd/>
        <w:snapToGrid/>
        <w:spacing w:before="181" w:beforeLines="50" w:after="181" w:afterLines="50" w:line="360" w:lineRule="auto"/>
        <w:ind w:firstLine="240" w:firstLineChars="100"/>
        <w:textAlignment w:val="auto"/>
        <w:rPr>
          <w:rFonts w:cs="Courier New"/>
          <w:sz w:val="24"/>
          <w:szCs w:val="24"/>
          <w:highlight w:val="none"/>
        </w:rPr>
      </w:pPr>
      <w:r>
        <w:rPr>
          <w:rFonts w:cs="Courier New"/>
          <w:sz w:val="24"/>
          <w:szCs w:val="24"/>
          <w:highlight w:val="none"/>
        </w:rPr>
        <w:t xml:space="preserve">甲方：                        乙方： </w:t>
      </w:r>
    </w:p>
    <w:p w14:paraId="3DC5729E">
      <w:pPr>
        <w:keepNext w:val="0"/>
        <w:keepLines w:val="0"/>
        <w:pageBreakBefore w:val="0"/>
        <w:widowControl w:val="0"/>
        <w:kinsoku/>
        <w:wordWrap/>
        <w:overflowPunct/>
        <w:topLinePunct w:val="0"/>
        <w:autoSpaceDE/>
        <w:autoSpaceDN/>
        <w:bidi w:val="0"/>
        <w:adjustRightInd/>
        <w:snapToGrid/>
        <w:spacing w:before="181" w:beforeLines="50" w:after="181" w:afterLines="50" w:line="360" w:lineRule="auto"/>
        <w:textAlignment w:val="auto"/>
        <w:rPr>
          <w:rFonts w:cs="Courier New"/>
          <w:sz w:val="24"/>
          <w:szCs w:val="24"/>
          <w:highlight w:val="none"/>
        </w:rPr>
      </w:pPr>
      <w:r>
        <w:rPr>
          <w:rFonts w:cs="Courier New"/>
          <w:sz w:val="24"/>
          <w:szCs w:val="24"/>
          <w:highlight w:val="none"/>
        </w:rPr>
        <w:t xml:space="preserve">  地址：                       </w:t>
      </w:r>
      <w:r>
        <w:rPr>
          <w:rFonts w:hint="eastAsia" w:cs="Courier New"/>
          <w:sz w:val="24"/>
          <w:szCs w:val="24"/>
          <w:highlight w:val="none"/>
        </w:rPr>
        <w:t xml:space="preserve"> </w:t>
      </w:r>
      <w:r>
        <w:rPr>
          <w:rFonts w:cs="Courier New"/>
          <w:sz w:val="24"/>
          <w:szCs w:val="24"/>
          <w:highlight w:val="none"/>
        </w:rPr>
        <w:t xml:space="preserve">地址： </w:t>
      </w:r>
    </w:p>
    <w:p w14:paraId="1B0AAE45">
      <w:pPr>
        <w:keepNext w:val="0"/>
        <w:keepLines w:val="0"/>
        <w:pageBreakBefore w:val="0"/>
        <w:widowControl w:val="0"/>
        <w:kinsoku/>
        <w:wordWrap/>
        <w:overflowPunct/>
        <w:topLinePunct w:val="0"/>
        <w:autoSpaceDE/>
        <w:autoSpaceDN/>
        <w:bidi w:val="0"/>
        <w:adjustRightInd/>
        <w:snapToGrid/>
        <w:spacing w:before="181" w:beforeLines="50" w:after="181" w:afterLines="50" w:line="360" w:lineRule="auto"/>
        <w:textAlignment w:val="auto"/>
        <w:rPr>
          <w:rFonts w:cs="Courier New"/>
          <w:sz w:val="24"/>
          <w:szCs w:val="24"/>
          <w:highlight w:val="none"/>
        </w:rPr>
      </w:pPr>
      <w:r>
        <w:rPr>
          <w:rFonts w:cs="Courier New"/>
          <w:sz w:val="24"/>
          <w:szCs w:val="24"/>
          <w:highlight w:val="none"/>
        </w:rPr>
        <w:t xml:space="preserve">  法定代表人</w:t>
      </w:r>
      <w:r>
        <w:rPr>
          <w:rFonts w:hint="eastAsia" w:cs="Courier New"/>
          <w:sz w:val="24"/>
          <w:szCs w:val="24"/>
          <w:highlight w:val="none"/>
        </w:rPr>
        <w:t>或授权代表</w:t>
      </w:r>
      <w:r>
        <w:rPr>
          <w:rFonts w:cs="Courier New"/>
          <w:sz w:val="24"/>
          <w:szCs w:val="24"/>
          <w:highlight w:val="none"/>
        </w:rPr>
        <w:t>：        法定代表人</w:t>
      </w:r>
      <w:r>
        <w:rPr>
          <w:rFonts w:hint="eastAsia" w:cs="Courier New"/>
          <w:sz w:val="24"/>
          <w:szCs w:val="24"/>
          <w:highlight w:val="none"/>
        </w:rPr>
        <w:t>或授权代表</w:t>
      </w:r>
      <w:r>
        <w:rPr>
          <w:rFonts w:cs="Courier New"/>
          <w:sz w:val="24"/>
          <w:szCs w:val="24"/>
          <w:highlight w:val="none"/>
        </w:rPr>
        <w:t>：</w:t>
      </w:r>
    </w:p>
    <w:p w14:paraId="6AA4306B">
      <w:pPr>
        <w:keepNext w:val="0"/>
        <w:keepLines w:val="0"/>
        <w:pageBreakBefore w:val="0"/>
        <w:widowControl w:val="0"/>
        <w:kinsoku/>
        <w:wordWrap/>
        <w:overflowPunct/>
        <w:topLinePunct w:val="0"/>
        <w:autoSpaceDE/>
        <w:autoSpaceDN/>
        <w:bidi w:val="0"/>
        <w:adjustRightInd/>
        <w:snapToGrid/>
        <w:spacing w:before="181" w:beforeLines="50" w:after="181" w:afterLines="50" w:line="360" w:lineRule="auto"/>
        <w:ind w:firstLine="240" w:firstLineChars="100"/>
        <w:textAlignment w:val="auto"/>
        <w:rPr>
          <w:rFonts w:cs="Courier New"/>
          <w:highlight w:val="none"/>
        </w:rPr>
      </w:pPr>
      <w:r>
        <w:rPr>
          <w:rFonts w:hint="eastAsia" w:cs="Courier New"/>
          <w:sz w:val="24"/>
          <w:szCs w:val="24"/>
          <w:highlight w:val="none"/>
        </w:rPr>
        <w:t xml:space="preserve">联系电话：                    联系电话：        </w:t>
      </w:r>
    </w:p>
    <w:p w14:paraId="026F38FC">
      <w:pPr>
        <w:keepNext w:val="0"/>
        <w:keepLines w:val="0"/>
        <w:pageBreakBefore w:val="0"/>
        <w:widowControl w:val="0"/>
        <w:kinsoku/>
        <w:wordWrap/>
        <w:overflowPunct/>
        <w:topLinePunct w:val="0"/>
        <w:autoSpaceDE/>
        <w:autoSpaceDN/>
        <w:bidi w:val="0"/>
        <w:adjustRightInd/>
        <w:snapToGrid/>
        <w:spacing w:before="120" w:after="120" w:line="440" w:lineRule="exact"/>
        <w:jc w:val="center"/>
        <w:textAlignment w:val="auto"/>
        <w:rPr>
          <w:rFonts w:cs="Courier New"/>
          <w:sz w:val="24"/>
          <w:szCs w:val="24"/>
          <w:highlight w:val="none"/>
        </w:rPr>
      </w:pPr>
      <w:r>
        <w:rPr>
          <w:rFonts w:hint="eastAsia" w:cs="Courier New"/>
          <w:highlight w:val="none"/>
        </w:rPr>
        <w:t xml:space="preserve">            </w:t>
      </w:r>
      <w:r>
        <w:rPr>
          <w:rFonts w:hint="eastAsia" w:cs="Courier New"/>
          <w:sz w:val="24"/>
          <w:szCs w:val="24"/>
          <w:highlight w:val="none"/>
        </w:rPr>
        <w:t xml:space="preserve">   </w:t>
      </w:r>
    </w:p>
    <w:p w14:paraId="19B005B7">
      <w:pPr>
        <w:keepNext w:val="0"/>
        <w:keepLines w:val="0"/>
        <w:pageBreakBefore w:val="0"/>
        <w:widowControl w:val="0"/>
        <w:kinsoku/>
        <w:wordWrap/>
        <w:overflowPunct/>
        <w:topLinePunct w:val="0"/>
        <w:autoSpaceDE/>
        <w:autoSpaceDN/>
        <w:bidi w:val="0"/>
        <w:adjustRightInd/>
        <w:snapToGrid/>
        <w:spacing w:before="120" w:after="120" w:line="440" w:lineRule="exact"/>
        <w:ind w:firstLine="240"/>
        <w:textAlignment w:val="auto"/>
        <w:rPr>
          <w:rFonts w:cs="Courier New"/>
          <w:sz w:val="24"/>
          <w:szCs w:val="24"/>
          <w:highlight w:val="none"/>
        </w:rPr>
      </w:pPr>
      <w:r>
        <w:rPr>
          <w:rFonts w:hint="eastAsia" w:cs="Courier New"/>
          <w:sz w:val="24"/>
          <w:szCs w:val="24"/>
          <w:highlight w:val="none"/>
        </w:rPr>
        <w:t xml:space="preserve">签订日期：      年    月   日      </w:t>
      </w:r>
    </w:p>
    <w:p w14:paraId="406E88AC">
      <w:pPr>
        <w:spacing w:before="120" w:after="120" w:line="0" w:lineRule="atLeast"/>
        <w:ind w:firstLine="240"/>
        <w:rPr>
          <w:rFonts w:cs="Courier New"/>
          <w:sz w:val="24"/>
          <w:szCs w:val="24"/>
          <w:highlight w:val="none"/>
        </w:rPr>
      </w:pPr>
    </w:p>
    <w:p w14:paraId="71E80368">
      <w:pPr>
        <w:spacing w:line="360" w:lineRule="auto"/>
        <w:jc w:val="center"/>
        <w:rPr>
          <w:rFonts w:hint="eastAsia" w:ascii="宋体" w:hAnsi="宋体" w:eastAsia="宋体" w:cs="宋体"/>
          <w:b/>
          <w:color w:val="000000" w:themeColor="text1"/>
          <w:sz w:val="30"/>
          <w:szCs w:val="21"/>
          <w:highlight w:val="none"/>
          <w14:textFill>
            <w14:solidFill>
              <w14:schemeClr w14:val="tx1"/>
            </w14:solidFill>
          </w14:textFill>
        </w:rPr>
      </w:pPr>
    </w:p>
    <w:p w14:paraId="0ACBFEC1">
      <w:pPr>
        <w:spacing w:line="360" w:lineRule="auto"/>
        <w:jc w:val="center"/>
        <w:rPr>
          <w:rFonts w:hint="eastAsia" w:ascii="宋体" w:hAnsi="宋体" w:eastAsia="宋体" w:cs="宋体"/>
          <w:b/>
          <w:color w:val="000000" w:themeColor="text1"/>
          <w:sz w:val="30"/>
          <w:szCs w:val="21"/>
          <w:highlight w:val="none"/>
          <w14:textFill>
            <w14:solidFill>
              <w14:schemeClr w14:val="tx1"/>
            </w14:solidFill>
          </w14:textFill>
        </w:rPr>
      </w:pPr>
    </w:p>
    <w:p w14:paraId="4686A29A">
      <w:pPr>
        <w:spacing w:line="360" w:lineRule="auto"/>
        <w:jc w:val="center"/>
        <w:rPr>
          <w:rFonts w:hint="eastAsia" w:ascii="宋体" w:hAnsi="宋体" w:eastAsia="宋体" w:cs="宋体"/>
          <w:b/>
          <w:color w:val="000000" w:themeColor="text1"/>
          <w:sz w:val="30"/>
          <w:szCs w:val="21"/>
          <w:highlight w:val="none"/>
          <w14:textFill>
            <w14:solidFill>
              <w14:schemeClr w14:val="tx1"/>
            </w14:solidFill>
          </w14:textFill>
        </w:rPr>
      </w:pPr>
    </w:p>
    <w:p w14:paraId="49BD98F9">
      <w:pPr>
        <w:spacing w:line="360" w:lineRule="auto"/>
        <w:jc w:val="center"/>
        <w:rPr>
          <w:rFonts w:hint="eastAsia" w:ascii="宋体" w:hAnsi="宋体" w:eastAsia="宋体" w:cs="宋体"/>
          <w:b/>
          <w:color w:val="000000" w:themeColor="text1"/>
          <w:sz w:val="30"/>
          <w:szCs w:val="21"/>
          <w:highlight w:val="none"/>
          <w14:textFill>
            <w14:solidFill>
              <w14:schemeClr w14:val="tx1"/>
            </w14:solidFill>
          </w14:textFill>
        </w:rPr>
      </w:pPr>
    </w:p>
    <w:p w14:paraId="0E7163D8">
      <w:pPr>
        <w:spacing w:line="360" w:lineRule="auto"/>
        <w:jc w:val="center"/>
        <w:rPr>
          <w:rFonts w:hint="eastAsia" w:ascii="宋体" w:hAnsi="宋体" w:eastAsia="宋体" w:cs="宋体"/>
          <w:b/>
          <w:color w:val="000000" w:themeColor="text1"/>
          <w:sz w:val="30"/>
          <w:szCs w:val="21"/>
          <w:highlight w:val="none"/>
          <w14:textFill>
            <w14:solidFill>
              <w14:schemeClr w14:val="tx1"/>
            </w14:solidFill>
          </w14:textFill>
        </w:rPr>
      </w:pPr>
    </w:p>
    <w:p w14:paraId="17AB273E">
      <w:pPr>
        <w:spacing w:line="360" w:lineRule="auto"/>
        <w:jc w:val="center"/>
        <w:rPr>
          <w:rFonts w:hint="eastAsia" w:ascii="宋体" w:hAnsi="宋体" w:eastAsia="宋体" w:cs="宋体"/>
          <w:b/>
          <w:color w:val="000000" w:themeColor="text1"/>
          <w:sz w:val="30"/>
          <w:szCs w:val="21"/>
          <w:highlight w:val="none"/>
          <w14:textFill>
            <w14:solidFill>
              <w14:schemeClr w14:val="tx1"/>
            </w14:solidFill>
          </w14:textFill>
        </w:rPr>
      </w:pPr>
    </w:p>
    <w:p w14:paraId="471DCDB6">
      <w:pPr>
        <w:spacing w:line="360" w:lineRule="auto"/>
        <w:jc w:val="center"/>
        <w:rPr>
          <w:rFonts w:hint="eastAsia" w:ascii="宋体" w:hAnsi="宋体" w:eastAsia="宋体" w:cs="宋体"/>
          <w:b/>
          <w:color w:val="000000" w:themeColor="text1"/>
          <w:sz w:val="30"/>
          <w:szCs w:val="21"/>
          <w:highlight w:val="none"/>
          <w14:textFill>
            <w14:solidFill>
              <w14:schemeClr w14:val="tx1"/>
            </w14:solidFill>
          </w14:textFill>
        </w:rPr>
      </w:pPr>
    </w:p>
    <w:p w14:paraId="7E9C0D91">
      <w:pPr>
        <w:spacing w:line="360" w:lineRule="auto"/>
        <w:jc w:val="center"/>
        <w:rPr>
          <w:rFonts w:hint="eastAsia" w:ascii="宋体" w:hAnsi="宋体" w:eastAsia="宋体" w:cs="宋体"/>
          <w:b/>
          <w:color w:val="000000" w:themeColor="text1"/>
          <w:sz w:val="30"/>
          <w:szCs w:val="21"/>
          <w:highlight w:val="none"/>
          <w14:textFill>
            <w14:solidFill>
              <w14:schemeClr w14:val="tx1"/>
            </w14:solidFill>
          </w14:textFill>
        </w:rPr>
      </w:pPr>
    </w:p>
    <w:p w14:paraId="0BE72232">
      <w:pPr>
        <w:spacing w:line="360" w:lineRule="auto"/>
        <w:jc w:val="center"/>
        <w:rPr>
          <w:rFonts w:hint="eastAsia" w:ascii="宋体" w:hAnsi="宋体" w:eastAsia="宋体" w:cs="宋体"/>
          <w:b/>
          <w:color w:val="000000" w:themeColor="text1"/>
          <w:sz w:val="30"/>
          <w:szCs w:val="21"/>
          <w:highlight w:val="none"/>
          <w14:textFill>
            <w14:solidFill>
              <w14:schemeClr w14:val="tx1"/>
            </w14:solidFill>
          </w14:textFill>
        </w:rPr>
      </w:pPr>
    </w:p>
    <w:p w14:paraId="468A603C">
      <w:pPr>
        <w:spacing w:line="360" w:lineRule="auto"/>
        <w:jc w:val="center"/>
        <w:rPr>
          <w:rFonts w:hint="eastAsia" w:ascii="宋体" w:hAnsi="宋体" w:eastAsia="宋体" w:cs="宋体"/>
          <w:b/>
          <w:color w:val="000000" w:themeColor="text1"/>
          <w:sz w:val="30"/>
          <w:szCs w:val="21"/>
          <w:highlight w:val="none"/>
          <w14:textFill>
            <w14:solidFill>
              <w14:schemeClr w14:val="tx1"/>
            </w14:solidFill>
          </w14:textFill>
        </w:rPr>
      </w:pPr>
    </w:p>
    <w:p w14:paraId="6CCF590D">
      <w:pPr>
        <w:spacing w:line="360" w:lineRule="auto"/>
        <w:jc w:val="center"/>
        <w:rPr>
          <w:rFonts w:hint="eastAsia" w:ascii="宋体" w:hAnsi="宋体" w:eastAsia="宋体" w:cs="宋体"/>
          <w:b/>
          <w:color w:val="000000" w:themeColor="text1"/>
          <w:sz w:val="30"/>
          <w:szCs w:val="21"/>
          <w:highlight w:val="none"/>
          <w14:textFill>
            <w14:solidFill>
              <w14:schemeClr w14:val="tx1"/>
            </w14:solidFill>
          </w14:textFill>
        </w:rPr>
      </w:pPr>
    </w:p>
    <w:p w14:paraId="685CAF7F">
      <w:pPr>
        <w:spacing w:line="360" w:lineRule="auto"/>
        <w:jc w:val="center"/>
        <w:rPr>
          <w:rFonts w:hint="eastAsia" w:ascii="宋体" w:hAnsi="宋体" w:eastAsia="宋体" w:cs="宋体"/>
          <w:b/>
          <w:color w:val="000000" w:themeColor="text1"/>
          <w:sz w:val="30"/>
          <w:szCs w:val="21"/>
          <w:highlight w:val="none"/>
          <w14:textFill>
            <w14:solidFill>
              <w14:schemeClr w14:val="tx1"/>
            </w14:solidFill>
          </w14:textFill>
        </w:rPr>
      </w:pPr>
    </w:p>
    <w:p w14:paraId="21B9777B">
      <w:pPr>
        <w:spacing w:line="360" w:lineRule="auto"/>
        <w:jc w:val="center"/>
        <w:rPr>
          <w:rFonts w:hint="eastAsia" w:ascii="宋体" w:hAnsi="宋体" w:eastAsia="宋体" w:cs="宋体"/>
          <w:b/>
          <w:color w:val="000000" w:themeColor="text1"/>
          <w:sz w:val="30"/>
          <w:szCs w:val="21"/>
          <w:highlight w:val="none"/>
          <w14:textFill>
            <w14:solidFill>
              <w14:schemeClr w14:val="tx1"/>
            </w14:solidFill>
          </w14:textFill>
        </w:rPr>
      </w:pPr>
    </w:p>
    <w:bookmarkEnd w:id="148"/>
    <w:p w14:paraId="281BC996">
      <w:pPr>
        <w:keepNext/>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ascii="宋体" w:hAnsi="宋体" w:eastAsia="宋体" w:cs="宋体"/>
          <w:bCs/>
          <w:color w:val="000000" w:themeColor="text1"/>
          <w:sz w:val="44"/>
          <w:szCs w:val="28"/>
          <w:highlight w:val="none"/>
          <w14:textFill>
            <w14:solidFill>
              <w14:schemeClr w14:val="tx1"/>
            </w14:solidFill>
          </w14:textFill>
        </w:rPr>
      </w:pPr>
      <w:bookmarkStart w:id="150" w:name="_Toc1604"/>
      <w:r>
        <w:rPr>
          <w:rFonts w:hint="eastAsia" w:ascii="宋体" w:hAnsi="宋体" w:eastAsia="宋体" w:cs="宋体"/>
          <w:b/>
          <w:color w:val="000000" w:themeColor="text1"/>
          <w:sz w:val="44"/>
          <w:szCs w:val="28"/>
          <w:highlight w:val="none"/>
          <w14:textFill>
            <w14:solidFill>
              <w14:schemeClr w14:val="tx1"/>
            </w14:solidFill>
          </w14:textFill>
        </w:rPr>
        <w:t>第</w:t>
      </w:r>
      <w:bookmarkEnd w:id="137"/>
      <w:r>
        <w:rPr>
          <w:rFonts w:hint="eastAsia" w:ascii="宋体" w:hAnsi="宋体" w:eastAsia="宋体" w:cs="宋体"/>
          <w:b/>
          <w:color w:val="000000" w:themeColor="text1"/>
          <w:sz w:val="44"/>
          <w:szCs w:val="28"/>
          <w:highlight w:val="none"/>
          <w14:textFill>
            <w14:solidFill>
              <w14:schemeClr w14:val="tx1"/>
            </w14:solidFill>
          </w14:textFill>
        </w:rPr>
        <w:t>四章 采购需求</w:t>
      </w:r>
      <w:bookmarkEnd w:id="138"/>
      <w:bookmarkEnd w:id="139"/>
      <w:bookmarkEnd w:id="140"/>
      <w:bookmarkEnd w:id="150"/>
    </w:p>
    <w:p w14:paraId="58F68C19">
      <w:pPr>
        <w:spacing w:line="560" w:lineRule="exact"/>
        <w:ind w:firstLine="480"/>
        <w:rPr>
          <w:rFonts w:cs="Courier New"/>
          <w:sz w:val="24"/>
          <w:szCs w:val="24"/>
          <w:highlight w:val="none"/>
        </w:rPr>
      </w:pPr>
      <w:bookmarkStart w:id="151" w:name="_Toc49090575"/>
      <w:bookmarkStart w:id="152" w:name="_Toc26554093"/>
      <w:r>
        <w:rPr>
          <w:rFonts w:hint="eastAsia" w:cs="Courier New"/>
          <w:sz w:val="24"/>
          <w:szCs w:val="24"/>
          <w:highlight w:val="none"/>
        </w:rPr>
        <w:t>项目属性：货物类项目</w:t>
      </w:r>
    </w:p>
    <w:p w14:paraId="4A897C4C">
      <w:pPr>
        <w:spacing w:line="560" w:lineRule="exact"/>
        <w:ind w:firstLine="480"/>
        <w:rPr>
          <w:rFonts w:cs="Courier New"/>
          <w:sz w:val="24"/>
          <w:szCs w:val="24"/>
          <w:highlight w:val="none"/>
        </w:rPr>
      </w:pPr>
      <w:r>
        <w:rPr>
          <w:rFonts w:hint="eastAsia" w:cs="Courier New"/>
          <w:sz w:val="24"/>
          <w:szCs w:val="24"/>
          <w:highlight w:val="none"/>
        </w:rPr>
        <w:t>本项目采购标的对应的中小企业划分标准所属行业：</w:t>
      </w:r>
      <w:r>
        <w:rPr>
          <w:rFonts w:hint="eastAsia" w:cs="Courier New"/>
          <w:sz w:val="24"/>
          <w:szCs w:val="24"/>
          <w:highlight w:val="none"/>
          <w:u w:val="single"/>
        </w:rPr>
        <w:t xml:space="preserve"> 工业（制造业）</w:t>
      </w:r>
    </w:p>
    <w:p w14:paraId="7294F9DC">
      <w:pPr>
        <w:spacing w:line="560" w:lineRule="exact"/>
        <w:ind w:firstLine="480"/>
        <w:rPr>
          <w:rFonts w:cs="Courier New"/>
          <w:sz w:val="24"/>
          <w:szCs w:val="24"/>
          <w:highlight w:val="none"/>
        </w:rPr>
      </w:pPr>
      <w:r>
        <w:rPr>
          <w:rFonts w:hint="eastAsia" w:cs="Courier New"/>
          <w:sz w:val="24"/>
          <w:szCs w:val="24"/>
          <w:highlight w:val="none"/>
        </w:rPr>
        <w:t>本项目</w:t>
      </w:r>
      <w:r>
        <w:rPr>
          <w:rFonts w:hint="eastAsia" w:cs="Courier New"/>
          <w:sz w:val="24"/>
          <w:szCs w:val="24"/>
          <w:highlight w:val="none"/>
          <w:u w:val="single"/>
        </w:rPr>
        <w:t xml:space="preserve"> 不接受 </w:t>
      </w:r>
      <w:r>
        <w:rPr>
          <w:rFonts w:hint="eastAsia" w:cs="Courier New"/>
          <w:sz w:val="24"/>
          <w:szCs w:val="24"/>
          <w:highlight w:val="none"/>
        </w:rPr>
        <w:t>（接受/不接受）进口产品。</w:t>
      </w:r>
    </w:p>
    <w:p w14:paraId="29C15B38">
      <w:pPr>
        <w:pStyle w:val="195"/>
        <w:spacing w:line="360" w:lineRule="auto"/>
        <w:ind w:firstLine="482"/>
        <w:jc w:val="left"/>
        <w:rPr>
          <w:rFonts w:ascii="Times New Roman" w:hAnsi="Times New Roman"/>
          <w:b/>
          <w:bCs/>
          <w:sz w:val="24"/>
          <w:szCs w:val="21"/>
          <w:highlight w:val="none"/>
        </w:rPr>
      </w:pPr>
      <w:r>
        <w:rPr>
          <w:rFonts w:hint="eastAsia" w:ascii="Times New Roman" w:hAnsi="Times New Roman"/>
          <w:b/>
          <w:bCs/>
          <w:sz w:val="24"/>
          <w:szCs w:val="21"/>
          <w:highlight w:val="none"/>
        </w:rPr>
        <w:t>一、项目概况</w:t>
      </w:r>
    </w:p>
    <w:p w14:paraId="36BD839C">
      <w:pPr>
        <w:keepNext/>
        <w:keepLines/>
        <w:spacing w:line="360" w:lineRule="auto"/>
        <w:ind w:firstLine="48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1.项目编号：JSZC-321300-JSHB-G2026-0008</w:t>
      </w:r>
    </w:p>
    <w:p w14:paraId="085E9B54">
      <w:pPr>
        <w:spacing w:line="360" w:lineRule="auto"/>
        <w:ind w:firstLine="480"/>
        <w:rPr>
          <w:rFonts w:hint="eastAsia" w:ascii="宋体" w:hAnsi="宋体" w:eastAsia="宋体" w:cs="宋体"/>
          <w:color w:val="000000" w:themeColor="text1"/>
          <w:sz w:val="24"/>
          <w:highlight w:val="none"/>
          <w:lang w:eastAsia="zh-CN"/>
          <w14:textFill>
            <w14:solidFill>
              <w14:schemeClr w14:val="tx1"/>
            </w14:solidFill>
          </w14:textFill>
        </w:rPr>
      </w:pPr>
      <w:bookmarkStart w:id="179" w:name="_GoBack"/>
      <w:bookmarkEnd w:id="179"/>
      <w:r>
        <w:rPr>
          <w:rFonts w:hint="eastAsia" w:ascii="宋体" w:hAnsi="宋体" w:eastAsia="宋体" w:cs="宋体"/>
          <w:color w:val="000000" w:themeColor="text1"/>
          <w:sz w:val="24"/>
          <w:highlight w:val="none"/>
          <w14:textFill>
            <w14:solidFill>
              <w14:schemeClr w14:val="tx1"/>
            </w14:solidFill>
          </w14:textFill>
        </w:rPr>
        <w:t>2.项目名称：宿迁市计量测试所化学衡器类设备检测装置采购项目</w:t>
      </w:r>
    </w:p>
    <w:p w14:paraId="6B7FBEF2">
      <w:pPr>
        <w:spacing w:line="360" w:lineRule="auto"/>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3.预算金额：</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150.2万元 </w:t>
      </w:r>
    </w:p>
    <w:p w14:paraId="3B9EE768">
      <w:pPr>
        <w:spacing w:line="360" w:lineRule="auto"/>
        <w:ind w:firstLine="480"/>
        <w:rPr>
          <w:rFonts w:hint="default" w:ascii="宋体" w:hAnsi="宋体" w:eastAsia="宋体" w:cs="宋体"/>
          <w:color w:val="000000" w:themeColor="text1"/>
          <w:sz w:val="24"/>
          <w:highlight w:val="none"/>
          <w:lang w:val="en-US"/>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4.本项目设定最高限价：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148.7万元 </w:t>
      </w:r>
    </w:p>
    <w:p w14:paraId="03F8F527">
      <w:pPr>
        <w:spacing w:line="360" w:lineRule="auto"/>
        <w:ind w:firstLine="480" w:firstLineChars="200"/>
        <w:rPr>
          <w:rFonts w:hint="eastAsia" w:ascii="宋体" w:hAnsi="宋体" w:cs="仿宋"/>
          <w:b/>
          <w:bCs/>
          <w:sz w:val="24"/>
          <w:highlight w:val="none"/>
        </w:rPr>
      </w:pPr>
      <w:r>
        <w:rPr>
          <w:rFonts w:hint="eastAsia" w:ascii="宋体" w:hAnsi="宋体" w:cs="仿宋"/>
          <w:b/>
          <w:bCs/>
          <w:sz w:val="24"/>
          <w:highlight w:val="none"/>
        </w:rPr>
        <w:t>二、合同履行期限、地点及要求</w:t>
      </w:r>
    </w:p>
    <w:p w14:paraId="1D1AA023">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sz w:val="24"/>
          <w:szCs w:val="24"/>
          <w:highlight w:val="none"/>
        </w:rPr>
        <w:t>（一）供货期：</w:t>
      </w:r>
      <w:r>
        <w:rPr>
          <w:rFonts w:hint="eastAsia" w:ascii="宋体" w:hAnsi="宋体" w:eastAsia="宋体" w:cs="宋体"/>
          <w:color w:val="000000" w:themeColor="text1"/>
          <w:sz w:val="24"/>
          <w:highlight w:val="none"/>
          <w14:textFill>
            <w14:solidFill>
              <w14:schemeClr w14:val="tx1"/>
            </w14:solidFill>
          </w14:textFill>
        </w:rPr>
        <w:t>合同签订后</w:t>
      </w:r>
      <w:r>
        <w:rPr>
          <w:rFonts w:hint="eastAsia" w:ascii="宋体" w:hAnsi="宋体" w:eastAsia="宋体" w:cs="宋体"/>
          <w:color w:val="000000" w:themeColor="text1"/>
          <w:sz w:val="24"/>
          <w:highlight w:val="none"/>
          <w:lang w:val="en-US" w:eastAsia="zh-CN"/>
          <w14:textFill>
            <w14:solidFill>
              <w14:schemeClr w14:val="tx1"/>
            </w14:solidFill>
          </w14:textFill>
        </w:rPr>
        <w:t>30</w:t>
      </w:r>
      <w:r>
        <w:rPr>
          <w:rFonts w:hint="eastAsia" w:ascii="宋体" w:hAnsi="宋体" w:eastAsia="宋体" w:cs="宋体"/>
          <w:color w:val="000000" w:themeColor="text1"/>
          <w:sz w:val="24"/>
          <w:highlight w:val="none"/>
          <w14:textFill>
            <w14:solidFill>
              <w14:schemeClr w14:val="tx1"/>
            </w14:solidFill>
          </w14:textFill>
        </w:rPr>
        <w:t>日历天内送到甲方指定地点完成安装、调试、</w:t>
      </w:r>
      <w:r>
        <w:rPr>
          <w:rFonts w:hint="eastAsia" w:ascii="宋体" w:hAnsi="宋体" w:eastAsia="宋体" w:cs="宋体"/>
          <w:color w:val="000000" w:themeColor="text1"/>
          <w:sz w:val="24"/>
          <w:highlight w:val="none"/>
          <w:lang w:val="zh-CN"/>
          <w14:textFill>
            <w14:solidFill>
              <w14:schemeClr w14:val="tx1"/>
            </w14:solidFill>
          </w14:textFill>
        </w:rPr>
        <w:t>检定/校准</w:t>
      </w:r>
      <w:r>
        <w:rPr>
          <w:rFonts w:hint="eastAsia" w:ascii="宋体" w:hAnsi="宋体" w:eastAsia="宋体" w:cs="宋体"/>
          <w:color w:val="000000" w:themeColor="text1"/>
          <w:sz w:val="24"/>
          <w:highlight w:val="none"/>
          <w14:textFill>
            <w14:solidFill>
              <w14:schemeClr w14:val="tx1"/>
            </w14:solidFill>
          </w14:textFill>
        </w:rPr>
        <w:t>并经验收合格后交付甲方使用；</w:t>
      </w:r>
    </w:p>
    <w:p w14:paraId="435AA586">
      <w:pPr>
        <w:spacing w:line="360" w:lineRule="auto"/>
        <w:ind w:firstLine="480"/>
        <w:rPr>
          <w:sz w:val="24"/>
          <w:szCs w:val="24"/>
          <w:highlight w:val="none"/>
        </w:rPr>
      </w:pPr>
      <w:r>
        <w:rPr>
          <w:rFonts w:hint="eastAsia" w:ascii="宋体" w:hAnsi="宋体" w:cs="宋体"/>
          <w:sz w:val="24"/>
          <w:highlight w:val="none"/>
        </w:rPr>
        <w:t>（二）质保期：24个月（从验收合格之日起算起）</w:t>
      </w:r>
      <w:r>
        <w:rPr>
          <w:rFonts w:hint="eastAsia"/>
          <w:sz w:val="24"/>
          <w:szCs w:val="24"/>
          <w:highlight w:val="none"/>
        </w:rPr>
        <w:t>。</w:t>
      </w:r>
    </w:p>
    <w:p w14:paraId="262CEB36">
      <w:pPr>
        <w:spacing w:line="360" w:lineRule="auto"/>
        <w:ind w:firstLine="480"/>
        <w:rPr>
          <w:rFonts w:ascii="宋体" w:hAnsi="宋体" w:cs="仿宋"/>
          <w:sz w:val="24"/>
          <w:highlight w:val="none"/>
        </w:rPr>
      </w:pPr>
      <w:r>
        <w:rPr>
          <w:rFonts w:hint="eastAsia" w:ascii="宋体" w:hAnsi="宋体" w:cs="仿宋"/>
          <w:sz w:val="24"/>
          <w:highlight w:val="none"/>
        </w:rPr>
        <w:t>（三）供货地点：</w:t>
      </w:r>
      <w:r>
        <w:rPr>
          <w:rFonts w:hint="eastAsia"/>
          <w:sz w:val="24"/>
          <w:szCs w:val="24"/>
          <w:highlight w:val="none"/>
        </w:rPr>
        <w:t>宿迁市计量测试所</w:t>
      </w:r>
      <w:r>
        <w:rPr>
          <w:rFonts w:hint="eastAsia" w:ascii="宋体" w:hAnsi="宋体" w:cs="仿宋"/>
          <w:sz w:val="24"/>
          <w:highlight w:val="none"/>
        </w:rPr>
        <w:t>，具体由采购人指定。</w:t>
      </w:r>
    </w:p>
    <w:p w14:paraId="0FDD26E1">
      <w:pPr>
        <w:spacing w:line="360" w:lineRule="auto"/>
        <w:ind w:firstLine="480" w:firstLineChars="200"/>
        <w:rPr>
          <w:rFonts w:hint="eastAsia" w:ascii="宋体" w:hAnsi="宋体" w:cs="仿宋"/>
          <w:sz w:val="24"/>
          <w:highlight w:val="none"/>
        </w:rPr>
      </w:pPr>
      <w:r>
        <w:rPr>
          <w:rFonts w:hint="eastAsia" w:ascii="宋体" w:hAnsi="宋体" w:cs="仿宋"/>
          <w:sz w:val="24"/>
          <w:highlight w:val="none"/>
        </w:rPr>
        <w:t>（四）质量要求：合格；提供的产品性能及质量有国家标准的应符合国家标准。无国家标准的应符合行业标准或企业标准，并满足招标文件要求，实现投标文件承诺条款。</w:t>
      </w:r>
    </w:p>
    <w:p w14:paraId="62959CBD">
      <w:pPr>
        <w:spacing w:line="360" w:lineRule="auto"/>
        <w:ind w:firstLine="480" w:firstLineChars="200"/>
        <w:rPr>
          <w:rFonts w:hint="eastAsia" w:ascii="宋体" w:hAnsi="宋体" w:cs="仿宋"/>
          <w:b/>
          <w:bCs/>
          <w:sz w:val="24"/>
          <w:highlight w:val="none"/>
        </w:rPr>
      </w:pPr>
      <w:r>
        <w:rPr>
          <w:rFonts w:hint="eastAsia" w:ascii="宋体" w:hAnsi="宋体" w:cs="仿宋"/>
          <w:b/>
          <w:bCs/>
          <w:sz w:val="24"/>
          <w:highlight w:val="none"/>
        </w:rPr>
        <w:t>三、付款方式</w:t>
      </w:r>
    </w:p>
    <w:p w14:paraId="19E7CEC5">
      <w:pPr>
        <w:spacing w:line="360" w:lineRule="auto"/>
        <w:ind w:firstLine="480" w:firstLineChars="200"/>
        <w:rPr>
          <w:rFonts w:hint="eastAsia"/>
          <w:b w:val="0"/>
          <w:bCs w:val="0"/>
          <w:sz w:val="24"/>
          <w:highlight w:val="none"/>
          <w:u w:val="single"/>
        </w:rPr>
      </w:pPr>
      <w:r>
        <w:rPr>
          <w:rFonts w:hint="eastAsia"/>
          <w:b w:val="0"/>
          <w:bCs w:val="0"/>
          <w:sz w:val="24"/>
          <w:highlight w:val="none"/>
          <w:u w:val="single"/>
          <w:lang w:val="zh-CN"/>
        </w:rPr>
        <w:t>签订合同后按规定支付合同总价款的</w:t>
      </w:r>
      <w:r>
        <w:rPr>
          <w:rFonts w:hint="eastAsia" w:eastAsia="宋体"/>
          <w:b w:val="0"/>
          <w:bCs w:val="0"/>
          <w:sz w:val="24"/>
          <w:highlight w:val="none"/>
          <w:u w:val="single"/>
          <w:lang w:val="en-US" w:eastAsia="zh-CN"/>
        </w:rPr>
        <w:t>5</w:t>
      </w:r>
      <w:r>
        <w:rPr>
          <w:rFonts w:hint="eastAsia"/>
          <w:b w:val="0"/>
          <w:bCs w:val="0"/>
          <w:sz w:val="24"/>
          <w:highlight w:val="none"/>
          <w:u w:val="single"/>
          <w:lang w:val="zh-CN"/>
        </w:rPr>
        <w:t>0%</w:t>
      </w:r>
      <w:r>
        <w:rPr>
          <w:rFonts w:hint="eastAsia"/>
          <w:b w:val="0"/>
          <w:bCs w:val="0"/>
          <w:sz w:val="24"/>
          <w:highlight w:val="none"/>
          <w:u w:val="single"/>
        </w:rPr>
        <w:t>预付款</w:t>
      </w:r>
      <w:r>
        <w:rPr>
          <w:rFonts w:hint="eastAsia"/>
          <w:b w:val="0"/>
          <w:bCs w:val="0"/>
          <w:sz w:val="24"/>
          <w:highlight w:val="none"/>
          <w:u w:val="single"/>
          <w:lang w:val="zh-CN"/>
        </w:rPr>
        <w:t>；</w:t>
      </w:r>
      <w:r>
        <w:rPr>
          <w:rFonts w:hint="eastAsia"/>
          <w:b w:val="0"/>
          <w:bCs w:val="0"/>
          <w:sz w:val="24"/>
          <w:highlight w:val="none"/>
          <w:u w:val="single"/>
        </w:rPr>
        <w:t>全部设备货物安装调试完毕、检定/校准完成经验收合</w:t>
      </w:r>
      <w:r>
        <w:rPr>
          <w:rFonts w:hint="eastAsia"/>
          <w:b w:val="0"/>
          <w:bCs w:val="0"/>
          <w:sz w:val="24"/>
          <w:highlight w:val="none"/>
          <w:u w:val="single"/>
          <w:lang w:val="zh-CN"/>
        </w:rPr>
        <w:t>格并提供全额增值税专用发票后付至</w:t>
      </w:r>
      <w:r>
        <w:rPr>
          <w:rFonts w:hint="eastAsia"/>
          <w:b w:val="0"/>
          <w:bCs w:val="0"/>
          <w:sz w:val="24"/>
          <w:highlight w:val="none"/>
          <w:u w:val="single"/>
        </w:rPr>
        <w:t>合同金额的100%。</w:t>
      </w:r>
    </w:p>
    <w:p w14:paraId="4D7118DD">
      <w:pPr>
        <w:spacing w:line="360" w:lineRule="auto"/>
        <w:ind w:firstLine="480" w:firstLineChars="200"/>
        <w:rPr>
          <w:rFonts w:cs="Courier New"/>
          <w:bCs/>
          <w:sz w:val="24"/>
          <w:szCs w:val="24"/>
          <w:highlight w:val="none"/>
        </w:rPr>
      </w:pPr>
      <w:r>
        <w:rPr>
          <w:rFonts w:hint="eastAsia" w:cs="Courier New"/>
          <w:bCs/>
          <w:sz w:val="24"/>
          <w:szCs w:val="24"/>
          <w:highlight w:val="none"/>
        </w:rPr>
        <w:t>在签订合同时，供应商明确表示无需预付款或者主动要求降低预付款比例的，采购人可不适用前述规定。</w:t>
      </w:r>
    </w:p>
    <w:p w14:paraId="08DCCA8E">
      <w:pPr>
        <w:pStyle w:val="195"/>
        <w:numPr>
          <w:ilvl w:val="0"/>
          <w:numId w:val="1"/>
        </w:numPr>
        <w:spacing w:line="360" w:lineRule="auto"/>
        <w:ind w:firstLine="482"/>
        <w:rPr>
          <w:rFonts w:ascii="Times New Roman" w:hAnsi="Times New Roman"/>
          <w:b/>
          <w:bCs/>
          <w:sz w:val="24"/>
          <w:szCs w:val="21"/>
          <w:highlight w:val="none"/>
        </w:rPr>
      </w:pPr>
      <w:r>
        <w:rPr>
          <w:rFonts w:hint="eastAsia" w:ascii="Times New Roman" w:hAnsi="Times New Roman"/>
          <w:b/>
          <w:bCs/>
          <w:sz w:val="24"/>
          <w:szCs w:val="21"/>
          <w:highlight w:val="none"/>
        </w:rPr>
        <w:t>采购内容</w:t>
      </w:r>
      <w:r>
        <w:rPr>
          <w:rFonts w:hint="eastAsia" w:ascii="Times New Roman" w:hAnsi="Times New Roman"/>
          <w:b/>
          <w:bCs/>
          <w:sz w:val="24"/>
          <w:szCs w:val="21"/>
          <w:highlight w:val="none"/>
          <w:lang w:eastAsia="zh-CN"/>
        </w:rPr>
        <w:t>清单</w:t>
      </w:r>
      <w:r>
        <w:rPr>
          <w:rFonts w:hint="eastAsia" w:ascii="Times New Roman" w:hAnsi="Times New Roman"/>
          <w:b/>
          <w:bCs/>
          <w:sz w:val="24"/>
          <w:szCs w:val="21"/>
          <w:highlight w:val="none"/>
        </w:rPr>
        <w:t>及</w:t>
      </w:r>
      <w:r>
        <w:rPr>
          <w:rFonts w:hint="eastAsia" w:ascii="Times New Roman" w:hAnsi="Times New Roman"/>
          <w:b/>
          <w:bCs/>
          <w:sz w:val="24"/>
          <w:szCs w:val="21"/>
          <w:highlight w:val="none"/>
          <w:lang w:eastAsia="zh-CN"/>
        </w:rPr>
        <w:t>技术</w:t>
      </w:r>
      <w:r>
        <w:rPr>
          <w:rFonts w:hint="eastAsia" w:ascii="Times New Roman" w:hAnsi="Times New Roman"/>
          <w:b/>
          <w:bCs/>
          <w:sz w:val="24"/>
          <w:szCs w:val="21"/>
          <w:highlight w:val="none"/>
        </w:rPr>
        <w:t>要求</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
        <w:gridCol w:w="3660"/>
        <w:gridCol w:w="2292"/>
        <w:gridCol w:w="2293"/>
      </w:tblGrid>
      <w:tr w14:paraId="55E93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4" w:type="dxa"/>
            <w:noWrap w:val="0"/>
            <w:vAlign w:val="center"/>
          </w:tcPr>
          <w:p w14:paraId="29F51D3C">
            <w:pPr>
              <w:jc w:val="center"/>
              <w:rPr>
                <w:rFonts w:ascii="宋体" w:hAnsi="宋体" w:cs="宋体"/>
                <w:b/>
                <w:bCs/>
                <w:sz w:val="24"/>
                <w:szCs w:val="24"/>
                <w:highlight w:val="none"/>
              </w:rPr>
            </w:pPr>
            <w:r>
              <w:rPr>
                <w:rFonts w:hint="eastAsia" w:ascii="宋体" w:hAnsi="宋体" w:cs="宋体"/>
                <w:b/>
                <w:bCs/>
                <w:sz w:val="24"/>
                <w:szCs w:val="24"/>
                <w:highlight w:val="none"/>
              </w:rPr>
              <w:t>序号</w:t>
            </w:r>
          </w:p>
        </w:tc>
        <w:tc>
          <w:tcPr>
            <w:tcW w:w="3660" w:type="dxa"/>
            <w:noWrap w:val="0"/>
            <w:vAlign w:val="center"/>
          </w:tcPr>
          <w:p w14:paraId="175B91B5">
            <w:pPr>
              <w:jc w:val="center"/>
              <w:rPr>
                <w:rFonts w:ascii="宋体" w:hAnsi="宋体" w:cs="宋体"/>
                <w:b/>
                <w:bCs/>
                <w:sz w:val="24"/>
                <w:szCs w:val="24"/>
                <w:highlight w:val="none"/>
              </w:rPr>
            </w:pPr>
            <w:r>
              <w:rPr>
                <w:rFonts w:hint="eastAsia" w:ascii="宋体" w:hAnsi="宋体" w:cs="宋体"/>
                <w:b/>
                <w:bCs/>
                <w:sz w:val="24"/>
                <w:szCs w:val="24"/>
                <w:highlight w:val="none"/>
              </w:rPr>
              <w:t>设备名称</w:t>
            </w:r>
          </w:p>
        </w:tc>
        <w:tc>
          <w:tcPr>
            <w:tcW w:w="2292" w:type="dxa"/>
            <w:noWrap w:val="0"/>
            <w:vAlign w:val="center"/>
          </w:tcPr>
          <w:p w14:paraId="236784A0">
            <w:pPr>
              <w:jc w:val="center"/>
              <w:rPr>
                <w:rFonts w:ascii="宋体" w:hAnsi="宋体" w:cs="宋体"/>
                <w:b/>
                <w:bCs/>
                <w:sz w:val="24"/>
                <w:szCs w:val="24"/>
                <w:highlight w:val="none"/>
              </w:rPr>
            </w:pPr>
            <w:r>
              <w:rPr>
                <w:rFonts w:hint="eastAsia" w:ascii="宋体" w:hAnsi="宋体" w:cs="宋体"/>
                <w:b/>
                <w:bCs/>
                <w:sz w:val="24"/>
                <w:szCs w:val="24"/>
                <w:highlight w:val="none"/>
              </w:rPr>
              <w:t>数量</w:t>
            </w:r>
          </w:p>
        </w:tc>
        <w:tc>
          <w:tcPr>
            <w:tcW w:w="2293" w:type="dxa"/>
            <w:noWrap w:val="0"/>
            <w:vAlign w:val="center"/>
          </w:tcPr>
          <w:p w14:paraId="54ADFA6F">
            <w:pPr>
              <w:jc w:val="center"/>
              <w:rPr>
                <w:rFonts w:ascii="宋体" w:hAnsi="宋体" w:cs="宋体"/>
                <w:b/>
                <w:bCs/>
                <w:sz w:val="24"/>
                <w:szCs w:val="24"/>
                <w:highlight w:val="none"/>
              </w:rPr>
            </w:pPr>
            <w:r>
              <w:rPr>
                <w:rFonts w:hint="eastAsia" w:ascii="宋体" w:hAnsi="宋体" w:cs="宋体"/>
                <w:b/>
                <w:bCs/>
                <w:sz w:val="24"/>
                <w:szCs w:val="24"/>
                <w:highlight w:val="none"/>
              </w:rPr>
              <w:t>备注</w:t>
            </w:r>
          </w:p>
        </w:tc>
      </w:tr>
      <w:tr w14:paraId="17F75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4" w:type="dxa"/>
            <w:noWrap w:val="0"/>
            <w:vAlign w:val="center"/>
          </w:tcPr>
          <w:p w14:paraId="51F26F59">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w:t>
            </w:r>
          </w:p>
        </w:tc>
        <w:tc>
          <w:tcPr>
            <w:tcW w:w="3660" w:type="dxa"/>
            <w:noWrap w:val="0"/>
            <w:vAlign w:val="center"/>
          </w:tcPr>
          <w:p w14:paraId="7B28FA2C">
            <w:pPr>
              <w:jc w:val="center"/>
              <w:rPr>
                <w:rFonts w:hint="eastAsia" w:ascii="宋体" w:hAnsi="宋体" w:cs="宋体"/>
                <w:sz w:val="24"/>
                <w:szCs w:val="24"/>
                <w:highlight w:val="none"/>
              </w:rPr>
            </w:pPr>
            <w:r>
              <w:rPr>
                <w:rFonts w:hint="eastAsia" w:ascii="宋体" w:hAnsi="宋体" w:cs="宋体" w:eastAsiaTheme="minorEastAsia"/>
                <w:sz w:val="24"/>
                <w:szCs w:val="24"/>
                <w:highlight w:val="none"/>
                <w:lang w:val="en-US" w:eastAsia="zh-CN" w:bidi="ar-SA"/>
              </w:rPr>
              <w:t>酸度计检定仪</w:t>
            </w:r>
          </w:p>
        </w:tc>
        <w:tc>
          <w:tcPr>
            <w:tcW w:w="2292" w:type="dxa"/>
            <w:noWrap w:val="0"/>
            <w:vAlign w:val="center"/>
          </w:tcPr>
          <w:p w14:paraId="342F477A">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w:t>
            </w:r>
          </w:p>
        </w:tc>
        <w:tc>
          <w:tcPr>
            <w:tcW w:w="2293" w:type="dxa"/>
            <w:noWrap w:val="0"/>
            <w:vAlign w:val="center"/>
          </w:tcPr>
          <w:p w14:paraId="327FB1AC">
            <w:pPr>
              <w:jc w:val="center"/>
              <w:rPr>
                <w:rFonts w:hint="eastAsia" w:ascii="宋体" w:hAnsi="宋体" w:cs="宋体"/>
                <w:sz w:val="24"/>
                <w:szCs w:val="24"/>
                <w:highlight w:val="none"/>
              </w:rPr>
            </w:pPr>
          </w:p>
        </w:tc>
      </w:tr>
      <w:tr w14:paraId="72838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4" w:type="dxa"/>
            <w:noWrap w:val="0"/>
            <w:vAlign w:val="center"/>
          </w:tcPr>
          <w:p w14:paraId="58F17C20">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w:t>
            </w:r>
          </w:p>
        </w:tc>
        <w:tc>
          <w:tcPr>
            <w:tcW w:w="3660" w:type="dxa"/>
            <w:noWrap w:val="0"/>
            <w:vAlign w:val="center"/>
          </w:tcPr>
          <w:p w14:paraId="18DF198E">
            <w:pPr>
              <w:jc w:val="center"/>
              <w:rPr>
                <w:rFonts w:hint="eastAsia" w:ascii="宋体" w:hAnsi="宋体" w:cs="宋体"/>
                <w:sz w:val="24"/>
                <w:szCs w:val="24"/>
                <w:highlight w:val="none"/>
              </w:rPr>
            </w:pPr>
            <w:r>
              <w:rPr>
                <w:rFonts w:hint="eastAsia" w:ascii="宋体" w:hAnsi="宋体" w:cs="宋体" w:eastAsiaTheme="minorEastAsia"/>
                <w:sz w:val="24"/>
                <w:szCs w:val="24"/>
                <w:highlight w:val="none"/>
                <w:lang w:val="en-US" w:eastAsia="zh-CN" w:bidi="ar-SA"/>
              </w:rPr>
              <w:t>液体恒温槽</w:t>
            </w:r>
          </w:p>
        </w:tc>
        <w:tc>
          <w:tcPr>
            <w:tcW w:w="2292" w:type="dxa"/>
            <w:noWrap w:val="0"/>
            <w:vAlign w:val="center"/>
          </w:tcPr>
          <w:p w14:paraId="03DE527D">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w:t>
            </w:r>
          </w:p>
        </w:tc>
        <w:tc>
          <w:tcPr>
            <w:tcW w:w="2293" w:type="dxa"/>
            <w:noWrap w:val="0"/>
            <w:vAlign w:val="center"/>
          </w:tcPr>
          <w:p w14:paraId="249C2F30">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一套（两台）</w:t>
            </w:r>
          </w:p>
        </w:tc>
      </w:tr>
      <w:tr w14:paraId="43384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4" w:type="dxa"/>
            <w:noWrap w:val="0"/>
            <w:vAlign w:val="center"/>
          </w:tcPr>
          <w:p w14:paraId="3FB54154">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w:t>
            </w:r>
          </w:p>
        </w:tc>
        <w:tc>
          <w:tcPr>
            <w:tcW w:w="3660" w:type="dxa"/>
            <w:noWrap w:val="0"/>
            <w:vAlign w:val="center"/>
          </w:tcPr>
          <w:p w14:paraId="7FD7201C">
            <w:pPr>
              <w:jc w:val="center"/>
              <w:rPr>
                <w:rFonts w:hint="eastAsia" w:ascii="宋体" w:hAnsi="宋体" w:cs="宋体"/>
                <w:sz w:val="24"/>
                <w:szCs w:val="24"/>
                <w:highlight w:val="none"/>
              </w:rPr>
            </w:pPr>
            <w:r>
              <w:rPr>
                <w:rFonts w:hint="eastAsia" w:ascii="宋体" w:hAnsi="宋体" w:cs="宋体" w:eastAsiaTheme="minorEastAsia"/>
                <w:sz w:val="24"/>
                <w:szCs w:val="24"/>
                <w:highlight w:val="none"/>
                <w:lang w:val="en-US" w:eastAsia="zh-CN" w:bidi="ar-SA"/>
              </w:rPr>
              <w:t>温湿度检定箱</w:t>
            </w:r>
          </w:p>
        </w:tc>
        <w:tc>
          <w:tcPr>
            <w:tcW w:w="2292" w:type="dxa"/>
            <w:noWrap w:val="0"/>
            <w:vAlign w:val="center"/>
          </w:tcPr>
          <w:p w14:paraId="162ADFD1">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w:t>
            </w:r>
          </w:p>
        </w:tc>
        <w:tc>
          <w:tcPr>
            <w:tcW w:w="2293" w:type="dxa"/>
            <w:noWrap w:val="0"/>
            <w:vAlign w:val="center"/>
          </w:tcPr>
          <w:p w14:paraId="09C4A1C5">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核心产品</w:t>
            </w:r>
          </w:p>
        </w:tc>
      </w:tr>
      <w:tr w14:paraId="156D6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4" w:type="dxa"/>
            <w:noWrap w:val="0"/>
            <w:vAlign w:val="center"/>
          </w:tcPr>
          <w:p w14:paraId="055D333E">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w:t>
            </w:r>
          </w:p>
        </w:tc>
        <w:tc>
          <w:tcPr>
            <w:tcW w:w="3660" w:type="dxa"/>
            <w:noWrap w:val="0"/>
            <w:vAlign w:val="center"/>
          </w:tcPr>
          <w:p w14:paraId="6F61DDEC">
            <w:pPr>
              <w:jc w:val="center"/>
              <w:rPr>
                <w:rFonts w:hint="eastAsia" w:ascii="宋体" w:hAnsi="宋体" w:cs="宋体"/>
                <w:sz w:val="24"/>
                <w:szCs w:val="24"/>
                <w:highlight w:val="none"/>
              </w:rPr>
            </w:pPr>
            <w:r>
              <w:rPr>
                <w:rFonts w:hint="eastAsia" w:ascii="宋体" w:hAnsi="宋体" w:cs="宋体" w:eastAsiaTheme="minorEastAsia"/>
                <w:sz w:val="24"/>
                <w:szCs w:val="24"/>
                <w:highlight w:val="none"/>
                <w:lang w:val="en-US" w:eastAsia="zh-CN" w:bidi="ar-SA"/>
              </w:rPr>
              <w:t>温湿度试验设备自动检定系统</w:t>
            </w:r>
          </w:p>
        </w:tc>
        <w:tc>
          <w:tcPr>
            <w:tcW w:w="2292" w:type="dxa"/>
            <w:noWrap w:val="0"/>
            <w:vAlign w:val="center"/>
          </w:tcPr>
          <w:p w14:paraId="4431BEB9">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w:t>
            </w:r>
          </w:p>
        </w:tc>
        <w:tc>
          <w:tcPr>
            <w:tcW w:w="2293" w:type="dxa"/>
            <w:noWrap w:val="0"/>
            <w:vAlign w:val="center"/>
          </w:tcPr>
          <w:p w14:paraId="26241A96">
            <w:pPr>
              <w:jc w:val="center"/>
              <w:rPr>
                <w:rFonts w:hint="eastAsia" w:ascii="宋体" w:hAnsi="宋体" w:cs="宋体"/>
                <w:sz w:val="24"/>
                <w:szCs w:val="24"/>
                <w:highlight w:val="none"/>
              </w:rPr>
            </w:pPr>
          </w:p>
        </w:tc>
      </w:tr>
      <w:tr w14:paraId="69730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4" w:type="dxa"/>
            <w:noWrap w:val="0"/>
            <w:vAlign w:val="center"/>
          </w:tcPr>
          <w:p w14:paraId="7044867E">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5</w:t>
            </w:r>
          </w:p>
        </w:tc>
        <w:tc>
          <w:tcPr>
            <w:tcW w:w="3660" w:type="dxa"/>
            <w:noWrap w:val="0"/>
            <w:vAlign w:val="center"/>
          </w:tcPr>
          <w:p w14:paraId="1D6D4353">
            <w:pPr>
              <w:jc w:val="center"/>
              <w:rPr>
                <w:rFonts w:hint="eastAsia" w:ascii="宋体" w:hAnsi="宋体" w:cs="宋体"/>
                <w:sz w:val="24"/>
                <w:szCs w:val="24"/>
                <w:highlight w:val="none"/>
              </w:rPr>
            </w:pPr>
            <w:r>
              <w:rPr>
                <w:rFonts w:hint="eastAsia" w:ascii="宋体" w:hAnsi="宋体" w:cs="宋体" w:eastAsiaTheme="minorEastAsia"/>
                <w:sz w:val="24"/>
                <w:szCs w:val="24"/>
                <w:highlight w:val="none"/>
                <w:lang w:val="en-US" w:eastAsia="zh-CN" w:bidi="ar-SA"/>
              </w:rPr>
              <w:t>质量比较仪</w:t>
            </w:r>
          </w:p>
        </w:tc>
        <w:tc>
          <w:tcPr>
            <w:tcW w:w="2292" w:type="dxa"/>
            <w:noWrap w:val="0"/>
            <w:vAlign w:val="center"/>
          </w:tcPr>
          <w:p w14:paraId="16398F54">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w:t>
            </w:r>
          </w:p>
        </w:tc>
        <w:tc>
          <w:tcPr>
            <w:tcW w:w="2293" w:type="dxa"/>
            <w:noWrap w:val="0"/>
            <w:vAlign w:val="center"/>
          </w:tcPr>
          <w:p w14:paraId="7C935DF0">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 </w:t>
            </w:r>
          </w:p>
        </w:tc>
      </w:tr>
      <w:tr w14:paraId="03D91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4" w:type="dxa"/>
            <w:noWrap w:val="0"/>
            <w:vAlign w:val="center"/>
          </w:tcPr>
          <w:p w14:paraId="50F1B389">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6</w:t>
            </w:r>
          </w:p>
        </w:tc>
        <w:tc>
          <w:tcPr>
            <w:tcW w:w="3660" w:type="dxa"/>
            <w:noWrap w:val="0"/>
            <w:vAlign w:val="center"/>
          </w:tcPr>
          <w:p w14:paraId="260455E0">
            <w:pPr>
              <w:jc w:val="center"/>
              <w:rPr>
                <w:rFonts w:hint="eastAsia" w:ascii="宋体" w:hAnsi="宋体" w:cs="宋体"/>
                <w:sz w:val="24"/>
                <w:szCs w:val="24"/>
                <w:highlight w:val="none"/>
              </w:rPr>
            </w:pPr>
            <w:r>
              <w:rPr>
                <w:rFonts w:hint="eastAsia" w:ascii="宋体" w:hAnsi="宋体" w:cs="宋体" w:eastAsiaTheme="minorEastAsia"/>
                <w:sz w:val="24"/>
                <w:szCs w:val="24"/>
                <w:highlight w:val="none"/>
                <w:lang w:val="en-US" w:eastAsia="zh-CN" w:bidi="ar-SA"/>
              </w:rPr>
              <w:t>检定电导率仪专用交流电阻箱</w:t>
            </w:r>
          </w:p>
        </w:tc>
        <w:tc>
          <w:tcPr>
            <w:tcW w:w="2292" w:type="dxa"/>
            <w:noWrap w:val="0"/>
            <w:vAlign w:val="center"/>
          </w:tcPr>
          <w:p w14:paraId="178C5726">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w:t>
            </w:r>
          </w:p>
        </w:tc>
        <w:tc>
          <w:tcPr>
            <w:tcW w:w="2293" w:type="dxa"/>
            <w:noWrap w:val="0"/>
            <w:vAlign w:val="center"/>
          </w:tcPr>
          <w:p w14:paraId="43AAE7CC">
            <w:pPr>
              <w:jc w:val="center"/>
              <w:rPr>
                <w:rFonts w:hint="eastAsia" w:ascii="宋体" w:hAnsi="宋体" w:cs="宋体"/>
                <w:sz w:val="24"/>
                <w:szCs w:val="24"/>
                <w:highlight w:val="none"/>
              </w:rPr>
            </w:pPr>
          </w:p>
        </w:tc>
      </w:tr>
      <w:tr w14:paraId="40D76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4" w:type="dxa"/>
            <w:noWrap w:val="0"/>
            <w:vAlign w:val="center"/>
          </w:tcPr>
          <w:p w14:paraId="0A3A0D41">
            <w:pPr>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7</w:t>
            </w:r>
          </w:p>
        </w:tc>
        <w:tc>
          <w:tcPr>
            <w:tcW w:w="3660" w:type="dxa"/>
            <w:noWrap w:val="0"/>
            <w:vAlign w:val="center"/>
          </w:tcPr>
          <w:p w14:paraId="1DA3A099">
            <w:pPr>
              <w:jc w:val="center"/>
              <w:rPr>
                <w:rFonts w:hint="eastAsia" w:ascii="宋体" w:hAnsi="宋体" w:cs="宋体"/>
                <w:sz w:val="24"/>
                <w:szCs w:val="24"/>
                <w:highlight w:val="none"/>
              </w:rPr>
            </w:pPr>
            <w:r>
              <w:rPr>
                <w:rFonts w:hint="eastAsia" w:ascii="宋体" w:hAnsi="宋体" w:cs="宋体" w:eastAsiaTheme="minorEastAsia"/>
                <w:sz w:val="24"/>
                <w:szCs w:val="24"/>
                <w:highlight w:val="none"/>
                <w:lang w:val="en-US" w:eastAsia="zh-CN" w:bidi="ar-SA"/>
              </w:rPr>
              <w:t>水分快速测定仪</w:t>
            </w:r>
          </w:p>
        </w:tc>
        <w:tc>
          <w:tcPr>
            <w:tcW w:w="2292" w:type="dxa"/>
            <w:noWrap w:val="0"/>
            <w:vAlign w:val="center"/>
          </w:tcPr>
          <w:p w14:paraId="7938D861">
            <w:pPr>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1</w:t>
            </w:r>
          </w:p>
        </w:tc>
        <w:tc>
          <w:tcPr>
            <w:tcW w:w="2293" w:type="dxa"/>
            <w:noWrap w:val="0"/>
            <w:vAlign w:val="center"/>
          </w:tcPr>
          <w:p w14:paraId="3B60B191">
            <w:pPr>
              <w:jc w:val="center"/>
              <w:rPr>
                <w:rFonts w:hint="eastAsia" w:ascii="宋体" w:hAnsi="宋体" w:cs="宋体"/>
                <w:sz w:val="24"/>
                <w:szCs w:val="24"/>
                <w:highlight w:val="none"/>
              </w:rPr>
            </w:pPr>
          </w:p>
        </w:tc>
      </w:tr>
      <w:tr w14:paraId="610BD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4" w:type="dxa"/>
            <w:noWrap w:val="0"/>
            <w:vAlign w:val="center"/>
          </w:tcPr>
          <w:p w14:paraId="38C39660">
            <w:pPr>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8</w:t>
            </w:r>
          </w:p>
        </w:tc>
        <w:tc>
          <w:tcPr>
            <w:tcW w:w="3660" w:type="dxa"/>
            <w:noWrap w:val="0"/>
            <w:vAlign w:val="center"/>
          </w:tcPr>
          <w:p w14:paraId="22B7A869">
            <w:pPr>
              <w:jc w:val="center"/>
              <w:rPr>
                <w:rFonts w:hint="eastAsia" w:ascii="宋体" w:hAnsi="宋体" w:cs="宋体"/>
                <w:sz w:val="24"/>
                <w:szCs w:val="24"/>
                <w:highlight w:val="none"/>
              </w:rPr>
            </w:pPr>
            <w:r>
              <w:rPr>
                <w:rFonts w:hint="eastAsia" w:ascii="宋体" w:hAnsi="宋体" w:cs="宋体" w:eastAsiaTheme="minorEastAsia"/>
                <w:sz w:val="24"/>
                <w:szCs w:val="24"/>
                <w:highlight w:val="none"/>
                <w:lang w:val="en-US" w:eastAsia="zh-CN" w:bidi="ar-SA"/>
              </w:rPr>
              <w:t>干燥箱</w:t>
            </w:r>
          </w:p>
        </w:tc>
        <w:tc>
          <w:tcPr>
            <w:tcW w:w="2292" w:type="dxa"/>
            <w:noWrap w:val="0"/>
            <w:vAlign w:val="center"/>
          </w:tcPr>
          <w:p w14:paraId="63457A0F">
            <w:pPr>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1</w:t>
            </w:r>
          </w:p>
        </w:tc>
        <w:tc>
          <w:tcPr>
            <w:tcW w:w="2293" w:type="dxa"/>
            <w:noWrap w:val="0"/>
            <w:vAlign w:val="center"/>
          </w:tcPr>
          <w:p w14:paraId="168A7B16">
            <w:pPr>
              <w:jc w:val="center"/>
              <w:rPr>
                <w:rFonts w:hint="eastAsia" w:ascii="宋体" w:hAnsi="宋体" w:cs="宋体"/>
                <w:sz w:val="24"/>
                <w:szCs w:val="24"/>
                <w:highlight w:val="none"/>
              </w:rPr>
            </w:pPr>
          </w:p>
        </w:tc>
      </w:tr>
      <w:tr w14:paraId="70A70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4" w:type="dxa"/>
            <w:noWrap w:val="0"/>
            <w:vAlign w:val="center"/>
          </w:tcPr>
          <w:p w14:paraId="6634C8A3">
            <w:pPr>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9</w:t>
            </w:r>
          </w:p>
        </w:tc>
        <w:tc>
          <w:tcPr>
            <w:tcW w:w="3660" w:type="dxa"/>
            <w:noWrap w:val="0"/>
            <w:vAlign w:val="center"/>
          </w:tcPr>
          <w:p w14:paraId="16973111">
            <w:pPr>
              <w:jc w:val="center"/>
              <w:rPr>
                <w:rFonts w:hint="eastAsia" w:ascii="宋体" w:hAnsi="宋体" w:cs="宋体"/>
                <w:sz w:val="24"/>
                <w:szCs w:val="24"/>
                <w:highlight w:val="none"/>
              </w:rPr>
            </w:pPr>
            <w:r>
              <w:rPr>
                <w:rFonts w:hint="eastAsia" w:ascii="宋体" w:hAnsi="宋体" w:cs="宋体" w:eastAsiaTheme="minorEastAsia"/>
                <w:sz w:val="24"/>
                <w:szCs w:val="24"/>
                <w:highlight w:val="none"/>
                <w:lang w:val="en-US" w:eastAsia="zh-CN" w:bidi="ar-SA"/>
              </w:rPr>
              <w:t>温湿度巡检仪</w:t>
            </w:r>
          </w:p>
        </w:tc>
        <w:tc>
          <w:tcPr>
            <w:tcW w:w="2292" w:type="dxa"/>
            <w:noWrap w:val="0"/>
            <w:vAlign w:val="center"/>
          </w:tcPr>
          <w:p w14:paraId="7261C857">
            <w:pPr>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w:t>
            </w:r>
          </w:p>
        </w:tc>
        <w:tc>
          <w:tcPr>
            <w:tcW w:w="2293" w:type="dxa"/>
            <w:noWrap w:val="0"/>
            <w:vAlign w:val="center"/>
          </w:tcPr>
          <w:p w14:paraId="68D2B2DD">
            <w:pPr>
              <w:jc w:val="center"/>
              <w:rPr>
                <w:rFonts w:hint="eastAsia" w:ascii="宋体" w:hAnsi="宋体" w:cs="宋体"/>
                <w:sz w:val="24"/>
                <w:szCs w:val="24"/>
                <w:highlight w:val="none"/>
              </w:rPr>
            </w:pPr>
          </w:p>
        </w:tc>
      </w:tr>
    </w:tbl>
    <w:p w14:paraId="5CDE0CA1">
      <w:pPr>
        <w:pStyle w:val="195"/>
        <w:numPr>
          <w:ilvl w:val="0"/>
          <w:numId w:val="2"/>
        </w:numPr>
        <w:spacing w:line="360" w:lineRule="auto"/>
        <w:ind w:firstLine="480"/>
        <w:rPr>
          <w:rFonts w:hint="eastAsia" w:ascii="Times New Roman" w:hAnsi="Times New Roman"/>
          <w:b/>
          <w:bCs/>
          <w:sz w:val="24"/>
          <w:szCs w:val="21"/>
          <w:highlight w:val="none"/>
        </w:rPr>
      </w:pPr>
      <w:r>
        <w:rPr>
          <w:rFonts w:hint="eastAsia" w:ascii="Times New Roman" w:hAnsi="Times New Roman"/>
          <w:b/>
          <w:bCs/>
          <w:sz w:val="24"/>
          <w:szCs w:val="21"/>
          <w:highlight w:val="none"/>
          <w:lang w:val="en-US" w:eastAsia="zh-CN"/>
        </w:rPr>
        <w:t>酸度计检定仪</w:t>
      </w:r>
      <w:r>
        <w:rPr>
          <w:rFonts w:hint="eastAsia" w:ascii="Times New Roman" w:hAnsi="Times New Roman"/>
          <w:b/>
          <w:bCs/>
          <w:sz w:val="24"/>
          <w:szCs w:val="21"/>
          <w:highlight w:val="none"/>
        </w:rPr>
        <w:t>参数要求</w:t>
      </w:r>
    </w:p>
    <w:p w14:paraId="4AABB6FD">
      <w:pPr>
        <w:pStyle w:val="19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1"/>
          <w:highlight w:val="none"/>
          <w:lang w:val="en-US" w:eastAsia="zh-CN" w:bidi="ar-SA"/>
        </w:rPr>
      </w:pPr>
      <w:bookmarkStart w:id="153" w:name="OLE_LINK11"/>
      <w:bookmarkStart w:id="154" w:name="OLE_LINK12"/>
      <w:r>
        <w:rPr>
          <w:rFonts w:hint="eastAsia" w:ascii="宋体" w:hAnsi="宋体" w:eastAsia="宋体" w:cs="宋体"/>
          <w:sz w:val="24"/>
          <w:szCs w:val="21"/>
          <w:highlight w:val="none"/>
          <w:lang w:val="en-US" w:eastAsia="zh-CN" w:bidi="ar-SA"/>
        </w:rPr>
        <w:t xml:space="preserve">1.酸度计检定仪：用于开展酸度计检定工作，满足JJG 919-2023《pH 计检定仪检定规程》要求。 </w:t>
      </w:r>
    </w:p>
    <w:p w14:paraId="6F726734">
      <w:pPr>
        <w:pStyle w:val="19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0F1115"/>
          <w:spacing w:val="0"/>
          <w:sz w:val="24"/>
          <w:szCs w:val="24"/>
          <w:highlight w:val="none"/>
          <w:shd w:val="clear" w:fill="FFFFFF"/>
          <w:lang w:eastAsia="zh-CN"/>
        </w:rPr>
      </w:pPr>
      <w:r>
        <w:rPr>
          <w:rFonts w:hint="eastAsia" w:ascii="宋体" w:hAnsi="宋体" w:cs="宋体" w:eastAsiaTheme="minorEastAsia"/>
          <w:sz w:val="24"/>
          <w:szCs w:val="24"/>
          <w:highlight w:val="none"/>
          <w:lang w:val="en-US" w:eastAsia="zh-CN" w:bidi="ar-SA"/>
        </w:rPr>
        <w:t>★</w:t>
      </w:r>
      <w:r>
        <w:rPr>
          <w:rFonts w:hint="eastAsia" w:ascii="宋体" w:hAnsi="宋体" w:eastAsia="宋体" w:cs="宋体"/>
          <w:sz w:val="24"/>
          <w:szCs w:val="21"/>
          <w:highlight w:val="none"/>
          <w:lang w:val="en-US" w:eastAsia="zh-CN" w:bidi="ar-SA"/>
        </w:rPr>
        <w:t>2.</w:t>
      </w:r>
      <w:r>
        <w:rPr>
          <w:rFonts w:hint="eastAsia" w:ascii="宋体" w:hAnsi="宋体" w:eastAsia="宋体" w:cs="宋体"/>
          <w:i w:val="0"/>
          <w:iCs w:val="0"/>
          <w:caps w:val="0"/>
          <w:color w:val="0F1115"/>
          <w:spacing w:val="0"/>
          <w:sz w:val="24"/>
          <w:szCs w:val="24"/>
          <w:highlight w:val="none"/>
          <w:shd w:val="clear" w:fill="FFFFFF"/>
        </w:rPr>
        <w:t>pH测量范围：0.00～14.00pH</w:t>
      </w:r>
      <w:r>
        <w:rPr>
          <w:rFonts w:hint="eastAsia" w:ascii="宋体" w:hAnsi="宋体" w:cs="宋体"/>
          <w:i w:val="0"/>
          <w:iCs w:val="0"/>
          <w:caps w:val="0"/>
          <w:color w:val="0F1115"/>
          <w:spacing w:val="0"/>
          <w:sz w:val="24"/>
          <w:szCs w:val="24"/>
          <w:highlight w:val="none"/>
          <w:shd w:val="clear" w:fill="FFFFFF"/>
          <w:lang w:eastAsia="zh-CN"/>
        </w:rPr>
        <w:t>。</w:t>
      </w:r>
    </w:p>
    <w:p w14:paraId="1651B71D">
      <w:pPr>
        <w:pStyle w:val="19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i w:val="0"/>
          <w:iCs w:val="0"/>
          <w:caps w:val="0"/>
          <w:color w:val="0F1115"/>
          <w:spacing w:val="0"/>
          <w:sz w:val="24"/>
          <w:szCs w:val="24"/>
          <w:highlight w:val="none"/>
          <w:shd w:val="clear" w:fill="FFFFFF"/>
          <w:lang w:eastAsia="zh-CN"/>
        </w:rPr>
      </w:pPr>
      <w:r>
        <w:rPr>
          <w:rFonts w:hint="eastAsia" w:ascii="宋体" w:hAnsi="宋体" w:eastAsia="宋体" w:cs="宋体"/>
          <w:b/>
          <w:bCs/>
          <w:sz w:val="24"/>
          <w:szCs w:val="24"/>
          <w:highlight w:val="none"/>
          <w:lang w:val="en-US" w:eastAsia="zh-CN" w:bidi="ar-SA"/>
        </w:rPr>
        <w:t>▲</w:t>
      </w:r>
      <w:r>
        <w:rPr>
          <w:rFonts w:hint="eastAsia" w:ascii="宋体" w:hAnsi="宋体" w:eastAsia="宋体" w:cs="宋体"/>
          <w:i w:val="0"/>
          <w:iCs w:val="0"/>
          <w:caps w:val="0"/>
          <w:color w:val="0F1115"/>
          <w:spacing w:val="0"/>
          <w:sz w:val="24"/>
          <w:szCs w:val="24"/>
          <w:highlight w:val="none"/>
          <w:shd w:val="clear" w:fill="FFFFFF"/>
          <w:lang w:val="en-US" w:eastAsia="zh-CN"/>
        </w:rPr>
        <w:t>3.</w:t>
      </w:r>
      <w:r>
        <w:rPr>
          <w:rFonts w:hint="eastAsia" w:ascii="宋体" w:hAnsi="宋体" w:eastAsia="宋体" w:cs="宋体"/>
          <w:i w:val="0"/>
          <w:iCs w:val="0"/>
          <w:caps w:val="0"/>
          <w:color w:val="0F1115"/>
          <w:spacing w:val="0"/>
          <w:sz w:val="24"/>
          <w:szCs w:val="24"/>
          <w:highlight w:val="none"/>
          <w:shd w:val="clear" w:fill="FFFFFF"/>
        </w:rPr>
        <w:t>电位测量范围：</w:t>
      </w:r>
      <w:r>
        <w:rPr>
          <w:rFonts w:hint="eastAsia" w:ascii="宋体" w:hAnsi="宋体" w:cs="宋体"/>
          <w:i w:val="0"/>
          <w:iCs w:val="0"/>
          <w:caps w:val="0"/>
          <w:color w:val="0F1115"/>
          <w:spacing w:val="0"/>
          <w:sz w:val="24"/>
          <w:szCs w:val="24"/>
          <w:highlight w:val="none"/>
          <w:shd w:val="clear" w:fill="FFFFFF"/>
          <w:lang w:eastAsia="zh-CN"/>
        </w:rPr>
        <w:t>（</w:t>
      </w:r>
      <w:r>
        <w:rPr>
          <w:rFonts w:hint="eastAsia" w:ascii="宋体" w:hAnsi="宋体" w:eastAsia="宋体" w:cs="宋体"/>
          <w:i w:val="0"/>
          <w:iCs w:val="0"/>
          <w:caps w:val="0"/>
          <w:color w:val="0F1115"/>
          <w:spacing w:val="0"/>
          <w:sz w:val="24"/>
          <w:szCs w:val="24"/>
          <w:highlight w:val="none"/>
          <w:shd w:val="clear" w:fill="FFFFFF"/>
        </w:rPr>
        <w:t>-2000mV～</w:t>
      </w:r>
      <w:r>
        <w:rPr>
          <w:rFonts w:hint="eastAsia" w:ascii="宋体" w:hAnsi="宋体" w:cs="宋体"/>
          <w:i w:val="0"/>
          <w:iCs w:val="0"/>
          <w:caps w:val="0"/>
          <w:color w:val="0F1115"/>
          <w:spacing w:val="0"/>
          <w:sz w:val="24"/>
          <w:szCs w:val="24"/>
          <w:highlight w:val="none"/>
          <w:shd w:val="clear" w:fill="FFFFFF"/>
          <w:lang w:val="en-US" w:eastAsia="zh-CN"/>
        </w:rPr>
        <w:t>+</w:t>
      </w:r>
      <w:r>
        <w:rPr>
          <w:rFonts w:hint="eastAsia" w:ascii="宋体" w:hAnsi="宋体" w:eastAsia="宋体" w:cs="宋体"/>
          <w:i w:val="0"/>
          <w:iCs w:val="0"/>
          <w:caps w:val="0"/>
          <w:color w:val="0F1115"/>
          <w:spacing w:val="0"/>
          <w:sz w:val="24"/>
          <w:szCs w:val="24"/>
          <w:highlight w:val="none"/>
          <w:shd w:val="clear" w:fill="FFFFFF"/>
        </w:rPr>
        <w:t>2000)mV</w:t>
      </w:r>
      <w:r>
        <w:rPr>
          <w:rFonts w:hint="eastAsia" w:ascii="宋体" w:hAnsi="宋体" w:cs="宋体"/>
          <w:i w:val="0"/>
          <w:iCs w:val="0"/>
          <w:caps w:val="0"/>
          <w:color w:val="0F1115"/>
          <w:spacing w:val="0"/>
          <w:sz w:val="24"/>
          <w:szCs w:val="24"/>
          <w:highlight w:val="none"/>
          <w:shd w:val="clear" w:fill="FFFFFF"/>
          <w:lang w:eastAsia="zh-CN"/>
        </w:rPr>
        <w:t>。</w:t>
      </w:r>
    </w:p>
    <w:p w14:paraId="6D7FBB4D">
      <w:pPr>
        <w:pStyle w:val="19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0F1115"/>
          <w:spacing w:val="0"/>
          <w:sz w:val="24"/>
          <w:szCs w:val="24"/>
          <w:highlight w:val="none"/>
          <w:shd w:val="clear" w:fill="FFFFFF"/>
          <w:lang w:eastAsia="zh-CN"/>
        </w:rPr>
      </w:pPr>
      <w:r>
        <w:rPr>
          <w:rFonts w:hint="eastAsia" w:ascii="宋体" w:hAnsi="宋体" w:eastAsia="宋体" w:cs="宋体"/>
          <w:i w:val="0"/>
          <w:iCs w:val="0"/>
          <w:caps w:val="0"/>
          <w:color w:val="0F1115"/>
          <w:spacing w:val="0"/>
          <w:sz w:val="24"/>
          <w:szCs w:val="24"/>
          <w:highlight w:val="none"/>
          <w:shd w:val="clear" w:fill="FFFFFF"/>
          <w:lang w:val="en-US" w:eastAsia="zh-CN"/>
        </w:rPr>
        <w:t>4.</w:t>
      </w:r>
      <w:r>
        <w:rPr>
          <w:rFonts w:hint="eastAsia" w:ascii="宋体" w:hAnsi="宋体" w:eastAsia="宋体" w:cs="宋体"/>
          <w:i w:val="0"/>
          <w:iCs w:val="0"/>
          <w:caps w:val="0"/>
          <w:color w:val="0F1115"/>
          <w:spacing w:val="0"/>
          <w:sz w:val="24"/>
          <w:szCs w:val="24"/>
          <w:highlight w:val="none"/>
          <w:shd w:val="clear" w:fill="FFFFFF"/>
        </w:rPr>
        <w:t>内置高阻器</w:t>
      </w:r>
      <w:r>
        <w:rPr>
          <w:rFonts w:hint="eastAsia" w:ascii="宋体" w:hAnsi="宋体" w:cs="宋体"/>
          <w:i w:val="0"/>
          <w:iCs w:val="0"/>
          <w:caps w:val="0"/>
          <w:color w:val="0F1115"/>
          <w:spacing w:val="0"/>
          <w:sz w:val="24"/>
          <w:szCs w:val="24"/>
          <w:highlight w:val="none"/>
          <w:shd w:val="clear" w:fill="FFFFFF"/>
          <w:lang w:val="en-US" w:eastAsia="zh-CN"/>
        </w:rPr>
        <w:t>:</w:t>
      </w:r>
      <w:r>
        <w:rPr>
          <w:rFonts w:hint="eastAsia" w:ascii="宋体" w:hAnsi="宋体" w:eastAsia="宋体" w:cs="宋体"/>
          <w:i w:val="0"/>
          <w:iCs w:val="0"/>
          <w:caps w:val="0"/>
          <w:color w:val="0F1115"/>
          <w:spacing w:val="0"/>
          <w:sz w:val="24"/>
          <w:szCs w:val="24"/>
          <w:highlight w:val="none"/>
          <w:shd w:val="clear" w:fill="FFFFFF"/>
        </w:rPr>
        <w:t>1 GΩ、3 GΩ</w:t>
      </w:r>
      <w:r>
        <w:rPr>
          <w:rFonts w:hint="eastAsia" w:ascii="宋体" w:hAnsi="宋体" w:cs="宋体"/>
          <w:i w:val="0"/>
          <w:iCs w:val="0"/>
          <w:caps w:val="0"/>
          <w:color w:val="0F1115"/>
          <w:spacing w:val="0"/>
          <w:sz w:val="24"/>
          <w:szCs w:val="24"/>
          <w:highlight w:val="none"/>
          <w:shd w:val="clear" w:fill="FFFFFF"/>
          <w:lang w:eastAsia="zh-CN"/>
        </w:rPr>
        <w:t>各一路。</w:t>
      </w:r>
    </w:p>
    <w:p w14:paraId="1A2A252D">
      <w:pPr>
        <w:pStyle w:val="19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cs="宋体"/>
          <w:i w:val="0"/>
          <w:iCs w:val="0"/>
          <w:caps w:val="0"/>
          <w:color w:val="0F1115"/>
          <w:spacing w:val="0"/>
          <w:sz w:val="24"/>
          <w:szCs w:val="24"/>
          <w:highlight w:val="none"/>
          <w:shd w:val="clear" w:fill="FFFFFF"/>
          <w:lang w:eastAsia="zh-CN"/>
        </w:rPr>
      </w:pPr>
      <w:r>
        <w:rPr>
          <w:rFonts w:hint="eastAsia" w:ascii="宋体" w:hAnsi="宋体" w:eastAsia="宋体" w:cs="宋体"/>
          <w:b/>
          <w:bCs/>
          <w:sz w:val="24"/>
          <w:szCs w:val="24"/>
          <w:highlight w:val="none"/>
          <w:lang w:val="en-US" w:eastAsia="zh-CN" w:bidi="ar-SA"/>
        </w:rPr>
        <w:t>▲</w:t>
      </w:r>
      <w:r>
        <w:rPr>
          <w:rFonts w:hint="eastAsia" w:ascii="宋体" w:hAnsi="宋体" w:eastAsia="宋体" w:cs="宋体"/>
          <w:i w:val="0"/>
          <w:iCs w:val="0"/>
          <w:caps w:val="0"/>
          <w:color w:val="0F1115"/>
          <w:spacing w:val="0"/>
          <w:sz w:val="24"/>
          <w:szCs w:val="24"/>
          <w:highlight w:val="none"/>
          <w:shd w:val="clear" w:fill="FFFFFF"/>
          <w:lang w:val="en-US" w:eastAsia="zh-CN"/>
        </w:rPr>
        <w:t>5.</w:t>
      </w:r>
      <w:r>
        <w:rPr>
          <w:rFonts w:hint="eastAsia" w:ascii="宋体" w:hAnsi="宋体" w:eastAsia="宋体" w:cs="宋体"/>
          <w:i w:val="0"/>
          <w:iCs w:val="0"/>
          <w:caps w:val="0"/>
          <w:color w:val="0F1115"/>
          <w:spacing w:val="0"/>
          <w:sz w:val="24"/>
          <w:szCs w:val="24"/>
          <w:highlight w:val="none"/>
          <w:shd w:val="clear" w:fill="FFFFFF"/>
        </w:rPr>
        <w:t>准确度等级：</w:t>
      </w:r>
      <w:r>
        <w:rPr>
          <w:rFonts w:hint="eastAsia" w:ascii="宋体" w:hAnsi="宋体" w:cs="宋体"/>
          <w:i w:val="0"/>
          <w:iCs w:val="0"/>
          <w:caps w:val="0"/>
          <w:color w:val="0F1115"/>
          <w:spacing w:val="0"/>
          <w:sz w:val="24"/>
          <w:szCs w:val="24"/>
          <w:highlight w:val="none"/>
          <w:shd w:val="clear" w:fill="FFFFFF"/>
          <w:lang w:val="en-US" w:eastAsia="zh-CN"/>
        </w:rPr>
        <w:t>不低于</w:t>
      </w:r>
      <w:r>
        <w:rPr>
          <w:rFonts w:hint="eastAsia" w:ascii="宋体" w:hAnsi="宋体" w:eastAsia="宋体" w:cs="宋体"/>
          <w:i w:val="0"/>
          <w:iCs w:val="0"/>
          <w:caps w:val="0"/>
          <w:color w:val="0F1115"/>
          <w:spacing w:val="0"/>
          <w:sz w:val="24"/>
          <w:szCs w:val="24"/>
          <w:highlight w:val="none"/>
          <w:shd w:val="clear" w:fill="FFFFFF"/>
        </w:rPr>
        <w:t>0.0006级</w:t>
      </w:r>
      <w:r>
        <w:rPr>
          <w:rFonts w:hint="eastAsia" w:ascii="宋体" w:hAnsi="宋体" w:cs="宋体"/>
          <w:i w:val="0"/>
          <w:iCs w:val="0"/>
          <w:caps w:val="0"/>
          <w:color w:val="0F1115"/>
          <w:spacing w:val="0"/>
          <w:sz w:val="24"/>
          <w:szCs w:val="24"/>
          <w:highlight w:val="none"/>
          <w:shd w:val="clear" w:fill="FFFFFF"/>
          <w:lang w:eastAsia="zh-CN"/>
        </w:rPr>
        <w:t>。</w:t>
      </w:r>
    </w:p>
    <w:p w14:paraId="0DDCEEDC">
      <w:pPr>
        <w:pStyle w:val="19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default" w:ascii="宋体" w:hAnsi="宋体" w:eastAsia="宋体" w:cs="宋体"/>
          <w:i w:val="0"/>
          <w:iCs w:val="0"/>
          <w:caps w:val="0"/>
          <w:color w:val="0F1115"/>
          <w:spacing w:val="0"/>
          <w:sz w:val="24"/>
          <w:szCs w:val="24"/>
          <w:highlight w:val="none"/>
          <w:shd w:val="clear" w:fill="FFFFFF"/>
          <w:lang w:val="en-US" w:eastAsia="zh-CN"/>
        </w:rPr>
      </w:pPr>
      <w:r>
        <w:rPr>
          <w:rFonts w:hint="eastAsia" w:ascii="宋体" w:hAnsi="宋体" w:eastAsia="宋体" w:cs="宋体"/>
          <w:b/>
          <w:bCs/>
          <w:sz w:val="24"/>
          <w:szCs w:val="24"/>
          <w:highlight w:val="none"/>
          <w:lang w:val="en-US" w:eastAsia="zh-CN" w:bidi="ar-SA"/>
        </w:rPr>
        <w:t>▲</w:t>
      </w:r>
      <w:r>
        <w:rPr>
          <w:rFonts w:hint="eastAsia" w:ascii="宋体" w:hAnsi="宋体" w:eastAsia="宋体" w:cs="宋体"/>
          <w:i w:val="0"/>
          <w:iCs w:val="0"/>
          <w:caps w:val="0"/>
          <w:color w:val="0F1115"/>
          <w:spacing w:val="0"/>
          <w:sz w:val="24"/>
          <w:szCs w:val="24"/>
          <w:highlight w:val="none"/>
          <w:shd w:val="clear" w:fill="FFFFFF"/>
          <w:lang w:val="en-US" w:eastAsia="zh-CN"/>
        </w:rPr>
        <w:t>6.</w:t>
      </w:r>
      <w:r>
        <w:rPr>
          <w:rFonts w:hint="eastAsia" w:ascii="宋体" w:hAnsi="宋体" w:eastAsia="宋体" w:cs="宋体"/>
          <w:i w:val="0"/>
          <w:iCs w:val="0"/>
          <w:caps w:val="0"/>
          <w:color w:val="0F1115"/>
          <w:spacing w:val="0"/>
          <w:sz w:val="24"/>
          <w:szCs w:val="24"/>
          <w:highlight w:val="none"/>
          <w:shd w:val="clear" w:fill="FFFFFF"/>
        </w:rPr>
        <w:t>具有pH和mV两种输出模式，可检定0.001级及以下酸度计。</w:t>
      </w:r>
    </w:p>
    <w:bookmarkEnd w:id="153"/>
    <w:bookmarkEnd w:id="154"/>
    <w:p w14:paraId="31F3DEC3">
      <w:pPr>
        <w:numPr>
          <w:ilvl w:val="0"/>
          <w:numId w:val="2"/>
        </w:numPr>
        <w:spacing w:line="360" w:lineRule="auto"/>
        <w:ind w:left="0" w:leftChars="0" w:firstLine="480" w:firstLineChars="0"/>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液体恒温槽</w:t>
      </w:r>
      <w:r>
        <w:rPr>
          <w:rFonts w:hint="eastAsia" w:ascii="宋体" w:hAnsi="宋体" w:cs="宋体"/>
          <w:b/>
          <w:bCs/>
          <w:sz w:val="24"/>
          <w:szCs w:val="24"/>
          <w:highlight w:val="none"/>
        </w:rPr>
        <w:t>参数要求</w:t>
      </w:r>
    </w:p>
    <w:p w14:paraId="7FC03D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一）液体低温槽</w:t>
      </w:r>
    </w:p>
    <w:p w14:paraId="76EF566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▲1.温度范围:(-80~100)℃。</w:t>
      </w:r>
    </w:p>
    <w:p w14:paraId="6B94D9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▲2.温度波动度：±0.01℃/10min。</w:t>
      </w:r>
    </w:p>
    <w:p w14:paraId="268023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▲3.温度均匀性：水平温差≤ 0.01℃，垂直温差≤ 0.01℃。</w:t>
      </w:r>
    </w:p>
    <w:p w14:paraId="398C22C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▲4.升降温速率可调：（0.1~1.0）℃。</w:t>
      </w:r>
    </w:p>
    <w:p w14:paraId="4FE2EE6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5.工作腔尺寸：≥φ138mm×450mm。</w:t>
      </w:r>
    </w:p>
    <w:p w14:paraId="1C6DBA4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二）液体高温槽</w:t>
      </w:r>
    </w:p>
    <w:p w14:paraId="21A3719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▲1.温度范围:(90~300)℃。</w:t>
      </w:r>
    </w:p>
    <w:p w14:paraId="30FFD69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▲2.温度波动度：±0.01℃/10min。</w:t>
      </w:r>
    </w:p>
    <w:p w14:paraId="6A0DA2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▲3.温度均匀性：水平温差≤ 0.01℃，垂直温差≤ 0.01℃。</w:t>
      </w:r>
    </w:p>
    <w:p w14:paraId="2DE4655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▲4.升降温速率可调：（0.1~1.0）℃。</w:t>
      </w:r>
    </w:p>
    <w:p w14:paraId="72B5FD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5.工作腔尺寸：≥Φ126mm×450mm。</w:t>
      </w:r>
    </w:p>
    <w:p w14:paraId="0037F5B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6.人机交互：≥7英寸触屏。</w:t>
      </w:r>
    </w:p>
    <w:p w14:paraId="7EBCC6F6">
      <w:pPr>
        <w:spacing w:line="360" w:lineRule="auto"/>
        <w:ind w:left="420" w:leftChars="200"/>
        <w:rPr>
          <w:rFonts w:hint="eastAsia" w:ascii="宋体" w:hAnsi="宋体" w:cs="宋体"/>
          <w:b/>
          <w:bCs/>
          <w:sz w:val="24"/>
          <w:szCs w:val="24"/>
          <w:highlight w:val="none"/>
        </w:rPr>
      </w:pPr>
      <w:r>
        <w:rPr>
          <w:rFonts w:hint="eastAsia" w:ascii="宋体" w:hAnsi="宋体" w:cs="宋体"/>
          <w:b/>
          <w:bCs/>
          <w:sz w:val="24"/>
          <w:szCs w:val="24"/>
          <w:highlight w:val="none"/>
        </w:rPr>
        <w:t>（三）</w:t>
      </w:r>
      <w:r>
        <w:rPr>
          <w:rFonts w:hint="eastAsia" w:ascii="宋体" w:hAnsi="宋体" w:cs="宋体"/>
          <w:b/>
          <w:bCs/>
          <w:sz w:val="24"/>
          <w:szCs w:val="24"/>
          <w:highlight w:val="none"/>
          <w:lang w:val="en-US" w:eastAsia="zh-CN"/>
        </w:rPr>
        <w:t>温湿度检定箱</w:t>
      </w:r>
      <w:r>
        <w:rPr>
          <w:rFonts w:hint="eastAsia" w:ascii="宋体" w:hAnsi="宋体" w:cs="宋体"/>
          <w:b/>
          <w:bCs/>
          <w:sz w:val="24"/>
          <w:szCs w:val="24"/>
          <w:highlight w:val="none"/>
        </w:rPr>
        <w:t>参数要求</w:t>
      </w:r>
    </w:p>
    <w:p w14:paraId="514E1963">
      <w:pPr>
        <w:numPr>
          <w:ilvl w:val="0"/>
          <w:numId w:val="0"/>
        </w:numPr>
        <w:spacing w:line="360" w:lineRule="auto"/>
        <w:ind w:firstLine="240" w:firstLineChars="100"/>
        <w:rPr>
          <w:rFonts w:hint="default" w:ascii="宋体" w:hAnsi="宋体" w:eastAsia="宋体" w:cs="宋体"/>
          <w:sz w:val="24"/>
          <w:szCs w:val="21"/>
          <w:highlight w:val="none"/>
          <w:lang w:val="en-US" w:eastAsia="zh-CN" w:bidi="ar-SA"/>
        </w:rPr>
      </w:pPr>
      <w:bookmarkStart w:id="155" w:name="OLE_LINK14"/>
      <w:r>
        <w:rPr>
          <w:rFonts w:hint="default" w:ascii="宋体" w:hAnsi="宋体" w:eastAsia="宋体" w:cs="宋体"/>
          <w:sz w:val="24"/>
          <w:szCs w:val="21"/>
          <w:highlight w:val="none"/>
          <w:lang w:val="en-US" w:eastAsia="zh-CN" w:bidi="ar-SA"/>
        </w:rPr>
        <w:t>1</w:t>
      </w:r>
      <w:r>
        <w:rPr>
          <w:rFonts w:hint="eastAsia" w:ascii="宋体" w:hAnsi="宋体" w:eastAsia="宋体" w:cs="宋体"/>
          <w:sz w:val="24"/>
          <w:szCs w:val="21"/>
          <w:highlight w:val="none"/>
          <w:lang w:val="en-US" w:eastAsia="zh-CN" w:bidi="ar-SA"/>
        </w:rPr>
        <w:t>.</w:t>
      </w:r>
      <w:r>
        <w:rPr>
          <w:rFonts w:hint="default" w:ascii="宋体" w:hAnsi="宋体" w:eastAsia="宋体" w:cs="宋体"/>
          <w:sz w:val="24"/>
          <w:szCs w:val="21"/>
          <w:highlight w:val="none"/>
          <w:lang w:val="en-US" w:eastAsia="zh-CN" w:bidi="ar-SA"/>
        </w:rPr>
        <w:t xml:space="preserve">温湿度检定箱：用于开展温湿度计校准工作，满足JJF 1564-2016 《温湿度标准箱校准规范》要求。 </w:t>
      </w:r>
    </w:p>
    <w:p w14:paraId="4F8F6A47">
      <w:pPr>
        <w:numPr>
          <w:ilvl w:val="0"/>
          <w:numId w:val="0"/>
        </w:numPr>
        <w:spacing w:line="360" w:lineRule="auto"/>
        <w:ind w:firstLine="240" w:firstLineChars="100"/>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w:t>
      </w:r>
      <w:r>
        <w:rPr>
          <w:rFonts w:hint="default" w:ascii="宋体" w:hAnsi="宋体" w:eastAsia="宋体" w:cs="宋体"/>
          <w:sz w:val="24"/>
          <w:szCs w:val="21"/>
          <w:highlight w:val="none"/>
          <w:lang w:val="en-US" w:eastAsia="zh-CN" w:bidi="ar-SA"/>
        </w:rPr>
        <w:t>2</w:t>
      </w:r>
      <w:r>
        <w:rPr>
          <w:rFonts w:hint="eastAsia" w:ascii="宋体" w:hAnsi="宋体" w:eastAsia="宋体" w:cs="宋体"/>
          <w:sz w:val="24"/>
          <w:szCs w:val="21"/>
          <w:highlight w:val="none"/>
          <w:lang w:val="en-US" w:eastAsia="zh-CN" w:bidi="ar-SA"/>
        </w:rPr>
        <w:t>.</w:t>
      </w:r>
      <w:r>
        <w:rPr>
          <w:rFonts w:hint="default" w:ascii="宋体" w:hAnsi="宋体" w:eastAsia="宋体" w:cs="宋体"/>
          <w:sz w:val="24"/>
          <w:szCs w:val="21"/>
          <w:highlight w:val="none"/>
          <w:lang w:val="en-US" w:eastAsia="zh-CN" w:bidi="ar-SA"/>
        </w:rPr>
        <w:t>温度范围：</w:t>
      </w:r>
      <w:r>
        <w:rPr>
          <w:rFonts w:hint="eastAsia" w:ascii="宋体" w:hAnsi="宋体" w:eastAsia="宋体" w:cs="宋体"/>
          <w:sz w:val="24"/>
          <w:szCs w:val="21"/>
          <w:highlight w:val="none"/>
          <w:lang w:val="en-US" w:eastAsia="zh-CN" w:bidi="ar-SA"/>
        </w:rPr>
        <w:t>（</w:t>
      </w:r>
      <w:r>
        <w:rPr>
          <w:rFonts w:hint="default" w:ascii="宋体" w:hAnsi="宋体" w:eastAsia="宋体" w:cs="宋体"/>
          <w:sz w:val="24"/>
          <w:szCs w:val="21"/>
          <w:highlight w:val="none"/>
          <w:lang w:val="en-US" w:eastAsia="zh-CN" w:bidi="ar-SA"/>
        </w:rPr>
        <w:t>-4</w:t>
      </w:r>
      <w:r>
        <w:rPr>
          <w:rFonts w:hint="eastAsia" w:ascii="宋体" w:hAnsi="宋体" w:eastAsia="宋体" w:cs="宋体"/>
          <w:sz w:val="24"/>
          <w:szCs w:val="21"/>
          <w:highlight w:val="none"/>
          <w:lang w:val="en-US" w:eastAsia="zh-CN" w:bidi="ar-SA"/>
        </w:rPr>
        <w:t>0~</w:t>
      </w:r>
      <w:r>
        <w:rPr>
          <w:rFonts w:hint="default" w:ascii="宋体" w:hAnsi="宋体" w:eastAsia="宋体" w:cs="宋体"/>
          <w:sz w:val="24"/>
          <w:szCs w:val="21"/>
          <w:highlight w:val="none"/>
          <w:lang w:val="en-US" w:eastAsia="zh-CN" w:bidi="ar-SA"/>
        </w:rPr>
        <w:t>80</w:t>
      </w:r>
      <w:r>
        <w:rPr>
          <w:rFonts w:hint="eastAsia" w:ascii="宋体" w:hAnsi="宋体" w:eastAsia="宋体" w:cs="宋体"/>
          <w:sz w:val="24"/>
          <w:szCs w:val="21"/>
          <w:highlight w:val="none"/>
          <w:lang w:val="en-US" w:eastAsia="zh-CN" w:bidi="ar-SA"/>
        </w:rPr>
        <w:t>）</w:t>
      </w:r>
      <w:r>
        <w:rPr>
          <w:rFonts w:hint="default" w:ascii="宋体" w:hAnsi="宋体" w:eastAsia="宋体" w:cs="宋体"/>
          <w:sz w:val="24"/>
          <w:szCs w:val="21"/>
          <w:highlight w:val="none"/>
          <w:lang w:val="en-US" w:eastAsia="zh-CN" w:bidi="ar-SA"/>
        </w:rPr>
        <w:t>℃。</w:t>
      </w:r>
    </w:p>
    <w:p w14:paraId="48D85400">
      <w:pPr>
        <w:numPr>
          <w:ilvl w:val="0"/>
          <w:numId w:val="0"/>
        </w:numPr>
        <w:spacing w:line="360" w:lineRule="auto"/>
        <w:ind w:firstLine="240" w:firstLineChars="100"/>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w:t>
      </w:r>
      <w:r>
        <w:rPr>
          <w:rFonts w:hint="default" w:ascii="宋体" w:hAnsi="宋体" w:eastAsia="宋体" w:cs="宋体"/>
          <w:sz w:val="24"/>
          <w:szCs w:val="21"/>
          <w:highlight w:val="none"/>
          <w:lang w:val="en-US" w:eastAsia="zh-CN" w:bidi="ar-SA"/>
        </w:rPr>
        <w:t>3</w:t>
      </w:r>
      <w:r>
        <w:rPr>
          <w:rFonts w:hint="eastAsia" w:ascii="宋体" w:hAnsi="宋体" w:eastAsia="宋体" w:cs="宋体"/>
          <w:sz w:val="24"/>
          <w:szCs w:val="21"/>
          <w:highlight w:val="none"/>
          <w:lang w:val="en-US" w:eastAsia="zh-CN" w:bidi="ar-SA"/>
        </w:rPr>
        <w:t>.</w:t>
      </w:r>
      <w:r>
        <w:rPr>
          <w:rFonts w:hint="default" w:ascii="宋体" w:hAnsi="宋体" w:eastAsia="宋体" w:cs="宋体"/>
          <w:sz w:val="24"/>
          <w:szCs w:val="21"/>
          <w:highlight w:val="none"/>
          <w:lang w:val="en-US" w:eastAsia="zh-CN" w:bidi="ar-SA"/>
        </w:rPr>
        <w:t>温度波动度：≤±0.1℃</w:t>
      </w:r>
      <w:r>
        <w:rPr>
          <w:rFonts w:hint="eastAsia" w:ascii="宋体" w:hAnsi="宋体" w:eastAsia="宋体" w:cs="宋体"/>
          <w:sz w:val="24"/>
          <w:szCs w:val="21"/>
          <w:highlight w:val="none"/>
          <w:lang w:val="en-US" w:eastAsia="zh-CN" w:bidi="ar-SA"/>
        </w:rPr>
        <w:t>/30min（</w:t>
      </w:r>
      <w:r>
        <w:rPr>
          <w:rFonts w:hint="default" w:ascii="宋体" w:hAnsi="宋体" w:eastAsia="宋体" w:cs="宋体"/>
          <w:sz w:val="24"/>
          <w:szCs w:val="21"/>
          <w:highlight w:val="none"/>
          <w:lang w:val="en-US" w:eastAsia="zh-CN" w:bidi="ar-SA"/>
        </w:rPr>
        <w:t>≤±0.</w:t>
      </w:r>
      <w:r>
        <w:rPr>
          <w:rFonts w:hint="eastAsia" w:ascii="宋体" w:hAnsi="宋体" w:eastAsia="宋体" w:cs="宋体"/>
          <w:sz w:val="24"/>
          <w:szCs w:val="21"/>
          <w:highlight w:val="none"/>
          <w:lang w:val="en-US" w:eastAsia="zh-CN" w:bidi="ar-SA"/>
        </w:rPr>
        <w:t>05</w:t>
      </w:r>
      <w:r>
        <w:rPr>
          <w:rFonts w:hint="default" w:ascii="宋体" w:hAnsi="宋体" w:eastAsia="宋体" w:cs="宋体"/>
          <w:sz w:val="24"/>
          <w:szCs w:val="21"/>
          <w:highlight w:val="none"/>
          <w:lang w:val="en-US" w:eastAsia="zh-CN" w:bidi="ar-SA"/>
        </w:rPr>
        <w:t>℃</w:t>
      </w:r>
      <w:r>
        <w:rPr>
          <w:rFonts w:hint="eastAsia" w:ascii="宋体" w:hAnsi="宋体" w:eastAsia="宋体" w:cs="宋体"/>
          <w:sz w:val="24"/>
          <w:szCs w:val="21"/>
          <w:highlight w:val="none"/>
          <w:lang w:val="en-US" w:eastAsia="zh-CN" w:bidi="ar-SA"/>
        </w:rPr>
        <w:t>/30min仅开温度）。</w:t>
      </w:r>
    </w:p>
    <w:p w14:paraId="5A950117">
      <w:pPr>
        <w:numPr>
          <w:ilvl w:val="0"/>
          <w:numId w:val="0"/>
        </w:numPr>
        <w:spacing w:line="360" w:lineRule="auto"/>
        <w:ind w:firstLine="240" w:firstLineChars="100"/>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t>4</w:t>
      </w:r>
      <w:r>
        <w:rPr>
          <w:rFonts w:hint="eastAsia" w:ascii="宋体" w:hAnsi="宋体" w:eastAsia="宋体" w:cs="宋体"/>
          <w:sz w:val="24"/>
          <w:szCs w:val="21"/>
          <w:highlight w:val="none"/>
          <w:lang w:val="en-US" w:eastAsia="zh-CN" w:bidi="ar-SA"/>
        </w:rPr>
        <w:t>.</w:t>
      </w:r>
      <w:r>
        <w:rPr>
          <w:rFonts w:hint="default" w:ascii="宋体" w:hAnsi="宋体" w:eastAsia="宋体" w:cs="宋体"/>
          <w:sz w:val="24"/>
          <w:szCs w:val="21"/>
          <w:highlight w:val="none"/>
          <w:lang w:val="en-US" w:eastAsia="zh-CN" w:bidi="ar-SA"/>
        </w:rPr>
        <w:t>温度均匀性：≤ 0.2℃</w:t>
      </w:r>
      <w:r>
        <w:rPr>
          <w:rFonts w:hint="eastAsia" w:ascii="宋体" w:hAnsi="宋体" w:eastAsia="宋体" w:cs="宋体"/>
          <w:sz w:val="24"/>
          <w:szCs w:val="21"/>
          <w:highlight w:val="none"/>
          <w:lang w:val="en-US" w:eastAsia="zh-CN" w:bidi="ar-SA"/>
        </w:rPr>
        <w:t>@</w:t>
      </w:r>
      <w:r>
        <w:rPr>
          <w:rFonts w:hint="default" w:ascii="宋体" w:hAnsi="宋体" w:eastAsia="宋体" w:cs="宋体"/>
          <w:sz w:val="24"/>
          <w:szCs w:val="21"/>
          <w:highlight w:val="none"/>
          <w:lang w:val="en-US" w:eastAsia="zh-CN" w:bidi="ar-SA"/>
        </w:rPr>
        <w:t>（5℃</w:t>
      </w:r>
      <w:r>
        <w:rPr>
          <w:rFonts w:hint="eastAsia" w:ascii="宋体" w:hAnsi="宋体" w:eastAsia="宋体" w:cs="宋体"/>
          <w:sz w:val="24"/>
          <w:szCs w:val="21"/>
          <w:highlight w:val="none"/>
          <w:lang w:val="en-US" w:eastAsia="zh-CN" w:bidi="ar-SA"/>
        </w:rPr>
        <w:t>~</w:t>
      </w:r>
      <w:r>
        <w:rPr>
          <w:rFonts w:hint="default" w:ascii="宋体" w:hAnsi="宋体" w:eastAsia="宋体" w:cs="宋体"/>
          <w:sz w:val="24"/>
          <w:szCs w:val="21"/>
          <w:highlight w:val="none"/>
          <w:lang w:val="en-US" w:eastAsia="zh-CN" w:bidi="ar-SA"/>
        </w:rPr>
        <w:t>50℃）</w:t>
      </w:r>
      <w:r>
        <w:rPr>
          <w:rFonts w:hint="eastAsia" w:ascii="宋体" w:hAnsi="宋体" w:eastAsia="宋体" w:cs="宋体"/>
          <w:sz w:val="24"/>
          <w:szCs w:val="21"/>
          <w:highlight w:val="none"/>
          <w:lang w:val="en-US" w:eastAsia="zh-CN" w:bidi="ar-SA"/>
        </w:rPr>
        <w:t>，0.6℃@（＜ 5℃，50℃~80℃）。</w:t>
      </w:r>
    </w:p>
    <w:p w14:paraId="4FA677ED">
      <w:pPr>
        <w:numPr>
          <w:ilvl w:val="0"/>
          <w:numId w:val="0"/>
        </w:numPr>
        <w:spacing w:line="360" w:lineRule="auto"/>
        <w:ind w:firstLine="240" w:firstLineChars="100"/>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w:t>
      </w:r>
      <w:r>
        <w:rPr>
          <w:rFonts w:hint="default" w:ascii="宋体" w:hAnsi="宋体" w:eastAsia="宋体" w:cs="宋体"/>
          <w:sz w:val="24"/>
          <w:szCs w:val="21"/>
          <w:highlight w:val="none"/>
          <w:lang w:val="en-US" w:eastAsia="zh-CN" w:bidi="ar-SA"/>
        </w:rPr>
        <w:t>5</w:t>
      </w:r>
      <w:r>
        <w:rPr>
          <w:rFonts w:hint="eastAsia" w:ascii="宋体" w:hAnsi="宋体" w:eastAsia="宋体" w:cs="宋体"/>
          <w:sz w:val="24"/>
          <w:szCs w:val="21"/>
          <w:highlight w:val="none"/>
          <w:lang w:val="en-US" w:eastAsia="zh-CN" w:bidi="ar-SA"/>
        </w:rPr>
        <w:t>.</w:t>
      </w:r>
      <w:r>
        <w:rPr>
          <w:rFonts w:hint="default" w:ascii="宋体" w:hAnsi="宋体" w:eastAsia="宋体" w:cs="宋体"/>
          <w:sz w:val="24"/>
          <w:szCs w:val="21"/>
          <w:highlight w:val="none"/>
          <w:lang w:val="en-US" w:eastAsia="zh-CN" w:bidi="ar-SA"/>
        </w:rPr>
        <w:t>湿度范围：10%RH</w:t>
      </w:r>
      <w:r>
        <w:rPr>
          <w:rFonts w:hint="eastAsia" w:ascii="宋体" w:hAnsi="宋体" w:eastAsia="宋体" w:cs="宋体"/>
          <w:sz w:val="24"/>
          <w:szCs w:val="21"/>
          <w:highlight w:val="none"/>
          <w:lang w:val="en-US" w:eastAsia="zh-CN" w:bidi="ar-SA"/>
        </w:rPr>
        <w:t>~</w:t>
      </w:r>
      <w:r>
        <w:rPr>
          <w:rFonts w:hint="default" w:ascii="宋体" w:hAnsi="宋体" w:eastAsia="宋体" w:cs="宋体"/>
          <w:sz w:val="24"/>
          <w:szCs w:val="21"/>
          <w:highlight w:val="none"/>
          <w:lang w:val="en-US" w:eastAsia="zh-CN" w:bidi="ar-SA"/>
        </w:rPr>
        <w:t>95%RH@（20℃</w:t>
      </w:r>
      <w:r>
        <w:rPr>
          <w:rFonts w:hint="eastAsia" w:ascii="宋体" w:hAnsi="宋体" w:eastAsia="宋体" w:cs="宋体"/>
          <w:sz w:val="24"/>
          <w:szCs w:val="21"/>
          <w:highlight w:val="none"/>
          <w:lang w:val="en-US" w:eastAsia="zh-CN" w:bidi="ar-SA"/>
        </w:rPr>
        <w:t>~</w:t>
      </w:r>
      <w:r>
        <w:rPr>
          <w:rFonts w:hint="default" w:ascii="宋体" w:hAnsi="宋体" w:eastAsia="宋体" w:cs="宋体"/>
          <w:sz w:val="24"/>
          <w:szCs w:val="21"/>
          <w:highlight w:val="none"/>
          <w:lang w:val="en-US" w:eastAsia="zh-CN" w:bidi="ar-SA"/>
        </w:rPr>
        <w:t>50℃）</w:t>
      </w:r>
      <w:r>
        <w:rPr>
          <w:rFonts w:hint="eastAsia" w:ascii="宋体" w:hAnsi="宋体" w:eastAsia="宋体" w:cs="宋体"/>
          <w:sz w:val="24"/>
          <w:szCs w:val="21"/>
          <w:highlight w:val="none"/>
          <w:lang w:val="en-US" w:eastAsia="zh-CN" w:bidi="ar-SA"/>
        </w:rPr>
        <w:t>。</w:t>
      </w:r>
    </w:p>
    <w:p w14:paraId="79259AAC">
      <w:pPr>
        <w:numPr>
          <w:ilvl w:val="0"/>
          <w:numId w:val="0"/>
        </w:numPr>
        <w:spacing w:line="360" w:lineRule="auto"/>
        <w:ind w:firstLine="240" w:firstLineChars="100"/>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w:t>
      </w:r>
      <w:r>
        <w:rPr>
          <w:rFonts w:hint="default" w:ascii="宋体" w:hAnsi="宋体" w:eastAsia="宋体" w:cs="宋体"/>
          <w:sz w:val="24"/>
          <w:szCs w:val="21"/>
          <w:highlight w:val="none"/>
          <w:lang w:val="en-US" w:eastAsia="zh-CN" w:bidi="ar-SA"/>
        </w:rPr>
        <w:t>6</w:t>
      </w:r>
      <w:r>
        <w:rPr>
          <w:rFonts w:hint="eastAsia" w:ascii="宋体" w:hAnsi="宋体" w:eastAsia="宋体" w:cs="宋体"/>
          <w:sz w:val="24"/>
          <w:szCs w:val="21"/>
          <w:highlight w:val="none"/>
          <w:lang w:val="en-US" w:eastAsia="zh-CN" w:bidi="ar-SA"/>
        </w:rPr>
        <w:t>.</w:t>
      </w:r>
      <w:r>
        <w:rPr>
          <w:rFonts w:hint="default" w:ascii="宋体" w:hAnsi="宋体" w:eastAsia="宋体" w:cs="宋体"/>
          <w:sz w:val="24"/>
          <w:szCs w:val="21"/>
          <w:highlight w:val="none"/>
          <w:lang w:val="en-US" w:eastAsia="zh-CN" w:bidi="ar-SA"/>
        </w:rPr>
        <w:t>湿度波动度：≤±0.</w:t>
      </w:r>
      <w:r>
        <w:rPr>
          <w:rFonts w:hint="eastAsia" w:ascii="宋体" w:hAnsi="宋体" w:eastAsia="宋体" w:cs="宋体"/>
          <w:sz w:val="24"/>
          <w:szCs w:val="21"/>
          <w:highlight w:val="none"/>
          <w:lang w:val="en-US" w:eastAsia="zh-CN" w:bidi="ar-SA"/>
        </w:rPr>
        <w:t>5</w:t>
      </w:r>
      <w:r>
        <w:rPr>
          <w:rFonts w:hint="default" w:ascii="宋体" w:hAnsi="宋体" w:eastAsia="宋体" w:cs="宋体"/>
          <w:sz w:val="24"/>
          <w:szCs w:val="21"/>
          <w:highlight w:val="none"/>
          <w:lang w:val="en-US" w:eastAsia="zh-CN" w:bidi="ar-SA"/>
        </w:rPr>
        <w:t>%RH</w:t>
      </w:r>
      <w:r>
        <w:rPr>
          <w:rFonts w:hint="eastAsia" w:ascii="宋体" w:hAnsi="宋体" w:eastAsia="宋体" w:cs="宋体"/>
          <w:sz w:val="24"/>
          <w:szCs w:val="21"/>
          <w:highlight w:val="none"/>
          <w:lang w:val="en-US" w:eastAsia="zh-CN" w:bidi="ar-SA"/>
        </w:rPr>
        <w:t>/30min。</w:t>
      </w:r>
    </w:p>
    <w:p w14:paraId="1438A7B8">
      <w:pPr>
        <w:numPr>
          <w:ilvl w:val="0"/>
          <w:numId w:val="0"/>
        </w:numPr>
        <w:spacing w:line="360" w:lineRule="auto"/>
        <w:ind w:firstLine="240" w:firstLineChars="100"/>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t>7</w:t>
      </w:r>
      <w:r>
        <w:rPr>
          <w:rFonts w:hint="eastAsia" w:ascii="宋体" w:hAnsi="宋体" w:eastAsia="宋体" w:cs="宋体"/>
          <w:sz w:val="24"/>
          <w:szCs w:val="21"/>
          <w:highlight w:val="none"/>
          <w:lang w:val="en-US" w:eastAsia="zh-CN" w:bidi="ar-SA"/>
        </w:rPr>
        <w:t>.</w:t>
      </w:r>
      <w:r>
        <w:rPr>
          <w:rFonts w:hint="default" w:ascii="宋体" w:hAnsi="宋体" w:eastAsia="宋体" w:cs="宋体"/>
          <w:sz w:val="24"/>
          <w:szCs w:val="21"/>
          <w:highlight w:val="none"/>
          <w:lang w:val="en-US" w:eastAsia="zh-CN" w:bidi="ar-SA"/>
        </w:rPr>
        <w:t>湿度均匀性：≤</w:t>
      </w:r>
      <w:r>
        <w:rPr>
          <w:rFonts w:hint="eastAsia" w:ascii="宋体" w:hAnsi="宋体" w:eastAsia="宋体" w:cs="宋体"/>
          <w:sz w:val="24"/>
          <w:szCs w:val="21"/>
          <w:highlight w:val="none"/>
          <w:lang w:val="en-US" w:eastAsia="zh-CN" w:bidi="ar-SA"/>
        </w:rPr>
        <w:t>0.8</w:t>
      </w:r>
      <w:r>
        <w:rPr>
          <w:rFonts w:hint="default" w:ascii="宋体" w:hAnsi="宋体" w:eastAsia="宋体" w:cs="宋体"/>
          <w:sz w:val="24"/>
          <w:szCs w:val="21"/>
          <w:highlight w:val="none"/>
          <w:lang w:val="en-US" w:eastAsia="zh-CN" w:bidi="ar-SA"/>
        </w:rPr>
        <w:t>%RH@20℃</w:t>
      </w:r>
      <w:r>
        <w:rPr>
          <w:rFonts w:hint="eastAsia" w:ascii="宋体" w:hAnsi="宋体" w:eastAsia="宋体" w:cs="宋体"/>
          <w:sz w:val="24"/>
          <w:szCs w:val="21"/>
          <w:highlight w:val="none"/>
          <w:lang w:val="en-US" w:eastAsia="zh-CN" w:bidi="ar-SA"/>
        </w:rPr>
        <w:t>。</w:t>
      </w:r>
    </w:p>
    <w:p w14:paraId="36CCC9FA">
      <w:pPr>
        <w:numPr>
          <w:ilvl w:val="0"/>
          <w:numId w:val="0"/>
        </w:numPr>
        <w:spacing w:line="360" w:lineRule="auto"/>
        <w:ind w:firstLine="240" w:firstLineChars="100"/>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8.</w:t>
      </w:r>
      <w:r>
        <w:rPr>
          <w:rFonts w:hint="default" w:ascii="宋体" w:hAnsi="宋体" w:eastAsia="宋体" w:cs="宋体"/>
          <w:sz w:val="24"/>
          <w:szCs w:val="21"/>
          <w:highlight w:val="none"/>
          <w:lang w:val="en-US" w:eastAsia="zh-CN" w:bidi="ar-SA"/>
        </w:rPr>
        <w:t>温度升降速度</w:t>
      </w:r>
      <w:r>
        <w:rPr>
          <w:rFonts w:hint="eastAsia" w:ascii="宋体" w:hAnsi="宋体" w:eastAsia="宋体" w:cs="宋体"/>
          <w:sz w:val="24"/>
          <w:szCs w:val="21"/>
          <w:highlight w:val="none"/>
          <w:lang w:val="en-US" w:eastAsia="zh-CN" w:bidi="ar-SA"/>
        </w:rPr>
        <w:t>：</w:t>
      </w:r>
      <w:r>
        <w:rPr>
          <w:rFonts w:hint="default" w:ascii="宋体" w:hAnsi="宋体" w:eastAsia="宋体" w:cs="宋体"/>
          <w:sz w:val="24"/>
          <w:szCs w:val="21"/>
          <w:highlight w:val="none"/>
          <w:lang w:val="en-US" w:eastAsia="zh-CN" w:bidi="ar-SA"/>
        </w:rPr>
        <w:t>20℃至 80℃≤40min</w:t>
      </w:r>
      <w:r>
        <w:rPr>
          <w:rFonts w:hint="eastAsia" w:ascii="宋体" w:hAnsi="宋体" w:eastAsia="宋体" w:cs="宋体"/>
          <w:sz w:val="24"/>
          <w:szCs w:val="21"/>
          <w:highlight w:val="none"/>
          <w:lang w:val="en-US" w:eastAsia="zh-CN" w:bidi="ar-SA"/>
        </w:rPr>
        <w:t>，</w:t>
      </w:r>
      <w:r>
        <w:rPr>
          <w:rFonts w:hint="default" w:ascii="宋体" w:hAnsi="宋体" w:eastAsia="宋体" w:cs="宋体"/>
          <w:sz w:val="24"/>
          <w:szCs w:val="21"/>
          <w:highlight w:val="none"/>
          <w:lang w:val="en-US" w:eastAsia="zh-CN" w:bidi="ar-SA"/>
        </w:rPr>
        <w:t>20℃至 -40℃≤60min</w:t>
      </w:r>
      <w:r>
        <w:rPr>
          <w:rFonts w:hint="eastAsia" w:ascii="宋体" w:hAnsi="宋体" w:eastAsia="宋体" w:cs="宋体"/>
          <w:sz w:val="24"/>
          <w:szCs w:val="21"/>
          <w:highlight w:val="none"/>
          <w:lang w:val="en-US" w:eastAsia="zh-CN" w:bidi="ar-SA"/>
        </w:rPr>
        <w:t>。</w:t>
      </w:r>
    </w:p>
    <w:p w14:paraId="05E8D3CE">
      <w:pPr>
        <w:numPr>
          <w:ilvl w:val="0"/>
          <w:numId w:val="0"/>
        </w:numPr>
        <w:spacing w:line="360" w:lineRule="auto"/>
        <w:ind w:firstLine="240" w:firstLineChars="100"/>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9.</w:t>
      </w:r>
      <w:r>
        <w:rPr>
          <w:rFonts w:hint="default" w:ascii="宋体" w:hAnsi="宋体" w:eastAsia="宋体" w:cs="宋体"/>
          <w:sz w:val="24"/>
          <w:szCs w:val="21"/>
          <w:highlight w:val="none"/>
          <w:lang w:val="en-US" w:eastAsia="zh-CN" w:bidi="ar-SA"/>
        </w:rPr>
        <w:t>湿度升降速度</w:t>
      </w:r>
      <w:r>
        <w:rPr>
          <w:rFonts w:hint="eastAsia" w:ascii="宋体" w:hAnsi="宋体" w:eastAsia="宋体" w:cs="宋体"/>
          <w:sz w:val="24"/>
          <w:szCs w:val="21"/>
          <w:highlight w:val="none"/>
          <w:lang w:val="en-US" w:eastAsia="zh-CN" w:bidi="ar-SA"/>
        </w:rPr>
        <w:t>:</w:t>
      </w:r>
      <w:r>
        <w:rPr>
          <w:rFonts w:hint="default" w:ascii="宋体" w:hAnsi="宋体" w:eastAsia="宋体" w:cs="宋体"/>
          <w:sz w:val="24"/>
          <w:szCs w:val="21"/>
          <w:highlight w:val="none"/>
          <w:lang w:val="en-US" w:eastAsia="zh-CN" w:bidi="ar-SA"/>
        </w:rPr>
        <w:t>10%RH 至 90%RH≤30min</w:t>
      </w:r>
      <w:r>
        <w:rPr>
          <w:rFonts w:hint="eastAsia" w:ascii="宋体" w:hAnsi="宋体" w:eastAsia="宋体" w:cs="宋体"/>
          <w:sz w:val="24"/>
          <w:szCs w:val="21"/>
          <w:highlight w:val="none"/>
          <w:lang w:val="en-US" w:eastAsia="zh-CN" w:bidi="ar-SA"/>
        </w:rPr>
        <w:t>，</w:t>
      </w:r>
      <w:r>
        <w:rPr>
          <w:rFonts w:hint="default" w:ascii="宋体" w:hAnsi="宋体" w:eastAsia="宋体" w:cs="宋体"/>
          <w:sz w:val="24"/>
          <w:szCs w:val="21"/>
          <w:highlight w:val="none"/>
          <w:lang w:val="en-US" w:eastAsia="zh-CN" w:bidi="ar-SA"/>
        </w:rPr>
        <w:t>90%RH 至 10%RH≤50min</w:t>
      </w:r>
      <w:r>
        <w:rPr>
          <w:rFonts w:hint="eastAsia" w:ascii="宋体" w:hAnsi="宋体" w:eastAsia="宋体" w:cs="宋体"/>
          <w:sz w:val="24"/>
          <w:szCs w:val="21"/>
          <w:highlight w:val="none"/>
          <w:lang w:val="en-US" w:eastAsia="zh-CN" w:bidi="ar-SA"/>
        </w:rPr>
        <w:t>。</w:t>
      </w:r>
    </w:p>
    <w:p w14:paraId="0E305A59">
      <w:pPr>
        <w:numPr>
          <w:ilvl w:val="0"/>
          <w:numId w:val="0"/>
        </w:numPr>
        <w:spacing w:line="360" w:lineRule="auto"/>
        <w:ind w:firstLine="240" w:firstLineChars="100"/>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10.</w:t>
      </w:r>
      <w:r>
        <w:rPr>
          <w:rFonts w:hint="default" w:ascii="宋体" w:hAnsi="宋体" w:eastAsia="宋体" w:cs="宋体"/>
          <w:sz w:val="24"/>
          <w:szCs w:val="21"/>
          <w:highlight w:val="none"/>
          <w:lang w:val="en-US" w:eastAsia="zh-CN" w:bidi="ar-SA"/>
        </w:rPr>
        <w:t>温度变化率</w:t>
      </w:r>
      <w:r>
        <w:rPr>
          <w:rFonts w:hint="eastAsia" w:ascii="宋体" w:hAnsi="宋体" w:eastAsia="宋体" w:cs="宋体"/>
          <w:sz w:val="24"/>
          <w:szCs w:val="21"/>
          <w:highlight w:val="none"/>
          <w:lang w:val="en-US" w:eastAsia="zh-CN" w:bidi="ar-SA"/>
        </w:rPr>
        <w:t>：</w:t>
      </w:r>
      <w:r>
        <w:rPr>
          <w:rFonts w:hint="default" w:ascii="宋体" w:hAnsi="宋体" w:eastAsia="宋体" w:cs="宋体"/>
          <w:sz w:val="24"/>
          <w:szCs w:val="21"/>
          <w:highlight w:val="none"/>
          <w:lang w:val="en-US" w:eastAsia="zh-CN" w:bidi="ar-SA"/>
        </w:rPr>
        <w:t>≤ 0.1℃ /min</w:t>
      </w:r>
      <w:r>
        <w:rPr>
          <w:rFonts w:hint="eastAsia" w:ascii="宋体" w:hAnsi="宋体" w:eastAsia="宋体" w:cs="宋体"/>
          <w:sz w:val="24"/>
          <w:szCs w:val="21"/>
          <w:highlight w:val="none"/>
          <w:lang w:val="en-US" w:eastAsia="zh-CN" w:bidi="ar-SA"/>
        </w:rPr>
        <w:t>。</w:t>
      </w:r>
    </w:p>
    <w:p w14:paraId="6969F658">
      <w:pPr>
        <w:numPr>
          <w:ilvl w:val="0"/>
          <w:numId w:val="0"/>
        </w:numPr>
        <w:spacing w:line="360" w:lineRule="auto"/>
        <w:ind w:firstLine="240" w:firstLineChars="100"/>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11.</w:t>
      </w:r>
      <w:r>
        <w:rPr>
          <w:rFonts w:hint="default" w:ascii="宋体" w:hAnsi="宋体" w:eastAsia="宋体" w:cs="宋体"/>
          <w:sz w:val="24"/>
          <w:szCs w:val="21"/>
          <w:highlight w:val="none"/>
          <w:lang w:val="en-US" w:eastAsia="zh-CN" w:bidi="ar-SA"/>
        </w:rPr>
        <w:t>湿度变化率</w:t>
      </w:r>
      <w:r>
        <w:rPr>
          <w:rFonts w:hint="eastAsia" w:ascii="宋体" w:hAnsi="宋体" w:eastAsia="宋体" w:cs="宋体"/>
          <w:sz w:val="24"/>
          <w:szCs w:val="21"/>
          <w:highlight w:val="none"/>
          <w:lang w:val="en-US" w:eastAsia="zh-CN" w:bidi="ar-SA"/>
        </w:rPr>
        <w:t>：</w:t>
      </w:r>
      <w:r>
        <w:rPr>
          <w:rFonts w:hint="default" w:ascii="宋体" w:hAnsi="宋体" w:eastAsia="宋体" w:cs="宋体"/>
          <w:sz w:val="24"/>
          <w:szCs w:val="21"/>
          <w:highlight w:val="none"/>
          <w:lang w:val="en-US" w:eastAsia="zh-CN" w:bidi="ar-SA"/>
        </w:rPr>
        <w:t>≤ 0.6%RH/min</w:t>
      </w:r>
      <w:r>
        <w:rPr>
          <w:rFonts w:hint="eastAsia" w:ascii="宋体" w:hAnsi="宋体" w:eastAsia="宋体" w:cs="宋体"/>
          <w:sz w:val="24"/>
          <w:szCs w:val="21"/>
          <w:highlight w:val="none"/>
          <w:lang w:val="en-US" w:eastAsia="zh-CN" w:bidi="ar-SA"/>
        </w:rPr>
        <w:t>。</w:t>
      </w:r>
    </w:p>
    <w:p w14:paraId="44B38CB6">
      <w:pPr>
        <w:numPr>
          <w:ilvl w:val="0"/>
          <w:numId w:val="0"/>
        </w:numPr>
        <w:spacing w:line="360" w:lineRule="auto"/>
        <w:ind w:firstLine="240" w:firstLineChars="100"/>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▲12.工作腔容积：≥320L。</w:t>
      </w:r>
    </w:p>
    <w:p w14:paraId="44ED0E43">
      <w:pPr>
        <w:numPr>
          <w:ilvl w:val="0"/>
          <w:numId w:val="0"/>
        </w:numPr>
        <w:spacing w:line="360" w:lineRule="auto"/>
        <w:ind w:firstLine="240" w:firstLineChars="100"/>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13.有效工作尺寸：≥700×580×750 深宽高（mm）。</w:t>
      </w:r>
    </w:p>
    <w:p w14:paraId="584761D2">
      <w:pPr>
        <w:numPr>
          <w:ilvl w:val="0"/>
          <w:numId w:val="0"/>
        </w:numPr>
        <w:spacing w:line="360" w:lineRule="auto"/>
        <w:ind w:firstLine="240" w:firstLineChars="100"/>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▲14.配备内门，内门上配备两个可关闭操作孔。</w:t>
      </w:r>
    </w:p>
    <w:p w14:paraId="1C43AF8E">
      <w:pPr>
        <w:numPr>
          <w:ilvl w:val="0"/>
          <w:numId w:val="0"/>
        </w:numPr>
        <w:spacing w:line="360" w:lineRule="auto"/>
        <w:ind w:firstLine="240" w:firstLineChars="100"/>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15.人机交互：≥</w:t>
      </w:r>
      <w:r>
        <w:rPr>
          <w:rFonts w:hint="default" w:ascii="宋体" w:hAnsi="宋体" w:eastAsia="宋体" w:cs="宋体"/>
          <w:sz w:val="24"/>
          <w:szCs w:val="21"/>
          <w:highlight w:val="none"/>
          <w:lang w:val="en-US" w:eastAsia="zh-CN" w:bidi="ar-SA"/>
        </w:rPr>
        <w:t>7英寸触屏</w:t>
      </w:r>
      <w:r>
        <w:rPr>
          <w:rFonts w:hint="eastAsia" w:ascii="宋体" w:hAnsi="宋体" w:eastAsia="宋体" w:cs="宋体"/>
          <w:sz w:val="24"/>
          <w:szCs w:val="21"/>
          <w:highlight w:val="none"/>
          <w:lang w:val="en-US" w:eastAsia="zh-CN" w:bidi="ar-SA"/>
        </w:rPr>
        <w:t>。</w:t>
      </w:r>
    </w:p>
    <w:p w14:paraId="5051FE86">
      <w:pPr>
        <w:spacing w:line="360" w:lineRule="auto"/>
        <w:ind w:firstLine="480" w:firstLineChars="200"/>
        <w:rPr>
          <w:rFonts w:hint="eastAsia" w:ascii="宋体" w:hAnsi="宋体" w:cs="宋体"/>
          <w:b/>
          <w:bCs/>
          <w:sz w:val="24"/>
          <w:szCs w:val="24"/>
          <w:highlight w:val="none"/>
        </w:rPr>
      </w:pPr>
      <w:r>
        <w:rPr>
          <w:rFonts w:hint="eastAsia" w:ascii="宋体" w:hAnsi="宋体" w:cs="宋体"/>
          <w:b/>
          <w:bCs/>
          <w:sz w:val="24"/>
          <w:szCs w:val="24"/>
          <w:highlight w:val="none"/>
        </w:rPr>
        <w:t>（四）</w:t>
      </w:r>
      <w:bookmarkEnd w:id="155"/>
      <w:r>
        <w:rPr>
          <w:rFonts w:hint="eastAsia" w:ascii="宋体" w:hAnsi="宋体" w:cs="宋体"/>
          <w:b/>
          <w:bCs/>
          <w:sz w:val="24"/>
          <w:szCs w:val="24"/>
          <w:highlight w:val="none"/>
          <w:lang w:val="en-US" w:eastAsia="zh-CN"/>
        </w:rPr>
        <w:t>温湿度试验设备自动检定系统</w:t>
      </w:r>
      <w:r>
        <w:rPr>
          <w:rFonts w:hint="eastAsia" w:ascii="宋体" w:hAnsi="宋体" w:cs="宋体"/>
          <w:b/>
          <w:bCs/>
          <w:sz w:val="24"/>
          <w:szCs w:val="24"/>
          <w:highlight w:val="none"/>
        </w:rPr>
        <w:t>参数要求</w:t>
      </w:r>
    </w:p>
    <w:p w14:paraId="7D30BEC2">
      <w:pPr>
        <w:pStyle w:val="195"/>
        <w:spacing w:line="360" w:lineRule="auto"/>
        <w:ind w:firstLine="480"/>
        <w:rPr>
          <w:rFonts w:hint="eastAsia" w:ascii="宋体" w:hAnsi="宋体" w:cs="宋体"/>
          <w:sz w:val="24"/>
          <w:szCs w:val="24"/>
          <w:highlight w:val="none"/>
          <w:lang w:val="en-US" w:eastAsia="zh-CN"/>
        </w:rPr>
      </w:pPr>
      <w:r>
        <w:rPr>
          <w:rFonts w:hint="eastAsia" w:ascii="宋体" w:hAnsi="宋体" w:cs="宋体"/>
          <w:sz w:val="24"/>
          <w:szCs w:val="24"/>
          <w:highlight w:val="none"/>
        </w:rPr>
        <w:t>1.</w:t>
      </w:r>
      <w:r>
        <w:rPr>
          <w:rFonts w:hint="eastAsia" w:ascii="宋体" w:hAnsi="宋体" w:cs="宋体" w:eastAsiaTheme="minorEastAsia"/>
          <w:sz w:val="24"/>
          <w:szCs w:val="24"/>
          <w:highlight w:val="none"/>
          <w:lang w:val="en-US" w:eastAsia="zh-CN" w:bidi="ar-SA"/>
        </w:rPr>
        <w:t>温湿度试验设备</w:t>
      </w:r>
      <w:r>
        <w:rPr>
          <w:rFonts w:hint="eastAsia" w:ascii="宋体" w:hAnsi="宋体" w:cs="宋体"/>
          <w:sz w:val="24"/>
          <w:szCs w:val="24"/>
          <w:highlight w:val="none"/>
          <w:lang w:val="en-US" w:eastAsia="zh-CN"/>
        </w:rPr>
        <w:t xml:space="preserve">自动检定系统：用于开展环境温湿度设备校准工作，满足JJF 1171-2024 《温湿度巡回检测仪校准规范》要求。 </w:t>
      </w:r>
    </w:p>
    <w:p w14:paraId="44BC412E">
      <w:pPr>
        <w:pStyle w:val="195"/>
        <w:spacing w:line="360" w:lineRule="auto"/>
        <w:ind w:firstLine="480"/>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bidi="ar-SA"/>
        </w:rPr>
        <w:t>▲</w:t>
      </w:r>
      <w:r>
        <w:rPr>
          <w:rFonts w:hint="eastAsia" w:ascii="宋体" w:hAnsi="宋体" w:cs="宋体"/>
          <w:sz w:val="24"/>
          <w:szCs w:val="24"/>
          <w:highlight w:val="none"/>
          <w:lang w:val="en-US" w:eastAsia="zh-CN"/>
        </w:rPr>
        <w:t>2.</w:t>
      </w:r>
      <w:r>
        <w:rPr>
          <w:rFonts w:hint="eastAsia" w:ascii="宋体" w:hAnsi="宋体" w:cs="宋体"/>
          <w:sz w:val="24"/>
          <w:szCs w:val="24"/>
          <w:highlight w:val="none"/>
        </w:rPr>
        <w:t>温度测量范围：(-100～300)℃</w:t>
      </w:r>
      <w:r>
        <w:rPr>
          <w:rFonts w:hint="eastAsia" w:ascii="宋体" w:hAnsi="宋体" w:cs="宋体"/>
          <w:sz w:val="24"/>
          <w:szCs w:val="24"/>
          <w:highlight w:val="none"/>
          <w:lang w:eastAsia="zh-CN"/>
        </w:rPr>
        <w:t>。</w:t>
      </w:r>
    </w:p>
    <w:p w14:paraId="3F820027">
      <w:pPr>
        <w:pStyle w:val="195"/>
        <w:spacing w:line="360" w:lineRule="auto"/>
        <w:ind w:firstLine="480"/>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bidi="ar-SA"/>
        </w:rPr>
        <w:t>▲</w:t>
      </w:r>
      <w:r>
        <w:rPr>
          <w:rFonts w:hint="eastAsia" w:ascii="宋体" w:hAnsi="宋体" w:cs="宋体"/>
          <w:sz w:val="24"/>
          <w:szCs w:val="24"/>
          <w:highlight w:val="none"/>
          <w:lang w:val="en-US" w:eastAsia="zh-CN"/>
        </w:rPr>
        <w:t>3.</w:t>
      </w:r>
      <w:r>
        <w:rPr>
          <w:rFonts w:hint="eastAsia" w:ascii="宋体" w:hAnsi="宋体" w:cs="宋体"/>
          <w:sz w:val="24"/>
          <w:szCs w:val="24"/>
          <w:highlight w:val="none"/>
        </w:rPr>
        <w:t>相对湿度测量范围：(20～95)%RH</w:t>
      </w:r>
      <w:r>
        <w:rPr>
          <w:rFonts w:hint="eastAsia" w:ascii="宋体" w:hAnsi="宋体" w:cs="宋体"/>
          <w:sz w:val="24"/>
          <w:szCs w:val="24"/>
          <w:highlight w:val="none"/>
          <w:lang w:eastAsia="zh-CN"/>
        </w:rPr>
        <w:t>。</w:t>
      </w:r>
    </w:p>
    <w:p w14:paraId="2075122A">
      <w:pPr>
        <w:pStyle w:val="195"/>
        <w:spacing w:line="360" w:lineRule="auto"/>
        <w:ind w:firstLine="480"/>
        <w:rPr>
          <w:rFonts w:hint="eastAsia" w:ascii="宋体" w:hAnsi="宋体" w:eastAsia="宋体" w:cs="Times New Roman"/>
          <w:sz w:val="24"/>
          <w:highlight w:val="none"/>
          <w:lang w:eastAsia="zh-CN"/>
        </w:rPr>
      </w:pPr>
      <w:r>
        <w:rPr>
          <w:rFonts w:hint="eastAsia" w:ascii="宋体" w:hAnsi="宋体" w:eastAsia="宋体" w:cs="宋体"/>
          <w:b/>
          <w:bCs/>
          <w:sz w:val="24"/>
          <w:szCs w:val="24"/>
          <w:highlight w:val="none"/>
          <w:lang w:val="en-US" w:eastAsia="zh-CN" w:bidi="ar-SA"/>
        </w:rPr>
        <w:t>▲</w:t>
      </w:r>
      <w:r>
        <w:rPr>
          <w:rFonts w:hint="eastAsia" w:ascii="宋体" w:hAnsi="宋体" w:eastAsia="宋体" w:cs="Times New Roman"/>
          <w:sz w:val="24"/>
          <w:highlight w:val="none"/>
          <w:lang w:val="en-US" w:eastAsia="zh-CN"/>
        </w:rPr>
        <w:t>4.</w:t>
      </w:r>
      <w:r>
        <w:rPr>
          <w:rFonts w:hint="default" w:ascii="宋体" w:hAnsi="宋体" w:eastAsia="宋体" w:cs="Times New Roman"/>
          <w:sz w:val="24"/>
          <w:highlight w:val="none"/>
        </w:rPr>
        <w:t>扩展不确定度：温度 U=0.2℃（k=2），湿度 U=2.0%RH（k=2）</w:t>
      </w:r>
      <w:r>
        <w:rPr>
          <w:rFonts w:hint="eastAsia" w:ascii="宋体" w:hAnsi="宋体" w:eastAsia="宋体" w:cs="Times New Roman"/>
          <w:sz w:val="24"/>
          <w:highlight w:val="none"/>
          <w:lang w:eastAsia="zh-CN"/>
        </w:rPr>
        <w:t>。</w:t>
      </w:r>
    </w:p>
    <w:p w14:paraId="66ECC350">
      <w:pPr>
        <w:numPr>
          <w:ilvl w:val="0"/>
          <w:numId w:val="3"/>
        </w:numPr>
        <w:spacing w:line="360" w:lineRule="auto"/>
        <w:ind w:firstLine="480" w:firstLineChars="200"/>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质量比较仪</w:t>
      </w:r>
      <w:r>
        <w:rPr>
          <w:rFonts w:hint="eastAsia" w:ascii="宋体" w:hAnsi="宋体" w:cs="宋体"/>
          <w:b/>
          <w:bCs/>
          <w:sz w:val="24"/>
          <w:szCs w:val="24"/>
          <w:highlight w:val="none"/>
        </w:rPr>
        <w:t>参数要求</w:t>
      </w:r>
    </w:p>
    <w:p w14:paraId="0EC1B91D">
      <w:pPr>
        <w:pStyle w:val="195"/>
        <w:spacing w:line="360" w:lineRule="auto"/>
        <w:ind w:firstLine="480"/>
        <w:rPr>
          <w:rFonts w:hint="eastAsia" w:ascii="宋体" w:hAnsi="宋体" w:cs="宋体" w:eastAsiaTheme="minorEastAsia"/>
          <w:sz w:val="24"/>
          <w:szCs w:val="24"/>
          <w:highlight w:val="none"/>
          <w:lang w:val="en-US" w:eastAsia="zh-CN" w:bidi="ar-SA"/>
        </w:rPr>
      </w:pPr>
      <w:r>
        <w:rPr>
          <w:rFonts w:hint="eastAsia" w:ascii="宋体" w:hAnsi="宋体" w:cs="宋体"/>
          <w:sz w:val="24"/>
          <w:szCs w:val="24"/>
          <w:highlight w:val="none"/>
        </w:rPr>
        <w:t>1.</w:t>
      </w:r>
      <w:r>
        <w:rPr>
          <w:rFonts w:hint="eastAsia" w:ascii="宋体" w:hAnsi="宋体" w:cs="宋体" w:eastAsiaTheme="minorEastAsia"/>
          <w:sz w:val="24"/>
          <w:szCs w:val="24"/>
          <w:highlight w:val="none"/>
          <w:lang w:val="en-US" w:eastAsia="zh-CN" w:bidi="ar-SA"/>
        </w:rPr>
        <w:t>质量比较仪：用于开展M1等级2000kg、1000kg砝码的检定工作。满足</w:t>
      </w:r>
      <w:r>
        <w:rPr>
          <w:rFonts w:hint="eastAsia" w:ascii="宋体" w:hAnsi="宋体"/>
          <w:sz w:val="24"/>
        </w:rPr>
        <w:t>JJF 1326-2011《质量⽐较仪》校准规范和</w:t>
      </w:r>
      <w:r>
        <w:rPr>
          <w:rFonts w:hint="eastAsia" w:ascii="宋体" w:hAnsi="宋体" w:cs="宋体" w:eastAsiaTheme="minorEastAsia"/>
          <w:sz w:val="24"/>
          <w:szCs w:val="24"/>
          <w:highlight w:val="none"/>
          <w:lang w:val="en-US" w:eastAsia="zh-CN" w:bidi="ar-SA"/>
        </w:rPr>
        <w:t xml:space="preserve">JJG 99-2022《砝码》检定规程要求。 </w:t>
      </w:r>
    </w:p>
    <w:p w14:paraId="63ED0777">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rPr>
      </w:pPr>
      <w:r>
        <w:rPr>
          <w:rFonts w:hint="eastAsia" w:ascii="宋体" w:hAnsi="宋体"/>
          <w:sz w:val="24"/>
          <w:lang w:val="en-US" w:eastAsia="zh-CN"/>
        </w:rPr>
        <w:t>2</w:t>
      </w:r>
      <w:r>
        <w:rPr>
          <w:rFonts w:hint="eastAsia" w:ascii="宋体" w:hAnsi="宋体"/>
          <w:sz w:val="24"/>
        </w:rPr>
        <w:t>.测量精度：</w:t>
      </w:r>
    </w:p>
    <w:p w14:paraId="570178E3">
      <w:pPr>
        <w:pStyle w:val="195"/>
        <w:spacing w:line="360" w:lineRule="auto"/>
        <w:ind w:firstLine="480"/>
        <w:rPr>
          <w:rFonts w:hint="eastAsia" w:ascii="宋体" w:hAnsi="宋体" w:eastAsia="宋体" w:cs="Times New Roman"/>
          <w:sz w:val="24"/>
          <w:lang w:val="en-US" w:eastAsia="zh-CN"/>
        </w:rPr>
      </w:pPr>
      <w:r>
        <w:rPr>
          <w:rFonts w:hint="eastAsia" w:ascii="宋体" w:hAnsi="宋体" w:eastAsia="宋体" w:cs="Times New Roman"/>
          <w:sz w:val="24"/>
          <w:lang w:val="en-US" w:eastAsia="zh-CN"/>
        </w:rPr>
        <w:t>★</w:t>
      </w:r>
      <w:r>
        <w:rPr>
          <w:rFonts w:hint="eastAsia" w:ascii="宋体" w:hAnsi="宋体" w:cs="Times New Roman"/>
          <w:sz w:val="24"/>
          <w:lang w:val="en-US" w:eastAsia="zh-CN"/>
        </w:rPr>
        <w:t>2</w:t>
      </w:r>
      <w:r>
        <w:rPr>
          <w:rFonts w:hint="eastAsia" w:ascii="宋体" w:hAnsi="宋体" w:eastAsia="宋体" w:cs="Times New Roman"/>
          <w:sz w:val="24"/>
          <w:lang w:val="en-US" w:eastAsia="zh-CN"/>
        </w:rPr>
        <w:t>.1测量范围：≥2000kg。</w:t>
      </w:r>
    </w:p>
    <w:p w14:paraId="41D8096C">
      <w:pPr>
        <w:spacing w:line="360" w:lineRule="auto"/>
        <w:ind w:firstLine="480" w:firstLineChars="200"/>
        <w:contextualSpacing/>
        <w:rPr>
          <w:rFonts w:ascii="宋体" w:hAnsi="宋体" w:eastAsia="宋体"/>
          <w:sz w:val="24"/>
        </w:rPr>
      </w:pPr>
      <w:r>
        <w:rPr>
          <w:rFonts w:hint="eastAsia" w:ascii="宋体" w:hAnsi="宋体"/>
          <w:sz w:val="24"/>
        </w:rPr>
        <w:t>★2.2实际分度值：</w:t>
      </w:r>
      <w:bookmarkStart w:id="156" w:name="OLE_LINK2"/>
      <w:bookmarkStart w:id="157" w:name="OLE_LINK1"/>
      <w:r>
        <w:rPr>
          <w:rFonts w:hint="eastAsia" w:ascii="宋体" w:hAnsi="宋体"/>
          <w:sz w:val="24"/>
        </w:rPr>
        <w:t>≤</w:t>
      </w:r>
      <w:bookmarkEnd w:id="156"/>
      <w:bookmarkEnd w:id="157"/>
      <w:r>
        <w:rPr>
          <w:rFonts w:hint="eastAsia" w:ascii="宋体" w:hAnsi="宋体"/>
          <w:sz w:val="24"/>
        </w:rPr>
        <w:t>2g</w:t>
      </w:r>
      <w:r>
        <w:rPr>
          <w:rFonts w:hint="eastAsia" w:ascii="宋体" w:hAnsi="宋体" w:eastAsia="宋体"/>
          <w:sz w:val="24"/>
        </w:rPr>
        <w:t>。</w:t>
      </w:r>
    </w:p>
    <w:p w14:paraId="3A41A8B5">
      <w:pPr>
        <w:keepNext w:val="0"/>
        <w:keepLines w:val="0"/>
        <w:pageBreakBefore w:val="0"/>
        <w:widowControl w:val="0"/>
        <w:kinsoku/>
        <w:wordWrap/>
        <w:overflowPunct/>
        <w:topLinePunct w:val="0"/>
        <w:autoSpaceDE/>
        <w:autoSpaceDN/>
        <w:bidi w:val="0"/>
        <w:adjustRightInd/>
        <w:snapToGrid/>
        <w:spacing w:line="360" w:lineRule="auto"/>
        <w:ind w:left="479" w:leftChars="228" w:firstLine="0" w:firstLineChars="0"/>
        <w:contextualSpacing/>
        <w:jc w:val="left"/>
        <w:textAlignment w:val="auto"/>
        <w:rPr>
          <w:rFonts w:hint="default" w:ascii="宋体" w:hAnsi="宋体" w:eastAsia="宋体"/>
          <w:sz w:val="24"/>
          <w:lang w:eastAsia="zh-CN"/>
        </w:rPr>
      </w:pPr>
      <w:r>
        <w:rPr>
          <w:rFonts w:hint="eastAsia" w:ascii="宋体" w:hAnsi="宋体"/>
          <w:sz w:val="24"/>
        </w:rPr>
        <w:t>★2.3</w:t>
      </w:r>
      <w:r>
        <w:rPr>
          <w:rFonts w:hint="eastAsia" w:ascii="宋体" w:hAnsi="宋体" w:eastAsia="宋体"/>
          <w:sz w:val="24"/>
        </w:rPr>
        <w:t xml:space="preserve"> Pt=2t时重复性</w:t>
      </w:r>
      <w:r>
        <w:rPr>
          <w:rFonts w:hint="eastAsia" w:ascii="宋体" w:hAnsi="宋体"/>
          <w:sz w:val="24"/>
        </w:rPr>
        <w:t>≤</w:t>
      </w:r>
      <w:r>
        <w:rPr>
          <w:rFonts w:hint="eastAsia" w:ascii="宋体" w:hAnsi="宋体" w:eastAsia="宋体"/>
          <w:sz w:val="24"/>
        </w:rPr>
        <w:t>3g，</w:t>
      </w:r>
      <w:r>
        <w:rPr>
          <w:rFonts w:ascii="宋体" w:hAnsi="宋体" w:eastAsia="宋体"/>
          <w:sz w:val="24"/>
        </w:rPr>
        <w:t xml:space="preserve"> </w:t>
      </w:r>
      <w:r>
        <w:rPr>
          <w:rFonts w:hint="eastAsia" w:ascii="宋体" w:hAnsi="宋体" w:eastAsia="宋体"/>
          <w:sz w:val="24"/>
        </w:rPr>
        <w:t xml:space="preserve">扩展不确定度U </w:t>
      </w:r>
      <w:r>
        <w:rPr>
          <w:rFonts w:hint="eastAsia" w:ascii="宋体" w:hAnsi="宋体"/>
          <w:sz w:val="24"/>
        </w:rPr>
        <w:t>=6μg～9g</w:t>
      </w:r>
      <w:r>
        <w:rPr>
          <w:rFonts w:hint="eastAsia" w:ascii="宋体" w:hAnsi="宋体" w:eastAsia="宋体"/>
          <w:sz w:val="24"/>
        </w:rPr>
        <w:t>(k=2)</w:t>
      </w:r>
      <w:r>
        <w:rPr>
          <w:rFonts w:hint="eastAsia" w:ascii="宋体" w:hAnsi="宋体" w:eastAsia="宋体"/>
          <w:sz w:val="24"/>
          <w:lang w:val="en-US" w:eastAsia="zh-CN"/>
        </w:rPr>
        <w:t>。</w:t>
      </w:r>
      <w:r>
        <w:rPr>
          <w:rFonts w:hint="default" w:ascii="宋体" w:hAnsi="宋体" w:eastAsia="宋体"/>
          <w:sz w:val="24"/>
          <w:lang w:eastAsia="zh-CN"/>
        </w:rPr>
        <w:t xml:space="preserve">                                       </w:t>
      </w:r>
    </w:p>
    <w:p w14:paraId="1CF9ED7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contextualSpacing/>
        <w:textAlignment w:val="auto"/>
        <w:rPr>
          <w:rFonts w:hint="eastAsia" w:ascii="宋体" w:hAnsi="宋体"/>
          <w:sz w:val="24"/>
          <w:lang w:val="en-US" w:eastAsia="zh-CN"/>
        </w:rPr>
      </w:pPr>
      <w:r>
        <w:rPr>
          <w:rFonts w:hint="eastAsia" w:ascii="宋体" w:hAnsi="宋体"/>
          <w:sz w:val="24"/>
          <w:lang w:val="en-US" w:eastAsia="zh-CN"/>
        </w:rPr>
        <w:t>(投标时需提供省级及以上法定计量技术机构出具的证书报告)</w:t>
      </w:r>
    </w:p>
    <w:p w14:paraId="06478F3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contextualSpacing/>
        <w:textAlignment w:val="auto"/>
        <w:rPr>
          <w:rFonts w:hint="eastAsia" w:ascii="宋体" w:hAnsi="宋体" w:eastAsiaTheme="minorEastAsia"/>
          <w:sz w:val="24"/>
          <w:lang w:eastAsia="zh-CN"/>
        </w:rPr>
      </w:pPr>
      <w:r>
        <w:rPr>
          <w:rFonts w:hint="eastAsia" w:ascii="宋体" w:hAnsi="宋体" w:eastAsia="宋体"/>
          <w:sz w:val="24"/>
          <w:lang w:val="en-US" w:eastAsia="zh-CN"/>
        </w:rPr>
        <w:t>2.4</w:t>
      </w:r>
      <w:r>
        <w:rPr>
          <w:rFonts w:hint="eastAsia" w:ascii="宋体" w:hAnsi="宋体"/>
          <w:sz w:val="24"/>
        </w:rPr>
        <w:t>具有称重传感器单通道独立转换功能，⾃动完成⻆差系数调节</w:t>
      </w:r>
      <w:r>
        <w:rPr>
          <w:rFonts w:hint="eastAsia" w:ascii="宋体" w:hAnsi="宋体"/>
          <w:sz w:val="24"/>
          <w:lang w:eastAsia="zh-CN"/>
        </w:rPr>
        <w:t>。（</w:t>
      </w:r>
      <w:r>
        <w:rPr>
          <w:rFonts w:hint="eastAsia" w:ascii="宋体" w:hAnsi="宋体"/>
          <w:sz w:val="24"/>
          <w:lang w:val="en-US" w:eastAsia="zh-CN"/>
        </w:rPr>
        <w:t>提供</w:t>
      </w:r>
      <w:r>
        <w:rPr>
          <w:rFonts w:hint="eastAsia" w:ascii="宋体" w:hAnsi="宋体"/>
          <w:sz w:val="24"/>
          <w:lang w:eastAsia="zh-CN"/>
        </w:rPr>
        <w:t>功能页面截图）</w:t>
      </w:r>
    </w:p>
    <w:p w14:paraId="4402D60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contextualSpacing/>
        <w:textAlignment w:val="auto"/>
        <w:rPr>
          <w:rFonts w:hint="eastAsia" w:ascii="宋体" w:hAnsi="宋体" w:eastAsia="宋体"/>
          <w:sz w:val="24"/>
          <w:lang w:eastAsia="zh-CN"/>
        </w:rPr>
      </w:pPr>
      <w:r>
        <w:rPr>
          <w:rFonts w:hint="eastAsia" w:ascii="宋体" w:hAnsi="宋体" w:eastAsia="宋体"/>
          <w:sz w:val="24"/>
          <w:lang w:val="en-US" w:eastAsia="zh-CN"/>
        </w:rPr>
        <w:t>2</w:t>
      </w:r>
      <w:r>
        <w:rPr>
          <w:rFonts w:hint="eastAsia" w:ascii="宋体" w:hAnsi="宋体"/>
          <w:sz w:val="24"/>
        </w:rPr>
        <w:t>.</w:t>
      </w:r>
      <w:r>
        <w:rPr>
          <w:rFonts w:hint="eastAsia" w:ascii="宋体" w:hAnsi="宋体" w:eastAsia="宋体"/>
          <w:sz w:val="24"/>
          <w:lang w:val="en-US" w:eastAsia="zh-CN"/>
        </w:rPr>
        <w:t>5</w:t>
      </w:r>
      <w:r>
        <w:rPr>
          <w:rFonts w:hint="eastAsia" w:ascii="宋体" w:hAnsi="宋体"/>
          <w:sz w:val="24"/>
        </w:rPr>
        <w:t>能够⾃动判断砝码放置位置，具有偏载报警功能</w:t>
      </w:r>
      <w:r>
        <w:rPr>
          <w:rFonts w:hint="eastAsia" w:ascii="宋体" w:hAnsi="宋体" w:eastAsia="宋体"/>
          <w:sz w:val="24"/>
          <w:lang w:eastAsia="zh-CN"/>
        </w:rPr>
        <w:t>。</w:t>
      </w:r>
      <w:r>
        <w:rPr>
          <w:rFonts w:hint="eastAsia" w:ascii="宋体" w:hAnsi="宋体"/>
          <w:sz w:val="24"/>
          <w:lang w:eastAsia="zh-CN"/>
        </w:rPr>
        <w:t>（</w:t>
      </w:r>
      <w:r>
        <w:rPr>
          <w:rFonts w:hint="eastAsia" w:ascii="宋体" w:hAnsi="宋体"/>
          <w:sz w:val="24"/>
          <w:lang w:val="en-US" w:eastAsia="zh-CN"/>
        </w:rPr>
        <w:t>提供</w:t>
      </w:r>
      <w:r>
        <w:rPr>
          <w:rFonts w:hint="eastAsia" w:ascii="宋体" w:hAnsi="宋体"/>
          <w:sz w:val="24"/>
          <w:lang w:eastAsia="zh-CN"/>
        </w:rPr>
        <w:t>功能页面截图）</w:t>
      </w:r>
    </w:p>
    <w:p w14:paraId="6DD5AD5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contextualSpacing/>
        <w:textAlignment w:val="auto"/>
        <w:rPr>
          <w:rFonts w:hint="eastAsia" w:ascii="宋体" w:hAnsi="宋体"/>
          <w:sz w:val="24"/>
        </w:rPr>
      </w:pPr>
      <w:r>
        <w:rPr>
          <w:rFonts w:hint="eastAsia" w:ascii="宋体" w:hAnsi="宋体"/>
          <w:sz w:val="24"/>
          <w:lang w:val="en-US" w:eastAsia="zh-CN"/>
        </w:rPr>
        <w:t>2</w:t>
      </w:r>
      <w:r>
        <w:rPr>
          <w:rFonts w:hint="eastAsia" w:ascii="宋体" w:hAnsi="宋体"/>
          <w:sz w:val="24"/>
        </w:rPr>
        <w:t>.</w:t>
      </w:r>
      <w:r>
        <w:rPr>
          <w:rFonts w:hint="eastAsia" w:ascii="宋体" w:hAnsi="宋体" w:eastAsia="宋体"/>
          <w:sz w:val="24"/>
          <w:lang w:val="en-US" w:eastAsia="zh-CN"/>
        </w:rPr>
        <w:t>6</w:t>
      </w:r>
      <w:r>
        <w:rPr>
          <w:rFonts w:hint="eastAsia" w:ascii="宋体" w:hAnsi="宋体"/>
          <w:sz w:val="24"/>
        </w:rPr>
        <w:t>具备实时温度补偿功能，使其在不同现场环境下都能保持良好的计量特性</w:t>
      </w:r>
      <w:r>
        <w:rPr>
          <w:rFonts w:hint="eastAsia" w:ascii="宋体" w:hAnsi="宋体" w:eastAsia="宋体"/>
          <w:sz w:val="24"/>
          <w:lang w:eastAsia="zh-CN"/>
        </w:rPr>
        <w:t>。</w:t>
      </w:r>
      <w:r>
        <w:rPr>
          <w:rFonts w:hint="eastAsia" w:ascii="宋体" w:hAnsi="宋体"/>
          <w:sz w:val="24"/>
        </w:rPr>
        <w:t xml:space="preserve">  </w:t>
      </w:r>
    </w:p>
    <w:p w14:paraId="15A8FA9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contextualSpacing/>
        <w:textAlignment w:val="auto"/>
        <w:rPr>
          <w:rFonts w:hint="eastAsia" w:ascii="宋体" w:hAnsi="宋体"/>
          <w:sz w:val="24"/>
        </w:rPr>
      </w:pPr>
      <w:r>
        <w:rPr>
          <w:rFonts w:hint="eastAsia" w:ascii="宋体" w:hAnsi="宋体"/>
          <w:sz w:val="24"/>
          <w:lang w:val="en-US" w:eastAsia="zh-CN"/>
        </w:rPr>
        <w:t>2</w:t>
      </w:r>
      <w:r>
        <w:rPr>
          <w:rFonts w:hint="eastAsia" w:ascii="宋体" w:hAnsi="宋体"/>
          <w:sz w:val="24"/>
        </w:rPr>
        <w:t>.</w:t>
      </w:r>
      <w:r>
        <w:rPr>
          <w:rFonts w:hint="eastAsia" w:ascii="宋体" w:hAnsi="宋体" w:eastAsia="宋体"/>
          <w:sz w:val="24"/>
          <w:lang w:val="en-US" w:eastAsia="zh-CN"/>
        </w:rPr>
        <w:t>7</w:t>
      </w:r>
      <w:r>
        <w:rPr>
          <w:rFonts w:hint="eastAsia" w:ascii="宋体" w:hAnsi="宋体"/>
          <w:sz w:val="24"/>
        </w:rPr>
        <w:t>秤体材料及耐磨：采⽤304 不锈钢材料，表⾯采⽤磨砂处理，具备良好的耐磨性能</w:t>
      </w:r>
      <w:r>
        <w:rPr>
          <w:rFonts w:hint="eastAsia" w:ascii="宋体" w:hAnsi="宋体" w:eastAsia="宋体"/>
          <w:sz w:val="24"/>
          <w:lang w:eastAsia="zh-CN"/>
        </w:rPr>
        <w:t>。</w:t>
      </w:r>
      <w:r>
        <w:rPr>
          <w:rFonts w:hint="eastAsia" w:ascii="宋体" w:hAnsi="宋体"/>
          <w:sz w:val="24"/>
        </w:rPr>
        <w:t xml:space="preserve"> </w:t>
      </w:r>
    </w:p>
    <w:p w14:paraId="201F2035">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rPr>
      </w:pPr>
      <w:r>
        <w:rPr>
          <w:rFonts w:hint="eastAsia" w:ascii="宋体" w:hAnsi="宋体" w:eastAsia="宋体" w:cs="Times New Roman"/>
          <w:sz w:val="24"/>
          <w:lang w:val="en-US" w:eastAsia="zh-CN"/>
        </w:rPr>
        <w:t>▲</w:t>
      </w:r>
      <w:r>
        <w:rPr>
          <w:rFonts w:hint="eastAsia" w:ascii="宋体" w:hAnsi="宋体" w:eastAsia="宋体"/>
          <w:sz w:val="24"/>
          <w:lang w:val="en-US" w:eastAsia="zh-CN"/>
        </w:rPr>
        <w:t>2</w:t>
      </w:r>
      <w:r>
        <w:rPr>
          <w:rFonts w:hint="eastAsia" w:ascii="宋体" w:hAnsi="宋体"/>
          <w:sz w:val="24"/>
        </w:rPr>
        <w:t>.</w:t>
      </w:r>
      <w:r>
        <w:rPr>
          <w:rFonts w:hint="eastAsia" w:ascii="宋体" w:hAnsi="宋体" w:eastAsia="宋体"/>
          <w:sz w:val="24"/>
          <w:lang w:val="en-US" w:eastAsia="zh-CN"/>
        </w:rPr>
        <w:t>8</w:t>
      </w:r>
      <w:r>
        <w:rPr>
          <w:rFonts w:hint="eastAsia" w:ascii="宋体" w:hAnsi="宋体"/>
          <w:sz w:val="24"/>
        </w:rPr>
        <w:t>运输安全：秤体结构设有专⽤锁紧机构，运输过程中可以锁紧称重传感器，避免其损坏，⽅便外带</w:t>
      </w:r>
      <w:r>
        <w:rPr>
          <w:rFonts w:hint="eastAsia" w:ascii="宋体" w:hAnsi="宋体" w:eastAsia="宋体"/>
          <w:sz w:val="24"/>
          <w:lang w:eastAsia="zh-CN"/>
        </w:rPr>
        <w:t>。</w:t>
      </w:r>
      <w:r>
        <w:rPr>
          <w:rFonts w:hint="eastAsia" w:ascii="宋体" w:hAnsi="宋体"/>
          <w:sz w:val="24"/>
          <w:lang w:eastAsia="zh-CN"/>
        </w:rPr>
        <w:t>（</w:t>
      </w:r>
      <w:r>
        <w:rPr>
          <w:rFonts w:hint="eastAsia" w:ascii="宋体" w:hAnsi="宋体"/>
          <w:sz w:val="24"/>
          <w:lang w:val="en-US" w:eastAsia="zh-CN"/>
        </w:rPr>
        <w:t>提供实物结构照片</w:t>
      </w:r>
      <w:r>
        <w:rPr>
          <w:rFonts w:hint="eastAsia" w:ascii="宋体" w:hAnsi="宋体"/>
          <w:sz w:val="24"/>
          <w:lang w:eastAsia="zh-CN"/>
        </w:rPr>
        <w:t>）</w:t>
      </w:r>
    </w:p>
    <w:p w14:paraId="2C0A1AB0">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sz w:val="24"/>
          <w:lang w:eastAsia="zh-CN"/>
        </w:rPr>
      </w:pPr>
      <w:r>
        <w:rPr>
          <w:rFonts w:hint="eastAsia" w:ascii="宋体" w:hAnsi="宋体"/>
          <w:sz w:val="24"/>
          <w:lang w:val="en-US" w:eastAsia="zh-CN"/>
        </w:rPr>
        <w:t>2</w:t>
      </w:r>
      <w:r>
        <w:rPr>
          <w:rFonts w:hint="eastAsia" w:ascii="宋体" w:hAnsi="宋体"/>
          <w:sz w:val="24"/>
        </w:rPr>
        <w:t>.</w:t>
      </w:r>
      <w:r>
        <w:rPr>
          <w:rFonts w:hint="eastAsia" w:ascii="宋体" w:hAnsi="宋体" w:eastAsia="宋体"/>
          <w:sz w:val="24"/>
          <w:lang w:val="en-US" w:eastAsia="zh-CN"/>
        </w:rPr>
        <w:t>9</w:t>
      </w:r>
      <w:r>
        <w:rPr>
          <w:rFonts w:hint="eastAsia" w:ascii="宋体" w:hAnsi="宋体"/>
          <w:sz w:val="24"/>
        </w:rPr>
        <w:t>秤体具有⽅便吊装或叉⻋装卸的结构</w:t>
      </w:r>
      <w:r>
        <w:rPr>
          <w:rFonts w:hint="eastAsia" w:ascii="宋体" w:hAnsi="宋体" w:eastAsia="宋体"/>
          <w:sz w:val="24"/>
          <w:lang w:eastAsia="zh-CN"/>
        </w:rPr>
        <w:t>。</w:t>
      </w:r>
    </w:p>
    <w:p w14:paraId="49721FD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default" w:ascii="宋体" w:hAnsi="宋体"/>
          <w:sz w:val="24"/>
          <w:lang w:val="en-US" w:eastAsia="zh-CN"/>
        </w:rPr>
      </w:pPr>
      <w:r>
        <w:rPr>
          <w:rFonts w:hint="eastAsia" w:ascii="宋体" w:hAnsi="宋体"/>
          <w:sz w:val="24"/>
          <w:lang w:val="en-US" w:eastAsia="zh-CN"/>
        </w:rPr>
        <w:t>3、配备缓降装置：</w:t>
      </w:r>
    </w:p>
    <w:p w14:paraId="09C407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sz w:val="24"/>
          <w:lang w:eastAsia="zh-CN"/>
        </w:rPr>
      </w:pPr>
      <w:r>
        <w:rPr>
          <w:rFonts w:hint="eastAsia" w:ascii="宋体" w:hAnsi="宋体"/>
          <w:sz w:val="24"/>
          <w:lang w:val="en-US" w:eastAsia="zh-CN"/>
        </w:rPr>
        <w:t>3.1</w:t>
      </w:r>
      <w:r>
        <w:rPr>
          <w:rFonts w:hint="eastAsia" w:ascii="宋体" w:hAnsi="宋体"/>
          <w:sz w:val="24"/>
        </w:rPr>
        <w:t>一键升降将被检</w:t>
      </w:r>
      <w:r>
        <w:rPr>
          <w:rFonts w:hint="default" w:ascii="宋体" w:hAnsi="宋体"/>
          <w:sz w:val="24"/>
        </w:rPr>
        <w:t>砝码</w:t>
      </w:r>
      <w:r>
        <w:rPr>
          <w:rFonts w:hint="eastAsia" w:ascii="宋体" w:hAnsi="宋体"/>
          <w:sz w:val="24"/>
        </w:rPr>
        <w:t>平稳加载到</w:t>
      </w:r>
      <w:r>
        <w:rPr>
          <w:rFonts w:hint="default" w:ascii="宋体" w:hAnsi="宋体"/>
          <w:sz w:val="24"/>
        </w:rPr>
        <w:t>质量比较仪</w:t>
      </w:r>
      <w:r>
        <w:rPr>
          <w:rFonts w:hint="eastAsia" w:ascii="宋体" w:hAnsi="宋体"/>
          <w:sz w:val="24"/>
        </w:rPr>
        <w:t>上</w:t>
      </w:r>
      <w:r>
        <w:rPr>
          <w:rFonts w:hint="eastAsia" w:ascii="宋体" w:hAnsi="宋体" w:eastAsia="宋体"/>
          <w:sz w:val="24"/>
          <w:lang w:eastAsia="zh-CN"/>
        </w:rPr>
        <w:t>。</w:t>
      </w:r>
    </w:p>
    <w:p w14:paraId="674782B9">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sz w:val="24"/>
          <w:lang w:eastAsia="zh-CN"/>
        </w:rPr>
      </w:pPr>
      <w:r>
        <w:rPr>
          <w:rFonts w:hint="eastAsia" w:ascii="宋体" w:hAnsi="宋体"/>
          <w:sz w:val="24"/>
          <w:lang w:val="en-US" w:eastAsia="zh-CN"/>
        </w:rPr>
        <w:t>3.2</w:t>
      </w:r>
      <w:r>
        <w:rPr>
          <w:rFonts w:hint="eastAsia" w:ascii="宋体" w:hAnsi="宋体"/>
          <w:sz w:val="24"/>
        </w:rPr>
        <w:t>运行行程：大于200mm，运行速度：2mm-20mm/s</w:t>
      </w:r>
      <w:r>
        <w:rPr>
          <w:rFonts w:hint="eastAsia" w:ascii="宋体" w:hAnsi="宋体" w:eastAsia="宋体"/>
          <w:sz w:val="24"/>
          <w:lang w:eastAsia="zh-CN"/>
        </w:rPr>
        <w:t>。</w:t>
      </w:r>
    </w:p>
    <w:p w14:paraId="2B046481">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sz w:val="24"/>
          <w:lang w:eastAsia="zh-CN"/>
        </w:rPr>
      </w:pPr>
      <w:r>
        <w:rPr>
          <w:rFonts w:hint="eastAsia" w:ascii="宋体" w:hAnsi="宋体"/>
          <w:sz w:val="24"/>
          <w:lang w:val="en-US" w:eastAsia="zh-CN"/>
        </w:rPr>
        <w:t>3.3</w:t>
      </w:r>
      <w:r>
        <w:rPr>
          <w:rFonts w:hint="eastAsia" w:ascii="宋体" w:hAnsi="宋体"/>
          <w:sz w:val="24"/>
        </w:rPr>
        <w:t>.电源电压：220V</w:t>
      </w:r>
      <w:r>
        <w:rPr>
          <w:rFonts w:hint="eastAsia" w:ascii="宋体" w:hAnsi="宋体" w:eastAsia="宋体"/>
          <w:sz w:val="24"/>
          <w:lang w:eastAsia="zh-CN"/>
        </w:rPr>
        <w:t>。</w:t>
      </w:r>
    </w:p>
    <w:p w14:paraId="027AA481">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sz w:val="24"/>
          <w:lang w:eastAsia="zh-CN"/>
        </w:rPr>
      </w:pPr>
      <w:r>
        <w:rPr>
          <w:rFonts w:hint="eastAsia" w:ascii="宋体" w:hAnsi="宋体"/>
          <w:sz w:val="24"/>
          <w:lang w:val="en-US" w:eastAsia="zh-CN"/>
        </w:rPr>
        <w:t>3.4</w:t>
      </w:r>
      <w:r>
        <w:rPr>
          <w:rFonts w:hint="eastAsia" w:ascii="宋体" w:hAnsi="宋体"/>
          <w:sz w:val="24"/>
        </w:rPr>
        <w:t>.具有自脱离防撞措施，避免损伤检测设备</w:t>
      </w:r>
      <w:r>
        <w:rPr>
          <w:rFonts w:hint="eastAsia" w:ascii="宋体" w:hAnsi="宋体" w:eastAsia="宋体"/>
          <w:sz w:val="24"/>
          <w:lang w:eastAsia="zh-CN"/>
        </w:rPr>
        <w:t>。</w:t>
      </w:r>
    </w:p>
    <w:p w14:paraId="2B9138C8">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sz w:val="24"/>
          <w:lang w:eastAsia="zh-CN"/>
        </w:rPr>
      </w:pPr>
      <w:r>
        <w:rPr>
          <w:rFonts w:hint="eastAsia" w:ascii="宋体" w:hAnsi="宋体"/>
          <w:sz w:val="24"/>
          <w:lang w:val="en-US" w:eastAsia="zh-CN"/>
        </w:rPr>
        <w:t>3.5</w:t>
      </w:r>
      <w:r>
        <w:rPr>
          <w:rFonts w:hint="eastAsia" w:ascii="宋体" w:hAnsi="宋体"/>
          <w:sz w:val="24"/>
        </w:rPr>
        <w:t>.具有整块大理石用于装置的减震，提供高稳定性</w:t>
      </w:r>
      <w:r>
        <w:rPr>
          <w:rFonts w:hint="eastAsia" w:ascii="宋体" w:hAnsi="宋体" w:eastAsia="宋体"/>
          <w:sz w:val="24"/>
          <w:lang w:eastAsia="zh-CN"/>
        </w:rPr>
        <w:t>。</w:t>
      </w:r>
    </w:p>
    <w:p w14:paraId="698A027F">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sz w:val="24"/>
          <w:lang w:eastAsia="zh-CN"/>
        </w:rPr>
      </w:pPr>
      <w:r>
        <w:rPr>
          <w:rFonts w:hint="eastAsia" w:ascii="宋体" w:hAnsi="宋体"/>
          <w:sz w:val="24"/>
          <w:lang w:val="en-US" w:eastAsia="zh-CN"/>
        </w:rPr>
        <w:t>4</w:t>
      </w:r>
      <w:r>
        <w:rPr>
          <w:rFonts w:hint="eastAsia" w:ascii="宋体" w:hAnsi="宋体"/>
          <w:sz w:val="24"/>
        </w:rPr>
        <w:t>.配备自动</w:t>
      </w:r>
      <w:r>
        <w:rPr>
          <w:rFonts w:ascii="宋体" w:hAnsi="宋体" w:eastAsia="宋体" w:cs="宋体"/>
          <w:sz w:val="24"/>
        </w:rPr>
        <w:t>定心秤盘</w:t>
      </w:r>
      <w:r>
        <w:rPr>
          <w:rFonts w:hint="eastAsia" w:ascii="宋体" w:hAnsi="宋体" w:eastAsia="宋体" w:cs="宋体"/>
          <w:sz w:val="24"/>
          <w:lang w:eastAsia="zh-CN"/>
        </w:rPr>
        <w:t>。</w:t>
      </w:r>
    </w:p>
    <w:p w14:paraId="357341A0">
      <w:pPr>
        <w:ind w:firstLine="480" w:firstLineChars="200"/>
        <w:rPr>
          <w:rFonts w:hint="eastAsia" w:ascii="宋体" w:hAnsi="宋体" w:eastAsia="宋体"/>
          <w:sz w:val="24"/>
          <w:highlight w:val="none"/>
          <w:lang w:eastAsia="zh-CN"/>
        </w:rPr>
      </w:pPr>
      <w:r>
        <w:rPr>
          <w:rFonts w:hint="eastAsia" w:ascii="宋体" w:hAnsi="宋体"/>
          <w:sz w:val="24"/>
          <w:lang w:val="en-US" w:eastAsia="zh-CN"/>
        </w:rPr>
        <w:t>5</w:t>
      </w:r>
      <w:r>
        <w:rPr>
          <w:rFonts w:hint="eastAsia" w:ascii="宋体" w:hAnsi="宋体"/>
          <w:sz w:val="24"/>
        </w:rPr>
        <w:t>.配备F2等级1000kg砝码，数量：2只；要求整块304不锈钢加工，非焊接拼接</w:t>
      </w:r>
      <w:r>
        <w:rPr>
          <w:rFonts w:hint="eastAsia" w:ascii="宋体" w:hAnsi="宋体" w:eastAsia="宋体"/>
          <w:sz w:val="24"/>
          <w:lang w:eastAsia="zh-CN"/>
        </w:rPr>
        <w:t>。</w:t>
      </w:r>
    </w:p>
    <w:p w14:paraId="62FFCA21">
      <w:pPr>
        <w:spacing w:line="360" w:lineRule="auto"/>
        <w:ind w:firstLine="480" w:firstLineChars="200"/>
        <w:rPr>
          <w:rFonts w:hint="eastAsia" w:ascii="宋体" w:hAnsi="宋体" w:cs="宋体"/>
          <w:b/>
          <w:bCs/>
          <w:sz w:val="24"/>
          <w:szCs w:val="24"/>
          <w:highlight w:val="none"/>
        </w:rPr>
      </w:pPr>
      <w:r>
        <w:rPr>
          <w:rFonts w:hint="eastAsia" w:ascii="宋体" w:hAnsi="宋体" w:cs="宋体"/>
          <w:b/>
          <w:bCs/>
          <w:sz w:val="24"/>
          <w:szCs w:val="24"/>
          <w:highlight w:val="none"/>
        </w:rPr>
        <w:t>（</w:t>
      </w:r>
      <w:r>
        <w:rPr>
          <w:rFonts w:hint="eastAsia" w:ascii="宋体" w:hAnsi="宋体" w:cs="宋体"/>
          <w:b/>
          <w:bCs/>
          <w:sz w:val="24"/>
          <w:szCs w:val="24"/>
          <w:highlight w:val="none"/>
          <w:lang w:eastAsia="zh-CN"/>
        </w:rPr>
        <w:t>六</w:t>
      </w:r>
      <w:r>
        <w:rPr>
          <w:rFonts w:hint="eastAsia" w:ascii="宋体" w:hAnsi="宋体" w:cs="宋体"/>
          <w:b/>
          <w:bCs/>
          <w:sz w:val="24"/>
          <w:szCs w:val="24"/>
          <w:highlight w:val="none"/>
        </w:rPr>
        <w:t>）</w:t>
      </w:r>
      <w:r>
        <w:rPr>
          <w:rFonts w:hint="eastAsia" w:ascii="宋体" w:hAnsi="宋体" w:cs="宋体"/>
          <w:b/>
          <w:bCs/>
          <w:sz w:val="24"/>
          <w:szCs w:val="24"/>
          <w:highlight w:val="none"/>
          <w:lang w:val="en-US" w:eastAsia="zh-CN"/>
        </w:rPr>
        <w:t>检定电导率仪专用交流电阻箱</w:t>
      </w:r>
      <w:r>
        <w:rPr>
          <w:rFonts w:hint="eastAsia" w:ascii="宋体" w:hAnsi="宋体" w:cs="宋体"/>
          <w:b/>
          <w:bCs/>
          <w:sz w:val="24"/>
          <w:szCs w:val="24"/>
          <w:highlight w:val="none"/>
        </w:rPr>
        <w:t>参数要求</w:t>
      </w:r>
    </w:p>
    <w:p w14:paraId="49D1BDAC">
      <w:pPr>
        <w:spacing w:line="360" w:lineRule="auto"/>
        <w:ind w:firstLine="480" w:firstLineChars="200"/>
        <w:rPr>
          <w:rFonts w:hint="eastAsia" w:ascii="宋体" w:hAnsi="宋体" w:cs="宋体" w:eastAsiaTheme="minorEastAsia"/>
          <w:sz w:val="24"/>
          <w:szCs w:val="24"/>
          <w:highlight w:val="none"/>
          <w:lang w:val="en-US" w:eastAsia="zh-CN" w:bidi="ar-SA"/>
        </w:rPr>
      </w:pPr>
      <w:r>
        <w:rPr>
          <w:rFonts w:hint="eastAsia" w:ascii="宋体" w:hAnsi="宋体" w:cs="宋体"/>
          <w:sz w:val="24"/>
          <w:szCs w:val="24"/>
          <w:highlight w:val="none"/>
        </w:rPr>
        <w:t>1.</w:t>
      </w:r>
      <w:r>
        <w:rPr>
          <w:rFonts w:hint="eastAsia" w:ascii="宋体" w:hAnsi="宋体" w:cs="宋体" w:eastAsiaTheme="minorEastAsia"/>
          <w:sz w:val="24"/>
          <w:szCs w:val="24"/>
          <w:highlight w:val="none"/>
          <w:lang w:val="en-US" w:eastAsia="zh-CN" w:bidi="ar-SA"/>
        </w:rPr>
        <w:t xml:space="preserve">检定电导率仪专用交流电阻箱：满足JJF1636-2017《交流电阻箱校准规范》。 </w:t>
      </w:r>
    </w:p>
    <w:p w14:paraId="55892538">
      <w:pPr>
        <w:spacing w:line="360" w:lineRule="auto"/>
        <w:ind w:firstLine="480" w:firstLineChars="200"/>
        <w:rPr>
          <w:rFonts w:hint="eastAsia" w:ascii="宋体" w:hAnsi="宋体" w:cs="宋体" w:eastAsiaTheme="minorEastAsia"/>
          <w:sz w:val="24"/>
          <w:szCs w:val="24"/>
          <w:highlight w:val="none"/>
          <w:lang w:val="en-US" w:eastAsia="zh-CN" w:bidi="ar-SA"/>
        </w:rPr>
      </w:pPr>
      <w:r>
        <w:rPr>
          <w:rFonts w:hint="eastAsia" w:ascii="宋体" w:hAnsi="宋体" w:eastAsia="宋体" w:cs="Times New Roman"/>
          <w:sz w:val="24"/>
          <w:highlight w:val="none"/>
          <w:lang w:val="en-US" w:eastAsia="zh-CN"/>
        </w:rPr>
        <w:t>▲</w:t>
      </w:r>
      <w:r>
        <w:rPr>
          <w:rFonts w:hint="eastAsia" w:ascii="宋体" w:hAnsi="宋体" w:cs="宋体" w:eastAsiaTheme="minorEastAsia"/>
          <w:sz w:val="24"/>
          <w:szCs w:val="24"/>
          <w:highlight w:val="none"/>
          <w:lang w:val="en-US" w:eastAsia="zh-CN" w:bidi="ar-SA"/>
        </w:rPr>
        <w:t>2.电导量限：0.05μS～2.5×10⁴μS；</w:t>
      </w:r>
    </w:p>
    <w:p w14:paraId="2BFDAF47">
      <w:pPr>
        <w:spacing w:line="360" w:lineRule="auto"/>
        <w:ind w:firstLine="480" w:firstLineChars="200"/>
        <w:rPr>
          <w:rFonts w:hint="default" w:ascii="宋体" w:hAnsi="宋体" w:cs="宋体" w:eastAsiaTheme="minorEastAsia"/>
          <w:sz w:val="24"/>
          <w:szCs w:val="24"/>
          <w:highlight w:val="none"/>
          <w:lang w:val="en-US" w:eastAsia="zh-CN" w:bidi="ar-SA"/>
        </w:rPr>
      </w:pPr>
      <w:r>
        <w:rPr>
          <w:rFonts w:hint="eastAsia" w:ascii="宋体" w:hAnsi="宋体" w:eastAsia="宋体" w:cs="Times New Roman"/>
          <w:sz w:val="24"/>
          <w:highlight w:val="none"/>
          <w:lang w:val="en-US" w:eastAsia="zh-CN"/>
        </w:rPr>
        <w:t>▲</w:t>
      </w:r>
      <w:r>
        <w:rPr>
          <w:rFonts w:hint="eastAsia" w:ascii="宋体" w:hAnsi="宋体" w:cs="宋体" w:eastAsiaTheme="minorEastAsia"/>
          <w:sz w:val="24"/>
          <w:szCs w:val="24"/>
          <w:highlight w:val="none"/>
          <w:lang w:val="en-US" w:eastAsia="zh-CN" w:bidi="ar-SA"/>
        </w:rPr>
        <w:t>3.</w:t>
      </w:r>
      <w:r>
        <w:rPr>
          <w:rFonts w:hint="default" w:ascii="宋体" w:hAnsi="宋体" w:cs="宋体" w:eastAsiaTheme="minorEastAsia"/>
          <w:sz w:val="24"/>
          <w:szCs w:val="24"/>
          <w:highlight w:val="none"/>
          <w:lang w:val="en-US" w:eastAsia="zh-CN" w:bidi="ar-SA"/>
        </w:rPr>
        <w:t>准确度：0.07%（1μS～2.5×10⁴μS），0.1%（0.05μS～1μS）；</w:t>
      </w:r>
    </w:p>
    <w:p w14:paraId="31A6BC2E">
      <w:pPr>
        <w:spacing w:line="360" w:lineRule="auto"/>
        <w:ind w:firstLine="480" w:firstLineChars="200"/>
        <w:rPr>
          <w:rFonts w:hint="eastAsia" w:ascii="Times New Roman" w:hAnsi="Times New Roman"/>
          <w:b/>
          <w:bCs/>
          <w:sz w:val="24"/>
          <w:szCs w:val="21"/>
          <w:highlight w:val="none"/>
        </w:rPr>
      </w:pPr>
      <w:r>
        <w:rPr>
          <w:rFonts w:hint="eastAsia" w:ascii="宋体" w:hAnsi="宋体" w:eastAsia="宋体" w:cs="Times New Roman"/>
          <w:sz w:val="24"/>
          <w:highlight w:val="none"/>
          <w:lang w:val="en-US" w:eastAsia="zh-CN"/>
        </w:rPr>
        <w:t>▲</w:t>
      </w:r>
      <w:r>
        <w:rPr>
          <w:rFonts w:hint="eastAsia" w:ascii="宋体" w:hAnsi="宋体" w:cs="宋体" w:eastAsiaTheme="minorEastAsia"/>
          <w:sz w:val="24"/>
          <w:szCs w:val="24"/>
          <w:highlight w:val="none"/>
          <w:lang w:val="en-US" w:eastAsia="zh-CN" w:bidi="ar-SA"/>
        </w:rPr>
        <w:t>4.</w:t>
      </w:r>
      <w:r>
        <w:rPr>
          <w:rFonts w:hint="default" w:ascii="宋体" w:hAnsi="宋体" w:cs="宋体" w:eastAsiaTheme="minorEastAsia"/>
          <w:sz w:val="24"/>
          <w:szCs w:val="24"/>
          <w:highlight w:val="none"/>
          <w:lang w:val="en-US" w:eastAsia="zh-CN" w:bidi="ar-SA"/>
        </w:rPr>
        <w:t>温度范围：10～50℃；配备电导检定专用连接线（3针、8针等）。</w:t>
      </w:r>
    </w:p>
    <w:p w14:paraId="787F1193">
      <w:pPr>
        <w:spacing w:line="360" w:lineRule="auto"/>
        <w:ind w:firstLine="480" w:firstLineChars="200"/>
        <w:rPr>
          <w:rFonts w:hint="eastAsia" w:ascii="宋体" w:hAnsi="宋体" w:cs="宋体"/>
          <w:b/>
          <w:bCs/>
          <w:sz w:val="24"/>
          <w:szCs w:val="24"/>
          <w:highlight w:val="none"/>
        </w:rPr>
      </w:pPr>
      <w:r>
        <w:rPr>
          <w:rFonts w:hint="eastAsia" w:ascii="宋体" w:hAnsi="宋体" w:cs="宋体"/>
          <w:b/>
          <w:bCs/>
          <w:sz w:val="24"/>
          <w:szCs w:val="24"/>
          <w:highlight w:val="none"/>
        </w:rPr>
        <w:t>（</w:t>
      </w:r>
      <w:r>
        <w:rPr>
          <w:rFonts w:hint="eastAsia" w:ascii="宋体" w:hAnsi="宋体" w:cs="宋体"/>
          <w:b/>
          <w:bCs/>
          <w:sz w:val="24"/>
          <w:szCs w:val="24"/>
          <w:highlight w:val="none"/>
          <w:lang w:eastAsia="zh-CN"/>
        </w:rPr>
        <w:t>七</w:t>
      </w:r>
      <w:r>
        <w:rPr>
          <w:rFonts w:hint="eastAsia" w:ascii="宋体" w:hAnsi="宋体" w:cs="宋体"/>
          <w:b/>
          <w:bCs/>
          <w:sz w:val="24"/>
          <w:szCs w:val="24"/>
          <w:highlight w:val="none"/>
        </w:rPr>
        <w:t>）</w:t>
      </w:r>
      <w:r>
        <w:rPr>
          <w:rFonts w:hint="eastAsia" w:ascii="宋体" w:hAnsi="宋体" w:cs="宋体"/>
          <w:b/>
          <w:bCs/>
          <w:sz w:val="24"/>
          <w:szCs w:val="24"/>
          <w:highlight w:val="none"/>
          <w:lang w:val="en-US" w:eastAsia="zh-CN"/>
        </w:rPr>
        <w:t>水分快速测定仪</w:t>
      </w:r>
      <w:r>
        <w:rPr>
          <w:rFonts w:hint="eastAsia" w:ascii="宋体" w:hAnsi="宋体" w:cs="宋体"/>
          <w:b/>
          <w:bCs/>
          <w:sz w:val="24"/>
          <w:szCs w:val="24"/>
          <w:highlight w:val="none"/>
        </w:rPr>
        <w:t>参数要求</w:t>
      </w:r>
    </w:p>
    <w:p w14:paraId="4DEAF2B5">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eastAsiaTheme="minorEastAsia"/>
          <w:sz w:val="24"/>
          <w:szCs w:val="24"/>
          <w:highlight w:val="none"/>
          <w:lang w:val="en-US" w:eastAsia="zh-CN" w:bidi="ar-SA"/>
        </w:rPr>
        <w:t>水分快速测定仪：满足JJG 891-2019 《电容法和电阻法谷物水分测定仪检定规程》要求。</w:t>
      </w:r>
    </w:p>
    <w:p w14:paraId="5CA897C8">
      <w:pPr>
        <w:spacing w:line="360" w:lineRule="auto"/>
        <w:ind w:firstLine="480" w:firstLineChars="200"/>
        <w:rPr>
          <w:rFonts w:hint="eastAsia" w:ascii="Times New Roman" w:hAnsi="Times New Roman"/>
          <w:b/>
          <w:bCs/>
          <w:sz w:val="24"/>
          <w:szCs w:val="21"/>
          <w:highlight w:val="none"/>
        </w:rPr>
      </w:pPr>
      <w:r>
        <w:rPr>
          <w:rFonts w:hint="eastAsia" w:ascii="宋体" w:hAnsi="宋体" w:eastAsia="宋体" w:cs="Times New Roman"/>
          <w:sz w:val="24"/>
          <w:highlight w:val="none"/>
          <w:lang w:val="en-US"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rPr>
        <w:t>符合0.5级准确度要求。</w:t>
      </w:r>
    </w:p>
    <w:p w14:paraId="07D91CCE">
      <w:pPr>
        <w:spacing w:line="360" w:lineRule="auto"/>
        <w:ind w:firstLine="480" w:firstLineChars="200"/>
        <w:rPr>
          <w:rFonts w:hint="eastAsia" w:ascii="宋体" w:hAnsi="宋体" w:cs="宋体"/>
          <w:b/>
          <w:bCs/>
          <w:sz w:val="24"/>
          <w:szCs w:val="24"/>
          <w:highlight w:val="none"/>
        </w:rPr>
      </w:pPr>
      <w:r>
        <w:rPr>
          <w:rFonts w:hint="eastAsia" w:ascii="宋体" w:hAnsi="宋体" w:cs="宋体"/>
          <w:b/>
          <w:bCs/>
          <w:sz w:val="24"/>
          <w:szCs w:val="24"/>
          <w:highlight w:val="none"/>
        </w:rPr>
        <w:t>（</w:t>
      </w:r>
      <w:r>
        <w:rPr>
          <w:rFonts w:hint="eastAsia" w:ascii="宋体" w:hAnsi="宋体" w:cs="宋体"/>
          <w:b/>
          <w:bCs/>
          <w:sz w:val="24"/>
          <w:szCs w:val="24"/>
          <w:highlight w:val="none"/>
          <w:lang w:eastAsia="zh-CN"/>
        </w:rPr>
        <w:t>八</w:t>
      </w:r>
      <w:r>
        <w:rPr>
          <w:rFonts w:hint="eastAsia" w:ascii="宋体" w:hAnsi="宋体" w:cs="宋体"/>
          <w:b/>
          <w:bCs/>
          <w:sz w:val="24"/>
          <w:szCs w:val="24"/>
          <w:highlight w:val="none"/>
        </w:rPr>
        <w:t>）</w:t>
      </w:r>
      <w:r>
        <w:rPr>
          <w:rFonts w:hint="eastAsia" w:ascii="宋体" w:hAnsi="宋体" w:cs="宋体"/>
          <w:b/>
          <w:bCs/>
          <w:sz w:val="24"/>
          <w:szCs w:val="24"/>
          <w:highlight w:val="none"/>
          <w:lang w:val="en-US" w:eastAsia="zh-CN"/>
        </w:rPr>
        <w:t>干燥箱</w:t>
      </w:r>
      <w:r>
        <w:rPr>
          <w:rFonts w:hint="eastAsia" w:ascii="宋体" w:hAnsi="宋体" w:cs="宋体"/>
          <w:b/>
          <w:bCs/>
          <w:sz w:val="24"/>
          <w:szCs w:val="24"/>
          <w:highlight w:val="none"/>
        </w:rPr>
        <w:t>参数要求</w:t>
      </w:r>
    </w:p>
    <w:p w14:paraId="6289C863">
      <w:pPr>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干燥箱：满足JJF1101-2019 《环境试验设备温度、湿度参数校准规范》要求。</w:t>
      </w:r>
    </w:p>
    <w:p w14:paraId="3DB699AF">
      <w:pPr>
        <w:spacing w:line="360" w:lineRule="auto"/>
        <w:ind w:firstLine="480" w:firstLineChars="200"/>
        <w:rPr>
          <w:rFonts w:hint="eastAsia" w:ascii="宋体" w:hAnsi="宋体" w:cs="宋体"/>
          <w:sz w:val="24"/>
          <w:szCs w:val="24"/>
          <w:highlight w:val="none"/>
          <w:lang w:val="en-US" w:eastAsia="zh-CN"/>
        </w:rPr>
      </w:pPr>
      <w:r>
        <w:rPr>
          <w:rFonts w:hint="eastAsia" w:ascii="宋体" w:hAnsi="宋体" w:eastAsia="宋体" w:cs="Times New Roman"/>
          <w:sz w:val="24"/>
          <w:highlight w:val="none"/>
          <w:lang w:val="en-US" w:eastAsia="zh-CN"/>
        </w:rPr>
        <w:t>▲</w:t>
      </w:r>
      <w:r>
        <w:rPr>
          <w:rFonts w:hint="eastAsia" w:ascii="宋体" w:hAnsi="宋体" w:cs="宋体"/>
          <w:sz w:val="24"/>
          <w:szCs w:val="24"/>
          <w:highlight w:val="none"/>
          <w:lang w:val="en-US" w:eastAsia="zh-CN"/>
        </w:rPr>
        <w:t>2.温度量限：50～300℃。</w:t>
      </w:r>
    </w:p>
    <w:p w14:paraId="273CFD8A">
      <w:pPr>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3.工作区域尺寸：≥0.6m³。</w:t>
      </w:r>
    </w:p>
    <w:p w14:paraId="192BE044">
      <w:pPr>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w:t>
      </w:r>
      <w:r>
        <w:rPr>
          <w:rFonts w:hint="default" w:ascii="宋体" w:hAnsi="宋体" w:cs="宋体"/>
          <w:sz w:val="24"/>
          <w:szCs w:val="24"/>
          <w:highlight w:val="none"/>
          <w:lang w:val="en-US" w:eastAsia="zh-CN"/>
        </w:rPr>
        <w:t>功率</w:t>
      </w:r>
      <w:r>
        <w:rPr>
          <w:rFonts w:hint="eastAsia" w:ascii="宋体" w:hAnsi="宋体" w:cs="宋体"/>
          <w:sz w:val="24"/>
          <w:szCs w:val="24"/>
          <w:highlight w:val="none"/>
          <w:lang w:val="en-US" w:eastAsia="zh-CN"/>
        </w:rPr>
        <w:t>：</w:t>
      </w:r>
      <w:r>
        <w:rPr>
          <w:rFonts w:hint="default" w:ascii="宋体" w:hAnsi="宋体" w:cs="宋体"/>
          <w:sz w:val="24"/>
          <w:szCs w:val="24"/>
          <w:highlight w:val="none"/>
          <w:lang w:val="en-US" w:eastAsia="zh-CN"/>
        </w:rPr>
        <w:t>小于5900</w:t>
      </w:r>
      <w:r>
        <w:rPr>
          <w:rFonts w:hint="eastAsia" w:ascii="宋体" w:hAnsi="宋体" w:cs="宋体"/>
          <w:sz w:val="24"/>
          <w:szCs w:val="24"/>
          <w:highlight w:val="none"/>
          <w:lang w:val="en-US" w:eastAsia="zh-CN"/>
        </w:rPr>
        <w:t>W。</w:t>
      </w:r>
    </w:p>
    <w:p w14:paraId="21332272">
      <w:pPr>
        <w:spacing w:line="360" w:lineRule="auto"/>
        <w:ind w:firstLine="480" w:firstLineChars="200"/>
        <w:rPr>
          <w:rFonts w:hint="eastAsia" w:ascii="宋体" w:hAnsi="宋体" w:cs="宋体"/>
          <w:sz w:val="24"/>
          <w:szCs w:val="24"/>
          <w:highlight w:val="none"/>
          <w:lang w:val="en-US" w:eastAsia="zh-CN"/>
        </w:rPr>
      </w:pPr>
      <w:r>
        <w:rPr>
          <w:rFonts w:hint="eastAsia" w:ascii="宋体" w:hAnsi="宋体" w:eastAsia="宋体" w:cs="Times New Roman"/>
          <w:sz w:val="24"/>
          <w:highlight w:val="none"/>
          <w:lang w:val="en-US" w:eastAsia="zh-CN"/>
        </w:rPr>
        <w:t>▲</w:t>
      </w:r>
      <w:r>
        <w:rPr>
          <w:rFonts w:hint="eastAsia" w:ascii="宋体" w:hAnsi="宋体" w:cs="宋体"/>
          <w:sz w:val="24"/>
          <w:szCs w:val="24"/>
          <w:highlight w:val="none"/>
          <w:lang w:val="en-US" w:eastAsia="zh-CN"/>
        </w:rPr>
        <w:t>5.温度波动1℃温度误差±2℃。</w:t>
      </w:r>
    </w:p>
    <w:p w14:paraId="046D8288">
      <w:pPr>
        <w:spacing w:line="360" w:lineRule="auto"/>
        <w:ind w:firstLine="480" w:firstLineChars="200"/>
        <w:rPr>
          <w:rFonts w:hint="eastAsia" w:ascii="宋体" w:hAnsi="宋体" w:cs="宋体"/>
          <w:sz w:val="24"/>
          <w:szCs w:val="24"/>
          <w:highlight w:val="none"/>
          <w:lang w:val="en-US" w:eastAsia="zh-CN"/>
        </w:rPr>
      </w:pPr>
      <w:r>
        <w:rPr>
          <w:rFonts w:hint="eastAsia" w:ascii="宋体" w:hAnsi="宋体" w:eastAsia="宋体" w:cs="Times New Roman"/>
          <w:sz w:val="24"/>
          <w:highlight w:val="none"/>
          <w:lang w:val="en-US" w:eastAsia="zh-CN"/>
        </w:rPr>
        <w:t>▲</w:t>
      </w:r>
      <w:r>
        <w:rPr>
          <w:rFonts w:hint="eastAsia" w:ascii="宋体" w:hAnsi="宋体" w:cs="宋体"/>
          <w:sz w:val="24"/>
          <w:szCs w:val="24"/>
          <w:highlight w:val="none"/>
          <w:lang w:val="en-US" w:eastAsia="zh-CN"/>
        </w:rPr>
        <w:t>6.均匀度2℃。</w:t>
      </w:r>
    </w:p>
    <w:p w14:paraId="04B8AD87">
      <w:pPr>
        <w:spacing w:line="360" w:lineRule="auto"/>
        <w:ind w:firstLine="480" w:firstLineChars="20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7.显示精度：</w:t>
      </w:r>
      <w:r>
        <w:rPr>
          <w:rFonts w:hint="eastAsia" w:ascii="宋体" w:hAnsi="宋体" w:cs="宋体"/>
          <w:sz w:val="20"/>
          <w:szCs w:val="20"/>
          <w:highlight w:val="none"/>
          <w:lang w:val="en-US" w:eastAsia="zh-CN"/>
        </w:rPr>
        <w:t>≤</w:t>
      </w:r>
      <w:r>
        <w:rPr>
          <w:rFonts w:hint="eastAsia" w:ascii="宋体" w:hAnsi="宋体" w:cs="宋体"/>
          <w:sz w:val="24"/>
          <w:szCs w:val="24"/>
          <w:highlight w:val="none"/>
          <w:lang w:val="en-US" w:eastAsia="zh-CN"/>
        </w:rPr>
        <w:t>0.1℃。</w:t>
      </w:r>
    </w:p>
    <w:p w14:paraId="4200CF85">
      <w:pPr>
        <w:spacing w:line="360" w:lineRule="auto"/>
        <w:ind w:firstLine="480" w:firstLineChars="200"/>
        <w:rPr>
          <w:rFonts w:hint="eastAsia" w:ascii="宋体" w:hAnsi="宋体" w:cs="宋体" w:eastAsiaTheme="minorEastAsia"/>
          <w:sz w:val="24"/>
          <w:szCs w:val="24"/>
          <w:highlight w:val="none"/>
          <w:lang w:val="en-US" w:eastAsia="zh-CN" w:bidi="ar-SA"/>
        </w:rPr>
      </w:pPr>
      <w:r>
        <w:rPr>
          <w:rFonts w:hint="eastAsia" w:ascii="宋体" w:hAnsi="宋体" w:eastAsia="宋体" w:cs="Times New Roman"/>
          <w:sz w:val="24"/>
          <w:highlight w:val="none"/>
          <w:lang w:val="en-US" w:eastAsia="zh-CN"/>
        </w:rPr>
        <w:t>▲</w:t>
      </w:r>
      <w:r>
        <w:rPr>
          <w:rFonts w:hint="eastAsia" w:ascii="宋体" w:hAnsi="宋体" w:cs="宋体"/>
          <w:sz w:val="24"/>
          <w:szCs w:val="24"/>
          <w:highlight w:val="none"/>
          <w:lang w:val="en-US" w:eastAsia="zh-CN"/>
        </w:rPr>
        <w:t>8.最大允许误差：±2℃。</w:t>
      </w:r>
    </w:p>
    <w:p w14:paraId="1F3E5905">
      <w:pPr>
        <w:spacing w:line="360" w:lineRule="auto"/>
        <w:ind w:firstLine="480" w:firstLineChars="200"/>
        <w:rPr>
          <w:rFonts w:hint="eastAsia" w:ascii="宋体" w:hAnsi="宋体" w:cs="宋体" w:eastAsiaTheme="minorEastAsia"/>
          <w:sz w:val="24"/>
          <w:szCs w:val="24"/>
          <w:highlight w:val="none"/>
          <w:lang w:val="en-US" w:eastAsia="zh-CN" w:bidi="ar-SA"/>
        </w:rPr>
      </w:pPr>
      <w:r>
        <w:rPr>
          <w:rFonts w:hint="eastAsia" w:ascii="宋体" w:hAnsi="宋体" w:cs="宋体"/>
          <w:b/>
          <w:bCs/>
          <w:sz w:val="24"/>
          <w:szCs w:val="24"/>
          <w:highlight w:val="none"/>
        </w:rPr>
        <w:t>（</w:t>
      </w:r>
      <w:r>
        <w:rPr>
          <w:rFonts w:hint="eastAsia" w:ascii="宋体" w:hAnsi="宋体" w:cs="宋体"/>
          <w:b/>
          <w:bCs/>
          <w:sz w:val="24"/>
          <w:szCs w:val="24"/>
          <w:highlight w:val="none"/>
          <w:lang w:eastAsia="zh-CN"/>
        </w:rPr>
        <w:t>九</w:t>
      </w:r>
      <w:r>
        <w:rPr>
          <w:rFonts w:hint="eastAsia" w:ascii="宋体" w:hAnsi="宋体" w:cs="宋体"/>
          <w:b/>
          <w:bCs/>
          <w:sz w:val="24"/>
          <w:szCs w:val="24"/>
          <w:highlight w:val="none"/>
        </w:rPr>
        <w:t>）</w:t>
      </w:r>
      <w:r>
        <w:rPr>
          <w:rFonts w:hint="eastAsia" w:ascii="宋体" w:hAnsi="宋体" w:cs="宋体" w:eastAsiaTheme="minorEastAsia"/>
          <w:sz w:val="24"/>
          <w:szCs w:val="24"/>
          <w:highlight w:val="none"/>
          <w:lang w:val="en-US" w:eastAsia="zh-CN" w:bidi="ar-SA"/>
        </w:rPr>
        <w:t>温湿度巡检仪参数要求</w:t>
      </w:r>
    </w:p>
    <w:p w14:paraId="3AA8BD70">
      <w:pPr>
        <w:pStyle w:val="195"/>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eastAsiaTheme="minorEastAsia"/>
          <w:sz w:val="24"/>
          <w:szCs w:val="24"/>
          <w:highlight w:val="none"/>
          <w:lang w:val="en-US" w:eastAsia="zh-CN" w:bidi="ar-SA"/>
        </w:rPr>
        <w:t>温湿度巡检</w:t>
      </w:r>
      <w:r>
        <w:rPr>
          <w:rFonts w:hint="eastAsia" w:ascii="宋体" w:hAnsi="宋体" w:cs="宋体"/>
          <w:sz w:val="24"/>
          <w:szCs w:val="24"/>
          <w:highlight w:val="none"/>
          <w:lang w:val="en-US" w:eastAsia="zh-CN"/>
        </w:rPr>
        <w:t>仪：满足JJF 2019-2022《液体恒温试验设备温度性能测试规范》要求。</w:t>
      </w:r>
    </w:p>
    <w:p w14:paraId="536787A7">
      <w:pPr>
        <w:pStyle w:val="195"/>
        <w:spacing w:line="360" w:lineRule="auto"/>
        <w:ind w:firstLine="480"/>
        <w:rPr>
          <w:rFonts w:hint="eastAsia" w:ascii="宋体" w:hAnsi="宋体" w:cs="宋体"/>
          <w:sz w:val="24"/>
          <w:szCs w:val="24"/>
          <w:highlight w:val="none"/>
          <w:lang w:eastAsia="zh-CN"/>
        </w:rPr>
      </w:pPr>
      <w:r>
        <w:rPr>
          <w:rFonts w:hint="eastAsia" w:ascii="宋体" w:hAnsi="宋体" w:cs="宋体"/>
          <w:sz w:val="24"/>
          <w:szCs w:val="24"/>
          <w:highlight w:val="none"/>
        </w:rPr>
        <w:t>2.</w:t>
      </w:r>
      <w:r>
        <w:rPr>
          <w:rFonts w:hint="default" w:ascii="宋体" w:hAnsi="宋体" w:cs="宋体"/>
          <w:sz w:val="24"/>
          <w:szCs w:val="24"/>
          <w:highlight w:val="none"/>
        </w:rPr>
        <w:t>配套2</w:t>
      </w:r>
      <w:r>
        <w:rPr>
          <w:rFonts w:hint="eastAsia" w:ascii="宋体" w:hAnsi="宋体" w:cs="宋体"/>
          <w:sz w:val="24"/>
          <w:szCs w:val="24"/>
          <w:highlight w:val="none"/>
          <w:lang w:val="en-US" w:eastAsia="zh-CN"/>
        </w:rPr>
        <w:t>4</w:t>
      </w:r>
      <w:r>
        <w:rPr>
          <w:rFonts w:hint="default" w:ascii="宋体" w:hAnsi="宋体" w:cs="宋体"/>
          <w:sz w:val="24"/>
          <w:szCs w:val="24"/>
          <w:highlight w:val="none"/>
        </w:rPr>
        <w:t>只热电阻、7只热电偶、</w:t>
      </w:r>
      <w:r>
        <w:rPr>
          <w:rFonts w:hint="eastAsia" w:ascii="宋体" w:hAnsi="宋体" w:cs="宋体"/>
          <w:sz w:val="24"/>
          <w:szCs w:val="24"/>
          <w:highlight w:val="none"/>
          <w:lang w:val="en-US" w:eastAsia="zh-CN"/>
        </w:rPr>
        <w:t>6</w:t>
      </w:r>
      <w:r>
        <w:rPr>
          <w:rFonts w:hint="default" w:ascii="宋体" w:hAnsi="宋体" w:cs="宋体"/>
          <w:sz w:val="24"/>
          <w:szCs w:val="24"/>
          <w:highlight w:val="none"/>
        </w:rPr>
        <w:t>只温湿度传感器</w:t>
      </w:r>
      <w:r>
        <w:rPr>
          <w:rFonts w:hint="eastAsia" w:ascii="宋体" w:hAnsi="宋体" w:cs="宋体"/>
          <w:sz w:val="24"/>
          <w:szCs w:val="24"/>
          <w:highlight w:val="none"/>
          <w:lang w:eastAsia="zh-CN"/>
        </w:rPr>
        <w:t>；</w:t>
      </w:r>
    </w:p>
    <w:p w14:paraId="1BDD6E13">
      <w:pPr>
        <w:pStyle w:val="195"/>
        <w:spacing w:line="360" w:lineRule="auto"/>
        <w:ind w:firstLine="480"/>
        <w:rPr>
          <w:rFonts w:hint="default" w:ascii="宋体" w:hAnsi="宋体" w:cs="宋体"/>
          <w:sz w:val="24"/>
          <w:szCs w:val="24"/>
          <w:highlight w:val="none"/>
        </w:rPr>
      </w:pPr>
      <w:r>
        <w:rPr>
          <w:rFonts w:hint="eastAsia" w:ascii="宋体" w:hAnsi="宋体" w:eastAsia="宋体" w:cs="Times New Roman"/>
          <w:sz w:val="24"/>
          <w:highlight w:val="none"/>
          <w:lang w:val="en-US" w:eastAsia="zh-CN"/>
        </w:rPr>
        <w:t>▲</w:t>
      </w:r>
      <w:r>
        <w:rPr>
          <w:rFonts w:hint="eastAsia" w:ascii="宋体" w:hAnsi="宋体" w:cs="宋体"/>
          <w:sz w:val="24"/>
          <w:szCs w:val="24"/>
          <w:highlight w:val="none"/>
          <w:lang w:val="en-US" w:eastAsia="zh-CN"/>
        </w:rPr>
        <w:t>3.</w:t>
      </w:r>
      <w:r>
        <w:rPr>
          <w:rFonts w:hint="default" w:ascii="宋体" w:hAnsi="宋体" w:cs="宋体"/>
          <w:sz w:val="24"/>
          <w:szCs w:val="24"/>
          <w:highlight w:val="none"/>
        </w:rPr>
        <w:t>总通道数：</w:t>
      </w:r>
      <w:r>
        <w:rPr>
          <w:rFonts w:hint="eastAsia" w:ascii="宋体" w:hAnsi="宋体" w:cs="宋体"/>
          <w:sz w:val="24"/>
          <w:szCs w:val="24"/>
          <w:highlight w:val="none"/>
          <w:lang w:val="en-US" w:eastAsia="zh-CN"/>
        </w:rPr>
        <w:t>不低于24</w:t>
      </w:r>
      <w:r>
        <w:rPr>
          <w:rFonts w:hint="default" w:ascii="宋体" w:hAnsi="宋体" w:cs="宋体"/>
          <w:sz w:val="24"/>
          <w:szCs w:val="24"/>
          <w:highlight w:val="none"/>
        </w:rPr>
        <w:t>通道；分辨力：温度0.01℃，湿度0.01%RH。</w:t>
      </w:r>
    </w:p>
    <w:p w14:paraId="7C25DC95">
      <w:pPr>
        <w:pStyle w:val="195"/>
        <w:spacing w:line="360" w:lineRule="auto"/>
        <w:ind w:firstLine="480"/>
        <w:rPr>
          <w:rFonts w:hint="default" w:ascii="宋体" w:hAnsi="宋体" w:cs="宋体"/>
          <w:sz w:val="24"/>
          <w:szCs w:val="24"/>
          <w:highlight w:val="none"/>
        </w:rPr>
      </w:pPr>
      <w:r>
        <w:rPr>
          <w:rFonts w:hint="eastAsia" w:ascii="宋体" w:hAnsi="宋体" w:eastAsia="宋体" w:cs="Times New Roman"/>
          <w:sz w:val="24"/>
          <w:highlight w:val="none"/>
          <w:lang w:val="en-US" w:eastAsia="zh-CN"/>
        </w:rPr>
        <w:t>▲</w:t>
      </w:r>
      <w:r>
        <w:rPr>
          <w:rFonts w:hint="eastAsia" w:ascii="宋体" w:hAnsi="宋体" w:cs="宋体"/>
          <w:sz w:val="24"/>
          <w:szCs w:val="24"/>
          <w:highlight w:val="none"/>
          <w:lang w:val="en-US" w:eastAsia="zh-CN"/>
        </w:rPr>
        <w:t>4.</w:t>
      </w:r>
      <w:r>
        <w:rPr>
          <w:rFonts w:hint="default" w:ascii="宋体" w:hAnsi="宋体" w:cs="宋体"/>
          <w:sz w:val="24"/>
          <w:szCs w:val="24"/>
          <w:highlight w:val="none"/>
        </w:rPr>
        <w:t>铂电阻传感器（A级）：</w:t>
      </w:r>
    </w:p>
    <w:p w14:paraId="080E28C3">
      <w:pPr>
        <w:pStyle w:val="195"/>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cs="宋体"/>
          <w:sz w:val="24"/>
          <w:szCs w:val="24"/>
          <w:highlight w:val="none"/>
        </w:rPr>
      </w:pPr>
      <w:r>
        <w:rPr>
          <w:rFonts w:hint="default" w:ascii="宋体" w:hAnsi="宋体" w:cs="宋体"/>
          <w:sz w:val="24"/>
          <w:szCs w:val="24"/>
          <w:highlight w:val="none"/>
        </w:rPr>
        <w:t>-200～-30℃：准确度 ≤±0.20℃</w:t>
      </w:r>
      <w:r>
        <w:rPr>
          <w:rFonts w:hint="eastAsia" w:ascii="宋体" w:hAnsi="宋体" w:cs="宋体"/>
          <w:sz w:val="24"/>
          <w:szCs w:val="24"/>
          <w:highlight w:val="none"/>
          <w:lang w:eastAsia="zh-CN"/>
        </w:rPr>
        <w:t>；</w:t>
      </w:r>
    </w:p>
    <w:p w14:paraId="1E6A93EE">
      <w:pPr>
        <w:pStyle w:val="195"/>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cs="宋体"/>
          <w:sz w:val="24"/>
          <w:szCs w:val="24"/>
          <w:highlight w:val="none"/>
          <w:lang w:eastAsia="zh-CN"/>
        </w:rPr>
      </w:pPr>
      <w:r>
        <w:rPr>
          <w:rFonts w:hint="default" w:ascii="宋体" w:hAnsi="宋体" w:cs="宋体"/>
          <w:sz w:val="24"/>
          <w:szCs w:val="24"/>
          <w:highlight w:val="none"/>
        </w:rPr>
        <w:t>-30～</w:t>
      </w:r>
      <w:r>
        <w:rPr>
          <w:rFonts w:hint="eastAsia" w:ascii="宋体" w:hAnsi="宋体" w:cs="宋体"/>
          <w:sz w:val="24"/>
          <w:szCs w:val="24"/>
          <w:highlight w:val="none"/>
          <w:lang w:val="en-US" w:eastAsia="zh-CN"/>
        </w:rPr>
        <w:t>+</w:t>
      </w:r>
      <w:r>
        <w:rPr>
          <w:rFonts w:hint="default" w:ascii="宋体" w:hAnsi="宋体" w:cs="宋体"/>
          <w:sz w:val="24"/>
          <w:szCs w:val="24"/>
          <w:highlight w:val="none"/>
        </w:rPr>
        <w:t>200℃：准确度 ≤±0.10℃</w:t>
      </w:r>
      <w:r>
        <w:rPr>
          <w:rFonts w:hint="eastAsia" w:ascii="宋体" w:hAnsi="宋体" w:cs="宋体"/>
          <w:sz w:val="24"/>
          <w:szCs w:val="24"/>
          <w:highlight w:val="none"/>
          <w:lang w:eastAsia="zh-CN"/>
        </w:rPr>
        <w:t>；</w:t>
      </w:r>
    </w:p>
    <w:p w14:paraId="3596D17A">
      <w:pPr>
        <w:pStyle w:val="195"/>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sz w:val="24"/>
          <w:szCs w:val="24"/>
          <w:highlight w:val="none"/>
          <w:lang w:eastAsia="zh-CN"/>
        </w:rPr>
      </w:pPr>
      <w:r>
        <w:rPr>
          <w:rFonts w:hint="default" w:ascii="宋体" w:hAnsi="宋体" w:cs="宋体"/>
          <w:sz w:val="24"/>
          <w:szCs w:val="24"/>
          <w:highlight w:val="none"/>
        </w:rPr>
        <w:t>200～300℃：准确度 ≤±0.20℃</w:t>
      </w:r>
      <w:r>
        <w:rPr>
          <w:rFonts w:hint="eastAsia" w:ascii="宋体" w:hAnsi="宋体" w:cs="宋体"/>
          <w:sz w:val="24"/>
          <w:szCs w:val="24"/>
          <w:highlight w:val="none"/>
          <w:lang w:eastAsia="zh-CN"/>
        </w:rPr>
        <w:t>。</w:t>
      </w:r>
    </w:p>
    <w:p w14:paraId="5628985F">
      <w:pPr>
        <w:pStyle w:val="19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default" w:ascii="宋体" w:hAnsi="宋体" w:cs="宋体"/>
          <w:sz w:val="24"/>
          <w:szCs w:val="24"/>
          <w:highlight w:val="none"/>
        </w:rPr>
        <w:t>热电偶传感器（工业I级）：</w:t>
      </w:r>
    </w:p>
    <w:p w14:paraId="38B1BB5F">
      <w:pPr>
        <w:pStyle w:val="195"/>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sz w:val="24"/>
          <w:szCs w:val="24"/>
          <w:highlight w:val="none"/>
          <w:lang w:eastAsia="zh-CN"/>
        </w:rPr>
      </w:pPr>
      <w:r>
        <w:rPr>
          <w:rFonts w:hint="default" w:ascii="宋体" w:hAnsi="宋体" w:cs="宋体"/>
          <w:sz w:val="24"/>
          <w:szCs w:val="24"/>
          <w:highlight w:val="none"/>
        </w:rPr>
        <w:t>300～375℃：准确度 ≤±1.5℃</w:t>
      </w:r>
      <w:r>
        <w:rPr>
          <w:rFonts w:hint="eastAsia" w:ascii="宋体" w:hAnsi="宋体" w:cs="宋体"/>
          <w:sz w:val="24"/>
          <w:szCs w:val="24"/>
          <w:highlight w:val="none"/>
          <w:lang w:eastAsia="zh-CN"/>
        </w:rPr>
        <w:t>；</w:t>
      </w:r>
    </w:p>
    <w:p w14:paraId="027EE639">
      <w:pPr>
        <w:pStyle w:val="195"/>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cs="宋体"/>
          <w:sz w:val="24"/>
          <w:szCs w:val="24"/>
          <w:highlight w:val="none"/>
          <w:lang w:eastAsia="zh-CN"/>
        </w:rPr>
      </w:pPr>
      <w:r>
        <w:rPr>
          <w:rFonts w:hint="default" w:ascii="宋体" w:hAnsi="宋体" w:cs="宋体"/>
          <w:sz w:val="24"/>
          <w:szCs w:val="24"/>
          <w:highlight w:val="none"/>
        </w:rPr>
        <w:t>375～1100℃：准确度 ≤±0.4%·t℃（t为实测温度）</w:t>
      </w:r>
      <w:r>
        <w:rPr>
          <w:rFonts w:hint="eastAsia" w:ascii="宋体" w:hAnsi="宋体" w:cs="宋体"/>
          <w:sz w:val="24"/>
          <w:szCs w:val="24"/>
          <w:highlight w:val="none"/>
          <w:lang w:eastAsia="zh-CN"/>
        </w:rPr>
        <w:t>；</w:t>
      </w:r>
    </w:p>
    <w:p w14:paraId="343C6F3D">
      <w:pPr>
        <w:pStyle w:val="195"/>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宋体" w:hAnsi="宋体" w:cs="宋体"/>
          <w:sz w:val="24"/>
          <w:szCs w:val="24"/>
          <w:highlight w:val="none"/>
        </w:rPr>
      </w:pPr>
      <w:r>
        <w:rPr>
          <w:rFonts w:hint="default" w:ascii="宋体" w:hAnsi="宋体" w:cs="宋体"/>
          <w:sz w:val="24"/>
          <w:szCs w:val="24"/>
          <w:highlight w:val="none"/>
        </w:rPr>
        <w:t>湿度传感器：准确度 ≤±1.5%RH；重复性 ≤0.05%RH。</w:t>
      </w:r>
    </w:p>
    <w:p w14:paraId="41236B38">
      <w:pPr>
        <w:keepNext w:val="0"/>
        <w:keepLines w:val="0"/>
        <w:pageBreakBefore w:val="0"/>
        <w:widowControl w:val="0"/>
        <w:tabs>
          <w:tab w:val="left" w:pos="1050"/>
        </w:tabs>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注：1.上述带星号（“★”）的技术条款除特别说明外，投标供应商须在投标文件中提供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p>
    <w:p w14:paraId="02D2809B">
      <w:pPr>
        <w:keepNext w:val="0"/>
        <w:keepLines w:val="0"/>
        <w:pageBreakBefore w:val="0"/>
        <w:widowControl w:val="0"/>
        <w:tabs>
          <w:tab w:val="left" w:pos="1050"/>
        </w:tabs>
        <w:kinsoku/>
        <w:wordWrap/>
        <w:overflowPunct/>
        <w:topLinePunct w:val="0"/>
        <w:autoSpaceDE/>
        <w:autoSpaceDN/>
        <w:bidi w:val="0"/>
        <w:adjustRightInd/>
        <w:snapToGrid/>
        <w:spacing w:line="360" w:lineRule="auto"/>
        <w:ind w:firstLine="422"/>
        <w:textAlignment w:val="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2.上述▲号参数指标（如有）为主要技术参数要求，提供的招标文件技术参数中所要求（如有）的技术支持资料（技术支持资料种类以文件第四章要求为准，如无特殊要求则为明确说明该技术内容的公开发行的手册、彩页、官网截图、功能页面截图、检测报告、白皮书等），否则将视为未响应▲号参数，作负偏离处理。</w:t>
      </w:r>
    </w:p>
    <w:p w14:paraId="3BF9AF30">
      <w:pPr>
        <w:pStyle w:val="195"/>
        <w:spacing w:line="360" w:lineRule="auto"/>
        <w:ind w:firstLine="482"/>
        <w:rPr>
          <w:rFonts w:ascii="Times New Roman" w:hAnsi="Times New Roman"/>
          <w:b/>
          <w:bCs/>
          <w:sz w:val="24"/>
          <w:szCs w:val="21"/>
          <w:highlight w:val="none"/>
        </w:rPr>
      </w:pPr>
      <w:r>
        <w:rPr>
          <w:rFonts w:hint="eastAsia" w:ascii="Times New Roman" w:hAnsi="Times New Roman"/>
          <w:b/>
          <w:bCs/>
          <w:sz w:val="24"/>
          <w:szCs w:val="21"/>
          <w:highlight w:val="none"/>
        </w:rPr>
        <w:t>五、其他要求</w:t>
      </w:r>
    </w:p>
    <w:p w14:paraId="2D319CD7">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s="仿宋"/>
          <w:sz w:val="24"/>
          <w:highlight w:val="none"/>
        </w:rPr>
      </w:pPr>
      <w:r>
        <w:rPr>
          <w:rFonts w:hint="eastAsia" w:ascii="宋体" w:hAnsi="宋体" w:cs="仿宋"/>
          <w:sz w:val="24"/>
          <w:highlight w:val="none"/>
        </w:rPr>
        <w:t>1.供货要求</w:t>
      </w:r>
    </w:p>
    <w:p w14:paraId="2CF26A60">
      <w:pPr>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仿宋"/>
          <w:sz w:val="24"/>
          <w:highlight w:val="none"/>
        </w:rPr>
      </w:pPr>
      <w:r>
        <w:rPr>
          <w:rFonts w:hint="eastAsia" w:ascii="宋体" w:hAnsi="宋体" w:cs="仿宋"/>
          <w:sz w:val="24"/>
          <w:highlight w:val="none"/>
        </w:rPr>
        <w:t>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p>
    <w:p w14:paraId="1AA4D7B6">
      <w:pPr>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仿宋"/>
          <w:sz w:val="24"/>
          <w:highlight w:val="none"/>
        </w:rPr>
      </w:pPr>
      <w:r>
        <w:rPr>
          <w:rFonts w:hint="eastAsia" w:ascii="宋体" w:hAnsi="宋体" w:cs="仿宋"/>
          <w:sz w:val="24"/>
          <w:highlight w:val="none"/>
        </w:rPr>
        <w:t>2.质量保证</w:t>
      </w:r>
    </w:p>
    <w:p w14:paraId="4237E1F7">
      <w:pPr>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仿宋"/>
          <w:sz w:val="24"/>
          <w:highlight w:val="none"/>
        </w:rPr>
      </w:pPr>
      <w:r>
        <w:rPr>
          <w:rFonts w:hint="eastAsia" w:ascii="宋体" w:hAnsi="宋体" w:cs="仿宋"/>
          <w:sz w:val="24"/>
          <w:highlight w:val="none"/>
        </w:rPr>
        <w:t>（1）投标人应保证提供的货物与服务项目经过正确安装、正常使用和保养条件下，在其使用寿命内应具有满意的性能。货物最终验收后，在售后服务期内，投标人应对由于设计、工艺或材料的缺陷以及其他由于生产厂家或投标人的原因而发生的任何不足或故障负责，费用由投标人负担。</w:t>
      </w:r>
    </w:p>
    <w:p w14:paraId="0EB5B804">
      <w:pPr>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仿宋"/>
          <w:sz w:val="24"/>
          <w:highlight w:val="none"/>
        </w:rPr>
      </w:pPr>
      <w:r>
        <w:rPr>
          <w:rFonts w:hint="eastAsia" w:ascii="宋体" w:hAnsi="宋体" w:cs="仿宋"/>
          <w:sz w:val="24"/>
          <w:highlight w:val="none"/>
        </w:rPr>
        <w:t>（2）根据当地法定检验机构的检验结果或者在售后服务期内，如果货物与服务项目的内在质量或规格型号与合同不符，或证明货物是有缺陷的，包括潜在的缺陷或使用不符合要求的材料等，采购人有权向投标人发出索赔通知。</w:t>
      </w:r>
    </w:p>
    <w:p w14:paraId="5BFDEA24">
      <w:pPr>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仿宋"/>
          <w:sz w:val="24"/>
          <w:highlight w:val="none"/>
        </w:rPr>
      </w:pPr>
      <w:r>
        <w:rPr>
          <w:rFonts w:hint="eastAsia" w:ascii="宋体" w:hAnsi="宋体" w:cs="仿宋"/>
          <w:sz w:val="24"/>
          <w:highlight w:val="none"/>
        </w:rPr>
        <w:t>3.人员培训要求</w:t>
      </w:r>
    </w:p>
    <w:p w14:paraId="568773E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（1）由</w:t>
      </w:r>
      <w:r>
        <w:rPr>
          <w:rFonts w:hint="eastAsia" w:ascii="宋体" w:hAnsi="宋体" w:cs="宋体"/>
          <w:bCs/>
          <w:sz w:val="24"/>
          <w:szCs w:val="24"/>
          <w:highlight w:val="none"/>
        </w:rPr>
        <w:t>制造商或其授权代表机构或其授权技术人员</w:t>
      </w:r>
      <w:r>
        <w:rPr>
          <w:rFonts w:hint="eastAsia" w:ascii="宋体" w:hAnsi="宋体" w:cs="宋体"/>
          <w:sz w:val="24"/>
          <w:szCs w:val="24"/>
          <w:highlight w:val="none"/>
        </w:rPr>
        <w:t>对使用单位技术人员进行培训。</w:t>
      </w:r>
    </w:p>
    <w:p w14:paraId="2ED19B5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（2）培训时长：不少于3天，直至使用单位技术人员能独立操作为止。</w:t>
      </w:r>
    </w:p>
    <w:p w14:paraId="12727F8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（3）培训内容：设备原理、操作、日常维护保养等。</w:t>
      </w:r>
    </w:p>
    <w:p w14:paraId="798C40A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cs="宋体"/>
          <w:sz w:val="24"/>
          <w:szCs w:val="24"/>
          <w:highlight w:val="none"/>
        </w:rPr>
      </w:pPr>
      <w:r>
        <w:rPr>
          <w:rFonts w:hint="eastAsia" w:ascii="宋体" w:hAnsi="宋体" w:cs="宋体"/>
          <w:sz w:val="24"/>
          <w:szCs w:val="24"/>
          <w:highlight w:val="none"/>
        </w:rPr>
        <w:t>（4）培训人数：不少于</w:t>
      </w:r>
      <w:r>
        <w:rPr>
          <w:rFonts w:hint="eastAsia" w:ascii="宋体" w:hAnsi="宋体" w:eastAsia="宋体" w:cs="宋体"/>
          <w:sz w:val="24"/>
          <w:szCs w:val="24"/>
          <w:highlight w:val="none"/>
          <w:lang w:val="en-US" w:eastAsia="zh-CN"/>
        </w:rPr>
        <w:t>5</w:t>
      </w:r>
      <w:r>
        <w:rPr>
          <w:rFonts w:hint="eastAsia" w:ascii="宋体" w:hAnsi="宋体" w:cs="宋体"/>
          <w:sz w:val="24"/>
          <w:szCs w:val="24"/>
          <w:highlight w:val="none"/>
        </w:rPr>
        <w:t>人。</w:t>
      </w:r>
    </w:p>
    <w:p w14:paraId="6E222DE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ascii="宋体" w:hAnsi="宋体" w:cs="宋体"/>
          <w:sz w:val="24"/>
          <w:szCs w:val="24"/>
          <w:highlight w:val="none"/>
        </w:rPr>
      </w:pPr>
      <w:r>
        <w:rPr>
          <w:rFonts w:hint="eastAsia" w:ascii="宋体" w:hAnsi="宋体" w:cs="宋体"/>
          <w:sz w:val="24"/>
          <w:szCs w:val="24"/>
          <w:highlight w:val="none"/>
        </w:rPr>
        <w:t>（5）培训地点：采购人指定地点。</w:t>
      </w:r>
    </w:p>
    <w:p w14:paraId="2D92AEF2">
      <w:pPr>
        <w:keepNext w:val="0"/>
        <w:keepLines w:val="0"/>
        <w:pageBreakBefore w:val="0"/>
        <w:widowControl w:val="0"/>
        <w:kinsoku/>
        <w:wordWrap/>
        <w:overflowPunct/>
        <w:topLinePunct w:val="0"/>
        <w:bidi w:val="0"/>
        <w:snapToGrid/>
        <w:spacing w:line="360" w:lineRule="auto"/>
        <w:ind w:firstLine="480"/>
        <w:jc w:val="both"/>
        <w:textAlignment w:val="auto"/>
        <w:rPr>
          <w:rFonts w:hint="eastAsia" w:ascii="宋体" w:hAnsi="宋体" w:cs="仿宋"/>
          <w:sz w:val="24"/>
          <w:highlight w:val="none"/>
        </w:rPr>
      </w:pPr>
      <w:r>
        <w:rPr>
          <w:rFonts w:hint="eastAsia" w:ascii="宋体" w:hAnsi="宋体" w:cs="仿宋"/>
          <w:sz w:val="24"/>
          <w:highlight w:val="none"/>
        </w:rPr>
        <w:t>4.售后服务</w:t>
      </w:r>
    </w:p>
    <w:p w14:paraId="11A0C54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cs="宋体"/>
          <w:sz w:val="24"/>
          <w:szCs w:val="24"/>
          <w:highlight w:val="none"/>
        </w:rPr>
      </w:pPr>
      <w:r>
        <w:rPr>
          <w:rFonts w:hint="eastAsia" w:ascii="宋体" w:hAnsi="宋体" w:cs="宋体"/>
          <w:sz w:val="24"/>
          <w:szCs w:val="24"/>
          <w:highlight w:val="none"/>
        </w:rPr>
        <w:t>（1）制造商或其授权代表机构应具有完善的售后服务制度，具备完备的售后服务条件，拥有经培训的专业技术人员，能够为本项目所需装置提供及时、专业的售后服务。</w:t>
      </w:r>
    </w:p>
    <w:p w14:paraId="36D826A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cs="宋体"/>
          <w:sz w:val="24"/>
          <w:szCs w:val="24"/>
          <w:highlight w:val="none"/>
        </w:rPr>
      </w:pPr>
      <w:r>
        <w:rPr>
          <w:rFonts w:hint="eastAsia" w:ascii="宋体" w:hAnsi="宋体" w:cs="宋体"/>
          <w:sz w:val="24"/>
          <w:szCs w:val="24"/>
          <w:highlight w:val="none"/>
        </w:rPr>
        <w:t>（2）竞标商应在竞标响应文件中应对售后服务做出正式承诺，并详尽描述售后服务的相关应急维修时限安排、维护保养时间安排、主要售后服务人员、售后服务条件、售后服务机构联系信息、维修服务收费标准等。</w:t>
      </w:r>
    </w:p>
    <w:p w14:paraId="441E1669">
      <w:pPr>
        <w:keepNext w:val="0"/>
        <w:keepLines w:val="0"/>
        <w:pageBreakBefore w:val="0"/>
        <w:widowControl w:val="0"/>
        <w:kinsoku/>
        <w:wordWrap/>
        <w:overflowPunct/>
        <w:topLinePunct w:val="0"/>
        <w:bidi w:val="0"/>
        <w:snapToGrid/>
        <w:spacing w:line="360" w:lineRule="auto"/>
        <w:ind w:firstLine="470" w:firstLineChars="196"/>
        <w:jc w:val="both"/>
        <w:textAlignment w:val="auto"/>
        <w:rPr>
          <w:rFonts w:hint="eastAsia" w:ascii="宋体" w:hAnsi="宋体" w:cs="宋体"/>
          <w:sz w:val="24"/>
          <w:szCs w:val="24"/>
          <w:highlight w:val="none"/>
        </w:rPr>
      </w:pPr>
      <w:r>
        <w:rPr>
          <w:rFonts w:hint="eastAsia" w:ascii="宋体" w:hAnsi="宋体" w:cs="宋体"/>
          <w:sz w:val="24"/>
          <w:szCs w:val="24"/>
          <w:highlight w:val="none"/>
        </w:rPr>
        <w:t>（3）验收通过之日起免费质保24个月（从验收合格之日起算起），清单中另有规定的从其规定。质保期内，中标供应商对产品质量实行三包，因设备配置或制造质量问题而引起的故障，乙方应在 24 小时内立即予以免费维修或更换，由此引起的一切费用由中标供应商承担。</w:t>
      </w:r>
    </w:p>
    <w:p w14:paraId="76A16B52">
      <w:pPr>
        <w:keepNext w:val="0"/>
        <w:keepLines w:val="0"/>
        <w:pageBreakBefore w:val="0"/>
        <w:widowControl w:val="0"/>
        <w:kinsoku/>
        <w:wordWrap/>
        <w:overflowPunct/>
        <w:topLinePunct w:val="0"/>
        <w:bidi w:val="0"/>
        <w:snapToGrid/>
        <w:spacing w:line="360" w:lineRule="auto"/>
        <w:ind w:firstLine="470" w:firstLineChars="196"/>
        <w:jc w:val="both"/>
        <w:textAlignment w:val="auto"/>
        <w:rPr>
          <w:rFonts w:hint="eastAsia" w:ascii="宋体" w:hAnsi="宋体" w:cs="宋体"/>
          <w:sz w:val="24"/>
          <w:szCs w:val="24"/>
          <w:highlight w:val="none"/>
        </w:rPr>
      </w:pPr>
      <w:r>
        <w:rPr>
          <w:rFonts w:hint="eastAsia" w:ascii="宋体" w:hAnsi="宋体" w:cs="宋体"/>
          <w:sz w:val="24"/>
          <w:szCs w:val="24"/>
          <w:highlight w:val="none"/>
        </w:rPr>
        <w:t>（4）技术支持响应时间。一般问题2小时内电话支持，难点、重点问题 1 天内现场解决，质保期内相关费用由中标供应商承担，质保期满后乙方收取成本费。</w:t>
      </w:r>
    </w:p>
    <w:p w14:paraId="1822B00F">
      <w:pPr>
        <w:keepNext w:val="0"/>
        <w:keepLines w:val="0"/>
        <w:pageBreakBefore w:val="0"/>
        <w:widowControl w:val="0"/>
        <w:kinsoku/>
        <w:wordWrap/>
        <w:overflowPunct/>
        <w:topLinePunct w:val="0"/>
        <w:bidi w:val="0"/>
        <w:snapToGrid/>
        <w:spacing w:line="360" w:lineRule="auto"/>
        <w:ind w:firstLine="480" w:firstLineChars="200"/>
        <w:jc w:val="both"/>
        <w:textAlignment w:val="auto"/>
        <w:rPr>
          <w:rFonts w:ascii="Calibri" w:hAnsi="Calibri"/>
          <w:szCs w:val="24"/>
          <w:highlight w:val="none"/>
        </w:rPr>
      </w:pPr>
      <w:r>
        <w:rPr>
          <w:rFonts w:hint="eastAsia" w:ascii="宋体" w:hAnsi="宋体" w:cs="宋体"/>
          <w:sz w:val="24"/>
          <w:szCs w:val="24"/>
          <w:highlight w:val="none"/>
        </w:rPr>
        <w:t>（5）五天内不能解决问题的要提供备用设备。</w:t>
      </w:r>
    </w:p>
    <w:p w14:paraId="5CFDF84D">
      <w:pPr>
        <w:keepNext w:val="0"/>
        <w:keepLines w:val="0"/>
        <w:pageBreakBefore w:val="0"/>
        <w:widowControl w:val="0"/>
        <w:kinsoku/>
        <w:wordWrap/>
        <w:overflowPunct/>
        <w:topLinePunct w:val="0"/>
        <w:bidi w:val="0"/>
        <w:snapToGrid/>
        <w:spacing w:line="360" w:lineRule="auto"/>
        <w:ind w:firstLine="480"/>
        <w:jc w:val="both"/>
        <w:textAlignment w:val="auto"/>
        <w:rPr>
          <w:rFonts w:hint="eastAsia" w:ascii="宋体" w:hAnsi="宋体" w:cs="仿宋"/>
          <w:sz w:val="24"/>
          <w:highlight w:val="none"/>
        </w:rPr>
      </w:pPr>
      <w:r>
        <w:rPr>
          <w:rFonts w:hint="eastAsia" w:ascii="宋体" w:hAnsi="宋体" w:cs="仿宋"/>
          <w:sz w:val="24"/>
          <w:highlight w:val="none"/>
        </w:rPr>
        <w:t>5.验收要求</w:t>
      </w:r>
    </w:p>
    <w:p w14:paraId="4B927BD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cs="宋体"/>
          <w:bCs/>
          <w:sz w:val="24"/>
          <w:szCs w:val="24"/>
          <w:highlight w:val="none"/>
        </w:rPr>
      </w:pPr>
      <w:r>
        <w:rPr>
          <w:rFonts w:hint="eastAsia" w:ascii="宋体" w:hAnsi="宋体" w:cs="宋体"/>
          <w:bCs/>
          <w:sz w:val="24"/>
          <w:szCs w:val="24"/>
          <w:highlight w:val="none"/>
        </w:rPr>
        <w:t>(1)验收组织方：</w:t>
      </w:r>
      <w:r>
        <w:rPr>
          <w:rFonts w:hint="eastAsia" w:ascii="宋体" w:hAnsi="宋体" w:eastAsia="宋体" w:cs="宋体"/>
          <w:bCs/>
          <w:sz w:val="24"/>
          <w:szCs w:val="24"/>
          <w:highlight w:val="none"/>
          <w:lang w:eastAsia="zh-CN"/>
        </w:rPr>
        <w:t>采购人委托采购</w:t>
      </w:r>
      <w:r>
        <w:rPr>
          <w:rFonts w:hint="eastAsia" w:ascii="宋体" w:hAnsi="宋体" w:cs="宋体"/>
          <w:bCs/>
          <w:sz w:val="24"/>
          <w:szCs w:val="24"/>
          <w:highlight w:val="none"/>
        </w:rPr>
        <w:t>代理公司组织，抽取政府采购专家进行验收。</w:t>
      </w:r>
    </w:p>
    <w:p w14:paraId="1F7EBA77">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cs="宋体"/>
          <w:bCs/>
          <w:sz w:val="24"/>
          <w:szCs w:val="24"/>
          <w:highlight w:val="none"/>
        </w:rPr>
      </w:pPr>
      <w:r>
        <w:rPr>
          <w:rFonts w:hint="eastAsia" w:ascii="宋体" w:hAnsi="宋体" w:cs="宋体"/>
          <w:bCs/>
          <w:sz w:val="24"/>
          <w:szCs w:val="24"/>
          <w:highlight w:val="none"/>
        </w:rPr>
        <w:t>(2)验收参与方：由使用单位、制造商或其授权代表机构共同验收。</w:t>
      </w:r>
    </w:p>
    <w:p w14:paraId="02E02F3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cs="宋体"/>
          <w:bCs/>
          <w:sz w:val="24"/>
          <w:szCs w:val="24"/>
          <w:highlight w:val="none"/>
        </w:rPr>
      </w:pPr>
      <w:r>
        <w:rPr>
          <w:rFonts w:hint="eastAsia" w:ascii="宋体" w:hAnsi="宋体" w:cs="宋体"/>
          <w:bCs/>
          <w:sz w:val="24"/>
          <w:szCs w:val="24"/>
          <w:highlight w:val="none"/>
        </w:rPr>
        <w:t>(3)数量清点：在全部设备到货后一周内，对货物数量进行清点，签署《货物数量清点单据》。</w:t>
      </w:r>
    </w:p>
    <w:p w14:paraId="2B7B8435">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cs="宋体"/>
          <w:bCs/>
          <w:sz w:val="24"/>
          <w:szCs w:val="24"/>
          <w:highlight w:val="none"/>
        </w:rPr>
      </w:pPr>
      <w:r>
        <w:rPr>
          <w:rFonts w:hint="eastAsia" w:ascii="宋体" w:hAnsi="宋体" w:cs="宋体"/>
          <w:bCs/>
          <w:sz w:val="24"/>
          <w:szCs w:val="24"/>
          <w:highlight w:val="none"/>
        </w:rPr>
        <w:t>(4)资料交付：在设备开箱验收时提供使用说明书，产品介绍等相关技术资料，开箱时随设备有产品说明书，装箱清单等。</w:t>
      </w:r>
    </w:p>
    <w:p w14:paraId="220F12A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cs="宋体"/>
          <w:bCs/>
          <w:sz w:val="24"/>
          <w:szCs w:val="24"/>
          <w:highlight w:val="none"/>
        </w:rPr>
      </w:pPr>
      <w:r>
        <w:rPr>
          <w:rFonts w:hint="eastAsia" w:ascii="宋体" w:hAnsi="宋体" w:cs="宋体"/>
          <w:bCs/>
          <w:sz w:val="24"/>
          <w:szCs w:val="24"/>
          <w:highlight w:val="none"/>
        </w:rPr>
        <w:t>(5)安装调试：由制造商或其授权代表机构或其授权技术人员对装置进行安装、调试、操作，并由使用单位技术人员对设备实际操作，以检验设备的功能、性能指标等符合要求。</w:t>
      </w:r>
    </w:p>
    <w:p w14:paraId="30FABC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sz w:val="24"/>
          <w:szCs w:val="24"/>
          <w:highlight w:val="none"/>
        </w:rPr>
      </w:pPr>
      <w:r>
        <w:rPr>
          <w:rFonts w:hint="eastAsia" w:ascii="宋体" w:hAnsi="宋体" w:cs="宋体"/>
          <w:bCs/>
          <w:sz w:val="24"/>
          <w:szCs w:val="24"/>
          <w:highlight w:val="none"/>
        </w:rPr>
        <w:t>(6)质量验收：</w:t>
      </w:r>
      <w:r>
        <w:rPr>
          <w:rFonts w:hint="eastAsia" w:ascii="宋体" w:hAnsi="宋体" w:cs="宋体"/>
          <w:bCs/>
          <w:sz w:val="24"/>
          <w:szCs w:val="24"/>
          <w:highlight w:val="none"/>
          <w:lang w:val="en-US" w:eastAsia="zh-CN"/>
        </w:rPr>
        <w:t>所有计量器具（设备）须附带省级以上（含省级）法定计量机构出具的合格有效溯源（</w:t>
      </w:r>
      <w:r>
        <w:rPr>
          <w:rFonts w:hint="eastAsia" w:ascii="宋体" w:hAnsi="宋体" w:cs="宋体"/>
          <w:bCs/>
          <w:sz w:val="24"/>
          <w:szCs w:val="24"/>
          <w:highlight w:val="none"/>
          <w:lang w:val="zh-CN" w:eastAsia="zh-CN"/>
        </w:rPr>
        <w:t>检定/校准</w:t>
      </w:r>
      <w:r>
        <w:rPr>
          <w:rFonts w:hint="eastAsia" w:ascii="宋体" w:hAnsi="宋体" w:cs="宋体"/>
          <w:bCs/>
          <w:sz w:val="24"/>
          <w:szCs w:val="24"/>
          <w:highlight w:val="none"/>
          <w:lang w:val="en-US" w:eastAsia="zh-CN"/>
        </w:rPr>
        <w:t>）证书</w:t>
      </w:r>
      <w:r>
        <w:rPr>
          <w:rFonts w:hint="eastAsia" w:ascii="宋体" w:hAnsi="宋体" w:cs="宋体"/>
          <w:bCs/>
          <w:sz w:val="24"/>
          <w:szCs w:val="24"/>
          <w:highlight w:val="none"/>
          <w:lang w:val="zh-CN" w:eastAsia="zh-CN"/>
        </w:rPr>
        <w:t>，</w:t>
      </w:r>
      <w:r>
        <w:rPr>
          <w:rFonts w:hint="eastAsia" w:ascii="宋体" w:hAnsi="宋体" w:cs="宋体"/>
          <w:b/>
          <w:bCs w:val="0"/>
          <w:sz w:val="24"/>
          <w:szCs w:val="24"/>
          <w:highlight w:val="none"/>
          <w:lang w:val="zh-CN"/>
        </w:rPr>
        <w:t>结果页内容应至少包含检定规程中规定的首次检定项目，或校准规范中规定的全项目，且结果页不能有不符合项</w:t>
      </w:r>
      <w:r>
        <w:rPr>
          <w:rFonts w:hint="eastAsia" w:ascii="宋体" w:hAnsi="宋体" w:cs="宋体"/>
          <w:bCs/>
          <w:sz w:val="24"/>
          <w:szCs w:val="24"/>
          <w:highlight w:val="none"/>
        </w:rPr>
        <w:t>。</w:t>
      </w:r>
      <w:r>
        <w:rPr>
          <w:rFonts w:hint="eastAsia" w:ascii="宋体" w:hAnsi="宋体" w:cs="宋体"/>
          <w:bCs/>
          <w:sz w:val="24"/>
          <w:szCs w:val="24"/>
          <w:highlight w:val="none"/>
          <w:lang w:val="en-US" w:eastAsia="zh-CN"/>
        </w:rPr>
        <w:t>（证书单位为宿迁市计量测试所）。</w:t>
      </w:r>
      <w:r>
        <w:rPr>
          <w:rFonts w:hint="default" w:ascii="宋体" w:hAnsi="宋体" w:cs="宋体"/>
          <w:bCs/>
          <w:sz w:val="24"/>
          <w:szCs w:val="24"/>
          <w:highlight w:val="none"/>
          <w:lang w:val="en-US" w:eastAsia="zh-CN"/>
        </w:rPr>
        <w:t>未提供或证书不符合要求的，不予通过验收，且检测相关费用由中标供应商承担</w:t>
      </w:r>
      <w:r>
        <w:rPr>
          <w:rFonts w:hint="eastAsia" w:ascii="宋体" w:hAnsi="宋体" w:cs="宋体"/>
          <w:bCs/>
          <w:sz w:val="24"/>
          <w:szCs w:val="24"/>
          <w:highlight w:val="none"/>
          <w:lang w:val="en-US" w:eastAsia="zh-CN"/>
        </w:rPr>
        <w:t>（如首次检定或校准不合格，因不合格所发生的全部费用，均由供应商承担）</w:t>
      </w:r>
      <w:r>
        <w:rPr>
          <w:rFonts w:hint="default" w:ascii="宋体" w:hAnsi="宋体" w:cs="宋体"/>
          <w:bCs/>
          <w:sz w:val="24"/>
          <w:szCs w:val="24"/>
          <w:highlight w:val="none"/>
          <w:lang w:val="en-US" w:eastAsia="zh-CN"/>
        </w:rPr>
        <w:t>。</w:t>
      </w:r>
      <w:r>
        <w:rPr>
          <w:rFonts w:hint="eastAsia" w:ascii="宋体" w:hAnsi="宋体" w:cs="宋体"/>
          <w:bCs/>
          <w:sz w:val="24"/>
          <w:szCs w:val="24"/>
          <w:highlight w:val="none"/>
          <w:lang w:val="en-US" w:eastAsia="zh-CN"/>
        </w:rPr>
        <w:t>校准结果符合装置技术指标要求，并经使用单位、制造商或其授权代表验收合格后，各方在验收报告上签章。</w:t>
      </w:r>
    </w:p>
    <w:p w14:paraId="2E4F54C8">
      <w:pPr>
        <w:keepNext w:val="0"/>
        <w:keepLines w:val="0"/>
        <w:pageBreakBefore w:val="0"/>
        <w:widowControl w:val="0"/>
        <w:kinsoku/>
        <w:wordWrap/>
        <w:overflowPunct/>
        <w:topLinePunct w:val="0"/>
        <w:bidi w:val="0"/>
        <w:snapToGrid/>
        <w:spacing w:line="360" w:lineRule="auto"/>
        <w:ind w:firstLine="480"/>
        <w:jc w:val="both"/>
        <w:textAlignment w:val="auto"/>
        <w:rPr>
          <w:rFonts w:hint="eastAsia" w:ascii="宋体" w:hAnsi="宋体" w:cs="仿宋"/>
          <w:sz w:val="24"/>
          <w:highlight w:val="none"/>
        </w:rPr>
      </w:pPr>
      <w:r>
        <w:rPr>
          <w:rFonts w:hint="eastAsia" w:ascii="宋体" w:hAnsi="宋体" w:cs="仿宋"/>
          <w:sz w:val="24"/>
          <w:szCs w:val="24"/>
          <w:highlight w:val="none"/>
        </w:rPr>
        <w:t>6.商品包装、快递包装政府采购需求标准（试行）</w:t>
      </w:r>
    </w:p>
    <w:p w14:paraId="38D48E9F">
      <w:pPr>
        <w:keepNext w:val="0"/>
        <w:keepLines w:val="0"/>
        <w:pageBreakBefore w:val="0"/>
        <w:widowControl w:val="0"/>
        <w:kinsoku/>
        <w:wordWrap/>
        <w:overflowPunct/>
        <w:topLinePunct w:val="0"/>
        <w:bidi w:val="0"/>
        <w:snapToGrid/>
        <w:spacing w:line="360" w:lineRule="auto"/>
        <w:ind w:firstLine="480"/>
        <w:jc w:val="both"/>
        <w:textAlignment w:val="auto"/>
        <w:rPr>
          <w:rFonts w:hint="eastAsia" w:ascii="宋体" w:hAnsi="宋体" w:cs="仿宋"/>
          <w:sz w:val="24"/>
          <w:highlight w:val="none"/>
        </w:rPr>
      </w:pPr>
      <w:r>
        <w:rPr>
          <w:rFonts w:hint="eastAsia" w:ascii="宋体" w:hAnsi="宋体" w:cs="仿宋"/>
          <w:sz w:val="24"/>
          <w:highlight w:val="none"/>
        </w:rPr>
        <w:t>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p>
    <w:p w14:paraId="650BABA8">
      <w:pPr>
        <w:keepNext w:val="0"/>
        <w:keepLines w:val="0"/>
        <w:pageBreakBefore w:val="0"/>
        <w:widowControl w:val="0"/>
        <w:kinsoku/>
        <w:wordWrap/>
        <w:overflowPunct/>
        <w:topLinePunct w:val="0"/>
        <w:bidi w:val="0"/>
        <w:snapToGrid/>
        <w:spacing w:line="360" w:lineRule="auto"/>
        <w:ind w:firstLine="480"/>
        <w:jc w:val="both"/>
        <w:textAlignment w:val="auto"/>
        <w:rPr>
          <w:rFonts w:hint="eastAsia" w:ascii="宋体" w:hAnsi="宋体" w:cs="仿宋"/>
          <w:sz w:val="24"/>
          <w:highlight w:val="none"/>
        </w:rPr>
      </w:pPr>
      <w:r>
        <w:rPr>
          <w:rFonts w:hint="eastAsia" w:ascii="宋体" w:hAnsi="宋体" w:cs="仿宋"/>
          <w:sz w:val="24"/>
          <w:highlight w:val="none"/>
        </w:rPr>
        <w:t>7.采购本国货物、工程和服务</w:t>
      </w:r>
    </w:p>
    <w:p w14:paraId="542155EA">
      <w:pPr>
        <w:keepNext w:val="0"/>
        <w:keepLines w:val="0"/>
        <w:pageBreakBefore w:val="0"/>
        <w:widowControl w:val="0"/>
        <w:kinsoku/>
        <w:wordWrap/>
        <w:overflowPunct/>
        <w:topLinePunct w:val="0"/>
        <w:bidi w:val="0"/>
        <w:snapToGrid/>
        <w:spacing w:line="360" w:lineRule="auto"/>
        <w:ind w:firstLine="480"/>
        <w:jc w:val="both"/>
        <w:textAlignment w:val="auto"/>
        <w:rPr>
          <w:rFonts w:hint="eastAsia" w:ascii="宋体" w:hAnsi="宋体" w:cs="仿宋"/>
          <w:sz w:val="24"/>
          <w:highlight w:val="none"/>
        </w:rPr>
      </w:pPr>
      <w:r>
        <w:rPr>
          <w:rFonts w:hint="eastAsia" w:ascii="宋体" w:hAnsi="宋体" w:cs="仿宋"/>
          <w:sz w:val="24"/>
          <w:highlight w:val="none"/>
        </w:rPr>
        <w:t>政府采购应当采购本国货物、工程和服务，但有《中华人民共和国政府采购法》第十条规定情形的除外。</w:t>
      </w:r>
    </w:p>
    <w:p w14:paraId="1A6AC4A4">
      <w:pPr>
        <w:pStyle w:val="195"/>
        <w:keepNext w:val="0"/>
        <w:keepLines w:val="0"/>
        <w:pageBreakBefore w:val="0"/>
        <w:widowControl w:val="0"/>
        <w:kinsoku/>
        <w:wordWrap/>
        <w:overflowPunct/>
        <w:topLinePunct w:val="0"/>
        <w:bidi w:val="0"/>
        <w:snapToGrid/>
        <w:spacing w:line="360" w:lineRule="auto"/>
        <w:ind w:firstLine="482"/>
        <w:textAlignment w:val="auto"/>
        <w:rPr>
          <w:rFonts w:ascii="Times New Roman" w:hAnsi="Times New Roman"/>
          <w:b/>
          <w:bCs/>
          <w:sz w:val="24"/>
          <w:szCs w:val="21"/>
          <w:highlight w:val="none"/>
        </w:rPr>
      </w:pPr>
      <w:r>
        <w:rPr>
          <w:rFonts w:hint="eastAsia" w:ascii="Times New Roman" w:hAnsi="Times New Roman"/>
          <w:b/>
          <w:bCs/>
          <w:sz w:val="24"/>
          <w:szCs w:val="21"/>
          <w:highlight w:val="none"/>
        </w:rPr>
        <w:t>六、项目实施要求</w:t>
      </w:r>
    </w:p>
    <w:p w14:paraId="5C3F4F12">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s="仿宋"/>
          <w:sz w:val="24"/>
          <w:highlight w:val="none"/>
        </w:rPr>
      </w:pPr>
      <w:r>
        <w:rPr>
          <w:rFonts w:hint="eastAsia" w:ascii="宋体" w:hAnsi="宋体" w:cs="仿宋"/>
          <w:sz w:val="24"/>
          <w:highlight w:val="none"/>
        </w:rPr>
        <w:t>1.项目实施方案</w:t>
      </w:r>
    </w:p>
    <w:p w14:paraId="429BAA36">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仿宋"/>
          <w:sz w:val="24"/>
          <w:highlight w:val="none"/>
          <w:lang w:eastAsia="zh-CN"/>
        </w:rPr>
      </w:pPr>
      <w:r>
        <w:rPr>
          <w:rFonts w:hint="eastAsia" w:ascii="宋体" w:hAnsi="宋体" w:cs="仿宋"/>
          <w:sz w:val="24"/>
          <w:highlight w:val="none"/>
        </w:rPr>
        <w:t>针对本项目提供项目实施方案，</w:t>
      </w:r>
      <w:r>
        <w:rPr>
          <w:rFonts w:hint="eastAsia"/>
          <w:sz w:val="24"/>
          <w:szCs w:val="22"/>
          <w:highlight w:val="none"/>
        </w:rPr>
        <w:t>包括但不限于项目技术方案、改造方案、供货计划、质量保障措施、风险控制管理措施等</w:t>
      </w:r>
      <w:r>
        <w:rPr>
          <w:rFonts w:hint="eastAsia" w:eastAsia="宋体"/>
          <w:sz w:val="24"/>
          <w:szCs w:val="22"/>
          <w:highlight w:val="none"/>
          <w:lang w:eastAsia="zh-CN"/>
        </w:rPr>
        <w:t>。</w:t>
      </w:r>
    </w:p>
    <w:p w14:paraId="038ACD15">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仿宋"/>
          <w:sz w:val="24"/>
          <w:highlight w:val="none"/>
          <w:lang w:eastAsia="zh-CN"/>
        </w:rPr>
      </w:pPr>
      <w:r>
        <w:rPr>
          <w:rFonts w:hint="eastAsia" w:ascii="宋体" w:hAnsi="宋体" w:cs="仿宋"/>
          <w:sz w:val="24"/>
          <w:highlight w:val="none"/>
        </w:rPr>
        <w:t>2.针对本项目提供</w:t>
      </w:r>
      <w:r>
        <w:rPr>
          <w:rFonts w:hint="eastAsia" w:ascii="宋体" w:hAnsi="宋体" w:eastAsia="宋体" w:cs="仿宋"/>
          <w:sz w:val="24"/>
          <w:highlight w:val="none"/>
          <w:lang w:eastAsia="zh-CN"/>
        </w:rPr>
        <w:t>的</w:t>
      </w:r>
      <w:r>
        <w:rPr>
          <w:rFonts w:hint="eastAsia" w:ascii="Segoe UI" w:hAnsi="Segoe UI" w:eastAsia="Segoe UI" w:cs="Segoe UI"/>
          <w:i w:val="0"/>
          <w:iCs w:val="0"/>
          <w:caps w:val="0"/>
          <w:color w:val="0F1115"/>
          <w:spacing w:val="0"/>
          <w:sz w:val="24"/>
          <w:szCs w:val="24"/>
          <w:highlight w:val="none"/>
          <w:shd w:val="clear" w:fill="FFFFFF"/>
        </w:rPr>
        <w:t>技术支撑和实施计划</w:t>
      </w:r>
      <w:r>
        <w:rPr>
          <w:rFonts w:hint="eastAsia" w:ascii="Segoe UI" w:hAnsi="Segoe UI" w:eastAsia="宋体" w:cs="Segoe UI"/>
          <w:i w:val="0"/>
          <w:iCs w:val="0"/>
          <w:caps w:val="0"/>
          <w:color w:val="0F1115"/>
          <w:spacing w:val="0"/>
          <w:sz w:val="24"/>
          <w:szCs w:val="24"/>
          <w:highlight w:val="none"/>
          <w:shd w:val="clear" w:fill="FFFFFF"/>
          <w:lang w:eastAsia="zh-CN"/>
        </w:rPr>
        <w:t>方案，</w:t>
      </w:r>
      <w:r>
        <w:rPr>
          <w:rFonts w:hint="eastAsia" w:ascii="Segoe UI" w:hAnsi="Segoe UI" w:eastAsia="Segoe UI" w:cs="Segoe UI"/>
          <w:i w:val="0"/>
          <w:iCs w:val="0"/>
          <w:caps w:val="0"/>
          <w:color w:val="0F1115"/>
          <w:spacing w:val="0"/>
          <w:sz w:val="24"/>
          <w:szCs w:val="24"/>
          <w:highlight w:val="none"/>
          <w:shd w:val="clear" w:fill="FFFFFF"/>
        </w:rPr>
        <w:t>包括但不限于人员配置、产品质量控制、设备安装调试验收进度、安全保障措施等方面</w:t>
      </w:r>
      <w:r>
        <w:rPr>
          <w:rFonts w:hint="eastAsia" w:ascii="Segoe UI" w:hAnsi="Segoe UI" w:eastAsia="宋体" w:cs="Segoe UI"/>
          <w:i w:val="0"/>
          <w:iCs w:val="0"/>
          <w:caps w:val="0"/>
          <w:color w:val="0F1115"/>
          <w:spacing w:val="0"/>
          <w:sz w:val="24"/>
          <w:szCs w:val="24"/>
          <w:highlight w:val="none"/>
          <w:shd w:val="clear" w:fill="FFFFFF"/>
          <w:lang w:eastAsia="zh-CN"/>
        </w:rPr>
        <w:t>内容。</w:t>
      </w:r>
    </w:p>
    <w:p w14:paraId="7AEC319A">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s="仿宋"/>
          <w:sz w:val="24"/>
          <w:highlight w:val="none"/>
        </w:rPr>
      </w:pPr>
      <w:r>
        <w:rPr>
          <w:rFonts w:hint="eastAsia" w:ascii="宋体" w:hAnsi="宋体" w:eastAsia="宋体" w:cs="仿宋"/>
          <w:sz w:val="24"/>
          <w:highlight w:val="none"/>
          <w:lang w:val="en-US" w:eastAsia="zh-CN"/>
        </w:rPr>
        <w:t>3.</w:t>
      </w:r>
      <w:r>
        <w:rPr>
          <w:rFonts w:hint="eastAsia" w:ascii="宋体" w:hAnsi="宋体" w:cs="仿宋"/>
          <w:sz w:val="24"/>
          <w:highlight w:val="none"/>
        </w:rPr>
        <w:t>培训方案</w:t>
      </w:r>
    </w:p>
    <w:p w14:paraId="65724BDD">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仿宋"/>
          <w:sz w:val="24"/>
          <w:highlight w:val="none"/>
          <w:lang w:eastAsia="zh-CN"/>
        </w:rPr>
      </w:pPr>
      <w:r>
        <w:rPr>
          <w:rFonts w:hint="eastAsia" w:ascii="宋体" w:hAnsi="宋体" w:cs="仿宋"/>
          <w:sz w:val="24"/>
          <w:highlight w:val="none"/>
        </w:rPr>
        <w:t>投标人针对本项目提供培训方案，包括但不限于完整、可靠、操作性强的</w:t>
      </w:r>
      <w:r>
        <w:rPr>
          <w:rFonts w:ascii="Segoe UI" w:hAnsi="Segoe UI" w:eastAsia="Segoe UI" w:cs="Segoe UI"/>
          <w:i w:val="0"/>
          <w:iCs w:val="0"/>
          <w:caps w:val="0"/>
          <w:color w:val="0F1115"/>
          <w:spacing w:val="0"/>
          <w:sz w:val="24"/>
          <w:szCs w:val="24"/>
          <w:highlight w:val="none"/>
          <w:shd w:val="clear" w:fill="FFFFFF"/>
        </w:rPr>
        <w:t>培训目标、培训方法、培训内容、培训师资力量、培训时间、拟提供的培训资料等方面</w:t>
      </w:r>
      <w:r>
        <w:rPr>
          <w:rFonts w:hint="eastAsia" w:ascii="Segoe UI" w:hAnsi="Segoe UI" w:eastAsia="宋体" w:cs="Segoe UI"/>
          <w:i w:val="0"/>
          <w:iCs w:val="0"/>
          <w:caps w:val="0"/>
          <w:color w:val="0F1115"/>
          <w:spacing w:val="0"/>
          <w:sz w:val="24"/>
          <w:szCs w:val="24"/>
          <w:highlight w:val="none"/>
          <w:shd w:val="clear" w:fill="FFFFFF"/>
          <w:lang w:eastAsia="zh-CN"/>
        </w:rPr>
        <w:t>内容。</w:t>
      </w:r>
    </w:p>
    <w:p w14:paraId="104C3CB3">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s="仿宋"/>
          <w:sz w:val="24"/>
          <w:highlight w:val="none"/>
        </w:rPr>
      </w:pPr>
      <w:r>
        <w:rPr>
          <w:rFonts w:hint="eastAsia" w:ascii="宋体" w:hAnsi="宋体" w:cs="仿宋"/>
          <w:sz w:val="24"/>
          <w:highlight w:val="none"/>
        </w:rPr>
        <w:t>4.售后服务</w:t>
      </w:r>
    </w:p>
    <w:p w14:paraId="6E21A651">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仿宋"/>
          <w:sz w:val="24"/>
          <w:highlight w:val="none"/>
          <w:lang w:eastAsia="zh-CN"/>
        </w:rPr>
      </w:pPr>
      <w:r>
        <w:rPr>
          <w:rFonts w:hint="eastAsia" w:ascii="宋体" w:hAnsi="宋体" w:cs="仿宋"/>
          <w:sz w:val="24"/>
          <w:highlight w:val="none"/>
        </w:rPr>
        <w:t>针对本项目提供售后服务，包括但</w:t>
      </w:r>
      <w:r>
        <w:rPr>
          <w:rFonts w:hint="eastAsia"/>
          <w:sz w:val="24"/>
          <w:szCs w:val="22"/>
          <w:highlight w:val="none"/>
        </w:rPr>
        <w:t>不限于服务体系、服务内容、故障解决方案、响应时间、专业技术人员保障及服务电话、备品备件保证、质保期外维保方案等方面</w:t>
      </w:r>
      <w:r>
        <w:rPr>
          <w:rFonts w:hint="eastAsia" w:eastAsia="宋体"/>
          <w:sz w:val="24"/>
          <w:szCs w:val="22"/>
          <w:highlight w:val="none"/>
          <w:lang w:eastAsia="zh-CN"/>
        </w:rPr>
        <w:t>内容。</w:t>
      </w:r>
    </w:p>
    <w:p w14:paraId="0967568A">
      <w:pPr>
        <w:pStyle w:val="195"/>
        <w:keepNext w:val="0"/>
        <w:keepLines w:val="0"/>
        <w:pageBreakBefore w:val="0"/>
        <w:widowControl w:val="0"/>
        <w:kinsoku/>
        <w:wordWrap/>
        <w:overflowPunct/>
        <w:topLinePunct w:val="0"/>
        <w:bidi w:val="0"/>
        <w:snapToGrid/>
        <w:spacing w:line="360" w:lineRule="auto"/>
        <w:ind w:firstLine="482"/>
        <w:textAlignment w:val="auto"/>
        <w:rPr>
          <w:rFonts w:ascii="Times New Roman" w:hAnsi="Times New Roman"/>
          <w:b/>
          <w:bCs/>
          <w:sz w:val="24"/>
          <w:szCs w:val="21"/>
          <w:highlight w:val="none"/>
        </w:rPr>
      </w:pPr>
      <w:r>
        <w:rPr>
          <w:rFonts w:hint="eastAsia" w:ascii="Times New Roman" w:hAnsi="Times New Roman"/>
          <w:b/>
          <w:bCs/>
          <w:sz w:val="24"/>
          <w:szCs w:val="21"/>
          <w:highlight w:val="none"/>
        </w:rPr>
        <w:t>七、注意事项</w:t>
      </w:r>
    </w:p>
    <w:p w14:paraId="55076F0D">
      <w:pPr>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仿宋"/>
          <w:sz w:val="24"/>
          <w:highlight w:val="none"/>
        </w:rPr>
      </w:pPr>
      <w:r>
        <w:rPr>
          <w:rFonts w:hint="eastAsia" w:ascii="宋体" w:hAnsi="宋体" w:cs="仿宋"/>
          <w:sz w:val="24"/>
          <w:highlight w:val="none"/>
        </w:rPr>
        <w:t>1.本项目报价，应包括本次采购范围内全部设备、材料、随设备提供的备品配件及专用工具的价格、全部税费、包装费、运杂费（运抵甲方项目现场）、保险费、安装费、调试费、甲方操作维护人员培训费</w:t>
      </w:r>
      <w:r>
        <w:rPr>
          <w:rFonts w:hint="eastAsia" w:ascii="宋体" w:hAnsi="宋体" w:eastAsia="宋体" w:cs="仿宋"/>
          <w:sz w:val="24"/>
          <w:highlight w:val="none"/>
          <w:lang w:eastAsia="zh-CN"/>
        </w:rPr>
        <w:t>、以</w:t>
      </w:r>
      <w:r>
        <w:rPr>
          <w:rFonts w:hint="eastAsia" w:ascii="宋体" w:hAnsi="宋体" w:cs="仿宋"/>
          <w:sz w:val="24"/>
          <w:highlight w:val="none"/>
        </w:rPr>
        <w:t>及供应商认为需要的其他费用等，本合同执行期间合同总价款不变。</w:t>
      </w:r>
    </w:p>
    <w:p w14:paraId="29901027">
      <w:pPr>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仿宋"/>
          <w:sz w:val="24"/>
          <w:highlight w:val="none"/>
        </w:rPr>
      </w:pPr>
      <w:r>
        <w:rPr>
          <w:rFonts w:hint="eastAsia" w:ascii="宋体" w:hAnsi="宋体" w:cs="仿宋"/>
          <w:sz w:val="24"/>
          <w:highlight w:val="none"/>
        </w:rPr>
        <w:t>2.在安装、调试、验收过程中，如发现有漏项、缺件，卖方应无条件、无偿补齐，所发生的一切费用，视为已包含在乙方投标时的投标报价之中，且并不因此而影响交付甲方使用的时间。</w:t>
      </w:r>
    </w:p>
    <w:p w14:paraId="60F01385">
      <w:pPr>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仿宋"/>
          <w:sz w:val="24"/>
          <w:highlight w:val="none"/>
        </w:rPr>
      </w:pPr>
      <w:r>
        <w:rPr>
          <w:rFonts w:hint="eastAsia" w:ascii="宋体" w:hAnsi="宋体" w:cs="仿宋"/>
          <w:sz w:val="24"/>
          <w:highlight w:val="none"/>
        </w:rPr>
        <w:t>3.供应商的任何错漏、优惠、竞争性报价不得作为减轻责任、减少服务、增加收费、降低质量的理由。</w:t>
      </w:r>
    </w:p>
    <w:p w14:paraId="6D410F03">
      <w:pPr>
        <w:keepNext w:val="0"/>
        <w:keepLines w:val="0"/>
        <w:pageBreakBefore w:val="0"/>
        <w:widowControl w:val="0"/>
        <w:kinsoku/>
        <w:wordWrap/>
        <w:overflowPunct/>
        <w:topLinePunct w:val="0"/>
        <w:bidi w:val="0"/>
        <w:snapToGrid/>
        <w:spacing w:line="360" w:lineRule="auto"/>
        <w:ind w:firstLine="480"/>
        <w:textAlignment w:val="auto"/>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cs="仿宋"/>
          <w:sz w:val="24"/>
          <w:highlight w:val="none"/>
        </w:rPr>
        <w:t>4.供应商报价除包含招标文件中列明的项目外还应包括保障服务正常运行应当具有的物资和服务，对服务正常运行应当具有的物资和服务理解不一致的以采购人理解为准。</w:t>
      </w:r>
    </w:p>
    <w:p w14:paraId="325BEB8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bidi w:val="0"/>
        <w:snapToGrid/>
        <w:spacing w:line="360" w:lineRule="auto"/>
        <w:textAlignment w:val="auto"/>
        <w:rPr>
          <w:rFonts w:ascii="宋体" w:hAnsi="宋体" w:eastAsia="宋体" w:cs="宋体"/>
          <w:b/>
          <w:bCs/>
          <w:color w:val="000000" w:themeColor="text1"/>
          <w:sz w:val="24"/>
          <w:highlight w:val="none"/>
          <w14:textFill>
            <w14:solidFill>
              <w14:schemeClr w14:val="tx1"/>
            </w14:solidFill>
          </w14:textFill>
        </w:rPr>
        <w:sectPr>
          <w:footerReference r:id="rId5" w:type="first"/>
          <w:headerReference r:id="rId3" w:type="default"/>
          <w:footerReference r:id="rId4" w:type="default"/>
          <w:pgSz w:w="11906" w:h="16838"/>
          <w:pgMar w:top="1418" w:right="1588" w:bottom="1418" w:left="1365" w:header="851" w:footer="907" w:gutter="0"/>
          <w:cols w:space="720" w:num="1"/>
          <w:titlePg/>
          <w:docGrid w:linePitch="360" w:charSpace="0"/>
        </w:sectPr>
      </w:pPr>
    </w:p>
    <w:p w14:paraId="09821B99">
      <w:pPr>
        <w:keepNext/>
        <w:jc w:val="center"/>
        <w:outlineLvl w:val="0"/>
        <w:rPr>
          <w:rFonts w:ascii="宋体" w:hAnsi="宋体" w:eastAsia="宋体" w:cs="宋体"/>
          <w:b/>
          <w:color w:val="000000" w:themeColor="text1"/>
          <w:sz w:val="44"/>
          <w:szCs w:val="28"/>
          <w:highlight w:val="none"/>
          <w14:textFill>
            <w14:solidFill>
              <w14:schemeClr w14:val="tx1"/>
            </w14:solidFill>
          </w14:textFill>
        </w:rPr>
      </w:pPr>
      <w:bookmarkStart w:id="158" w:name="_Toc22651"/>
      <w:bookmarkStart w:id="159" w:name="_Toc120614281"/>
      <w:r>
        <w:rPr>
          <w:rFonts w:hint="eastAsia" w:ascii="宋体" w:hAnsi="宋体" w:eastAsia="宋体" w:cs="宋体"/>
          <w:b/>
          <w:color w:val="000000" w:themeColor="text1"/>
          <w:sz w:val="44"/>
          <w:szCs w:val="28"/>
          <w:highlight w:val="none"/>
          <w14:textFill>
            <w14:solidFill>
              <w14:schemeClr w14:val="tx1"/>
            </w14:solidFill>
          </w14:textFill>
        </w:rPr>
        <w:t>第五章 评标方法与评标标准</w:t>
      </w:r>
      <w:bookmarkEnd w:id="158"/>
    </w:p>
    <w:p w14:paraId="7A64F92F">
      <w:pPr>
        <w:spacing w:line="500" w:lineRule="exact"/>
        <w:rPr>
          <w:rFonts w:hint="eastAsia" w:eastAsia="仿宋_GB2312"/>
          <w:sz w:val="24"/>
          <w:highlight w:val="none"/>
        </w:rPr>
      </w:pPr>
      <w:r>
        <w:rPr>
          <w:rFonts w:hint="eastAsia" w:ascii="宋体" w:hAnsi="宋体" w:eastAsia="宋体" w:cs="宋体"/>
          <w:b/>
          <w:color w:val="000000" w:themeColor="text1"/>
          <w:sz w:val="28"/>
          <w:szCs w:val="22"/>
          <w:highlight w:val="none"/>
          <w14:textFill>
            <w14:solidFill>
              <w14:schemeClr w14:val="tx1"/>
            </w14:solidFill>
          </w14:textFill>
        </w:rPr>
        <w:t>一、资格审查。</w:t>
      </w:r>
      <w:r>
        <w:rPr>
          <w:rFonts w:hint="eastAsia"/>
          <w:sz w:val="24"/>
          <w:highlight w:val="none"/>
        </w:rPr>
        <w:t>资格审查人员按照下列指标对各投标人的资格进行审查，未通过审查的为无效标，不参与评标。</w:t>
      </w:r>
    </w:p>
    <w:tbl>
      <w:tblPr>
        <w:tblStyle w:val="33"/>
        <w:tblW w:w="5000" w:type="pct"/>
        <w:tblInd w:w="-7"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484"/>
        <w:gridCol w:w="4485"/>
      </w:tblGrid>
      <w:tr w14:paraId="076F8B9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67" w:hRule="atLeast"/>
        </w:trPr>
        <w:tc>
          <w:tcPr>
            <w:tcW w:w="2500" w:type="pct"/>
            <w:tcBorders>
              <w:top w:val="single" w:color="auto" w:sz="6" w:space="0"/>
              <w:left w:val="single" w:color="auto" w:sz="6" w:space="0"/>
              <w:bottom w:val="single" w:color="auto" w:sz="6" w:space="0"/>
              <w:right w:val="single" w:color="auto" w:sz="6" w:space="0"/>
            </w:tcBorders>
            <w:noWrap w:val="0"/>
            <w:vAlign w:val="center"/>
          </w:tcPr>
          <w:p w14:paraId="6AC72B45">
            <w:pPr>
              <w:jc w:val="center"/>
              <w:rPr>
                <w:szCs w:val="22"/>
                <w:highlight w:val="none"/>
              </w:rPr>
            </w:pPr>
            <w:r>
              <w:rPr>
                <w:sz w:val="24"/>
                <w:szCs w:val="24"/>
                <w:highlight w:val="none"/>
              </w:rPr>
              <w:t>资格审查因素</w:t>
            </w:r>
          </w:p>
        </w:tc>
        <w:tc>
          <w:tcPr>
            <w:tcW w:w="2500" w:type="pct"/>
            <w:tcBorders>
              <w:top w:val="single" w:color="auto" w:sz="6" w:space="0"/>
              <w:left w:val="single" w:color="auto" w:sz="6" w:space="0"/>
              <w:bottom w:val="single" w:color="auto" w:sz="6" w:space="0"/>
              <w:right w:val="single" w:color="auto" w:sz="6" w:space="0"/>
            </w:tcBorders>
            <w:noWrap w:val="0"/>
            <w:vAlign w:val="center"/>
          </w:tcPr>
          <w:p w14:paraId="24A3AEDD">
            <w:pPr>
              <w:jc w:val="center"/>
              <w:rPr>
                <w:szCs w:val="22"/>
                <w:highlight w:val="none"/>
              </w:rPr>
            </w:pPr>
            <w:r>
              <w:rPr>
                <w:sz w:val="24"/>
                <w:szCs w:val="24"/>
                <w:highlight w:val="none"/>
              </w:rPr>
              <w:t>审查标准</w:t>
            </w:r>
          </w:p>
        </w:tc>
      </w:tr>
      <w:tr w14:paraId="680DB35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67" w:hRule="atLeast"/>
        </w:trPr>
        <w:tc>
          <w:tcPr>
            <w:tcW w:w="0" w:type="auto"/>
            <w:tcBorders>
              <w:top w:val="single" w:color="auto" w:sz="6" w:space="0"/>
              <w:left w:val="single" w:color="auto" w:sz="6" w:space="0"/>
              <w:bottom w:val="single" w:color="auto" w:sz="6" w:space="0"/>
              <w:right w:val="single" w:color="auto" w:sz="6" w:space="0"/>
            </w:tcBorders>
            <w:noWrap w:val="0"/>
            <w:vAlign w:val="center"/>
          </w:tcPr>
          <w:p w14:paraId="1E386EB3">
            <w:pPr>
              <w:jc w:val="left"/>
              <w:rPr>
                <w:sz w:val="24"/>
                <w:szCs w:val="24"/>
                <w:highlight w:val="none"/>
              </w:rPr>
            </w:pPr>
            <w:r>
              <w:rPr>
                <w:sz w:val="24"/>
                <w:szCs w:val="24"/>
                <w:highlight w:val="none"/>
              </w:rPr>
              <w:t>投标声明及承诺函</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08C6DB0">
            <w:pPr>
              <w:jc w:val="left"/>
              <w:rPr>
                <w:sz w:val="24"/>
                <w:szCs w:val="24"/>
                <w:highlight w:val="none"/>
              </w:rPr>
            </w:pPr>
            <w:r>
              <w:rPr>
                <w:sz w:val="24"/>
                <w:szCs w:val="24"/>
                <w:highlight w:val="none"/>
              </w:rPr>
              <w:t>符合招标文件要求</w:t>
            </w:r>
          </w:p>
        </w:tc>
      </w:tr>
      <w:tr w14:paraId="287921A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67" w:hRule="atLeast"/>
        </w:trPr>
        <w:tc>
          <w:tcPr>
            <w:tcW w:w="0" w:type="auto"/>
            <w:tcBorders>
              <w:top w:val="single" w:color="auto" w:sz="6" w:space="0"/>
              <w:left w:val="single" w:color="auto" w:sz="6" w:space="0"/>
              <w:bottom w:val="single" w:color="auto" w:sz="6" w:space="0"/>
              <w:right w:val="single" w:color="auto" w:sz="6" w:space="0"/>
            </w:tcBorders>
            <w:noWrap w:val="0"/>
            <w:vAlign w:val="center"/>
          </w:tcPr>
          <w:p w14:paraId="65E3C97D">
            <w:pPr>
              <w:jc w:val="left"/>
              <w:rPr>
                <w:sz w:val="24"/>
                <w:szCs w:val="24"/>
                <w:highlight w:val="none"/>
              </w:rPr>
            </w:pPr>
            <w:r>
              <w:rPr>
                <w:sz w:val="24"/>
                <w:szCs w:val="24"/>
                <w:highlight w:val="none"/>
              </w:rPr>
              <w:t>信用信息</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6DE5E4D8">
            <w:pPr>
              <w:jc w:val="left"/>
              <w:rPr>
                <w:sz w:val="24"/>
                <w:szCs w:val="24"/>
                <w:highlight w:val="none"/>
              </w:rPr>
            </w:pPr>
            <w:r>
              <w:rPr>
                <w:sz w:val="24"/>
                <w:szCs w:val="24"/>
                <w:highlight w:val="none"/>
              </w:rPr>
              <w:t>符合招标文件要求</w:t>
            </w:r>
          </w:p>
        </w:tc>
      </w:tr>
      <w:tr w14:paraId="2068B8F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67" w:hRule="atLeast"/>
        </w:trPr>
        <w:tc>
          <w:tcPr>
            <w:tcW w:w="0" w:type="auto"/>
            <w:tcBorders>
              <w:top w:val="single" w:color="auto" w:sz="6" w:space="0"/>
              <w:left w:val="single" w:color="auto" w:sz="6" w:space="0"/>
              <w:bottom w:val="single" w:color="auto" w:sz="6" w:space="0"/>
              <w:right w:val="single" w:color="auto" w:sz="6" w:space="0"/>
            </w:tcBorders>
            <w:noWrap w:val="0"/>
            <w:vAlign w:val="center"/>
          </w:tcPr>
          <w:p w14:paraId="4F44B74A">
            <w:pPr>
              <w:jc w:val="left"/>
              <w:rPr>
                <w:sz w:val="24"/>
                <w:szCs w:val="24"/>
                <w:highlight w:val="none"/>
              </w:rPr>
            </w:pPr>
            <w:r>
              <w:rPr>
                <w:sz w:val="24"/>
                <w:szCs w:val="24"/>
                <w:highlight w:val="none"/>
              </w:rPr>
              <w:t>联合体投标</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E84DC07">
            <w:pPr>
              <w:jc w:val="left"/>
              <w:rPr>
                <w:sz w:val="24"/>
                <w:szCs w:val="24"/>
                <w:highlight w:val="none"/>
              </w:rPr>
            </w:pPr>
            <w:r>
              <w:rPr>
                <w:sz w:val="24"/>
                <w:szCs w:val="24"/>
                <w:highlight w:val="none"/>
              </w:rPr>
              <w:t>不接受联合体投标</w:t>
            </w:r>
          </w:p>
        </w:tc>
      </w:tr>
    </w:tbl>
    <w:p w14:paraId="2BDACC2B">
      <w:pPr>
        <w:spacing w:line="500" w:lineRule="exact"/>
        <w:rPr>
          <w:rFonts w:eastAsia="仿宋_GB2312"/>
          <w:sz w:val="24"/>
          <w:highlight w:val="none"/>
        </w:rPr>
      </w:pPr>
      <w:r>
        <w:rPr>
          <w:rFonts w:hint="eastAsia" w:eastAsia="仿宋_GB2312"/>
          <w:b/>
          <w:sz w:val="28"/>
          <w:szCs w:val="22"/>
          <w:highlight w:val="none"/>
        </w:rPr>
        <w:t>二、符合性审查。</w:t>
      </w:r>
      <w:r>
        <w:rPr>
          <w:rFonts w:hint="eastAsia"/>
          <w:sz w:val="24"/>
          <w:highlight w:val="none"/>
        </w:rPr>
        <w:t>评标委员会首先按照下列指标对各投标人的投标文件进行符合性审查，未通过审查的为无效标，不再参与评审。</w:t>
      </w:r>
    </w:p>
    <w:tbl>
      <w:tblPr>
        <w:tblStyle w:val="33"/>
        <w:tblW w:w="5008" w:type="pct"/>
        <w:tblInd w:w="-7"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490"/>
        <w:gridCol w:w="4493"/>
      </w:tblGrid>
      <w:tr w14:paraId="6DB8BC2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67" w:hRule="atLeast"/>
        </w:trPr>
        <w:tc>
          <w:tcPr>
            <w:tcW w:w="2499" w:type="pct"/>
            <w:tcBorders>
              <w:top w:val="single" w:color="auto" w:sz="6" w:space="0"/>
              <w:left w:val="single" w:color="auto" w:sz="6" w:space="0"/>
              <w:bottom w:val="single" w:color="auto" w:sz="6" w:space="0"/>
              <w:right w:val="single" w:color="auto" w:sz="6" w:space="0"/>
            </w:tcBorders>
            <w:noWrap w:val="0"/>
            <w:vAlign w:val="center"/>
          </w:tcPr>
          <w:p w14:paraId="78C7EE76">
            <w:pPr>
              <w:jc w:val="center"/>
              <w:rPr>
                <w:szCs w:val="22"/>
                <w:highlight w:val="none"/>
              </w:rPr>
            </w:pPr>
            <w:r>
              <w:rPr>
                <w:sz w:val="24"/>
                <w:szCs w:val="24"/>
                <w:highlight w:val="none"/>
              </w:rPr>
              <w:t>符合性审查因素</w:t>
            </w:r>
          </w:p>
        </w:tc>
        <w:tc>
          <w:tcPr>
            <w:tcW w:w="2500" w:type="pct"/>
            <w:tcBorders>
              <w:top w:val="single" w:color="auto" w:sz="6" w:space="0"/>
              <w:left w:val="single" w:color="auto" w:sz="6" w:space="0"/>
              <w:bottom w:val="single" w:color="auto" w:sz="6" w:space="0"/>
              <w:right w:val="single" w:color="auto" w:sz="6" w:space="0"/>
            </w:tcBorders>
            <w:noWrap w:val="0"/>
            <w:vAlign w:val="center"/>
          </w:tcPr>
          <w:p w14:paraId="3B9BE16B">
            <w:pPr>
              <w:jc w:val="center"/>
              <w:rPr>
                <w:szCs w:val="22"/>
                <w:highlight w:val="none"/>
              </w:rPr>
            </w:pPr>
            <w:r>
              <w:rPr>
                <w:sz w:val="24"/>
                <w:szCs w:val="24"/>
                <w:highlight w:val="none"/>
              </w:rPr>
              <w:t>审查标准</w:t>
            </w:r>
          </w:p>
        </w:tc>
      </w:tr>
      <w:tr w14:paraId="54CAC06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67" w:hRule="atLeast"/>
        </w:trPr>
        <w:tc>
          <w:tcPr>
            <w:tcW w:w="0" w:type="auto"/>
            <w:tcBorders>
              <w:top w:val="single" w:color="auto" w:sz="6" w:space="0"/>
              <w:left w:val="single" w:color="auto" w:sz="6" w:space="0"/>
              <w:bottom w:val="single" w:color="auto" w:sz="6" w:space="0"/>
              <w:right w:val="single" w:color="auto" w:sz="6" w:space="0"/>
            </w:tcBorders>
            <w:noWrap w:val="0"/>
            <w:vAlign w:val="center"/>
          </w:tcPr>
          <w:p w14:paraId="1ED9283F">
            <w:pPr>
              <w:jc w:val="left"/>
              <w:rPr>
                <w:sz w:val="24"/>
                <w:szCs w:val="24"/>
                <w:highlight w:val="none"/>
              </w:rPr>
            </w:pPr>
            <w:r>
              <w:rPr>
                <w:sz w:val="24"/>
                <w:szCs w:val="24"/>
                <w:highlight w:val="none"/>
              </w:rPr>
              <w:t>法定代表人身份证明或授权委托书</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065B0229">
            <w:pPr>
              <w:jc w:val="left"/>
              <w:rPr>
                <w:sz w:val="24"/>
                <w:szCs w:val="24"/>
                <w:highlight w:val="none"/>
              </w:rPr>
            </w:pPr>
            <w:r>
              <w:rPr>
                <w:sz w:val="24"/>
                <w:szCs w:val="24"/>
                <w:highlight w:val="none"/>
              </w:rPr>
              <w:t>符合招标文件要求</w:t>
            </w:r>
          </w:p>
        </w:tc>
      </w:tr>
      <w:tr w14:paraId="631A622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67" w:hRule="atLeast"/>
        </w:trPr>
        <w:tc>
          <w:tcPr>
            <w:tcW w:w="0" w:type="auto"/>
            <w:tcBorders>
              <w:top w:val="single" w:color="auto" w:sz="6" w:space="0"/>
              <w:left w:val="single" w:color="auto" w:sz="6" w:space="0"/>
              <w:bottom w:val="single" w:color="auto" w:sz="6" w:space="0"/>
              <w:right w:val="single" w:color="auto" w:sz="6" w:space="0"/>
            </w:tcBorders>
            <w:noWrap w:val="0"/>
            <w:vAlign w:val="center"/>
          </w:tcPr>
          <w:p w14:paraId="7F083C4C">
            <w:pPr>
              <w:jc w:val="left"/>
              <w:rPr>
                <w:sz w:val="24"/>
                <w:szCs w:val="24"/>
                <w:highlight w:val="none"/>
              </w:rPr>
            </w:pPr>
            <w:r>
              <w:rPr>
                <w:sz w:val="24"/>
                <w:szCs w:val="24"/>
                <w:highlight w:val="none"/>
              </w:rPr>
              <w:t>开标一览表及投标报价</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789E6B60">
            <w:pPr>
              <w:jc w:val="left"/>
              <w:rPr>
                <w:sz w:val="24"/>
                <w:szCs w:val="24"/>
                <w:highlight w:val="none"/>
              </w:rPr>
            </w:pPr>
            <w:r>
              <w:rPr>
                <w:rFonts w:hint="eastAsia"/>
                <w:sz w:val="24"/>
                <w:szCs w:val="24"/>
                <w:highlight w:val="none"/>
                <w:lang w:val="en-US" w:eastAsia="zh-CN"/>
              </w:rPr>
              <w:t>填写要求符合</w:t>
            </w:r>
            <w:r>
              <w:rPr>
                <w:sz w:val="24"/>
                <w:szCs w:val="24"/>
                <w:highlight w:val="none"/>
              </w:rPr>
              <w:t>招标文件规定</w:t>
            </w:r>
          </w:p>
        </w:tc>
      </w:tr>
      <w:tr w14:paraId="2AF427E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67" w:hRule="atLeast"/>
        </w:trPr>
        <w:tc>
          <w:tcPr>
            <w:tcW w:w="0" w:type="auto"/>
            <w:tcBorders>
              <w:top w:val="single" w:color="auto" w:sz="6" w:space="0"/>
              <w:left w:val="single" w:color="auto" w:sz="6" w:space="0"/>
              <w:bottom w:val="single" w:color="auto" w:sz="6" w:space="0"/>
              <w:right w:val="single" w:color="auto" w:sz="6" w:space="0"/>
            </w:tcBorders>
            <w:noWrap w:val="0"/>
            <w:vAlign w:val="center"/>
          </w:tcPr>
          <w:p w14:paraId="280A7F44">
            <w:pPr>
              <w:jc w:val="left"/>
              <w:rPr>
                <w:sz w:val="24"/>
                <w:szCs w:val="24"/>
                <w:highlight w:val="none"/>
              </w:rPr>
            </w:pPr>
            <w:r>
              <w:rPr>
                <w:sz w:val="24"/>
                <w:szCs w:val="24"/>
                <w:highlight w:val="none"/>
              </w:rPr>
              <w:t>技术标准和要求</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16D61467">
            <w:pPr>
              <w:jc w:val="left"/>
              <w:rPr>
                <w:sz w:val="24"/>
                <w:szCs w:val="24"/>
                <w:highlight w:val="none"/>
              </w:rPr>
            </w:pPr>
            <w:r>
              <w:rPr>
                <w:sz w:val="24"/>
                <w:szCs w:val="24"/>
                <w:highlight w:val="none"/>
              </w:rPr>
              <w:t>符合招标文件要求</w:t>
            </w:r>
          </w:p>
        </w:tc>
      </w:tr>
      <w:tr w14:paraId="61DBD7E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67" w:hRule="atLeast"/>
        </w:trPr>
        <w:tc>
          <w:tcPr>
            <w:tcW w:w="0" w:type="auto"/>
            <w:tcBorders>
              <w:top w:val="single" w:color="auto" w:sz="6" w:space="0"/>
              <w:left w:val="single" w:color="auto" w:sz="6" w:space="0"/>
              <w:bottom w:val="single" w:color="auto" w:sz="6" w:space="0"/>
              <w:right w:val="single" w:color="auto" w:sz="6" w:space="0"/>
            </w:tcBorders>
            <w:noWrap w:val="0"/>
            <w:vAlign w:val="center"/>
          </w:tcPr>
          <w:p w14:paraId="72C26BCA">
            <w:pPr>
              <w:jc w:val="left"/>
              <w:rPr>
                <w:sz w:val="24"/>
                <w:szCs w:val="24"/>
                <w:highlight w:val="none"/>
              </w:rPr>
            </w:pPr>
            <w:r>
              <w:rPr>
                <w:sz w:val="24"/>
                <w:szCs w:val="24"/>
                <w:highlight w:val="none"/>
              </w:rPr>
              <w:t>其他</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76749256">
            <w:pPr>
              <w:jc w:val="left"/>
              <w:rPr>
                <w:sz w:val="24"/>
                <w:szCs w:val="24"/>
                <w:highlight w:val="none"/>
              </w:rPr>
            </w:pPr>
            <w:r>
              <w:rPr>
                <w:sz w:val="24"/>
                <w:szCs w:val="24"/>
                <w:highlight w:val="none"/>
              </w:rPr>
              <w:t>符合招标文件要求</w:t>
            </w:r>
          </w:p>
        </w:tc>
      </w:tr>
    </w:tbl>
    <w:p w14:paraId="3DC15CD2">
      <w:pPr>
        <w:spacing w:line="500" w:lineRule="exact"/>
        <w:rPr>
          <w:rFonts w:hint="eastAsia" w:eastAsia="仿宋_GB2312"/>
          <w:b/>
          <w:sz w:val="28"/>
          <w:szCs w:val="22"/>
          <w:highlight w:val="none"/>
        </w:rPr>
      </w:pPr>
      <w:r>
        <w:rPr>
          <w:rFonts w:hint="eastAsia" w:eastAsia="仿宋_GB2312"/>
          <w:b/>
          <w:sz w:val="28"/>
          <w:szCs w:val="22"/>
          <w:highlight w:val="none"/>
        </w:rPr>
        <w:t>三、评分办法—综合评分法</w:t>
      </w:r>
    </w:p>
    <w:p w14:paraId="325EE28E">
      <w:pPr>
        <w:spacing w:line="500" w:lineRule="exact"/>
        <w:ind w:firstLine="482" w:firstLineChars="200"/>
        <w:rPr>
          <w:rFonts w:hint="eastAsia"/>
          <w:sz w:val="24"/>
          <w:highlight w:val="none"/>
        </w:rPr>
      </w:pPr>
      <w:r>
        <w:rPr>
          <w:rFonts w:hint="eastAsia" w:eastAsia="仿宋_GB2312"/>
          <w:b/>
          <w:sz w:val="24"/>
          <w:highlight w:val="none"/>
        </w:rPr>
        <w:t>（一）评标办法：</w:t>
      </w:r>
      <w:r>
        <w:rPr>
          <w:rFonts w:hint="eastAsia"/>
          <w:sz w:val="24"/>
          <w:highlight w:val="none"/>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4BC99D21">
      <w:pPr>
        <w:spacing w:line="500" w:lineRule="exact"/>
        <w:rPr>
          <w:rFonts w:hint="eastAsia"/>
          <w:sz w:val="24"/>
          <w:highlight w:val="none"/>
        </w:rPr>
      </w:pPr>
      <w:r>
        <w:rPr>
          <w:rFonts w:hint="eastAsia"/>
          <w:sz w:val="24"/>
          <w:highlight w:val="none"/>
        </w:rPr>
        <w:t>评标委员会根据评审后投标人排序推荐中标候选人。投标文件满足招标文件全部实质性要求，且评审后排序第一的投标人为第一中标候选人，依次类推。</w:t>
      </w:r>
    </w:p>
    <w:p w14:paraId="2137D507">
      <w:pPr>
        <w:spacing w:line="500" w:lineRule="exact"/>
        <w:ind w:firstLine="480" w:firstLineChars="200"/>
        <w:rPr>
          <w:rFonts w:hint="eastAsia"/>
          <w:sz w:val="24"/>
          <w:highlight w:val="none"/>
        </w:rPr>
      </w:pPr>
      <w:r>
        <w:rPr>
          <w:rFonts w:hint="eastAsia"/>
          <w:sz w:val="24"/>
          <w:highlight w:val="none"/>
        </w:rPr>
        <w:t xml:space="preserve">综合评分保留至小数点后两位。 </w:t>
      </w:r>
    </w:p>
    <w:p w14:paraId="7F285841">
      <w:pPr>
        <w:spacing w:line="500" w:lineRule="exact"/>
        <w:ind w:firstLine="482" w:firstLineChars="200"/>
        <w:jc w:val="left"/>
        <w:rPr>
          <w:rFonts w:hint="eastAsia" w:eastAsia="仿宋_GB2312"/>
          <w:sz w:val="24"/>
          <w:highlight w:val="none"/>
        </w:rPr>
      </w:pPr>
      <w:r>
        <w:rPr>
          <w:rFonts w:hint="eastAsia" w:eastAsia="仿宋_GB2312"/>
          <w:b/>
          <w:sz w:val="24"/>
          <w:highlight w:val="none"/>
        </w:rPr>
        <w:t>（二）详细评审。</w:t>
      </w:r>
      <w:r>
        <w:rPr>
          <w:rFonts w:hint="eastAsia"/>
          <w:sz w:val="24"/>
          <w:highlight w:val="none"/>
        </w:rPr>
        <w:t>评标委员会按照招标文件规定的评分标准，对各投标文件进行详细评审打分。评标委员会组长对各评审专家的打分情况进行复核无误后汇总，形成评审报告。</w:t>
      </w:r>
    </w:p>
    <w:tbl>
      <w:tblPr>
        <w:tblStyle w:val="33"/>
        <w:tblW w:w="9169" w:type="dxa"/>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1200"/>
        <w:gridCol w:w="701"/>
        <w:gridCol w:w="1021"/>
        <w:gridCol w:w="6247"/>
      </w:tblGrid>
      <w:tr w14:paraId="1AB1E79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0" w:hRule="atLeast"/>
          <w:tblHeader/>
          <w:jc w:val="center"/>
        </w:trPr>
        <w:tc>
          <w:tcPr>
            <w:tcW w:w="0" w:type="auto"/>
            <w:gridSpan w:val="2"/>
            <w:tcBorders>
              <w:top w:val="single" w:color="auto" w:sz="6" w:space="0"/>
              <w:left w:val="single" w:color="auto" w:sz="6" w:space="0"/>
              <w:bottom w:val="single" w:color="auto" w:sz="6" w:space="0"/>
              <w:right w:val="single" w:color="auto" w:sz="6" w:space="0"/>
            </w:tcBorders>
            <w:noWrap w:val="0"/>
            <w:vAlign w:val="center"/>
          </w:tcPr>
          <w:p w14:paraId="78372797">
            <w:pPr>
              <w:snapToGrid w:val="0"/>
              <w:ind w:left="0" w:leftChars="0" w:right="0" w:rightChars="0" w:firstLine="0" w:firstLineChars="0"/>
              <w:jc w:val="center"/>
              <w:rPr>
                <w:b/>
                <w:sz w:val="24"/>
                <w:szCs w:val="22"/>
                <w:highlight w:val="none"/>
              </w:rPr>
            </w:pPr>
            <w:bookmarkStart w:id="160" w:name="EBe0cfd1035ea44f689f97db50fccddc8b"/>
            <w:r>
              <w:rPr>
                <w:b/>
                <w:sz w:val="24"/>
                <w:szCs w:val="22"/>
                <w:highlight w:val="none"/>
              </w:rPr>
              <w:t>评审因素</w:t>
            </w:r>
          </w:p>
        </w:tc>
        <w:tc>
          <w:tcPr>
            <w:tcW w:w="1021" w:type="dxa"/>
            <w:tcBorders>
              <w:top w:val="single" w:color="auto" w:sz="6" w:space="0"/>
              <w:left w:val="single" w:color="auto" w:sz="6" w:space="0"/>
              <w:bottom w:val="single" w:color="auto" w:sz="6" w:space="0"/>
              <w:right w:val="single" w:color="auto" w:sz="6" w:space="0"/>
            </w:tcBorders>
            <w:noWrap w:val="0"/>
            <w:vAlign w:val="center"/>
          </w:tcPr>
          <w:p w14:paraId="7E459B38">
            <w:pPr>
              <w:snapToGrid w:val="0"/>
              <w:ind w:left="0" w:leftChars="0" w:right="0" w:rightChars="0" w:firstLine="0" w:firstLineChars="0"/>
              <w:jc w:val="center"/>
              <w:rPr>
                <w:b/>
                <w:sz w:val="24"/>
                <w:szCs w:val="22"/>
                <w:highlight w:val="none"/>
              </w:rPr>
            </w:pPr>
            <w:r>
              <w:rPr>
                <w:b/>
                <w:sz w:val="24"/>
                <w:szCs w:val="22"/>
                <w:highlight w:val="none"/>
              </w:rPr>
              <w:t>分数</w:t>
            </w:r>
          </w:p>
        </w:tc>
        <w:tc>
          <w:tcPr>
            <w:tcW w:w="6247" w:type="dxa"/>
            <w:tcBorders>
              <w:top w:val="single" w:color="auto" w:sz="6" w:space="0"/>
              <w:left w:val="single" w:color="auto" w:sz="6" w:space="0"/>
              <w:bottom w:val="single" w:color="auto" w:sz="6" w:space="0"/>
              <w:right w:val="single" w:color="auto" w:sz="6" w:space="0"/>
            </w:tcBorders>
            <w:noWrap w:val="0"/>
            <w:vAlign w:val="center"/>
          </w:tcPr>
          <w:p w14:paraId="10385B17">
            <w:pPr>
              <w:snapToGrid w:val="0"/>
              <w:ind w:left="0" w:leftChars="0" w:right="0" w:rightChars="0" w:firstLine="0" w:firstLineChars="0"/>
              <w:jc w:val="center"/>
              <w:rPr>
                <w:b/>
                <w:sz w:val="24"/>
                <w:szCs w:val="22"/>
                <w:highlight w:val="none"/>
              </w:rPr>
            </w:pPr>
            <w:r>
              <w:rPr>
                <w:b/>
                <w:sz w:val="24"/>
                <w:szCs w:val="22"/>
                <w:highlight w:val="none"/>
              </w:rPr>
              <w:t>评审标准</w:t>
            </w:r>
          </w:p>
        </w:tc>
      </w:tr>
      <w:tr w14:paraId="285D877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3A20749A">
            <w:pPr>
              <w:snapToGrid w:val="0"/>
              <w:spacing w:line="240" w:lineRule="auto"/>
              <w:ind w:left="0" w:leftChars="0" w:right="0" w:rightChars="0" w:firstLine="0" w:firstLineChars="0"/>
              <w:jc w:val="left"/>
              <w:rPr>
                <w:rFonts w:ascii="Segoe UI" w:eastAsia="Segoe UI"/>
                <w:sz w:val="24"/>
                <w:szCs w:val="22"/>
                <w:highlight w:val="none"/>
              </w:rPr>
            </w:pPr>
            <w:r>
              <w:rPr>
                <w:rFonts w:ascii="Segoe UI" w:eastAsia="Segoe UI"/>
                <w:sz w:val="24"/>
                <w:szCs w:val="22"/>
                <w:highlight w:val="none"/>
              </w:rPr>
              <w:t>报价分</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3C14B6A1">
            <w:pPr>
              <w:snapToGrid w:val="0"/>
              <w:spacing w:line="240" w:lineRule="auto"/>
              <w:ind w:left="0" w:leftChars="0" w:right="0" w:rightChars="0" w:firstLine="0" w:firstLineChars="0"/>
              <w:jc w:val="left"/>
              <w:rPr>
                <w:rFonts w:ascii="Segoe UI" w:eastAsia="Segoe UI"/>
                <w:sz w:val="24"/>
                <w:szCs w:val="22"/>
                <w:highlight w:val="none"/>
              </w:rPr>
            </w:pPr>
            <w:r>
              <w:rPr>
                <w:rFonts w:ascii="Segoe UI" w:eastAsia="Segoe UI"/>
                <w:sz w:val="24"/>
                <w:szCs w:val="22"/>
                <w:highlight w:val="none"/>
              </w:rPr>
              <w:t>投标报价</w:t>
            </w:r>
          </w:p>
        </w:tc>
        <w:tc>
          <w:tcPr>
            <w:tcW w:w="1021" w:type="dxa"/>
            <w:tcBorders>
              <w:top w:val="single" w:color="auto" w:sz="6" w:space="0"/>
              <w:left w:val="single" w:color="auto" w:sz="6" w:space="0"/>
              <w:bottom w:val="single" w:color="auto" w:sz="6" w:space="0"/>
              <w:right w:val="single" w:color="auto" w:sz="6" w:space="0"/>
            </w:tcBorders>
            <w:noWrap w:val="0"/>
            <w:vAlign w:val="center"/>
          </w:tcPr>
          <w:p w14:paraId="57B2C607">
            <w:pPr>
              <w:snapToGrid w:val="0"/>
              <w:spacing w:line="240" w:lineRule="auto"/>
              <w:ind w:left="0" w:leftChars="0" w:right="0" w:rightChars="0" w:firstLine="0" w:firstLineChars="0"/>
              <w:jc w:val="right"/>
              <w:rPr>
                <w:rFonts w:ascii="Segoe UI" w:eastAsia="Segoe UI"/>
                <w:sz w:val="24"/>
                <w:szCs w:val="22"/>
                <w:highlight w:val="none"/>
              </w:rPr>
            </w:pPr>
            <w:r>
              <w:rPr>
                <w:rFonts w:ascii="Segoe UI" w:eastAsia="Segoe UI"/>
                <w:sz w:val="24"/>
                <w:szCs w:val="22"/>
                <w:highlight w:val="none"/>
              </w:rPr>
              <w:t>30.00分</w:t>
            </w:r>
          </w:p>
        </w:tc>
        <w:tc>
          <w:tcPr>
            <w:tcW w:w="6247" w:type="dxa"/>
            <w:tcBorders>
              <w:top w:val="single" w:color="auto" w:sz="6" w:space="0"/>
              <w:left w:val="single" w:color="auto" w:sz="6" w:space="0"/>
              <w:bottom w:val="single" w:color="auto" w:sz="6" w:space="0"/>
              <w:right w:val="single" w:color="auto" w:sz="6" w:space="0"/>
            </w:tcBorders>
            <w:noWrap w:val="0"/>
            <w:vAlign w:val="center"/>
          </w:tcPr>
          <w:p w14:paraId="24D3CB14">
            <w:pPr>
              <w:snapToGrid w:val="0"/>
              <w:spacing w:line="240" w:lineRule="auto"/>
              <w:ind w:left="0" w:leftChars="0" w:right="0" w:rightChars="0" w:firstLine="0" w:firstLineChars="0"/>
              <w:jc w:val="left"/>
              <w:rPr>
                <w:rFonts w:ascii="Segoe UI" w:eastAsia="Segoe UI"/>
                <w:sz w:val="24"/>
                <w:szCs w:val="22"/>
                <w:highlight w:val="none"/>
              </w:rPr>
            </w:pPr>
            <w:r>
              <w:rPr>
                <w:rFonts w:ascii="Segoe UI" w:eastAsia="Segoe UI"/>
                <w:sz w:val="24"/>
                <w:szCs w:val="22"/>
                <w:highlight w:val="none"/>
              </w:rPr>
              <w:t>采用低价优先法计算，即满足招标文件要求且投标价格最低的投标报价为评标基准价，其价格分为满分。其他投标人投标报价得分＝（评标基准价/投标报价）*30。</w:t>
            </w:r>
          </w:p>
        </w:tc>
      </w:tr>
      <w:tr w14:paraId="330BE56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0" w:type="auto"/>
            <w:tcBorders>
              <w:top w:val="single" w:color="auto" w:sz="6" w:space="0"/>
              <w:left w:val="single" w:color="auto" w:sz="6" w:space="0"/>
              <w:bottom w:val="single" w:color="auto" w:sz="6" w:space="0"/>
              <w:right w:val="single" w:color="auto" w:sz="6" w:space="0"/>
            </w:tcBorders>
            <w:noWrap w:val="0"/>
            <w:vAlign w:val="center"/>
          </w:tcPr>
          <w:p w14:paraId="1CCD350A">
            <w:pPr>
              <w:snapToGrid w:val="0"/>
              <w:spacing w:line="240" w:lineRule="auto"/>
              <w:ind w:left="0" w:leftChars="0" w:right="0" w:rightChars="0" w:firstLine="0" w:firstLineChars="0"/>
              <w:jc w:val="left"/>
              <w:rPr>
                <w:rFonts w:ascii="Segoe UI" w:eastAsia="Segoe UI"/>
                <w:sz w:val="24"/>
                <w:szCs w:val="22"/>
                <w:highlight w:val="none"/>
              </w:rPr>
            </w:pPr>
            <w:r>
              <w:rPr>
                <w:rFonts w:ascii="Segoe UI" w:eastAsia="Segoe UI"/>
                <w:sz w:val="24"/>
                <w:szCs w:val="22"/>
                <w:highlight w:val="none"/>
              </w:rPr>
              <w:t>技术响应</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078557D9">
            <w:pPr>
              <w:snapToGrid w:val="0"/>
              <w:spacing w:line="240" w:lineRule="auto"/>
              <w:ind w:left="0" w:leftChars="0" w:right="0" w:rightChars="0" w:firstLine="0" w:firstLineChars="0"/>
              <w:jc w:val="left"/>
              <w:rPr>
                <w:rFonts w:ascii="Segoe UI" w:eastAsia="Segoe UI"/>
                <w:sz w:val="24"/>
                <w:szCs w:val="22"/>
                <w:highlight w:val="none"/>
              </w:rPr>
            </w:pPr>
            <w:r>
              <w:rPr>
                <w:rFonts w:ascii="Segoe UI" w:eastAsia="Segoe UI"/>
                <w:sz w:val="24"/>
                <w:szCs w:val="22"/>
                <w:highlight w:val="none"/>
              </w:rPr>
              <w:t>技术参数响应</w:t>
            </w:r>
          </w:p>
        </w:tc>
        <w:tc>
          <w:tcPr>
            <w:tcW w:w="1021" w:type="dxa"/>
            <w:tcBorders>
              <w:top w:val="single" w:color="auto" w:sz="6" w:space="0"/>
              <w:left w:val="single" w:color="auto" w:sz="6" w:space="0"/>
              <w:bottom w:val="single" w:color="auto" w:sz="6" w:space="0"/>
              <w:right w:val="single" w:color="auto" w:sz="6" w:space="0"/>
            </w:tcBorders>
            <w:noWrap w:val="0"/>
            <w:vAlign w:val="center"/>
          </w:tcPr>
          <w:p w14:paraId="610690E3">
            <w:pPr>
              <w:snapToGrid w:val="0"/>
              <w:spacing w:line="240" w:lineRule="auto"/>
              <w:ind w:left="0" w:leftChars="0" w:right="0" w:rightChars="0" w:firstLine="0" w:firstLineChars="0"/>
              <w:jc w:val="right"/>
              <w:rPr>
                <w:rFonts w:ascii="Segoe UI" w:eastAsia="Segoe UI"/>
                <w:sz w:val="24"/>
                <w:szCs w:val="22"/>
                <w:highlight w:val="none"/>
              </w:rPr>
            </w:pPr>
            <w:r>
              <w:rPr>
                <w:rFonts w:hint="eastAsia" w:ascii="Segoe UI" w:eastAsia="Segoe UI"/>
                <w:sz w:val="24"/>
                <w:szCs w:val="22"/>
                <w:highlight w:val="none"/>
                <w:lang w:val="en-US" w:eastAsia="zh-CN"/>
              </w:rPr>
              <w:t>30</w:t>
            </w:r>
            <w:r>
              <w:rPr>
                <w:rFonts w:ascii="Segoe UI" w:eastAsia="Segoe UI"/>
                <w:sz w:val="24"/>
                <w:szCs w:val="22"/>
                <w:highlight w:val="none"/>
              </w:rPr>
              <w:t>.00分</w:t>
            </w:r>
          </w:p>
        </w:tc>
        <w:tc>
          <w:tcPr>
            <w:tcW w:w="6247" w:type="dxa"/>
            <w:tcBorders>
              <w:top w:val="single" w:color="auto" w:sz="6" w:space="0"/>
              <w:left w:val="single" w:color="auto" w:sz="6" w:space="0"/>
              <w:bottom w:val="single" w:color="auto" w:sz="6" w:space="0"/>
              <w:right w:val="single" w:color="auto" w:sz="6" w:space="0"/>
            </w:tcBorders>
            <w:noWrap w:val="0"/>
            <w:vAlign w:val="center"/>
          </w:tcPr>
          <w:p w14:paraId="7F90F2E8">
            <w:pPr>
              <w:snapToGrid w:val="0"/>
              <w:spacing w:line="240" w:lineRule="auto"/>
              <w:ind w:left="0" w:leftChars="0" w:right="0" w:rightChars="0" w:firstLine="0" w:firstLineChars="0"/>
              <w:jc w:val="left"/>
              <w:rPr>
                <w:rFonts w:ascii="Segoe UI" w:eastAsia="Segoe UI"/>
                <w:sz w:val="24"/>
                <w:szCs w:val="22"/>
                <w:highlight w:val="none"/>
              </w:rPr>
            </w:pPr>
            <w:r>
              <w:rPr>
                <w:rFonts w:ascii="Segoe UI" w:eastAsia="Segoe UI"/>
                <w:sz w:val="24"/>
                <w:szCs w:val="22"/>
                <w:highlight w:val="none"/>
              </w:rPr>
              <w:t>针对招标文件“第四部分、采购需求”中所列内容，所投产品技术参数完</w:t>
            </w:r>
            <w:r>
              <w:rPr>
                <w:rFonts w:hint="eastAsia" w:ascii="Segoe UI" w:eastAsia="Segoe UI"/>
                <w:sz w:val="24"/>
                <w:szCs w:val="22"/>
                <w:highlight w:val="none"/>
              </w:rPr>
              <w:t>全满足或优于招标文件技术参数要求的得</w:t>
            </w:r>
            <w:r>
              <w:rPr>
                <w:rFonts w:hint="eastAsia" w:ascii="Segoe UI" w:eastAsia="Segoe UI"/>
                <w:sz w:val="24"/>
                <w:szCs w:val="22"/>
                <w:highlight w:val="none"/>
                <w:lang w:val="en-US" w:eastAsia="zh-CN"/>
              </w:rPr>
              <w:t>30</w:t>
            </w:r>
            <w:r>
              <w:rPr>
                <w:rFonts w:hint="eastAsia" w:ascii="Segoe UI" w:eastAsia="Segoe UI"/>
                <w:sz w:val="24"/>
                <w:szCs w:val="22"/>
                <w:highlight w:val="none"/>
              </w:rPr>
              <w:t>分。标★项为实质性参数要求，不接受负偏离。“▲”为重点参数要求，每有一项不满足的扣</w:t>
            </w:r>
            <w:r>
              <w:rPr>
                <w:rFonts w:hint="eastAsia" w:ascii="Segoe UI" w:eastAsia="Segoe UI"/>
                <w:sz w:val="24"/>
                <w:szCs w:val="22"/>
                <w:highlight w:val="none"/>
                <w:lang w:val="en-US" w:eastAsia="zh-CN"/>
              </w:rPr>
              <w:t>0.65</w:t>
            </w:r>
            <w:r>
              <w:rPr>
                <w:rFonts w:hint="eastAsia" w:ascii="Segoe UI" w:eastAsia="Segoe UI"/>
                <w:sz w:val="24"/>
                <w:szCs w:val="22"/>
                <w:highlight w:val="none"/>
              </w:rPr>
              <w:t>分；其余为一般参数要求（▲、★除外），每有一项负偏离扣</w:t>
            </w:r>
            <w:r>
              <w:rPr>
                <w:rFonts w:hint="eastAsia" w:ascii="Segoe UI" w:eastAsia="Segoe UI"/>
                <w:sz w:val="24"/>
                <w:szCs w:val="22"/>
                <w:highlight w:val="none"/>
                <w:lang w:val="en-US" w:eastAsia="zh-CN"/>
              </w:rPr>
              <w:t>0.31</w:t>
            </w:r>
            <w:r>
              <w:rPr>
                <w:rFonts w:hint="eastAsia" w:ascii="Segoe UI" w:eastAsia="Segoe UI"/>
                <w:sz w:val="24"/>
                <w:szCs w:val="22"/>
                <w:highlight w:val="none"/>
              </w:rPr>
              <w:t>分，扣完为止。投标人针对本项评分内容在投标文件</w:t>
            </w:r>
            <w:r>
              <w:rPr>
                <w:rFonts w:ascii="Segoe UI" w:eastAsia="Segoe UI"/>
                <w:sz w:val="24"/>
                <w:szCs w:val="22"/>
                <w:highlight w:val="none"/>
              </w:rPr>
              <w:t>《技术要求响应及偏离表》中逐条列出响应及偏离情况。未按要求提供证明材料或未在响应偏离表中列明偏离情况的对应项按负偏离进行扣分处理。</w:t>
            </w:r>
          </w:p>
        </w:tc>
      </w:tr>
      <w:tr w14:paraId="76A0425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0" w:type="auto"/>
            <w:vMerge w:val="restart"/>
            <w:tcBorders>
              <w:top w:val="single" w:color="auto" w:sz="6" w:space="0"/>
              <w:left w:val="single" w:color="auto" w:sz="6" w:space="0"/>
              <w:right w:val="single" w:color="auto" w:sz="6" w:space="0"/>
            </w:tcBorders>
            <w:noWrap w:val="0"/>
            <w:vAlign w:val="center"/>
          </w:tcPr>
          <w:p w14:paraId="753528DD">
            <w:pPr>
              <w:snapToGrid w:val="0"/>
              <w:spacing w:line="240" w:lineRule="auto"/>
              <w:ind w:left="0" w:leftChars="0" w:right="0" w:rightChars="0" w:firstLine="0" w:firstLineChars="0"/>
              <w:jc w:val="left"/>
              <w:rPr>
                <w:rFonts w:ascii="Segoe UI" w:eastAsia="Segoe UI"/>
                <w:sz w:val="24"/>
                <w:szCs w:val="22"/>
                <w:highlight w:val="none"/>
              </w:rPr>
            </w:pPr>
            <w:r>
              <w:rPr>
                <w:rFonts w:ascii="Segoe UI" w:eastAsia="Segoe UI"/>
                <w:sz w:val="24"/>
                <w:szCs w:val="22"/>
                <w:highlight w:val="none"/>
              </w:rPr>
              <w:t>企业经营业绩、信誉</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4AED44F6">
            <w:pPr>
              <w:snapToGrid w:val="0"/>
              <w:spacing w:line="240" w:lineRule="auto"/>
              <w:ind w:left="0" w:leftChars="0" w:right="0" w:rightChars="0" w:firstLine="0" w:firstLineChars="0"/>
              <w:jc w:val="left"/>
              <w:rPr>
                <w:rFonts w:ascii="Segoe UI" w:eastAsia="Segoe UI"/>
                <w:sz w:val="24"/>
                <w:szCs w:val="22"/>
                <w:highlight w:val="none"/>
              </w:rPr>
            </w:pPr>
            <w:r>
              <w:rPr>
                <w:rFonts w:ascii="Segoe UI" w:eastAsia="Segoe UI"/>
                <w:sz w:val="24"/>
                <w:szCs w:val="22"/>
                <w:highlight w:val="none"/>
              </w:rPr>
              <w:t>企业业绩</w:t>
            </w:r>
          </w:p>
        </w:tc>
        <w:tc>
          <w:tcPr>
            <w:tcW w:w="1021" w:type="dxa"/>
            <w:tcBorders>
              <w:top w:val="single" w:color="auto" w:sz="6" w:space="0"/>
              <w:left w:val="single" w:color="auto" w:sz="6" w:space="0"/>
              <w:bottom w:val="single" w:color="auto" w:sz="6" w:space="0"/>
              <w:right w:val="single" w:color="auto" w:sz="6" w:space="0"/>
            </w:tcBorders>
            <w:noWrap w:val="0"/>
            <w:vAlign w:val="center"/>
          </w:tcPr>
          <w:p w14:paraId="3912EFB6">
            <w:pPr>
              <w:snapToGrid w:val="0"/>
              <w:spacing w:line="240" w:lineRule="auto"/>
              <w:ind w:left="0" w:leftChars="0" w:right="0" w:rightChars="0" w:firstLine="0" w:firstLineChars="0"/>
              <w:jc w:val="right"/>
              <w:rPr>
                <w:rFonts w:ascii="Segoe UI" w:eastAsia="Segoe UI"/>
                <w:sz w:val="24"/>
                <w:szCs w:val="22"/>
                <w:highlight w:val="none"/>
              </w:rPr>
            </w:pPr>
            <w:r>
              <w:rPr>
                <w:rFonts w:hint="eastAsia" w:ascii="Segoe UI" w:eastAsia="Segoe UI"/>
                <w:sz w:val="24"/>
                <w:szCs w:val="22"/>
                <w:highlight w:val="none"/>
              </w:rPr>
              <w:t>8</w:t>
            </w:r>
            <w:r>
              <w:rPr>
                <w:rFonts w:ascii="Segoe UI" w:eastAsia="Segoe UI"/>
                <w:sz w:val="24"/>
                <w:szCs w:val="22"/>
                <w:highlight w:val="none"/>
              </w:rPr>
              <w:t>.00分</w:t>
            </w:r>
          </w:p>
        </w:tc>
        <w:tc>
          <w:tcPr>
            <w:tcW w:w="6247" w:type="dxa"/>
            <w:tcBorders>
              <w:top w:val="single" w:color="auto" w:sz="6" w:space="0"/>
              <w:left w:val="single" w:color="auto" w:sz="6" w:space="0"/>
              <w:bottom w:val="single" w:color="auto" w:sz="6" w:space="0"/>
              <w:right w:val="single" w:color="auto" w:sz="6" w:space="0"/>
            </w:tcBorders>
            <w:noWrap w:val="0"/>
            <w:vAlign w:val="center"/>
          </w:tcPr>
          <w:p w14:paraId="21CBC561">
            <w:pPr>
              <w:snapToGrid w:val="0"/>
              <w:spacing w:line="240" w:lineRule="auto"/>
              <w:ind w:left="0" w:leftChars="0" w:right="0" w:rightChars="0" w:firstLine="0" w:firstLineChars="0"/>
              <w:jc w:val="left"/>
              <w:rPr>
                <w:rFonts w:hint="eastAsia" w:ascii="Segoe UI" w:eastAsia="Segoe UI"/>
                <w:sz w:val="24"/>
                <w:szCs w:val="22"/>
                <w:highlight w:val="none"/>
              </w:rPr>
            </w:pPr>
            <w:r>
              <w:rPr>
                <w:rFonts w:hint="eastAsia" w:ascii="Segoe UI" w:eastAsia="Segoe UI"/>
                <w:sz w:val="24"/>
                <w:szCs w:val="22"/>
                <w:highlight w:val="none"/>
                <w:lang w:eastAsia="zh-CN"/>
              </w:rPr>
              <w:t>投标人或所投产品制造商</w:t>
            </w:r>
            <w:r>
              <w:rPr>
                <w:rFonts w:hint="eastAsia" w:ascii="Segoe UI" w:eastAsia="Segoe UI"/>
                <w:sz w:val="24"/>
                <w:szCs w:val="22"/>
                <w:highlight w:val="none"/>
              </w:rPr>
              <w:t>自202</w:t>
            </w:r>
            <w:r>
              <w:rPr>
                <w:rFonts w:hint="eastAsia" w:ascii="Segoe UI" w:eastAsia="Segoe UI"/>
                <w:sz w:val="24"/>
                <w:szCs w:val="22"/>
                <w:highlight w:val="none"/>
                <w:lang w:val="en-US" w:eastAsia="zh-CN"/>
              </w:rPr>
              <w:t>3</w:t>
            </w:r>
            <w:r>
              <w:rPr>
                <w:rFonts w:hint="eastAsia" w:ascii="Segoe UI" w:eastAsia="Segoe UI"/>
                <w:sz w:val="24"/>
                <w:szCs w:val="22"/>
                <w:highlight w:val="none"/>
              </w:rPr>
              <w:t>年</w:t>
            </w:r>
            <w:r>
              <w:rPr>
                <w:rFonts w:hint="eastAsia" w:ascii="Segoe UI" w:eastAsia="Segoe UI"/>
                <w:sz w:val="24"/>
                <w:szCs w:val="22"/>
                <w:highlight w:val="none"/>
                <w:lang w:val="en-US" w:eastAsia="zh-CN"/>
              </w:rPr>
              <w:t>8</w:t>
            </w:r>
            <w:r>
              <w:rPr>
                <w:rFonts w:hint="eastAsia" w:ascii="Segoe UI" w:eastAsia="Segoe UI"/>
                <w:sz w:val="24"/>
                <w:szCs w:val="22"/>
                <w:highlight w:val="none"/>
              </w:rPr>
              <w:t>月1日以来（以合同签订时间为准），具有承担</w:t>
            </w:r>
            <w:r>
              <w:rPr>
                <w:rFonts w:hint="eastAsia" w:ascii="Segoe UI" w:eastAsia="Segoe UI"/>
                <w:sz w:val="24"/>
                <w:szCs w:val="22"/>
                <w:highlight w:val="none"/>
                <w:lang w:eastAsia="zh-CN"/>
              </w:rPr>
              <w:t>过</w:t>
            </w:r>
            <w:r>
              <w:rPr>
                <w:rFonts w:hint="eastAsia" w:ascii="Segoe UI" w:eastAsia="Segoe UI"/>
                <w:sz w:val="24"/>
                <w:szCs w:val="22"/>
                <w:highlight w:val="none"/>
              </w:rPr>
              <w:t>类似项目业绩的，每有一个得</w:t>
            </w:r>
            <w:r>
              <w:rPr>
                <w:rFonts w:hint="eastAsia" w:ascii="Segoe UI" w:eastAsia="Segoe UI"/>
                <w:sz w:val="24"/>
                <w:szCs w:val="22"/>
                <w:highlight w:val="none"/>
                <w:lang w:val="en-US" w:eastAsia="zh-CN"/>
              </w:rPr>
              <w:t>2</w:t>
            </w:r>
            <w:r>
              <w:rPr>
                <w:rFonts w:hint="eastAsia" w:ascii="Segoe UI" w:eastAsia="Segoe UI"/>
                <w:sz w:val="24"/>
                <w:szCs w:val="22"/>
                <w:highlight w:val="none"/>
              </w:rPr>
              <w:t>分，本项最高得</w:t>
            </w:r>
            <w:r>
              <w:rPr>
                <w:rFonts w:hint="eastAsia" w:ascii="Segoe UI" w:eastAsia="Segoe UI"/>
                <w:sz w:val="24"/>
                <w:szCs w:val="22"/>
                <w:highlight w:val="none"/>
                <w:lang w:val="en-US" w:eastAsia="zh-CN"/>
              </w:rPr>
              <w:t>8</w:t>
            </w:r>
            <w:r>
              <w:rPr>
                <w:rFonts w:hint="eastAsia" w:ascii="Segoe UI" w:eastAsia="Segoe UI"/>
                <w:sz w:val="24"/>
                <w:szCs w:val="22"/>
                <w:highlight w:val="none"/>
              </w:rPr>
              <w:t>分。</w:t>
            </w:r>
          </w:p>
          <w:p w14:paraId="767E743E">
            <w:pPr>
              <w:snapToGrid w:val="0"/>
              <w:spacing w:line="240" w:lineRule="auto"/>
              <w:ind w:left="0" w:leftChars="0" w:right="0" w:rightChars="0" w:firstLine="0" w:firstLineChars="0"/>
              <w:jc w:val="left"/>
              <w:rPr>
                <w:rFonts w:ascii="Segoe UI" w:eastAsia="Segoe UI"/>
                <w:sz w:val="24"/>
                <w:szCs w:val="22"/>
                <w:highlight w:val="none"/>
              </w:rPr>
            </w:pPr>
            <w:r>
              <w:rPr>
                <w:rFonts w:hint="eastAsia" w:ascii="Segoe UI" w:eastAsia="Segoe UI"/>
                <w:sz w:val="24"/>
                <w:szCs w:val="22"/>
                <w:highlight w:val="none"/>
              </w:rPr>
              <w:t>注：须提供中标或成交通知书、合同、验收报告原件扫描件，且合同业绩中主要内容、标的、合同签订日期、金额清晰可见，否则不得分。</w:t>
            </w:r>
          </w:p>
        </w:tc>
      </w:tr>
      <w:tr w14:paraId="29D6E82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0" w:type="auto"/>
            <w:vMerge w:val="continue"/>
            <w:tcBorders>
              <w:left w:val="single" w:color="auto" w:sz="6" w:space="0"/>
              <w:right w:val="single" w:color="auto" w:sz="6" w:space="0"/>
            </w:tcBorders>
            <w:noWrap w:val="0"/>
            <w:vAlign w:val="center"/>
          </w:tcPr>
          <w:p w14:paraId="46ECA6D6">
            <w:pPr>
              <w:snapToGrid w:val="0"/>
              <w:spacing w:line="240" w:lineRule="auto"/>
              <w:ind w:left="0" w:leftChars="0" w:right="0" w:rightChars="0" w:firstLine="0" w:firstLineChars="0"/>
              <w:jc w:val="left"/>
              <w:rPr>
                <w:rFonts w:ascii="Segoe UI" w:eastAsia="Segoe UI"/>
                <w:sz w:val="24"/>
                <w:szCs w:val="22"/>
                <w:highlight w:val="none"/>
              </w:rPr>
            </w:pPr>
          </w:p>
        </w:tc>
        <w:tc>
          <w:tcPr>
            <w:tcW w:w="0" w:type="auto"/>
            <w:tcBorders>
              <w:top w:val="single" w:color="auto" w:sz="4" w:space="0"/>
              <w:left w:val="single" w:color="auto" w:sz="6" w:space="0"/>
              <w:bottom w:val="single" w:color="auto" w:sz="6" w:space="0"/>
              <w:right w:val="single" w:color="auto" w:sz="6" w:space="0"/>
            </w:tcBorders>
            <w:noWrap w:val="0"/>
            <w:vAlign w:val="center"/>
          </w:tcPr>
          <w:p w14:paraId="5A84A51E">
            <w:pPr>
              <w:snapToGrid w:val="0"/>
              <w:spacing w:line="240" w:lineRule="auto"/>
              <w:ind w:left="0" w:leftChars="0" w:right="0" w:rightChars="0" w:firstLine="0" w:firstLineChars="0"/>
              <w:jc w:val="left"/>
              <w:rPr>
                <w:rFonts w:ascii="Segoe UI" w:eastAsia="Segoe UI"/>
                <w:sz w:val="24"/>
                <w:szCs w:val="22"/>
                <w:highlight w:val="none"/>
              </w:rPr>
            </w:pPr>
            <w:r>
              <w:rPr>
                <w:rFonts w:hint="eastAsia" w:ascii="Segoe UI" w:eastAsia="Segoe UI"/>
                <w:sz w:val="24"/>
                <w:szCs w:val="22"/>
                <w:highlight w:val="none"/>
              </w:rPr>
              <w:t>节能环保</w:t>
            </w:r>
          </w:p>
        </w:tc>
        <w:tc>
          <w:tcPr>
            <w:tcW w:w="1021" w:type="dxa"/>
            <w:tcBorders>
              <w:top w:val="single" w:color="auto" w:sz="4" w:space="0"/>
              <w:left w:val="single" w:color="auto" w:sz="6" w:space="0"/>
              <w:bottom w:val="single" w:color="auto" w:sz="6" w:space="0"/>
              <w:right w:val="single" w:color="auto" w:sz="6" w:space="0"/>
            </w:tcBorders>
            <w:noWrap w:val="0"/>
            <w:vAlign w:val="center"/>
          </w:tcPr>
          <w:p w14:paraId="05EDC70F">
            <w:pPr>
              <w:snapToGrid w:val="0"/>
              <w:spacing w:line="240" w:lineRule="auto"/>
              <w:ind w:left="0" w:leftChars="0" w:right="0" w:rightChars="0" w:firstLine="0" w:firstLineChars="0"/>
              <w:jc w:val="right"/>
              <w:rPr>
                <w:rFonts w:ascii="Segoe UI" w:eastAsia="Segoe UI"/>
                <w:sz w:val="24"/>
                <w:szCs w:val="22"/>
                <w:highlight w:val="none"/>
              </w:rPr>
            </w:pPr>
            <w:r>
              <w:rPr>
                <w:rFonts w:ascii="Segoe UI" w:eastAsia="Segoe UI"/>
                <w:sz w:val="24"/>
                <w:szCs w:val="22"/>
                <w:highlight w:val="none"/>
              </w:rPr>
              <w:t>2.00</w:t>
            </w:r>
            <w:r>
              <w:rPr>
                <w:rFonts w:hint="eastAsia" w:ascii="Segoe UI" w:eastAsia="Segoe UI"/>
                <w:sz w:val="24"/>
                <w:szCs w:val="22"/>
                <w:highlight w:val="none"/>
              </w:rPr>
              <w:t>分</w:t>
            </w:r>
          </w:p>
        </w:tc>
        <w:tc>
          <w:tcPr>
            <w:tcW w:w="6247" w:type="dxa"/>
            <w:tcBorders>
              <w:top w:val="single" w:color="auto" w:sz="4" w:space="0"/>
              <w:left w:val="single" w:color="auto" w:sz="6" w:space="0"/>
              <w:bottom w:val="single" w:color="auto" w:sz="6" w:space="0"/>
              <w:right w:val="single" w:color="auto" w:sz="6" w:space="0"/>
            </w:tcBorders>
            <w:noWrap w:val="0"/>
            <w:vAlign w:val="center"/>
          </w:tcPr>
          <w:p w14:paraId="26B5C5D5">
            <w:pPr>
              <w:snapToGrid w:val="0"/>
              <w:spacing w:line="240" w:lineRule="auto"/>
              <w:ind w:left="0" w:leftChars="0" w:right="0" w:rightChars="0" w:firstLine="0" w:firstLineChars="0"/>
              <w:jc w:val="left"/>
              <w:rPr>
                <w:rFonts w:ascii="Segoe UI" w:eastAsia="Segoe UI"/>
                <w:sz w:val="24"/>
                <w:szCs w:val="22"/>
                <w:highlight w:val="none"/>
              </w:rPr>
            </w:pPr>
            <w:r>
              <w:rPr>
                <w:rFonts w:hint="eastAsia" w:ascii="Segoe UI" w:eastAsia="Segoe UI"/>
                <w:sz w:val="24"/>
                <w:szCs w:val="22"/>
                <w:highlight w:val="none"/>
              </w:rPr>
              <w:t>1、投标产品在财政部、生态环境部公布的“环境标志产品政府采购品目清单”内，且投标文件中提供国家市场监督管理</w:t>
            </w:r>
            <w:r>
              <w:rPr>
                <w:rFonts w:hint="eastAsia" w:ascii="Segoe UI" w:eastAsia="宋体"/>
                <w:sz w:val="24"/>
                <w:szCs w:val="22"/>
                <w:highlight w:val="none"/>
                <w:lang w:val="en-US" w:eastAsia="zh-CN"/>
              </w:rPr>
              <w:t>总</w:t>
            </w:r>
            <w:r>
              <w:rPr>
                <w:rFonts w:hint="eastAsia" w:ascii="Segoe UI" w:eastAsia="Segoe UI"/>
                <w:sz w:val="24"/>
                <w:szCs w:val="22"/>
                <w:highlight w:val="none"/>
              </w:rPr>
              <w:t>局确定的列入“参与实施政府采购环境标志产品认证机构名录 ” 内的认证机构出具的、有效期内的该产品环境标志产品认证证书电子件的得1分；</w:t>
            </w:r>
          </w:p>
          <w:p w14:paraId="00E0D52C">
            <w:pPr>
              <w:snapToGrid w:val="0"/>
              <w:spacing w:line="240" w:lineRule="auto"/>
              <w:ind w:left="0" w:leftChars="0" w:right="0" w:rightChars="0" w:firstLine="0" w:firstLineChars="0"/>
              <w:jc w:val="left"/>
              <w:rPr>
                <w:rFonts w:ascii="Segoe UI" w:eastAsia="Segoe UI"/>
                <w:sz w:val="24"/>
                <w:szCs w:val="22"/>
                <w:highlight w:val="none"/>
              </w:rPr>
            </w:pPr>
            <w:r>
              <w:rPr>
                <w:rFonts w:hint="eastAsia" w:ascii="Segoe UI" w:eastAsia="Segoe UI"/>
                <w:sz w:val="24"/>
                <w:szCs w:val="22"/>
                <w:highlight w:val="none"/>
              </w:rPr>
              <w:t>2、投标产品在财政部、发展改革委公布的“节能产品政府采购品目清单”内，且投标文件中提供国家市场监督管理</w:t>
            </w:r>
            <w:r>
              <w:rPr>
                <w:rFonts w:hint="eastAsia" w:ascii="Segoe UI" w:eastAsia="宋体"/>
                <w:sz w:val="24"/>
                <w:szCs w:val="22"/>
                <w:highlight w:val="none"/>
                <w:lang w:val="en-US" w:eastAsia="zh-CN"/>
              </w:rPr>
              <w:t>总</w:t>
            </w:r>
            <w:r>
              <w:rPr>
                <w:rFonts w:hint="eastAsia" w:ascii="Segoe UI" w:eastAsia="Segoe UI"/>
                <w:sz w:val="24"/>
                <w:szCs w:val="22"/>
                <w:highlight w:val="none"/>
              </w:rPr>
              <w:t>局确定的列入“参与实施政府采购节能产品认证机构名录”内的认证机构出具的、有效期内的该产品的节能产品认证证书电子件的得1分。未提供的不得分。</w:t>
            </w:r>
          </w:p>
        </w:tc>
      </w:tr>
      <w:tr w14:paraId="0368140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0" w:type="auto"/>
            <w:vMerge w:val="restart"/>
            <w:tcBorders>
              <w:top w:val="single" w:color="auto" w:sz="6" w:space="0"/>
              <w:left w:val="single" w:color="auto" w:sz="6" w:space="0"/>
              <w:right w:val="single" w:color="auto" w:sz="6" w:space="0"/>
            </w:tcBorders>
            <w:noWrap w:val="0"/>
            <w:vAlign w:val="center"/>
          </w:tcPr>
          <w:p w14:paraId="1265ED4D">
            <w:pPr>
              <w:snapToGrid w:val="0"/>
              <w:spacing w:line="240" w:lineRule="auto"/>
              <w:ind w:left="0" w:leftChars="0" w:right="0" w:rightChars="0" w:firstLine="0" w:firstLineChars="0"/>
              <w:jc w:val="left"/>
              <w:rPr>
                <w:rFonts w:ascii="Segoe UI" w:eastAsia="Segoe UI"/>
                <w:sz w:val="24"/>
                <w:szCs w:val="22"/>
                <w:highlight w:val="none"/>
              </w:rPr>
            </w:pPr>
            <w:r>
              <w:rPr>
                <w:rFonts w:ascii="Segoe UI" w:eastAsia="Segoe UI"/>
                <w:sz w:val="24"/>
                <w:szCs w:val="22"/>
                <w:highlight w:val="none"/>
              </w:rPr>
              <w:t>项目实施方要求</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52CEE5B6">
            <w:pPr>
              <w:snapToGrid w:val="0"/>
              <w:spacing w:line="240" w:lineRule="auto"/>
              <w:ind w:left="0" w:leftChars="0" w:right="0" w:rightChars="0" w:firstLine="0" w:firstLineChars="0"/>
              <w:jc w:val="left"/>
              <w:rPr>
                <w:rFonts w:ascii="Segoe UI" w:eastAsia="Segoe UI"/>
                <w:sz w:val="24"/>
                <w:szCs w:val="22"/>
                <w:highlight w:val="none"/>
              </w:rPr>
            </w:pPr>
            <w:r>
              <w:rPr>
                <w:rFonts w:ascii="Segoe UI" w:eastAsia="Segoe UI"/>
                <w:sz w:val="24"/>
                <w:szCs w:val="22"/>
                <w:highlight w:val="none"/>
              </w:rPr>
              <w:t>实施方案</w:t>
            </w:r>
          </w:p>
        </w:tc>
        <w:tc>
          <w:tcPr>
            <w:tcW w:w="1021" w:type="dxa"/>
            <w:tcBorders>
              <w:top w:val="single" w:color="auto" w:sz="6" w:space="0"/>
              <w:left w:val="single" w:color="auto" w:sz="6" w:space="0"/>
              <w:bottom w:val="single" w:color="auto" w:sz="6" w:space="0"/>
              <w:right w:val="single" w:color="auto" w:sz="6" w:space="0"/>
            </w:tcBorders>
            <w:noWrap w:val="0"/>
            <w:vAlign w:val="center"/>
          </w:tcPr>
          <w:p w14:paraId="42F44FB1">
            <w:pPr>
              <w:snapToGrid w:val="0"/>
              <w:spacing w:line="240" w:lineRule="auto"/>
              <w:ind w:left="0" w:leftChars="0" w:right="0" w:rightChars="0" w:firstLine="0" w:firstLineChars="0"/>
              <w:jc w:val="right"/>
              <w:rPr>
                <w:rFonts w:ascii="Segoe UI" w:eastAsia="Segoe UI"/>
                <w:sz w:val="24"/>
                <w:szCs w:val="22"/>
                <w:highlight w:val="none"/>
              </w:rPr>
            </w:pPr>
            <w:r>
              <w:rPr>
                <w:rFonts w:hint="eastAsia" w:ascii="Segoe UI" w:eastAsia="Segoe UI"/>
                <w:sz w:val="24"/>
                <w:szCs w:val="22"/>
                <w:highlight w:val="none"/>
              </w:rPr>
              <w:t>8</w:t>
            </w:r>
            <w:r>
              <w:rPr>
                <w:rFonts w:ascii="Segoe UI" w:eastAsia="Segoe UI"/>
                <w:sz w:val="24"/>
                <w:szCs w:val="22"/>
                <w:highlight w:val="none"/>
              </w:rPr>
              <w:t>.00分</w:t>
            </w:r>
          </w:p>
        </w:tc>
        <w:tc>
          <w:tcPr>
            <w:tcW w:w="6247" w:type="dxa"/>
            <w:tcBorders>
              <w:top w:val="single" w:color="auto" w:sz="6" w:space="0"/>
              <w:left w:val="single" w:color="auto" w:sz="6" w:space="0"/>
              <w:bottom w:val="single" w:color="auto" w:sz="6" w:space="0"/>
              <w:right w:val="single" w:color="auto" w:sz="6" w:space="0"/>
            </w:tcBorders>
            <w:noWrap w:val="0"/>
            <w:vAlign w:val="center"/>
          </w:tcPr>
          <w:p w14:paraId="2A73A935">
            <w:pPr>
              <w:snapToGrid w:val="0"/>
              <w:spacing w:line="240" w:lineRule="auto"/>
              <w:ind w:left="0" w:leftChars="0" w:right="0" w:rightChars="0" w:firstLine="0" w:firstLineChars="0"/>
              <w:jc w:val="left"/>
              <w:rPr>
                <w:rFonts w:hint="eastAsia" w:ascii="Segoe UI" w:eastAsia="Segoe UI"/>
                <w:sz w:val="24"/>
                <w:szCs w:val="22"/>
                <w:highlight w:val="none"/>
              </w:rPr>
            </w:pPr>
            <w:r>
              <w:rPr>
                <w:rFonts w:hint="eastAsia" w:ascii="Segoe UI" w:eastAsia="Segoe UI"/>
                <w:sz w:val="24"/>
                <w:szCs w:val="22"/>
                <w:highlight w:val="none"/>
              </w:rPr>
              <w:t>评委根据投标文件中实施方案的内容（包括但不限于项目技术方案、改造方案、供货计划、质量保障措施、风险控制管理措施等）进行打分：</w:t>
            </w:r>
            <w:r>
              <w:rPr>
                <w:rFonts w:hint="eastAsia" w:ascii="Segoe UI" w:hAnsi="微软雅黑" w:eastAsia="Segoe UI" w:cs="微软雅黑"/>
                <w:sz w:val="24"/>
                <w:szCs w:val="22"/>
                <w:highlight w:val="none"/>
              </w:rPr>
              <w:t>①</w:t>
            </w:r>
            <w:r>
              <w:rPr>
                <w:rFonts w:ascii="Segoe UI" w:hAnsi="Segoe UI" w:eastAsia="Segoe UI" w:cs="Segoe UI"/>
                <w:i w:val="0"/>
                <w:iCs w:val="0"/>
                <w:caps w:val="0"/>
                <w:color w:val="0F1115"/>
                <w:spacing w:val="0"/>
                <w:sz w:val="24"/>
                <w:szCs w:val="24"/>
                <w:highlight w:val="none"/>
                <w:shd w:val="clear" w:fill="FFFFFF"/>
              </w:rPr>
              <w:t>方案内容全面具体、详实充分，各项子方案（技术方案、改造方案、供货计划、质量保障措施、风险控制管理措施等）均优于采购人的实际需求，针对性极强，逻辑清晰、可操作性突出，能够有效指导项目全过程实施</w:t>
            </w:r>
            <w:r>
              <w:rPr>
                <w:rFonts w:hint="eastAsia" w:ascii="Segoe UI" w:hAnsi="Segoe UI" w:eastAsia="Segoe UI" w:cs="Segoe UI"/>
                <w:i w:val="0"/>
                <w:iCs w:val="0"/>
                <w:caps w:val="0"/>
                <w:color w:val="0F1115"/>
                <w:spacing w:val="0"/>
                <w:sz w:val="24"/>
                <w:szCs w:val="24"/>
                <w:highlight w:val="none"/>
                <w:shd w:val="clear" w:fill="FFFFFF"/>
                <w:lang w:eastAsia="zh-CN"/>
              </w:rPr>
              <w:t>，得</w:t>
            </w:r>
            <w:r>
              <w:rPr>
                <w:rFonts w:hint="eastAsia" w:ascii="Segoe UI" w:hAnsi="Segoe UI" w:eastAsia="Segoe UI" w:cs="Segoe UI"/>
                <w:i w:val="0"/>
                <w:iCs w:val="0"/>
                <w:caps w:val="0"/>
                <w:color w:val="0F1115"/>
                <w:spacing w:val="0"/>
                <w:sz w:val="24"/>
                <w:szCs w:val="24"/>
                <w:highlight w:val="none"/>
                <w:shd w:val="clear" w:fill="FFFFFF"/>
                <w:lang w:val="en-US" w:eastAsia="zh-CN"/>
              </w:rPr>
              <w:t>8分；</w:t>
            </w:r>
            <w:r>
              <w:rPr>
                <w:rFonts w:hint="eastAsia" w:ascii="Segoe UI" w:hAnsi="微软雅黑" w:eastAsia="Segoe UI" w:cs="微软雅黑"/>
                <w:i w:val="0"/>
                <w:iCs w:val="0"/>
                <w:caps w:val="0"/>
                <w:color w:val="0F1115"/>
                <w:spacing w:val="0"/>
                <w:sz w:val="24"/>
                <w:szCs w:val="24"/>
                <w:highlight w:val="none"/>
                <w:shd w:val="clear" w:fill="FFFFFF"/>
                <w:lang w:val="en-US" w:eastAsia="zh-CN"/>
              </w:rPr>
              <w:t>②</w:t>
            </w:r>
            <w:r>
              <w:rPr>
                <w:rFonts w:ascii="Segoe UI" w:hAnsi="Segoe UI" w:eastAsia="Segoe UI" w:cs="Segoe UI"/>
                <w:i w:val="0"/>
                <w:iCs w:val="0"/>
                <w:caps w:val="0"/>
                <w:color w:val="0F1115"/>
                <w:spacing w:val="0"/>
                <w:sz w:val="24"/>
                <w:szCs w:val="24"/>
                <w:highlight w:val="none"/>
                <w:shd w:val="clear" w:fill="FFFFFF"/>
              </w:rPr>
              <w:t>方案内容较为全面具体，各项子方案整体优于采购人的基本要求，具有较好的针对性和可操作性，能够较好地指导项目实施</w:t>
            </w:r>
            <w:r>
              <w:rPr>
                <w:rFonts w:hint="eastAsia" w:ascii="Segoe UI" w:hAnsi="Segoe UI" w:eastAsia="Segoe UI" w:cs="Segoe UI"/>
                <w:i w:val="0"/>
                <w:iCs w:val="0"/>
                <w:caps w:val="0"/>
                <w:color w:val="0F1115"/>
                <w:spacing w:val="0"/>
                <w:sz w:val="24"/>
                <w:szCs w:val="24"/>
                <w:highlight w:val="none"/>
                <w:shd w:val="clear" w:fill="FFFFFF"/>
                <w:lang w:eastAsia="zh-CN"/>
              </w:rPr>
              <w:t>，得</w:t>
            </w:r>
            <w:r>
              <w:rPr>
                <w:rFonts w:hint="eastAsia" w:ascii="Segoe UI" w:hAnsi="Segoe UI" w:eastAsia="Segoe UI" w:cs="Segoe UI"/>
                <w:i w:val="0"/>
                <w:iCs w:val="0"/>
                <w:caps w:val="0"/>
                <w:color w:val="0F1115"/>
                <w:spacing w:val="0"/>
                <w:sz w:val="24"/>
                <w:szCs w:val="24"/>
                <w:highlight w:val="none"/>
                <w:shd w:val="clear" w:fill="FFFFFF"/>
                <w:lang w:val="en-US" w:eastAsia="zh-CN"/>
              </w:rPr>
              <w:t>6分；</w:t>
            </w:r>
            <w:r>
              <w:rPr>
                <w:rFonts w:hint="eastAsia" w:ascii="Segoe UI" w:hAnsi="微软雅黑" w:eastAsia="Segoe UI" w:cs="微软雅黑"/>
                <w:i w:val="0"/>
                <w:iCs w:val="0"/>
                <w:caps w:val="0"/>
                <w:color w:val="0F1115"/>
                <w:spacing w:val="0"/>
                <w:sz w:val="24"/>
                <w:szCs w:val="24"/>
                <w:highlight w:val="none"/>
                <w:shd w:val="clear" w:fill="FFFFFF"/>
                <w:lang w:val="en-US" w:eastAsia="zh-CN"/>
              </w:rPr>
              <w:t>③</w:t>
            </w:r>
            <w:r>
              <w:rPr>
                <w:rFonts w:ascii="Segoe UI" w:hAnsi="Segoe UI" w:eastAsia="Segoe UI" w:cs="Segoe UI"/>
                <w:i w:val="0"/>
                <w:iCs w:val="0"/>
                <w:caps w:val="0"/>
                <w:color w:val="0F1115"/>
                <w:spacing w:val="0"/>
                <w:sz w:val="24"/>
                <w:szCs w:val="24"/>
                <w:highlight w:val="none"/>
                <w:shd w:val="clear" w:fill="FFFFFF"/>
              </w:rPr>
              <w:t>方案内容基本全面、完整，各项子方案能够满足采购人的基本要求，具有一定的合理性和可行性，可满足项目常规实施需要</w:t>
            </w:r>
            <w:r>
              <w:rPr>
                <w:rFonts w:hint="eastAsia" w:ascii="Segoe UI" w:hAnsi="Segoe UI" w:eastAsia="Segoe UI" w:cs="Segoe UI"/>
                <w:i w:val="0"/>
                <w:iCs w:val="0"/>
                <w:caps w:val="0"/>
                <w:color w:val="0F1115"/>
                <w:spacing w:val="0"/>
                <w:sz w:val="24"/>
                <w:szCs w:val="24"/>
                <w:highlight w:val="none"/>
                <w:shd w:val="clear" w:fill="FFFFFF"/>
                <w:lang w:eastAsia="zh-CN"/>
              </w:rPr>
              <w:t>，得</w:t>
            </w:r>
            <w:r>
              <w:rPr>
                <w:rFonts w:hint="eastAsia" w:ascii="Segoe UI" w:hAnsi="Segoe UI" w:eastAsia="Segoe UI" w:cs="Segoe UI"/>
                <w:i w:val="0"/>
                <w:iCs w:val="0"/>
                <w:caps w:val="0"/>
                <w:color w:val="0F1115"/>
                <w:spacing w:val="0"/>
                <w:sz w:val="24"/>
                <w:szCs w:val="24"/>
                <w:highlight w:val="none"/>
                <w:shd w:val="clear" w:fill="FFFFFF"/>
                <w:lang w:val="en-US" w:eastAsia="zh-CN"/>
              </w:rPr>
              <w:t>4分；</w:t>
            </w:r>
            <w:r>
              <w:rPr>
                <w:rFonts w:hint="eastAsia" w:ascii="Segoe UI" w:hAnsi="微软雅黑" w:eastAsia="Segoe UI" w:cs="微软雅黑"/>
                <w:i w:val="0"/>
                <w:iCs w:val="0"/>
                <w:caps w:val="0"/>
                <w:color w:val="0F1115"/>
                <w:spacing w:val="0"/>
                <w:sz w:val="24"/>
                <w:szCs w:val="24"/>
                <w:highlight w:val="none"/>
                <w:shd w:val="clear" w:fill="FFFFFF"/>
                <w:lang w:val="en-US" w:eastAsia="zh-CN"/>
              </w:rPr>
              <w:t>④</w:t>
            </w:r>
            <w:r>
              <w:rPr>
                <w:rFonts w:ascii="Segoe UI" w:hAnsi="Segoe UI" w:eastAsia="Segoe UI" w:cs="Segoe UI"/>
                <w:i w:val="0"/>
                <w:iCs w:val="0"/>
                <w:caps w:val="0"/>
                <w:color w:val="0F1115"/>
                <w:spacing w:val="0"/>
                <w:sz w:val="24"/>
                <w:szCs w:val="24"/>
                <w:highlight w:val="none"/>
                <w:shd w:val="clear" w:fill="FFFFFF"/>
              </w:rPr>
              <w:t>方案内容不够全面，部分子方案存在内容空泛、细节缺失或逻辑不清的情况，不能完全满足采购人的要求，针对性和可操作性不足</w:t>
            </w:r>
            <w:r>
              <w:rPr>
                <w:rFonts w:hint="eastAsia" w:ascii="Segoe UI" w:hAnsi="Segoe UI" w:eastAsia="Segoe UI" w:cs="Segoe UI"/>
                <w:i w:val="0"/>
                <w:iCs w:val="0"/>
                <w:caps w:val="0"/>
                <w:color w:val="0F1115"/>
                <w:spacing w:val="0"/>
                <w:sz w:val="24"/>
                <w:szCs w:val="24"/>
                <w:highlight w:val="none"/>
                <w:shd w:val="clear" w:fill="FFFFFF"/>
                <w:lang w:eastAsia="zh-CN"/>
              </w:rPr>
              <w:t>，得</w:t>
            </w:r>
            <w:r>
              <w:rPr>
                <w:rFonts w:hint="eastAsia" w:ascii="Segoe UI" w:hAnsi="Segoe UI" w:eastAsia="Segoe UI" w:cs="Segoe UI"/>
                <w:i w:val="0"/>
                <w:iCs w:val="0"/>
                <w:caps w:val="0"/>
                <w:color w:val="0F1115"/>
                <w:spacing w:val="0"/>
                <w:sz w:val="24"/>
                <w:szCs w:val="24"/>
                <w:highlight w:val="none"/>
                <w:shd w:val="clear" w:fill="FFFFFF"/>
                <w:lang w:val="en-US" w:eastAsia="zh-CN"/>
              </w:rPr>
              <w:t>2分；</w:t>
            </w:r>
            <w:r>
              <w:rPr>
                <w:rFonts w:hint="eastAsia" w:ascii="Segoe UI" w:hAnsi="微软雅黑" w:eastAsia="Segoe UI" w:cs="微软雅黑"/>
                <w:i w:val="0"/>
                <w:iCs w:val="0"/>
                <w:caps w:val="0"/>
                <w:color w:val="0F1115"/>
                <w:spacing w:val="0"/>
                <w:sz w:val="24"/>
                <w:szCs w:val="24"/>
                <w:highlight w:val="none"/>
                <w:shd w:val="clear" w:fill="FFFFFF"/>
                <w:lang w:val="en-US" w:eastAsia="zh-CN"/>
              </w:rPr>
              <w:t>⑤</w:t>
            </w:r>
            <w:r>
              <w:rPr>
                <w:rFonts w:hint="eastAsia" w:ascii="Segoe UI" w:eastAsia="Segoe UI"/>
                <w:sz w:val="24"/>
                <w:szCs w:val="22"/>
                <w:highlight w:val="none"/>
              </w:rPr>
              <w:t>方案有重大缺陷或</w:t>
            </w:r>
            <w:r>
              <w:rPr>
                <w:rFonts w:ascii="Segoe UI" w:hAnsi="Segoe UI" w:eastAsia="Segoe UI" w:cs="Segoe UI"/>
                <w:i w:val="0"/>
                <w:iCs w:val="0"/>
                <w:caps w:val="0"/>
                <w:color w:val="0F1115"/>
                <w:spacing w:val="0"/>
                <w:sz w:val="24"/>
                <w:szCs w:val="24"/>
                <w:highlight w:val="none"/>
                <w:shd w:val="clear" w:fill="FFFFFF"/>
              </w:rPr>
              <w:t>未提供</w:t>
            </w:r>
            <w:r>
              <w:rPr>
                <w:rFonts w:hint="eastAsia" w:ascii="Segoe UI" w:hAnsi="Segoe UI" w:eastAsia="Segoe UI" w:cs="Segoe UI"/>
                <w:i w:val="0"/>
                <w:iCs w:val="0"/>
                <w:caps w:val="0"/>
                <w:color w:val="0F1115"/>
                <w:spacing w:val="0"/>
                <w:sz w:val="24"/>
                <w:szCs w:val="24"/>
                <w:highlight w:val="none"/>
                <w:shd w:val="clear" w:fill="FFFFFF"/>
                <w:lang w:eastAsia="zh-CN"/>
              </w:rPr>
              <w:t>的得</w:t>
            </w:r>
            <w:r>
              <w:rPr>
                <w:rFonts w:hint="eastAsia" w:ascii="Segoe UI" w:hAnsi="Segoe UI" w:eastAsia="Segoe UI" w:cs="Segoe UI"/>
                <w:i w:val="0"/>
                <w:iCs w:val="0"/>
                <w:caps w:val="0"/>
                <w:color w:val="0F1115"/>
                <w:spacing w:val="0"/>
                <w:sz w:val="24"/>
                <w:szCs w:val="24"/>
                <w:highlight w:val="none"/>
                <w:shd w:val="clear" w:fill="FFFFFF"/>
                <w:lang w:val="en-US" w:eastAsia="zh-CN"/>
              </w:rPr>
              <w:t>0分</w:t>
            </w:r>
            <w:r>
              <w:rPr>
                <w:rFonts w:ascii="Segoe UI" w:hAnsi="Segoe UI" w:eastAsia="Segoe UI" w:cs="Segoe UI"/>
                <w:i w:val="0"/>
                <w:iCs w:val="0"/>
                <w:caps w:val="0"/>
                <w:color w:val="0F1115"/>
                <w:spacing w:val="0"/>
                <w:sz w:val="24"/>
                <w:szCs w:val="24"/>
                <w:highlight w:val="none"/>
                <w:shd w:val="clear" w:fill="FFFFFF"/>
              </w:rPr>
              <w:t>。</w:t>
            </w:r>
          </w:p>
        </w:tc>
      </w:tr>
      <w:tr w14:paraId="782F5A1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0" w:type="auto"/>
            <w:vMerge w:val="continue"/>
            <w:tcBorders>
              <w:left w:val="single" w:color="auto" w:sz="6" w:space="0"/>
              <w:right w:val="single" w:color="auto" w:sz="6" w:space="0"/>
            </w:tcBorders>
            <w:noWrap w:val="0"/>
            <w:vAlign w:val="center"/>
          </w:tcPr>
          <w:p w14:paraId="607C1387">
            <w:pPr>
              <w:snapToGrid w:val="0"/>
              <w:spacing w:line="240" w:lineRule="auto"/>
              <w:ind w:left="0" w:leftChars="0" w:right="0" w:rightChars="0" w:firstLine="0" w:firstLineChars="0"/>
              <w:jc w:val="left"/>
              <w:rPr>
                <w:rFonts w:ascii="Segoe UI" w:eastAsia="Segoe UI"/>
                <w:sz w:val="24"/>
                <w:szCs w:val="22"/>
                <w:highlight w:val="none"/>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1E92D7BE">
            <w:pPr>
              <w:snapToGrid w:val="0"/>
              <w:spacing w:line="240" w:lineRule="auto"/>
              <w:ind w:left="0" w:leftChars="0" w:right="0" w:rightChars="0" w:firstLine="0" w:firstLineChars="0"/>
              <w:jc w:val="center"/>
              <w:rPr>
                <w:rFonts w:ascii="Segoe UI" w:eastAsia="Segoe UI"/>
                <w:sz w:val="24"/>
                <w:szCs w:val="22"/>
                <w:highlight w:val="none"/>
              </w:rPr>
            </w:pPr>
            <w:r>
              <w:rPr>
                <w:rFonts w:ascii="Segoe UI" w:eastAsia="Segoe UI"/>
                <w:sz w:val="24"/>
                <w:szCs w:val="22"/>
                <w:highlight w:val="none"/>
              </w:rPr>
              <w:t>技术支撑与实施计划方案</w:t>
            </w:r>
          </w:p>
        </w:tc>
        <w:tc>
          <w:tcPr>
            <w:tcW w:w="1021" w:type="dxa"/>
            <w:tcBorders>
              <w:top w:val="single" w:color="auto" w:sz="6" w:space="0"/>
              <w:left w:val="single" w:color="auto" w:sz="6" w:space="0"/>
              <w:bottom w:val="single" w:color="auto" w:sz="6" w:space="0"/>
              <w:right w:val="single" w:color="auto" w:sz="6" w:space="0"/>
            </w:tcBorders>
            <w:noWrap w:val="0"/>
            <w:vAlign w:val="center"/>
          </w:tcPr>
          <w:p w14:paraId="348B0736">
            <w:pPr>
              <w:snapToGrid w:val="0"/>
              <w:spacing w:line="240" w:lineRule="auto"/>
              <w:ind w:left="0" w:leftChars="0" w:right="0" w:rightChars="0" w:firstLine="0" w:firstLineChars="0"/>
              <w:jc w:val="center"/>
              <w:rPr>
                <w:rFonts w:hint="default" w:ascii="Segoe UI" w:eastAsia="Segoe UI"/>
                <w:sz w:val="24"/>
                <w:szCs w:val="22"/>
                <w:highlight w:val="none"/>
                <w:lang w:val="en-US" w:eastAsia="zh-CN"/>
              </w:rPr>
            </w:pPr>
            <w:r>
              <w:rPr>
                <w:rFonts w:hint="eastAsia" w:ascii="Segoe UI" w:eastAsia="Segoe UI"/>
                <w:sz w:val="24"/>
                <w:szCs w:val="22"/>
                <w:highlight w:val="none"/>
                <w:lang w:val="en-US" w:eastAsia="zh-CN"/>
              </w:rPr>
              <w:t>6.00</w:t>
            </w:r>
          </w:p>
        </w:tc>
        <w:tc>
          <w:tcPr>
            <w:tcW w:w="6247" w:type="dxa"/>
            <w:tcBorders>
              <w:top w:val="single" w:color="auto" w:sz="6" w:space="0"/>
              <w:left w:val="single" w:color="auto" w:sz="6" w:space="0"/>
              <w:bottom w:val="single" w:color="auto" w:sz="6" w:space="0"/>
              <w:right w:val="single" w:color="auto" w:sz="6" w:space="0"/>
            </w:tcBorders>
            <w:noWrap w:val="0"/>
            <w:vAlign w:val="center"/>
          </w:tcPr>
          <w:p w14:paraId="139CE115">
            <w:pPr>
              <w:snapToGrid w:val="0"/>
              <w:spacing w:line="240" w:lineRule="auto"/>
              <w:ind w:left="0" w:leftChars="0" w:right="0" w:rightChars="0" w:firstLine="0" w:firstLineChars="0"/>
              <w:jc w:val="left"/>
              <w:rPr>
                <w:rFonts w:hint="default" w:ascii="Segoe UI" w:hAnsi="Segoe UI" w:eastAsia="Segoe UI" w:cs="Segoe UI"/>
                <w:i w:val="0"/>
                <w:iCs w:val="0"/>
                <w:caps w:val="0"/>
                <w:color w:val="0F1115"/>
                <w:spacing w:val="0"/>
                <w:sz w:val="24"/>
                <w:szCs w:val="24"/>
                <w:highlight w:val="none"/>
                <w:shd w:val="clear" w:fill="FFFFFF"/>
                <w:lang w:val="en-US" w:eastAsia="zh-CN"/>
              </w:rPr>
            </w:pPr>
            <w:r>
              <w:rPr>
                <w:rFonts w:hint="eastAsia" w:ascii="Segoe UI" w:hAnsi="Segoe UI" w:eastAsia="Segoe UI" w:cs="Segoe UI"/>
                <w:i w:val="0"/>
                <w:iCs w:val="0"/>
                <w:caps w:val="0"/>
                <w:color w:val="0F1115"/>
                <w:spacing w:val="0"/>
                <w:sz w:val="24"/>
                <w:szCs w:val="24"/>
                <w:highlight w:val="none"/>
                <w:shd w:val="clear" w:fill="FFFFFF"/>
              </w:rPr>
              <w:t>评委根据投标文件中项目技术支撑和实施计划（包括但不限于人员配置、产品质量控制、设备安装调试验收进度、安全保障措施等方面）进行打分</w:t>
            </w:r>
            <w:r>
              <w:rPr>
                <w:rFonts w:hint="eastAsia" w:ascii="Segoe UI" w:hAnsi="Segoe UI" w:eastAsia="Segoe UI" w:cs="Segoe UI"/>
                <w:i w:val="0"/>
                <w:iCs w:val="0"/>
                <w:caps w:val="0"/>
                <w:color w:val="0F1115"/>
                <w:spacing w:val="0"/>
                <w:sz w:val="24"/>
                <w:szCs w:val="24"/>
                <w:highlight w:val="none"/>
                <w:shd w:val="clear" w:fill="FFFFFF"/>
                <w:lang w:eastAsia="zh-CN"/>
              </w:rPr>
              <w:t>：</w:t>
            </w:r>
            <w:r>
              <w:rPr>
                <w:rFonts w:hint="eastAsia" w:ascii="Segoe UI" w:hAnsi="Segoe UI" w:eastAsia="Segoe UI" w:cs="Segoe UI"/>
                <w:i w:val="0"/>
                <w:iCs w:val="0"/>
                <w:caps w:val="0"/>
                <w:color w:val="0F1115"/>
                <w:spacing w:val="0"/>
                <w:sz w:val="24"/>
                <w:szCs w:val="24"/>
                <w:highlight w:val="none"/>
                <w:shd w:val="clear" w:fill="FFFFFF"/>
              </w:rPr>
              <w:t>①</w:t>
            </w:r>
            <w:r>
              <w:rPr>
                <w:rFonts w:ascii="Segoe UI" w:hAnsi="Segoe UI" w:eastAsia="Segoe UI" w:cs="Segoe UI"/>
                <w:i w:val="0"/>
                <w:iCs w:val="0"/>
                <w:caps w:val="0"/>
                <w:color w:val="0F1115"/>
                <w:spacing w:val="0"/>
                <w:sz w:val="24"/>
                <w:szCs w:val="24"/>
                <w:highlight w:val="none"/>
                <w:shd w:val="clear" w:fill="FFFFFF"/>
              </w:rPr>
              <w:t>实施方案技术支撑配置全面优于采购人的要求，针对本项目特点具有极强的针对性，项目进度分析具体详实、关键节点清晰明确，人员配置、质控、验收及安全保障等各环节衔接科学严密，可操作性突出</w:t>
            </w:r>
            <w:r>
              <w:rPr>
                <w:rFonts w:hint="eastAsia" w:ascii="Segoe UI" w:hAnsi="Segoe UI" w:eastAsia="Segoe UI" w:cs="Segoe UI"/>
                <w:i w:val="0"/>
                <w:iCs w:val="0"/>
                <w:caps w:val="0"/>
                <w:color w:val="0F1115"/>
                <w:spacing w:val="0"/>
                <w:sz w:val="24"/>
                <w:szCs w:val="24"/>
                <w:highlight w:val="none"/>
                <w:shd w:val="clear" w:fill="FFFFFF"/>
                <w:lang w:eastAsia="zh-CN"/>
              </w:rPr>
              <w:t>，得</w:t>
            </w:r>
            <w:r>
              <w:rPr>
                <w:rFonts w:hint="eastAsia" w:ascii="Segoe UI" w:hAnsi="Segoe UI" w:eastAsia="Segoe UI" w:cs="Segoe UI"/>
                <w:i w:val="0"/>
                <w:iCs w:val="0"/>
                <w:caps w:val="0"/>
                <w:color w:val="0F1115"/>
                <w:spacing w:val="0"/>
                <w:sz w:val="24"/>
                <w:szCs w:val="24"/>
                <w:highlight w:val="none"/>
                <w:shd w:val="clear" w:fill="FFFFFF"/>
                <w:lang w:val="en-US" w:eastAsia="zh-CN"/>
              </w:rPr>
              <w:t>6分；②</w:t>
            </w:r>
            <w:r>
              <w:rPr>
                <w:rFonts w:ascii="Segoe UI" w:hAnsi="Segoe UI" w:eastAsia="Segoe UI" w:cs="Segoe UI"/>
                <w:i w:val="0"/>
                <w:iCs w:val="0"/>
                <w:caps w:val="0"/>
                <w:color w:val="0F1115"/>
                <w:spacing w:val="0"/>
                <w:sz w:val="24"/>
                <w:szCs w:val="24"/>
                <w:highlight w:val="none"/>
                <w:shd w:val="clear" w:fill="FFFFFF"/>
              </w:rPr>
              <w:t>实施方案技术支撑配置较好优于采购人的要求，具有较好的针对性，项目进度分析较为具体、主要节点清晰，各项保障措施合理可行</w:t>
            </w:r>
            <w:r>
              <w:rPr>
                <w:rFonts w:hint="eastAsia" w:ascii="Segoe UI" w:hAnsi="Segoe UI" w:eastAsia="Segoe UI" w:cs="Segoe UI"/>
                <w:i w:val="0"/>
                <w:iCs w:val="0"/>
                <w:caps w:val="0"/>
                <w:color w:val="0F1115"/>
                <w:spacing w:val="0"/>
                <w:sz w:val="24"/>
                <w:szCs w:val="24"/>
                <w:highlight w:val="none"/>
                <w:shd w:val="clear" w:fill="FFFFFF"/>
                <w:lang w:eastAsia="zh-CN"/>
              </w:rPr>
              <w:t>，得</w:t>
            </w:r>
            <w:r>
              <w:rPr>
                <w:rFonts w:hint="eastAsia" w:ascii="Segoe UI" w:hAnsi="Segoe UI" w:eastAsia="Segoe UI" w:cs="Segoe UI"/>
                <w:i w:val="0"/>
                <w:iCs w:val="0"/>
                <w:caps w:val="0"/>
                <w:color w:val="0F1115"/>
                <w:spacing w:val="0"/>
                <w:sz w:val="24"/>
                <w:szCs w:val="24"/>
                <w:highlight w:val="none"/>
                <w:shd w:val="clear" w:fill="FFFFFF"/>
                <w:lang w:val="en-US" w:eastAsia="zh-CN"/>
              </w:rPr>
              <w:t>5分；③</w:t>
            </w:r>
            <w:r>
              <w:rPr>
                <w:rFonts w:ascii="Segoe UI" w:hAnsi="Segoe UI" w:eastAsia="Segoe UI" w:cs="Segoe UI"/>
                <w:i w:val="0"/>
                <w:iCs w:val="0"/>
                <w:caps w:val="0"/>
                <w:color w:val="0F1115"/>
                <w:spacing w:val="0"/>
                <w:sz w:val="24"/>
                <w:szCs w:val="24"/>
                <w:highlight w:val="none"/>
                <w:shd w:val="clear" w:fill="FFFFFF"/>
              </w:rPr>
              <w:t>实施方案技术支撑配置满足采购人的基本要求，具有一定针对性，项目进度分析基本清晰，各项措施能满足项目基本实施需要</w:t>
            </w:r>
            <w:r>
              <w:rPr>
                <w:rFonts w:hint="eastAsia" w:ascii="Segoe UI" w:hAnsi="Segoe UI" w:eastAsia="Segoe UI" w:cs="Segoe UI"/>
                <w:i w:val="0"/>
                <w:iCs w:val="0"/>
                <w:caps w:val="0"/>
                <w:color w:val="0F1115"/>
                <w:spacing w:val="0"/>
                <w:sz w:val="24"/>
                <w:szCs w:val="24"/>
                <w:highlight w:val="none"/>
                <w:shd w:val="clear" w:fill="FFFFFF"/>
                <w:lang w:eastAsia="zh-CN"/>
              </w:rPr>
              <w:t>，得</w:t>
            </w:r>
            <w:r>
              <w:rPr>
                <w:rFonts w:hint="eastAsia" w:ascii="Segoe UI" w:hAnsi="Segoe UI" w:eastAsia="Segoe UI" w:cs="Segoe UI"/>
                <w:i w:val="0"/>
                <w:iCs w:val="0"/>
                <w:caps w:val="0"/>
                <w:color w:val="0F1115"/>
                <w:spacing w:val="0"/>
                <w:sz w:val="24"/>
                <w:szCs w:val="24"/>
                <w:highlight w:val="none"/>
                <w:shd w:val="clear" w:fill="FFFFFF"/>
                <w:lang w:val="en-US" w:eastAsia="zh-CN"/>
              </w:rPr>
              <w:t>3分；④</w:t>
            </w:r>
            <w:r>
              <w:rPr>
                <w:rFonts w:ascii="Segoe UI" w:hAnsi="Segoe UI" w:eastAsia="Segoe UI" w:cs="Segoe UI"/>
                <w:i w:val="0"/>
                <w:iCs w:val="0"/>
                <w:caps w:val="0"/>
                <w:color w:val="0F1115"/>
                <w:spacing w:val="0"/>
                <w:sz w:val="24"/>
                <w:szCs w:val="24"/>
                <w:highlight w:val="none"/>
                <w:shd w:val="clear" w:fill="FFFFFF"/>
              </w:rPr>
              <w:t>实施方案技术支撑配置不能完全满足采购人的要求，针对性不足，项目进度分析不够清晰或存在模糊之处，部分措施欠妥</w:t>
            </w:r>
            <w:r>
              <w:rPr>
                <w:rFonts w:hint="eastAsia" w:ascii="Segoe UI" w:hAnsi="Segoe UI" w:eastAsia="Segoe UI" w:cs="Segoe UI"/>
                <w:i w:val="0"/>
                <w:iCs w:val="0"/>
                <w:caps w:val="0"/>
                <w:color w:val="0F1115"/>
                <w:spacing w:val="0"/>
                <w:sz w:val="24"/>
                <w:szCs w:val="24"/>
                <w:highlight w:val="none"/>
                <w:shd w:val="clear" w:fill="FFFFFF"/>
                <w:lang w:eastAsia="zh-CN"/>
              </w:rPr>
              <w:t>，得</w:t>
            </w:r>
            <w:r>
              <w:rPr>
                <w:rFonts w:hint="eastAsia" w:ascii="Segoe UI" w:hAnsi="Segoe UI" w:eastAsia="Segoe UI" w:cs="Segoe UI"/>
                <w:i w:val="0"/>
                <w:iCs w:val="0"/>
                <w:caps w:val="0"/>
                <w:color w:val="0F1115"/>
                <w:spacing w:val="0"/>
                <w:sz w:val="24"/>
                <w:szCs w:val="24"/>
                <w:highlight w:val="none"/>
                <w:shd w:val="clear" w:fill="FFFFFF"/>
                <w:lang w:val="en-US" w:eastAsia="zh-CN"/>
              </w:rPr>
              <w:t>1分；⑤</w:t>
            </w:r>
            <w:r>
              <w:rPr>
                <w:rFonts w:hint="eastAsia" w:ascii="Segoe UI" w:hAnsi="Segoe UI" w:eastAsia="Segoe UI" w:cs="Segoe UI"/>
                <w:i w:val="0"/>
                <w:iCs w:val="0"/>
                <w:caps w:val="0"/>
                <w:color w:val="0F1115"/>
                <w:spacing w:val="0"/>
                <w:sz w:val="24"/>
                <w:szCs w:val="24"/>
                <w:highlight w:val="none"/>
                <w:shd w:val="clear" w:fill="FFFFFF"/>
              </w:rPr>
              <w:t>方案有重大缺陷或</w:t>
            </w:r>
            <w:r>
              <w:rPr>
                <w:rFonts w:ascii="Segoe UI" w:hAnsi="Segoe UI" w:eastAsia="Segoe UI" w:cs="Segoe UI"/>
                <w:i w:val="0"/>
                <w:iCs w:val="0"/>
                <w:caps w:val="0"/>
                <w:color w:val="0F1115"/>
                <w:spacing w:val="0"/>
                <w:sz w:val="24"/>
                <w:szCs w:val="24"/>
                <w:highlight w:val="none"/>
                <w:shd w:val="clear" w:fill="FFFFFF"/>
              </w:rPr>
              <w:t>未提供</w:t>
            </w:r>
            <w:r>
              <w:rPr>
                <w:rFonts w:hint="eastAsia" w:ascii="Segoe UI" w:hAnsi="Segoe UI" w:eastAsia="Segoe UI" w:cs="Segoe UI"/>
                <w:i w:val="0"/>
                <w:iCs w:val="0"/>
                <w:caps w:val="0"/>
                <w:color w:val="0F1115"/>
                <w:spacing w:val="0"/>
                <w:sz w:val="24"/>
                <w:szCs w:val="24"/>
                <w:highlight w:val="none"/>
                <w:shd w:val="clear" w:fill="FFFFFF"/>
                <w:lang w:eastAsia="zh-CN"/>
              </w:rPr>
              <w:t>的得</w:t>
            </w:r>
            <w:r>
              <w:rPr>
                <w:rFonts w:hint="eastAsia" w:ascii="Segoe UI" w:hAnsi="Segoe UI" w:eastAsia="Segoe UI" w:cs="Segoe UI"/>
                <w:i w:val="0"/>
                <w:iCs w:val="0"/>
                <w:caps w:val="0"/>
                <w:color w:val="0F1115"/>
                <w:spacing w:val="0"/>
                <w:sz w:val="24"/>
                <w:szCs w:val="24"/>
                <w:highlight w:val="none"/>
                <w:shd w:val="clear" w:fill="FFFFFF"/>
                <w:lang w:val="en-US" w:eastAsia="zh-CN"/>
              </w:rPr>
              <w:t>0分。</w:t>
            </w:r>
          </w:p>
        </w:tc>
      </w:tr>
      <w:tr w14:paraId="54E3039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0" w:type="auto"/>
            <w:vMerge w:val="continue"/>
            <w:tcBorders>
              <w:left w:val="single" w:color="auto" w:sz="6" w:space="0"/>
              <w:right w:val="single" w:color="auto" w:sz="6" w:space="0"/>
            </w:tcBorders>
            <w:noWrap w:val="0"/>
            <w:vAlign w:val="center"/>
          </w:tcPr>
          <w:p w14:paraId="5E4F6FB3">
            <w:pPr>
              <w:snapToGrid w:val="0"/>
              <w:spacing w:line="240" w:lineRule="auto"/>
              <w:ind w:left="0" w:leftChars="0" w:right="0" w:rightChars="0" w:firstLine="0" w:firstLineChars="0"/>
              <w:jc w:val="left"/>
              <w:rPr>
                <w:rFonts w:ascii="Segoe UI" w:eastAsia="Segoe UI"/>
                <w:sz w:val="24"/>
                <w:szCs w:val="22"/>
                <w:highlight w:val="none"/>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70490A46">
            <w:pPr>
              <w:snapToGrid w:val="0"/>
              <w:spacing w:line="240" w:lineRule="auto"/>
              <w:ind w:left="0" w:leftChars="0" w:right="0" w:rightChars="0" w:firstLine="0" w:firstLineChars="0"/>
              <w:jc w:val="center"/>
              <w:rPr>
                <w:rFonts w:ascii="Segoe UI" w:eastAsia="Segoe UI"/>
                <w:sz w:val="24"/>
                <w:szCs w:val="22"/>
                <w:highlight w:val="none"/>
              </w:rPr>
            </w:pPr>
            <w:r>
              <w:rPr>
                <w:rFonts w:hint="eastAsia" w:ascii="Segoe UI" w:eastAsia="Segoe UI"/>
                <w:sz w:val="24"/>
                <w:szCs w:val="22"/>
                <w:highlight w:val="none"/>
              </w:rPr>
              <w:t>培训方案</w:t>
            </w:r>
          </w:p>
        </w:tc>
        <w:tc>
          <w:tcPr>
            <w:tcW w:w="1021" w:type="dxa"/>
            <w:tcBorders>
              <w:top w:val="single" w:color="auto" w:sz="6" w:space="0"/>
              <w:left w:val="single" w:color="auto" w:sz="6" w:space="0"/>
              <w:bottom w:val="single" w:color="auto" w:sz="6" w:space="0"/>
              <w:right w:val="single" w:color="auto" w:sz="6" w:space="0"/>
            </w:tcBorders>
            <w:noWrap w:val="0"/>
            <w:vAlign w:val="center"/>
          </w:tcPr>
          <w:p w14:paraId="5B6CBF2D">
            <w:pPr>
              <w:snapToGrid w:val="0"/>
              <w:spacing w:line="240" w:lineRule="auto"/>
              <w:ind w:left="0" w:leftChars="0" w:right="0" w:rightChars="0" w:firstLine="0" w:firstLineChars="0"/>
              <w:jc w:val="center"/>
              <w:rPr>
                <w:rFonts w:ascii="Segoe UI" w:eastAsia="Segoe UI"/>
                <w:sz w:val="24"/>
                <w:szCs w:val="22"/>
                <w:highlight w:val="none"/>
              </w:rPr>
            </w:pPr>
            <w:r>
              <w:rPr>
                <w:rFonts w:hint="eastAsia" w:ascii="Segoe UI" w:eastAsia="Segoe UI"/>
                <w:sz w:val="24"/>
                <w:szCs w:val="22"/>
                <w:highlight w:val="none"/>
                <w:lang w:val="en-US" w:eastAsia="zh-CN"/>
              </w:rPr>
              <w:t>5</w:t>
            </w:r>
            <w:r>
              <w:rPr>
                <w:rFonts w:hint="eastAsia" w:ascii="Segoe UI" w:eastAsia="Segoe UI"/>
                <w:sz w:val="24"/>
                <w:szCs w:val="22"/>
                <w:highlight w:val="none"/>
              </w:rPr>
              <w:t>.00分</w:t>
            </w:r>
          </w:p>
        </w:tc>
        <w:tc>
          <w:tcPr>
            <w:tcW w:w="6247" w:type="dxa"/>
            <w:tcBorders>
              <w:top w:val="single" w:color="auto" w:sz="6" w:space="0"/>
              <w:left w:val="single" w:color="auto" w:sz="6" w:space="0"/>
              <w:bottom w:val="single" w:color="auto" w:sz="6" w:space="0"/>
              <w:right w:val="single" w:color="auto" w:sz="6" w:space="0"/>
            </w:tcBorders>
            <w:noWrap w:val="0"/>
            <w:vAlign w:val="center"/>
          </w:tcPr>
          <w:p w14:paraId="7C7A3378">
            <w:pPr>
              <w:snapToGrid w:val="0"/>
              <w:spacing w:line="240" w:lineRule="auto"/>
              <w:ind w:left="0" w:leftChars="0" w:right="0" w:rightChars="0" w:firstLine="0" w:firstLineChars="0"/>
              <w:jc w:val="left"/>
              <w:rPr>
                <w:rFonts w:ascii="Segoe UI" w:hAnsi="Segoe UI" w:eastAsia="Segoe UI" w:cs="Segoe UI"/>
                <w:i w:val="0"/>
                <w:iCs w:val="0"/>
                <w:caps w:val="0"/>
                <w:color w:val="0F1115"/>
                <w:spacing w:val="0"/>
                <w:sz w:val="24"/>
                <w:szCs w:val="24"/>
                <w:highlight w:val="none"/>
                <w:shd w:val="clear" w:fill="FFFFFF"/>
              </w:rPr>
            </w:pPr>
            <w:r>
              <w:rPr>
                <w:rFonts w:ascii="Segoe UI" w:hAnsi="Segoe UI" w:eastAsia="Segoe UI" w:cs="Segoe UI"/>
                <w:i w:val="0"/>
                <w:iCs w:val="0"/>
                <w:caps w:val="0"/>
                <w:color w:val="0F1115"/>
                <w:spacing w:val="0"/>
                <w:sz w:val="24"/>
                <w:szCs w:val="24"/>
                <w:highlight w:val="none"/>
                <w:shd w:val="clear" w:fill="FFFFFF"/>
              </w:rPr>
              <w:t>评委根据投标文件中培训方案（包括但不限于培训目标、培训方法、培训内容、培训师资力量、培训时间、拟提供的培训资料等方面）进行打分：</w:t>
            </w:r>
            <w:r>
              <w:rPr>
                <w:rFonts w:hint="eastAsia" w:ascii="Segoe UI" w:hAnsi="微软雅黑" w:eastAsia="Segoe UI" w:cs="微软雅黑"/>
                <w:i w:val="0"/>
                <w:iCs w:val="0"/>
                <w:caps w:val="0"/>
                <w:color w:val="0F1115"/>
                <w:spacing w:val="0"/>
                <w:sz w:val="24"/>
                <w:szCs w:val="24"/>
                <w:highlight w:val="none"/>
                <w:shd w:val="clear" w:fill="FFFFFF"/>
              </w:rPr>
              <w:t>①</w:t>
            </w:r>
            <w:r>
              <w:rPr>
                <w:rFonts w:ascii="Segoe UI" w:hAnsi="Segoe UI" w:eastAsia="Segoe UI" w:cs="Segoe UI"/>
                <w:i w:val="0"/>
                <w:iCs w:val="0"/>
                <w:caps w:val="0"/>
                <w:color w:val="0F1115"/>
                <w:spacing w:val="0"/>
                <w:sz w:val="24"/>
                <w:szCs w:val="24"/>
                <w:highlight w:val="none"/>
                <w:shd w:val="clear" w:fill="FFFFFF"/>
              </w:rPr>
              <w:t>培训内容详实丰富、紧密贴合项目需求，培训形式多元灵活，师资力量雄厚，培训计划安排科学合理，拟提供资料全面专业，整体方案优于采购人要求，落地性和可操作性强</w:t>
            </w:r>
            <w:r>
              <w:rPr>
                <w:rFonts w:hint="eastAsia" w:ascii="Segoe UI" w:hAnsi="Segoe UI" w:eastAsia="Segoe UI" w:cs="Segoe UI"/>
                <w:i w:val="0"/>
                <w:iCs w:val="0"/>
                <w:caps w:val="0"/>
                <w:color w:val="0F1115"/>
                <w:spacing w:val="0"/>
                <w:sz w:val="24"/>
                <w:szCs w:val="24"/>
                <w:highlight w:val="none"/>
                <w:shd w:val="clear" w:fill="FFFFFF"/>
                <w:lang w:eastAsia="zh-CN"/>
              </w:rPr>
              <w:t>，得</w:t>
            </w:r>
            <w:r>
              <w:rPr>
                <w:rFonts w:hint="eastAsia" w:ascii="Segoe UI" w:hAnsi="Segoe UI" w:eastAsia="Segoe UI" w:cs="Segoe UI"/>
                <w:i w:val="0"/>
                <w:iCs w:val="0"/>
                <w:caps w:val="0"/>
                <w:color w:val="0F1115"/>
                <w:spacing w:val="0"/>
                <w:sz w:val="24"/>
                <w:szCs w:val="24"/>
                <w:highlight w:val="none"/>
                <w:shd w:val="clear" w:fill="FFFFFF"/>
                <w:lang w:val="en-US" w:eastAsia="zh-CN"/>
              </w:rPr>
              <w:t>5分；</w:t>
            </w:r>
            <w:r>
              <w:rPr>
                <w:rFonts w:hint="eastAsia" w:ascii="Segoe UI" w:hAnsi="微软雅黑" w:eastAsia="Segoe UI" w:cs="微软雅黑"/>
                <w:i w:val="0"/>
                <w:iCs w:val="0"/>
                <w:caps w:val="0"/>
                <w:color w:val="0F1115"/>
                <w:spacing w:val="0"/>
                <w:sz w:val="24"/>
                <w:szCs w:val="24"/>
                <w:highlight w:val="none"/>
                <w:shd w:val="clear" w:fill="FFFFFF"/>
                <w:lang w:val="en-US" w:eastAsia="zh-CN"/>
              </w:rPr>
              <w:t>②</w:t>
            </w:r>
            <w:r>
              <w:rPr>
                <w:rFonts w:ascii="Segoe UI" w:hAnsi="Segoe UI" w:eastAsia="Segoe UI" w:cs="Segoe UI"/>
                <w:i w:val="0"/>
                <w:iCs w:val="0"/>
                <w:caps w:val="0"/>
                <w:color w:val="0F1115"/>
                <w:spacing w:val="0"/>
                <w:sz w:val="24"/>
                <w:szCs w:val="24"/>
                <w:highlight w:val="none"/>
                <w:shd w:val="clear" w:fill="FFFFFF"/>
              </w:rPr>
              <w:t>培训内容较为详实、较好贴合项目需求，培训形式多样，师资力量较好，培训计划安排较为合理，拟提供资料较为全面，整体方案优于采购人基本要求，具有较好的可操作性</w:t>
            </w:r>
            <w:r>
              <w:rPr>
                <w:rFonts w:hint="eastAsia" w:ascii="Segoe UI" w:hAnsi="Segoe UI" w:eastAsia="Segoe UI" w:cs="Segoe UI"/>
                <w:i w:val="0"/>
                <w:iCs w:val="0"/>
                <w:caps w:val="0"/>
                <w:color w:val="0F1115"/>
                <w:spacing w:val="0"/>
                <w:sz w:val="24"/>
                <w:szCs w:val="24"/>
                <w:highlight w:val="none"/>
                <w:shd w:val="clear" w:fill="FFFFFF"/>
                <w:lang w:eastAsia="zh-CN"/>
              </w:rPr>
              <w:t>，得</w:t>
            </w:r>
            <w:r>
              <w:rPr>
                <w:rFonts w:hint="eastAsia" w:ascii="Segoe UI" w:hAnsi="Segoe UI" w:eastAsia="Segoe UI" w:cs="Segoe UI"/>
                <w:i w:val="0"/>
                <w:iCs w:val="0"/>
                <w:caps w:val="0"/>
                <w:color w:val="0F1115"/>
                <w:spacing w:val="0"/>
                <w:sz w:val="24"/>
                <w:szCs w:val="24"/>
                <w:highlight w:val="none"/>
                <w:shd w:val="clear" w:fill="FFFFFF"/>
                <w:lang w:val="en-US" w:eastAsia="zh-CN"/>
              </w:rPr>
              <w:t>4分；</w:t>
            </w:r>
            <w:r>
              <w:rPr>
                <w:rFonts w:hint="eastAsia" w:ascii="Segoe UI" w:hAnsi="微软雅黑" w:eastAsia="Segoe UI" w:cs="微软雅黑"/>
                <w:i w:val="0"/>
                <w:iCs w:val="0"/>
                <w:caps w:val="0"/>
                <w:color w:val="0F1115"/>
                <w:spacing w:val="0"/>
                <w:sz w:val="24"/>
                <w:szCs w:val="24"/>
                <w:highlight w:val="none"/>
                <w:shd w:val="clear" w:fill="FFFFFF"/>
                <w:lang w:val="en-US" w:eastAsia="zh-CN"/>
              </w:rPr>
              <w:t>③</w:t>
            </w:r>
            <w:r>
              <w:rPr>
                <w:rFonts w:ascii="Segoe UI" w:hAnsi="Segoe UI" w:eastAsia="Segoe UI" w:cs="Segoe UI"/>
                <w:i w:val="0"/>
                <w:iCs w:val="0"/>
                <w:caps w:val="0"/>
                <w:color w:val="0F1115"/>
                <w:spacing w:val="0"/>
                <w:sz w:val="24"/>
                <w:szCs w:val="24"/>
                <w:highlight w:val="none"/>
                <w:shd w:val="clear" w:fill="FFFFFF"/>
              </w:rPr>
              <w:t>培训内容基本完整、能够满足项目基本需求，培训形式具有一定多样性，师资及时间安排基本合理，拟提供资料基本齐全，方案满足采购人基本要求</w:t>
            </w:r>
            <w:r>
              <w:rPr>
                <w:rFonts w:hint="eastAsia" w:ascii="Segoe UI" w:hAnsi="Segoe UI" w:eastAsia="Segoe UI" w:cs="Segoe UI"/>
                <w:i w:val="0"/>
                <w:iCs w:val="0"/>
                <w:caps w:val="0"/>
                <w:color w:val="0F1115"/>
                <w:spacing w:val="0"/>
                <w:sz w:val="24"/>
                <w:szCs w:val="24"/>
                <w:highlight w:val="none"/>
                <w:shd w:val="clear" w:fill="FFFFFF"/>
                <w:lang w:eastAsia="zh-CN"/>
              </w:rPr>
              <w:t>，得</w:t>
            </w:r>
            <w:r>
              <w:rPr>
                <w:rFonts w:hint="eastAsia" w:ascii="Segoe UI" w:hAnsi="Segoe UI" w:eastAsia="Segoe UI" w:cs="Segoe UI"/>
                <w:i w:val="0"/>
                <w:iCs w:val="0"/>
                <w:caps w:val="0"/>
                <w:color w:val="0F1115"/>
                <w:spacing w:val="0"/>
                <w:sz w:val="24"/>
                <w:szCs w:val="24"/>
                <w:highlight w:val="none"/>
                <w:shd w:val="clear" w:fill="FFFFFF"/>
                <w:lang w:val="en-US" w:eastAsia="zh-CN"/>
              </w:rPr>
              <w:t>3分；</w:t>
            </w:r>
            <w:r>
              <w:rPr>
                <w:rFonts w:hint="eastAsia" w:ascii="Segoe UI" w:hAnsi="微软雅黑" w:eastAsia="Segoe UI" w:cs="微软雅黑"/>
                <w:i w:val="0"/>
                <w:iCs w:val="0"/>
                <w:caps w:val="0"/>
                <w:color w:val="0F1115"/>
                <w:spacing w:val="0"/>
                <w:sz w:val="24"/>
                <w:szCs w:val="24"/>
                <w:highlight w:val="none"/>
                <w:shd w:val="clear" w:fill="FFFFFF"/>
                <w:lang w:val="en-US" w:eastAsia="zh-CN"/>
              </w:rPr>
              <w:t>④</w:t>
            </w:r>
            <w:r>
              <w:rPr>
                <w:rFonts w:ascii="Segoe UI" w:hAnsi="Segoe UI" w:eastAsia="Segoe UI" w:cs="Segoe UI"/>
                <w:i w:val="0"/>
                <w:iCs w:val="0"/>
                <w:caps w:val="0"/>
                <w:color w:val="0F1115"/>
                <w:spacing w:val="0"/>
                <w:sz w:val="24"/>
                <w:szCs w:val="24"/>
                <w:highlight w:val="none"/>
                <w:shd w:val="clear" w:fill="FFFFFF"/>
              </w:rPr>
              <w:t>培训内容简略单薄，培训形式单一固化，师资力量薄弱，时间安排欠妥，方案可操作性不足，不能完全满足采购人要求</w:t>
            </w:r>
            <w:r>
              <w:rPr>
                <w:rFonts w:hint="eastAsia" w:ascii="Segoe UI" w:hAnsi="Segoe UI" w:eastAsia="Segoe UI" w:cs="Segoe UI"/>
                <w:i w:val="0"/>
                <w:iCs w:val="0"/>
                <w:caps w:val="0"/>
                <w:color w:val="0F1115"/>
                <w:spacing w:val="0"/>
                <w:sz w:val="24"/>
                <w:szCs w:val="24"/>
                <w:highlight w:val="none"/>
                <w:shd w:val="clear" w:fill="FFFFFF"/>
                <w:lang w:eastAsia="zh-CN"/>
              </w:rPr>
              <w:t>，得</w:t>
            </w:r>
            <w:r>
              <w:rPr>
                <w:rFonts w:hint="eastAsia" w:ascii="Segoe UI" w:hAnsi="Segoe UI" w:eastAsia="Segoe UI" w:cs="Segoe UI"/>
                <w:i w:val="0"/>
                <w:iCs w:val="0"/>
                <w:caps w:val="0"/>
                <w:color w:val="0F1115"/>
                <w:spacing w:val="0"/>
                <w:sz w:val="24"/>
                <w:szCs w:val="24"/>
                <w:highlight w:val="none"/>
                <w:shd w:val="clear" w:fill="FFFFFF"/>
                <w:lang w:val="en-US" w:eastAsia="zh-CN"/>
              </w:rPr>
              <w:t>2分；⑤</w:t>
            </w:r>
            <w:r>
              <w:rPr>
                <w:rFonts w:hint="eastAsia" w:ascii="Segoe UI" w:hAnsi="Segoe UI" w:eastAsia="Segoe UI" w:cs="Segoe UI"/>
                <w:i w:val="0"/>
                <w:iCs w:val="0"/>
                <w:caps w:val="0"/>
                <w:color w:val="0F1115"/>
                <w:spacing w:val="0"/>
                <w:sz w:val="24"/>
                <w:szCs w:val="24"/>
                <w:highlight w:val="none"/>
                <w:shd w:val="clear" w:fill="FFFFFF"/>
              </w:rPr>
              <w:t>方案有重大缺陷或</w:t>
            </w:r>
            <w:r>
              <w:rPr>
                <w:rFonts w:ascii="Segoe UI" w:hAnsi="Segoe UI" w:eastAsia="Segoe UI" w:cs="Segoe UI"/>
                <w:i w:val="0"/>
                <w:iCs w:val="0"/>
                <w:caps w:val="0"/>
                <w:color w:val="0F1115"/>
                <w:spacing w:val="0"/>
                <w:sz w:val="24"/>
                <w:szCs w:val="24"/>
                <w:highlight w:val="none"/>
                <w:shd w:val="clear" w:fill="FFFFFF"/>
              </w:rPr>
              <w:t>未提供</w:t>
            </w:r>
            <w:r>
              <w:rPr>
                <w:rFonts w:hint="eastAsia" w:ascii="Segoe UI" w:hAnsi="Segoe UI" w:eastAsia="Segoe UI" w:cs="Segoe UI"/>
                <w:i w:val="0"/>
                <w:iCs w:val="0"/>
                <w:caps w:val="0"/>
                <w:color w:val="0F1115"/>
                <w:spacing w:val="0"/>
                <w:sz w:val="24"/>
                <w:szCs w:val="24"/>
                <w:highlight w:val="none"/>
                <w:shd w:val="clear" w:fill="FFFFFF"/>
                <w:lang w:eastAsia="zh-CN"/>
              </w:rPr>
              <w:t>的得</w:t>
            </w:r>
            <w:r>
              <w:rPr>
                <w:rFonts w:hint="eastAsia" w:ascii="Segoe UI" w:hAnsi="Segoe UI" w:eastAsia="Segoe UI" w:cs="Segoe UI"/>
                <w:i w:val="0"/>
                <w:iCs w:val="0"/>
                <w:caps w:val="0"/>
                <w:color w:val="0F1115"/>
                <w:spacing w:val="0"/>
                <w:sz w:val="24"/>
                <w:szCs w:val="24"/>
                <w:highlight w:val="none"/>
                <w:shd w:val="clear" w:fill="FFFFFF"/>
                <w:lang w:val="en-US" w:eastAsia="zh-CN"/>
              </w:rPr>
              <w:t>0分。</w:t>
            </w:r>
          </w:p>
        </w:tc>
      </w:tr>
      <w:tr w14:paraId="35C1BB2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0" w:type="auto"/>
            <w:tcBorders>
              <w:left w:val="single" w:color="auto" w:sz="6" w:space="0"/>
              <w:bottom w:val="single" w:color="auto" w:sz="6" w:space="0"/>
              <w:right w:val="single" w:color="auto" w:sz="6" w:space="0"/>
            </w:tcBorders>
            <w:noWrap w:val="0"/>
            <w:vAlign w:val="center"/>
          </w:tcPr>
          <w:p w14:paraId="7CADD92D">
            <w:pPr>
              <w:snapToGrid w:val="0"/>
              <w:spacing w:line="240" w:lineRule="auto"/>
              <w:ind w:left="0" w:leftChars="0" w:right="0" w:rightChars="0" w:firstLine="0" w:firstLineChars="0"/>
              <w:jc w:val="left"/>
              <w:rPr>
                <w:rFonts w:ascii="Segoe UI" w:eastAsia="Segoe UI"/>
                <w:sz w:val="24"/>
                <w:szCs w:val="22"/>
                <w:highlight w:val="none"/>
              </w:rPr>
            </w:pPr>
          </w:p>
        </w:tc>
        <w:tc>
          <w:tcPr>
            <w:tcW w:w="0" w:type="auto"/>
            <w:tcBorders>
              <w:top w:val="single" w:color="auto" w:sz="6" w:space="0"/>
              <w:left w:val="single" w:color="auto" w:sz="6" w:space="0"/>
              <w:bottom w:val="single" w:color="auto" w:sz="6" w:space="0"/>
              <w:right w:val="single" w:color="auto" w:sz="6" w:space="0"/>
            </w:tcBorders>
            <w:noWrap w:val="0"/>
            <w:vAlign w:val="center"/>
          </w:tcPr>
          <w:p w14:paraId="56341DFF">
            <w:pPr>
              <w:snapToGrid w:val="0"/>
              <w:spacing w:line="240" w:lineRule="auto"/>
              <w:ind w:left="0" w:leftChars="0" w:right="0" w:rightChars="0" w:firstLine="0" w:firstLineChars="0"/>
              <w:jc w:val="center"/>
              <w:rPr>
                <w:rFonts w:ascii="Segoe UI" w:eastAsia="Segoe UI"/>
                <w:sz w:val="24"/>
                <w:szCs w:val="22"/>
                <w:highlight w:val="none"/>
              </w:rPr>
            </w:pPr>
            <w:r>
              <w:rPr>
                <w:rFonts w:hint="eastAsia" w:ascii="Segoe UI" w:eastAsia="Segoe UI"/>
                <w:sz w:val="24"/>
                <w:szCs w:val="22"/>
                <w:highlight w:val="none"/>
              </w:rPr>
              <w:t>售后服务</w:t>
            </w:r>
          </w:p>
        </w:tc>
        <w:tc>
          <w:tcPr>
            <w:tcW w:w="1021" w:type="dxa"/>
            <w:tcBorders>
              <w:top w:val="single" w:color="auto" w:sz="6" w:space="0"/>
              <w:left w:val="single" w:color="auto" w:sz="6" w:space="0"/>
              <w:bottom w:val="single" w:color="auto" w:sz="6" w:space="0"/>
              <w:right w:val="single" w:color="auto" w:sz="6" w:space="0"/>
            </w:tcBorders>
            <w:noWrap w:val="0"/>
            <w:vAlign w:val="center"/>
          </w:tcPr>
          <w:p w14:paraId="59CDF283">
            <w:pPr>
              <w:snapToGrid w:val="0"/>
              <w:spacing w:line="240" w:lineRule="auto"/>
              <w:ind w:left="0" w:leftChars="0" w:right="0" w:rightChars="0" w:firstLine="0" w:firstLineChars="0"/>
              <w:jc w:val="center"/>
              <w:rPr>
                <w:rFonts w:ascii="Segoe UI" w:eastAsia="Segoe UI"/>
                <w:sz w:val="24"/>
                <w:szCs w:val="22"/>
                <w:highlight w:val="none"/>
              </w:rPr>
            </w:pPr>
            <w:r>
              <w:rPr>
                <w:rFonts w:hint="eastAsia" w:ascii="Segoe UI" w:eastAsia="Segoe UI"/>
                <w:sz w:val="24"/>
                <w:szCs w:val="22"/>
                <w:highlight w:val="none"/>
                <w:lang w:val="en-US" w:eastAsia="zh-CN"/>
              </w:rPr>
              <w:t>5</w:t>
            </w:r>
            <w:r>
              <w:rPr>
                <w:rFonts w:ascii="Segoe UI" w:eastAsia="Segoe UI"/>
                <w:sz w:val="24"/>
                <w:szCs w:val="22"/>
                <w:highlight w:val="none"/>
              </w:rPr>
              <w:t>.00分</w:t>
            </w:r>
          </w:p>
        </w:tc>
        <w:tc>
          <w:tcPr>
            <w:tcW w:w="6247" w:type="dxa"/>
            <w:tcBorders>
              <w:top w:val="single" w:color="auto" w:sz="6" w:space="0"/>
              <w:left w:val="single" w:color="auto" w:sz="6" w:space="0"/>
              <w:bottom w:val="single" w:color="auto" w:sz="6" w:space="0"/>
              <w:right w:val="single" w:color="auto" w:sz="6" w:space="0"/>
            </w:tcBorders>
            <w:noWrap w:val="0"/>
            <w:vAlign w:val="center"/>
          </w:tcPr>
          <w:p w14:paraId="2E5808CC">
            <w:pPr>
              <w:snapToGrid w:val="0"/>
              <w:spacing w:line="240" w:lineRule="auto"/>
              <w:ind w:left="0" w:leftChars="0" w:right="0" w:rightChars="0" w:firstLine="0" w:firstLineChars="0"/>
              <w:jc w:val="left"/>
              <w:rPr>
                <w:rFonts w:hint="eastAsia" w:ascii="Segoe UI" w:hAnsi="Segoe UI" w:eastAsia="Segoe UI" w:cs="Segoe UI"/>
                <w:i w:val="0"/>
                <w:iCs w:val="0"/>
                <w:caps w:val="0"/>
                <w:color w:val="0F1115"/>
                <w:spacing w:val="0"/>
                <w:sz w:val="24"/>
                <w:szCs w:val="24"/>
                <w:highlight w:val="none"/>
                <w:shd w:val="clear" w:fill="FFFFFF"/>
              </w:rPr>
            </w:pPr>
            <w:r>
              <w:rPr>
                <w:rFonts w:hint="eastAsia" w:ascii="Segoe UI" w:hAnsi="Segoe UI" w:eastAsia="Segoe UI" w:cs="Segoe UI"/>
                <w:i w:val="0"/>
                <w:iCs w:val="0"/>
                <w:caps w:val="0"/>
                <w:color w:val="0F1115"/>
                <w:spacing w:val="0"/>
                <w:sz w:val="24"/>
                <w:szCs w:val="24"/>
                <w:highlight w:val="none"/>
                <w:shd w:val="clear" w:fill="FFFFFF"/>
              </w:rPr>
              <w:t>评委根据投标文件中售后服务方案（包括但不限于服务体系、服务内容、故障解决方案、响应时间、专业技术人员保障及服务电话、备品备件保证、质保期外维保方案等方面）进行打分：①</w:t>
            </w:r>
            <w:r>
              <w:rPr>
                <w:rFonts w:ascii="Segoe UI" w:hAnsi="Segoe UI" w:eastAsia="Segoe UI" w:cs="Segoe UI"/>
                <w:i w:val="0"/>
                <w:iCs w:val="0"/>
                <w:caps w:val="0"/>
                <w:color w:val="0F1115"/>
                <w:spacing w:val="0"/>
                <w:sz w:val="24"/>
                <w:szCs w:val="24"/>
                <w:highlight w:val="none"/>
                <w:shd w:val="clear" w:fill="FFFFFF"/>
              </w:rPr>
              <w:t>方案完整详细、体系健全，售后服务机构及人员配置明确充足，售后服务承诺具体可行，售后服务响应及处理时间优于采购人要求，质保期内的售后服务范围清晰全面，质保期满后的售后服务范围和收费情况具体合理、透明有据，各项保障措施优于采购人实际需求，针对性和可操作性突出</w:t>
            </w:r>
            <w:r>
              <w:rPr>
                <w:rFonts w:hint="eastAsia" w:ascii="Segoe UI" w:hAnsi="Segoe UI" w:eastAsia="Segoe UI" w:cs="Segoe UI"/>
                <w:i w:val="0"/>
                <w:iCs w:val="0"/>
                <w:caps w:val="0"/>
                <w:color w:val="0F1115"/>
                <w:spacing w:val="0"/>
                <w:sz w:val="24"/>
                <w:szCs w:val="24"/>
                <w:highlight w:val="none"/>
                <w:shd w:val="clear" w:fill="FFFFFF"/>
                <w:lang w:eastAsia="zh-CN"/>
              </w:rPr>
              <w:t>，得</w:t>
            </w:r>
            <w:r>
              <w:rPr>
                <w:rFonts w:hint="eastAsia" w:ascii="Segoe UI" w:hAnsi="Segoe UI" w:eastAsia="Segoe UI" w:cs="Segoe UI"/>
                <w:i w:val="0"/>
                <w:iCs w:val="0"/>
                <w:caps w:val="0"/>
                <w:color w:val="0F1115"/>
                <w:spacing w:val="0"/>
                <w:sz w:val="24"/>
                <w:szCs w:val="24"/>
                <w:highlight w:val="none"/>
                <w:shd w:val="clear" w:fill="FFFFFF"/>
                <w:lang w:val="en-US" w:eastAsia="zh-CN"/>
              </w:rPr>
              <w:t>5分；②</w:t>
            </w:r>
            <w:r>
              <w:rPr>
                <w:rFonts w:ascii="Segoe UI" w:hAnsi="Segoe UI" w:eastAsia="Segoe UI" w:cs="Segoe UI"/>
                <w:i w:val="0"/>
                <w:iCs w:val="0"/>
                <w:caps w:val="0"/>
                <w:color w:val="0F1115"/>
                <w:spacing w:val="0"/>
                <w:sz w:val="24"/>
                <w:szCs w:val="24"/>
                <w:highlight w:val="none"/>
                <w:shd w:val="clear" w:fill="FFFFFF"/>
              </w:rPr>
              <w:t>方案较为完整详细、体系较为健全，售后服务机构及人员配置明确，售后服务承诺较为具体，售后服务响应及处理时间优于采购人基本要求，质保期内外的售后服务范围和收费情况较为清晰具体，整体优于采购人要求，具有较好的可操作性</w:t>
            </w:r>
            <w:r>
              <w:rPr>
                <w:rFonts w:hint="eastAsia" w:ascii="Segoe UI" w:hAnsi="Segoe UI" w:eastAsia="Segoe UI" w:cs="Segoe UI"/>
                <w:i w:val="0"/>
                <w:iCs w:val="0"/>
                <w:caps w:val="0"/>
                <w:color w:val="0F1115"/>
                <w:spacing w:val="0"/>
                <w:sz w:val="24"/>
                <w:szCs w:val="24"/>
                <w:highlight w:val="none"/>
                <w:shd w:val="clear" w:fill="FFFFFF"/>
                <w:lang w:eastAsia="zh-CN"/>
              </w:rPr>
              <w:t>，得</w:t>
            </w:r>
            <w:r>
              <w:rPr>
                <w:rFonts w:hint="eastAsia" w:ascii="Segoe UI" w:hAnsi="Segoe UI" w:eastAsia="Segoe UI" w:cs="Segoe UI"/>
                <w:i w:val="0"/>
                <w:iCs w:val="0"/>
                <w:caps w:val="0"/>
                <w:color w:val="0F1115"/>
                <w:spacing w:val="0"/>
                <w:sz w:val="24"/>
                <w:szCs w:val="24"/>
                <w:highlight w:val="none"/>
                <w:shd w:val="clear" w:fill="FFFFFF"/>
                <w:lang w:val="en-US" w:eastAsia="zh-CN"/>
              </w:rPr>
              <w:t>4分；③</w:t>
            </w:r>
            <w:r>
              <w:rPr>
                <w:rFonts w:ascii="Segoe UI" w:hAnsi="Segoe UI" w:eastAsia="Segoe UI" w:cs="Segoe UI"/>
                <w:i w:val="0"/>
                <w:iCs w:val="0"/>
                <w:caps w:val="0"/>
                <w:color w:val="0F1115"/>
                <w:spacing w:val="0"/>
                <w:sz w:val="24"/>
                <w:szCs w:val="24"/>
                <w:highlight w:val="none"/>
                <w:shd w:val="clear" w:fill="FFFFFF"/>
              </w:rPr>
              <w:t>方案完整，有明确的售后服务机构及人员、售后服务承诺、售后服务响应及处理时间，质保期内的售后服务范围、质保期满后的售后服务范围和收费情况能够满足采购人的基本要求，内容合理可行</w:t>
            </w:r>
            <w:r>
              <w:rPr>
                <w:rFonts w:hint="eastAsia" w:ascii="Segoe UI" w:hAnsi="Segoe UI" w:eastAsia="Segoe UI" w:cs="Segoe UI"/>
                <w:i w:val="0"/>
                <w:iCs w:val="0"/>
                <w:caps w:val="0"/>
                <w:color w:val="0F1115"/>
                <w:spacing w:val="0"/>
                <w:sz w:val="24"/>
                <w:szCs w:val="24"/>
                <w:highlight w:val="none"/>
                <w:shd w:val="clear" w:fill="FFFFFF"/>
                <w:lang w:eastAsia="zh-CN"/>
              </w:rPr>
              <w:t>，得</w:t>
            </w:r>
            <w:r>
              <w:rPr>
                <w:rFonts w:hint="eastAsia" w:ascii="Segoe UI" w:hAnsi="Segoe UI" w:eastAsia="Segoe UI" w:cs="Segoe UI"/>
                <w:i w:val="0"/>
                <w:iCs w:val="0"/>
                <w:caps w:val="0"/>
                <w:color w:val="0F1115"/>
                <w:spacing w:val="0"/>
                <w:sz w:val="24"/>
                <w:szCs w:val="24"/>
                <w:highlight w:val="none"/>
                <w:shd w:val="clear" w:fill="FFFFFF"/>
                <w:lang w:val="en-US" w:eastAsia="zh-CN"/>
              </w:rPr>
              <w:t>3分；④</w:t>
            </w:r>
            <w:r>
              <w:rPr>
                <w:rFonts w:ascii="Segoe UI" w:hAnsi="Segoe UI" w:eastAsia="Segoe UI" w:cs="Segoe UI"/>
                <w:i w:val="0"/>
                <w:iCs w:val="0"/>
                <w:caps w:val="0"/>
                <w:color w:val="0F1115"/>
                <w:spacing w:val="0"/>
                <w:sz w:val="24"/>
                <w:szCs w:val="24"/>
                <w:highlight w:val="none"/>
                <w:shd w:val="clear" w:fill="FFFFFF"/>
              </w:rPr>
              <w:t>售后服务体系较为薄弱，售后服务方案中关于服务体系、服务内容、故障解决方案、响应时间、人员保障、备品备件、质保期内外维保方案等方面内容介绍不明晰、不够具体，或存在部分缺失，不能完全满足采购人要求</w:t>
            </w:r>
            <w:r>
              <w:rPr>
                <w:rFonts w:hint="eastAsia" w:ascii="Segoe UI" w:hAnsi="Segoe UI" w:eastAsia="Segoe UI" w:cs="Segoe UI"/>
                <w:i w:val="0"/>
                <w:iCs w:val="0"/>
                <w:caps w:val="0"/>
                <w:color w:val="0F1115"/>
                <w:spacing w:val="0"/>
                <w:sz w:val="24"/>
                <w:szCs w:val="24"/>
                <w:highlight w:val="none"/>
                <w:shd w:val="clear" w:fill="FFFFFF"/>
                <w:lang w:eastAsia="zh-CN"/>
              </w:rPr>
              <w:t>，得</w:t>
            </w:r>
            <w:r>
              <w:rPr>
                <w:rFonts w:hint="eastAsia" w:ascii="Segoe UI" w:hAnsi="Segoe UI" w:eastAsia="Segoe UI" w:cs="Segoe UI"/>
                <w:i w:val="0"/>
                <w:iCs w:val="0"/>
                <w:caps w:val="0"/>
                <w:color w:val="0F1115"/>
                <w:spacing w:val="0"/>
                <w:sz w:val="24"/>
                <w:szCs w:val="24"/>
                <w:highlight w:val="none"/>
                <w:shd w:val="clear" w:fill="FFFFFF"/>
                <w:lang w:val="en-US" w:eastAsia="zh-CN"/>
              </w:rPr>
              <w:t>2分；⑤</w:t>
            </w:r>
            <w:r>
              <w:rPr>
                <w:rFonts w:hint="eastAsia" w:ascii="Segoe UI" w:hAnsi="Segoe UI" w:eastAsia="Segoe UI" w:cs="Segoe UI"/>
                <w:i w:val="0"/>
                <w:iCs w:val="0"/>
                <w:caps w:val="0"/>
                <w:color w:val="0F1115"/>
                <w:spacing w:val="0"/>
                <w:sz w:val="24"/>
                <w:szCs w:val="24"/>
                <w:highlight w:val="none"/>
                <w:shd w:val="clear" w:fill="FFFFFF"/>
              </w:rPr>
              <w:t>方案有重大缺陷或</w:t>
            </w:r>
            <w:r>
              <w:rPr>
                <w:rFonts w:ascii="Segoe UI" w:hAnsi="Segoe UI" w:eastAsia="Segoe UI" w:cs="Segoe UI"/>
                <w:i w:val="0"/>
                <w:iCs w:val="0"/>
                <w:caps w:val="0"/>
                <w:color w:val="0F1115"/>
                <w:spacing w:val="0"/>
                <w:sz w:val="24"/>
                <w:szCs w:val="24"/>
                <w:highlight w:val="none"/>
                <w:shd w:val="clear" w:fill="FFFFFF"/>
              </w:rPr>
              <w:t>未提供</w:t>
            </w:r>
            <w:r>
              <w:rPr>
                <w:rFonts w:hint="eastAsia" w:ascii="Segoe UI" w:hAnsi="Segoe UI" w:eastAsia="Segoe UI" w:cs="Segoe UI"/>
                <w:i w:val="0"/>
                <w:iCs w:val="0"/>
                <w:caps w:val="0"/>
                <w:color w:val="0F1115"/>
                <w:spacing w:val="0"/>
                <w:sz w:val="24"/>
                <w:szCs w:val="24"/>
                <w:highlight w:val="none"/>
                <w:shd w:val="clear" w:fill="FFFFFF"/>
                <w:lang w:eastAsia="zh-CN"/>
              </w:rPr>
              <w:t>的得</w:t>
            </w:r>
            <w:r>
              <w:rPr>
                <w:rFonts w:hint="eastAsia" w:ascii="Segoe UI" w:hAnsi="Segoe UI" w:eastAsia="Segoe UI" w:cs="Segoe UI"/>
                <w:i w:val="0"/>
                <w:iCs w:val="0"/>
                <w:caps w:val="0"/>
                <w:color w:val="0F1115"/>
                <w:spacing w:val="0"/>
                <w:sz w:val="24"/>
                <w:szCs w:val="24"/>
                <w:highlight w:val="none"/>
                <w:shd w:val="clear" w:fill="FFFFFF"/>
                <w:lang w:val="en-US" w:eastAsia="zh-CN"/>
              </w:rPr>
              <w:t>0分。</w:t>
            </w:r>
          </w:p>
        </w:tc>
      </w:tr>
      <w:tr w14:paraId="60C0B3C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200" w:type="dxa"/>
            <w:tcBorders>
              <w:left w:val="single" w:color="auto" w:sz="6" w:space="0"/>
              <w:bottom w:val="single" w:color="auto" w:sz="6" w:space="0"/>
              <w:right w:val="single" w:color="auto" w:sz="6" w:space="0"/>
            </w:tcBorders>
            <w:noWrap w:val="0"/>
            <w:vAlign w:val="center"/>
          </w:tcPr>
          <w:p w14:paraId="18CECA10">
            <w:pPr>
              <w:snapToGrid w:val="0"/>
              <w:spacing w:line="240" w:lineRule="auto"/>
              <w:ind w:left="0" w:leftChars="0" w:right="0" w:rightChars="0" w:firstLine="0" w:firstLineChars="0"/>
              <w:jc w:val="left"/>
              <w:rPr>
                <w:rFonts w:ascii="Segoe UI" w:eastAsia="Segoe UI"/>
                <w:sz w:val="24"/>
                <w:szCs w:val="22"/>
                <w:highlight w:val="none"/>
              </w:rPr>
            </w:pPr>
          </w:p>
        </w:tc>
        <w:tc>
          <w:tcPr>
            <w:tcW w:w="701" w:type="dxa"/>
            <w:tcBorders>
              <w:top w:val="single" w:color="auto" w:sz="4" w:space="0"/>
              <w:left w:val="single" w:color="auto" w:sz="6" w:space="0"/>
              <w:bottom w:val="single" w:color="auto" w:sz="6" w:space="0"/>
              <w:right w:val="single" w:color="auto" w:sz="6" w:space="0"/>
            </w:tcBorders>
            <w:noWrap w:val="0"/>
            <w:vAlign w:val="center"/>
          </w:tcPr>
          <w:p w14:paraId="43062944">
            <w:pPr>
              <w:snapToGrid w:val="0"/>
              <w:spacing w:line="240" w:lineRule="auto"/>
              <w:ind w:left="0" w:leftChars="0" w:right="0" w:rightChars="0" w:firstLine="0" w:firstLineChars="0"/>
              <w:jc w:val="center"/>
              <w:rPr>
                <w:rFonts w:hint="eastAsia" w:ascii="Segoe UI" w:hAnsi="Segoe UI" w:eastAsia="Segoe UI" w:cs="Segoe UI"/>
                <w:i w:val="0"/>
                <w:iCs w:val="0"/>
                <w:caps w:val="0"/>
                <w:color w:val="0F1115"/>
                <w:spacing w:val="0"/>
                <w:sz w:val="24"/>
                <w:szCs w:val="24"/>
                <w:highlight w:val="none"/>
                <w:shd w:val="clear" w:fill="FFFFFF"/>
              </w:rPr>
            </w:pPr>
            <w:r>
              <w:rPr>
                <w:rFonts w:hint="eastAsia" w:ascii="Segoe UI" w:hAnsi="Segoe UI" w:eastAsia="宋体" w:cs="Segoe UI"/>
                <w:i w:val="0"/>
                <w:iCs w:val="0"/>
                <w:caps w:val="0"/>
                <w:color w:val="0F1115"/>
                <w:spacing w:val="0"/>
                <w:sz w:val="24"/>
                <w:szCs w:val="24"/>
                <w:highlight w:val="none"/>
                <w:shd w:val="clear" w:fill="FFFFFF"/>
                <w:lang w:eastAsia="zh-CN"/>
              </w:rPr>
              <w:t>履约</w:t>
            </w:r>
            <w:r>
              <w:rPr>
                <w:rFonts w:hint="eastAsia" w:ascii="Segoe UI" w:hAnsi="Segoe UI" w:eastAsia="Segoe UI" w:cs="Segoe UI"/>
                <w:i w:val="0"/>
                <w:iCs w:val="0"/>
                <w:caps w:val="0"/>
                <w:color w:val="0F1115"/>
                <w:spacing w:val="0"/>
                <w:sz w:val="24"/>
                <w:szCs w:val="24"/>
                <w:highlight w:val="none"/>
                <w:shd w:val="clear" w:fill="FFFFFF"/>
              </w:rPr>
              <w:t>承诺</w:t>
            </w:r>
          </w:p>
        </w:tc>
        <w:tc>
          <w:tcPr>
            <w:tcW w:w="1021" w:type="dxa"/>
            <w:tcBorders>
              <w:top w:val="single" w:color="auto" w:sz="4" w:space="0"/>
              <w:left w:val="single" w:color="auto" w:sz="6" w:space="0"/>
              <w:bottom w:val="single" w:color="auto" w:sz="6" w:space="0"/>
              <w:right w:val="single" w:color="auto" w:sz="6" w:space="0"/>
            </w:tcBorders>
            <w:noWrap w:val="0"/>
            <w:vAlign w:val="center"/>
          </w:tcPr>
          <w:p w14:paraId="703CD1B0">
            <w:pPr>
              <w:snapToGrid w:val="0"/>
              <w:spacing w:line="240" w:lineRule="auto"/>
              <w:ind w:left="0" w:leftChars="0" w:right="0" w:rightChars="0" w:firstLine="0" w:firstLineChars="0"/>
              <w:jc w:val="center"/>
              <w:rPr>
                <w:rFonts w:hint="eastAsia" w:ascii="Segoe UI" w:hAnsi="Segoe UI" w:eastAsia="Segoe UI" w:cs="Segoe UI"/>
                <w:i w:val="0"/>
                <w:iCs w:val="0"/>
                <w:caps w:val="0"/>
                <w:color w:val="0F1115"/>
                <w:spacing w:val="0"/>
                <w:sz w:val="24"/>
                <w:szCs w:val="24"/>
                <w:highlight w:val="none"/>
                <w:shd w:val="clear" w:fill="FFFFFF"/>
              </w:rPr>
            </w:pPr>
            <w:r>
              <w:rPr>
                <w:rFonts w:hint="eastAsia" w:ascii="Segoe UI" w:hAnsi="Segoe UI" w:eastAsia="Segoe UI" w:cs="Segoe UI"/>
                <w:i w:val="0"/>
                <w:iCs w:val="0"/>
                <w:caps w:val="0"/>
                <w:color w:val="0F1115"/>
                <w:spacing w:val="0"/>
                <w:sz w:val="24"/>
                <w:szCs w:val="24"/>
                <w:highlight w:val="none"/>
                <w:shd w:val="clear" w:fill="FFFFFF"/>
                <w:lang w:val="en-US" w:eastAsia="zh-CN"/>
              </w:rPr>
              <w:t>6</w:t>
            </w:r>
            <w:r>
              <w:rPr>
                <w:rFonts w:hint="eastAsia" w:ascii="Segoe UI" w:hAnsi="Segoe UI" w:eastAsia="Segoe UI" w:cs="Segoe UI"/>
                <w:i w:val="0"/>
                <w:iCs w:val="0"/>
                <w:caps w:val="0"/>
                <w:color w:val="0F1115"/>
                <w:spacing w:val="0"/>
                <w:sz w:val="24"/>
                <w:szCs w:val="24"/>
                <w:highlight w:val="none"/>
                <w:shd w:val="clear" w:fill="FFFFFF"/>
              </w:rPr>
              <w:t>.00分</w:t>
            </w:r>
          </w:p>
        </w:tc>
        <w:tc>
          <w:tcPr>
            <w:tcW w:w="6247" w:type="dxa"/>
            <w:tcBorders>
              <w:top w:val="single" w:color="auto" w:sz="4" w:space="0"/>
              <w:left w:val="single" w:color="auto" w:sz="6" w:space="0"/>
              <w:bottom w:val="single" w:color="auto" w:sz="6" w:space="0"/>
              <w:right w:val="single" w:color="auto" w:sz="6" w:space="0"/>
            </w:tcBorders>
            <w:noWrap w:val="0"/>
            <w:vAlign w:val="center"/>
          </w:tcPr>
          <w:p w14:paraId="5D623F6E">
            <w:pPr>
              <w:pStyle w:val="30"/>
              <w:keepNext w:val="0"/>
              <w:keepLines w:val="0"/>
              <w:pageBreakBefore w:val="0"/>
              <w:widowControl/>
              <w:suppressLineNumbers w:val="0"/>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left"/>
              <w:textAlignment w:val="auto"/>
              <w:rPr>
                <w:rFonts w:hint="default" w:ascii="Segoe UI" w:hAnsi="Segoe UI" w:eastAsia="Segoe UI" w:cs="Segoe UI"/>
                <w:i w:val="0"/>
                <w:iCs w:val="0"/>
                <w:caps w:val="0"/>
                <w:color w:val="0F1115"/>
                <w:spacing w:val="0"/>
                <w:sz w:val="24"/>
                <w:szCs w:val="24"/>
                <w:highlight w:val="none"/>
                <w:shd w:val="clear" w:fill="FFFFFF"/>
                <w:lang w:val="en-US" w:eastAsia="zh-CN" w:bidi="ar-SA"/>
              </w:rPr>
            </w:pPr>
            <w:r>
              <w:rPr>
                <w:rFonts w:hint="default" w:ascii="Segoe UI" w:hAnsi="Segoe UI" w:eastAsia="Segoe UI" w:cs="Segoe UI"/>
                <w:i w:val="0"/>
                <w:iCs w:val="0"/>
                <w:caps w:val="0"/>
                <w:color w:val="0F1115"/>
                <w:spacing w:val="0"/>
                <w:sz w:val="24"/>
                <w:szCs w:val="24"/>
                <w:highlight w:val="none"/>
                <w:shd w:val="clear" w:fill="FFFFFF"/>
                <w:lang w:val="en-US" w:eastAsia="zh-CN" w:bidi="ar-SA"/>
              </w:rPr>
              <w:t>投标人须按以下要求出具书面承诺函（加盖公章，法定代表人或授权代表签字），未提供或内容不完整的，对应分值不得分，承诺函格式自拟。</w:t>
            </w:r>
          </w:p>
          <w:p w14:paraId="5703ABD4">
            <w:pPr>
              <w:pStyle w:val="30"/>
              <w:keepNext w:val="0"/>
              <w:keepLines w:val="0"/>
              <w:pageBreakBefore w:val="0"/>
              <w:widowControl/>
              <w:suppressLineNumbers w:val="0"/>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left"/>
              <w:textAlignment w:val="auto"/>
              <w:rPr>
                <w:rFonts w:hint="default" w:ascii="Segoe UI" w:hAnsi="Segoe UI" w:eastAsia="Segoe UI" w:cs="Segoe UI"/>
                <w:i w:val="0"/>
                <w:iCs w:val="0"/>
                <w:caps w:val="0"/>
                <w:color w:val="0F1115"/>
                <w:spacing w:val="0"/>
                <w:sz w:val="24"/>
                <w:szCs w:val="24"/>
                <w:highlight w:val="none"/>
                <w:shd w:val="clear" w:fill="FFFFFF"/>
                <w:lang w:val="en-US" w:eastAsia="zh-CN" w:bidi="ar-SA"/>
              </w:rPr>
            </w:pPr>
            <w:r>
              <w:rPr>
                <w:rFonts w:hint="default" w:ascii="Segoe UI" w:hAnsi="Segoe UI" w:eastAsia="Segoe UI" w:cs="Segoe UI"/>
                <w:i w:val="0"/>
                <w:iCs w:val="0"/>
                <w:caps w:val="0"/>
                <w:color w:val="0F1115"/>
                <w:spacing w:val="0"/>
                <w:sz w:val="24"/>
                <w:szCs w:val="24"/>
                <w:highlight w:val="none"/>
                <w:shd w:val="clear" w:fill="FFFFFF"/>
                <w:lang w:val="en-US" w:eastAsia="zh-CN" w:bidi="ar-SA"/>
              </w:rPr>
              <w:t>（1）国产化适配承诺（2分）： 若所投软件暂不支持国产计算机（含国产操作系统）环境，中标后待采购人及中标供应商同时具备国产计算机运行条件之日起60个日历天内完成适配升级并确保正常运行，费用含在总价中。提供完整承诺得 2分。</w:t>
            </w:r>
          </w:p>
          <w:p w14:paraId="40DD60FC">
            <w:pPr>
              <w:pStyle w:val="30"/>
              <w:keepNext w:val="0"/>
              <w:keepLines w:val="0"/>
              <w:pageBreakBefore w:val="0"/>
              <w:widowControl/>
              <w:suppressLineNumbers w:val="0"/>
              <w:shd w:val="clear" w:fill="FFFFFF"/>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left"/>
              <w:textAlignment w:val="auto"/>
              <w:rPr>
                <w:rFonts w:hint="default" w:ascii="Segoe UI" w:hAnsi="Segoe UI" w:eastAsia="Segoe UI" w:cs="Segoe UI"/>
                <w:i w:val="0"/>
                <w:iCs w:val="0"/>
                <w:caps w:val="0"/>
                <w:color w:val="0F1115"/>
                <w:spacing w:val="0"/>
                <w:sz w:val="24"/>
                <w:szCs w:val="24"/>
                <w:highlight w:val="none"/>
                <w:shd w:val="clear" w:fill="FFFFFF"/>
                <w:lang w:val="en-US" w:eastAsia="zh-CN" w:bidi="ar-SA"/>
              </w:rPr>
            </w:pPr>
            <w:r>
              <w:rPr>
                <w:rFonts w:hint="default" w:ascii="Segoe UI" w:hAnsi="Segoe UI" w:eastAsia="Segoe UI" w:cs="Segoe UI"/>
                <w:i w:val="0"/>
                <w:iCs w:val="0"/>
                <w:caps w:val="0"/>
                <w:color w:val="0F1115"/>
                <w:spacing w:val="0"/>
                <w:sz w:val="24"/>
                <w:szCs w:val="24"/>
                <w:highlight w:val="none"/>
                <w:shd w:val="clear" w:fill="FFFFFF"/>
                <w:lang w:val="en-US" w:eastAsia="zh-CN" w:bidi="ar-SA"/>
              </w:rPr>
              <w:t>（2）系统对接承诺（2分）： 承诺支持</w:t>
            </w:r>
            <w:r>
              <w:rPr>
                <w:rFonts w:hint="eastAsia" w:ascii="Segoe UI" w:hAnsi="Segoe UI" w:eastAsia="Segoe UI" w:cs="Segoe UI"/>
                <w:i w:val="0"/>
                <w:iCs w:val="0"/>
                <w:caps w:val="0"/>
                <w:color w:val="0F1115"/>
                <w:spacing w:val="0"/>
                <w:sz w:val="24"/>
                <w:szCs w:val="24"/>
                <w:highlight w:val="none"/>
                <w:shd w:val="clear" w:fill="FFFFFF"/>
                <w:lang w:val="en-US" w:eastAsia="zh-CN" w:bidi="ar-SA"/>
              </w:rPr>
              <w:t>如需</w:t>
            </w:r>
            <w:r>
              <w:rPr>
                <w:rFonts w:hint="default" w:ascii="Segoe UI" w:hAnsi="Segoe UI" w:eastAsia="Segoe UI" w:cs="Segoe UI"/>
                <w:i w:val="0"/>
                <w:iCs w:val="0"/>
                <w:caps w:val="0"/>
                <w:color w:val="0F1115"/>
                <w:spacing w:val="0"/>
                <w:sz w:val="24"/>
                <w:szCs w:val="24"/>
                <w:highlight w:val="none"/>
                <w:shd w:val="clear" w:fill="FFFFFF"/>
                <w:lang w:val="en-US" w:eastAsia="zh-CN" w:bidi="ar-SA"/>
              </w:rPr>
              <w:t>与采购人现有计量管理系统对接（如需对接），完成检定数据上传及证书出具等全流程业务，配合联调</w:t>
            </w:r>
            <w:r>
              <w:rPr>
                <w:rFonts w:hint="eastAsia" w:ascii="Segoe UI" w:hAnsi="Segoe UI" w:eastAsia="Segoe UI" w:cs="Segoe UI"/>
                <w:i w:val="0"/>
                <w:iCs w:val="0"/>
                <w:caps w:val="0"/>
                <w:color w:val="0F1115"/>
                <w:spacing w:val="0"/>
                <w:sz w:val="24"/>
                <w:szCs w:val="24"/>
                <w:highlight w:val="none"/>
                <w:shd w:val="clear" w:fill="FFFFFF"/>
                <w:lang w:val="en-US" w:eastAsia="zh-CN" w:bidi="ar-SA"/>
              </w:rPr>
              <w:t>确保</w:t>
            </w:r>
            <w:r>
              <w:rPr>
                <w:rFonts w:hint="default" w:ascii="Segoe UI" w:hAnsi="Segoe UI" w:eastAsia="Segoe UI" w:cs="Segoe UI"/>
                <w:i w:val="0"/>
                <w:iCs w:val="0"/>
                <w:caps w:val="0"/>
                <w:color w:val="0F1115"/>
                <w:spacing w:val="0"/>
                <w:sz w:val="24"/>
                <w:szCs w:val="24"/>
                <w:highlight w:val="none"/>
                <w:shd w:val="clear" w:fill="FFFFFF"/>
                <w:lang w:val="en-US" w:eastAsia="zh-CN" w:bidi="ar-SA"/>
              </w:rPr>
              <w:t>设备</w:t>
            </w:r>
            <w:r>
              <w:rPr>
                <w:rFonts w:hint="eastAsia" w:ascii="Segoe UI" w:hAnsi="Segoe UI" w:eastAsia="Segoe UI" w:cs="Segoe UI"/>
                <w:i w:val="0"/>
                <w:iCs w:val="0"/>
                <w:caps w:val="0"/>
                <w:color w:val="0F1115"/>
                <w:spacing w:val="0"/>
                <w:sz w:val="24"/>
                <w:szCs w:val="24"/>
                <w:highlight w:val="none"/>
                <w:shd w:val="clear" w:fill="FFFFFF"/>
                <w:lang w:val="en-US" w:eastAsia="zh-CN" w:bidi="ar-SA"/>
              </w:rPr>
              <w:t>可以正常</w:t>
            </w:r>
            <w:r>
              <w:rPr>
                <w:rFonts w:hint="default" w:ascii="Segoe UI" w:hAnsi="Segoe UI" w:eastAsia="Segoe UI" w:cs="Segoe UI"/>
                <w:i w:val="0"/>
                <w:iCs w:val="0"/>
                <w:caps w:val="0"/>
                <w:color w:val="0F1115"/>
                <w:spacing w:val="0"/>
                <w:sz w:val="24"/>
                <w:szCs w:val="24"/>
                <w:highlight w:val="none"/>
                <w:shd w:val="clear" w:fill="FFFFFF"/>
                <w:lang w:val="en-US" w:eastAsia="zh-CN" w:bidi="ar-SA"/>
              </w:rPr>
              <w:t>上线运行，对接费用含在总价中。提供完整承诺得 2分。</w:t>
            </w:r>
          </w:p>
          <w:p w14:paraId="3854F1BF">
            <w:pPr>
              <w:snapToGrid w:val="0"/>
              <w:spacing w:line="240" w:lineRule="auto"/>
              <w:ind w:left="0" w:leftChars="0" w:right="0" w:rightChars="0" w:firstLine="0" w:firstLineChars="0"/>
              <w:jc w:val="left"/>
              <w:rPr>
                <w:rFonts w:hint="eastAsia" w:ascii="Segoe UI" w:hAnsi="Segoe UI" w:eastAsia="Segoe UI" w:cs="Segoe UI"/>
                <w:i w:val="0"/>
                <w:iCs w:val="0"/>
                <w:caps w:val="0"/>
                <w:color w:val="0F1115"/>
                <w:spacing w:val="0"/>
                <w:sz w:val="24"/>
                <w:szCs w:val="24"/>
                <w:highlight w:val="none"/>
                <w:shd w:val="clear" w:fill="FFFFFF"/>
                <w:lang w:val="en-US" w:eastAsia="zh-CN" w:bidi="ar-SA"/>
              </w:rPr>
            </w:pPr>
            <w:r>
              <w:rPr>
                <w:rFonts w:hint="default" w:ascii="Segoe UI" w:hAnsi="Segoe UI" w:eastAsia="Segoe UI" w:cs="Segoe UI"/>
                <w:i w:val="0"/>
                <w:iCs w:val="0"/>
                <w:caps w:val="0"/>
                <w:color w:val="0F1115"/>
                <w:spacing w:val="0"/>
                <w:sz w:val="24"/>
                <w:szCs w:val="24"/>
                <w:highlight w:val="none"/>
                <w:shd w:val="clear" w:fill="FFFFFF"/>
                <w:lang w:val="en-US" w:eastAsia="zh-CN" w:bidi="ar-SA"/>
              </w:rPr>
              <w:t>（3）质保期承诺（</w:t>
            </w:r>
            <w:r>
              <w:rPr>
                <w:rFonts w:hint="eastAsia" w:ascii="Segoe UI" w:hAnsi="Segoe UI" w:eastAsia="Segoe UI" w:cs="Segoe UI"/>
                <w:i w:val="0"/>
                <w:iCs w:val="0"/>
                <w:caps w:val="0"/>
                <w:color w:val="0F1115"/>
                <w:spacing w:val="0"/>
                <w:sz w:val="24"/>
                <w:szCs w:val="24"/>
                <w:highlight w:val="none"/>
                <w:shd w:val="clear" w:fill="FFFFFF"/>
                <w:lang w:val="en-US" w:eastAsia="zh-CN" w:bidi="ar-SA"/>
              </w:rPr>
              <w:t>2</w:t>
            </w:r>
            <w:r>
              <w:rPr>
                <w:rFonts w:hint="default" w:ascii="Segoe UI" w:hAnsi="Segoe UI" w:eastAsia="Segoe UI" w:cs="Segoe UI"/>
                <w:i w:val="0"/>
                <w:iCs w:val="0"/>
                <w:caps w:val="0"/>
                <w:color w:val="0F1115"/>
                <w:spacing w:val="0"/>
                <w:sz w:val="24"/>
                <w:szCs w:val="24"/>
                <w:highlight w:val="none"/>
                <w:shd w:val="clear" w:fill="FFFFFF"/>
                <w:lang w:val="en-US" w:eastAsia="zh-CN" w:bidi="ar-SA"/>
              </w:rPr>
              <w:t>分）： 在验收通过之日起免费质保 24个月基础上，每增加12个月得 </w:t>
            </w:r>
            <w:r>
              <w:rPr>
                <w:rFonts w:hint="eastAsia" w:ascii="Segoe UI" w:hAnsi="Segoe UI" w:eastAsia="Segoe UI" w:cs="Segoe UI"/>
                <w:i w:val="0"/>
                <w:iCs w:val="0"/>
                <w:caps w:val="0"/>
                <w:color w:val="0F1115"/>
                <w:spacing w:val="0"/>
                <w:sz w:val="24"/>
                <w:szCs w:val="24"/>
                <w:highlight w:val="none"/>
                <w:shd w:val="clear" w:fill="FFFFFF"/>
                <w:lang w:val="en-US" w:eastAsia="zh-CN" w:bidi="ar-SA"/>
              </w:rPr>
              <w:t>1</w:t>
            </w:r>
            <w:r>
              <w:rPr>
                <w:rFonts w:hint="default" w:ascii="Segoe UI" w:hAnsi="Segoe UI" w:eastAsia="Segoe UI" w:cs="Segoe UI"/>
                <w:i w:val="0"/>
                <w:iCs w:val="0"/>
                <w:caps w:val="0"/>
                <w:color w:val="0F1115"/>
                <w:spacing w:val="0"/>
                <w:sz w:val="24"/>
                <w:szCs w:val="24"/>
                <w:highlight w:val="none"/>
                <w:shd w:val="clear" w:fill="FFFFFF"/>
                <w:lang w:val="en-US" w:eastAsia="zh-CN" w:bidi="ar-SA"/>
              </w:rPr>
              <w:t>分，本项最高得</w:t>
            </w:r>
            <w:r>
              <w:rPr>
                <w:rFonts w:hint="eastAsia" w:ascii="Segoe UI" w:hAnsi="Segoe UI" w:eastAsia="Segoe UI" w:cs="Segoe UI"/>
                <w:i w:val="0"/>
                <w:iCs w:val="0"/>
                <w:caps w:val="0"/>
                <w:color w:val="0F1115"/>
                <w:spacing w:val="0"/>
                <w:sz w:val="24"/>
                <w:szCs w:val="24"/>
                <w:highlight w:val="none"/>
                <w:shd w:val="clear" w:fill="FFFFFF"/>
                <w:lang w:val="en-US" w:eastAsia="zh-CN" w:bidi="ar-SA"/>
              </w:rPr>
              <w:t>2</w:t>
            </w:r>
            <w:r>
              <w:rPr>
                <w:rFonts w:hint="default" w:ascii="Segoe UI" w:hAnsi="Segoe UI" w:eastAsia="Segoe UI" w:cs="Segoe UI"/>
                <w:i w:val="0"/>
                <w:iCs w:val="0"/>
                <w:caps w:val="0"/>
                <w:color w:val="0F1115"/>
                <w:spacing w:val="0"/>
                <w:sz w:val="24"/>
                <w:szCs w:val="24"/>
                <w:highlight w:val="none"/>
                <w:shd w:val="clear" w:fill="FFFFFF"/>
                <w:lang w:val="en-US" w:eastAsia="zh-CN" w:bidi="ar-SA"/>
              </w:rPr>
              <w:t>分（提供加盖公章的承诺函原件扫描件）。</w:t>
            </w:r>
          </w:p>
        </w:tc>
      </w:tr>
    </w:tbl>
    <w:p w14:paraId="1C136DB0">
      <w:pPr>
        <w:rPr>
          <w:rFonts w:hint="eastAsia"/>
          <w:highlight w:val="none"/>
        </w:rPr>
      </w:pPr>
      <w:r>
        <w:rPr>
          <w:rFonts w:hint="eastAsia"/>
          <w:sz w:val="20"/>
          <w:highlight w:val="none"/>
        </w:rPr>
        <w:t xml:space="preserve"> </w:t>
      </w:r>
      <w:bookmarkEnd w:id="160"/>
    </w:p>
    <w:p w14:paraId="17E71015">
      <w:pPr>
        <w:spacing w:line="400" w:lineRule="exact"/>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b/>
          <w:sz w:val="24"/>
          <w:highlight w:val="none"/>
        </w:rPr>
        <w:t>（三）评标结果。</w:t>
      </w:r>
      <w:r>
        <w:rPr>
          <w:rFonts w:hint="eastAsia" w:ascii="宋体" w:hAnsi="宋体" w:cs="宋体"/>
          <w:sz w:val="24"/>
          <w:highlight w:val="none"/>
        </w:rPr>
        <w:t>评标委员会按照本办法规定推荐中标候选人，并形成评标报告。</w:t>
      </w:r>
    </w:p>
    <w:p w14:paraId="42BEC72B">
      <w:pPr>
        <w:spacing w:line="440" w:lineRule="exact"/>
        <w:rPr>
          <w:rFonts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t>（四）政府采购政策功能落实</w:t>
      </w:r>
    </w:p>
    <w:p w14:paraId="7FC47094">
      <w:pPr>
        <w:spacing w:line="440" w:lineRule="exact"/>
        <w:rPr>
          <w:rFonts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bCs/>
          <w:color w:val="000000" w:themeColor="text1"/>
          <w:sz w:val="24"/>
          <w:szCs w:val="21"/>
          <w:highlight w:val="none"/>
          <w14:textFill>
            <w14:solidFill>
              <w14:schemeClr w14:val="tx1"/>
            </w14:solidFill>
          </w14:textFill>
        </w:rPr>
        <w:t>本项目落实的政府采购政策对应以下序号为</w:t>
      </w:r>
      <w:r>
        <w:rPr>
          <w:rFonts w:hint="eastAsia" w:ascii="宋体" w:hAnsi="宋体" w:eastAsia="宋体" w:cs="宋体"/>
          <w:color w:val="000000" w:themeColor="text1"/>
          <w:sz w:val="24"/>
          <w:szCs w:val="21"/>
          <w:highlight w:val="none"/>
          <w:u w:val="single"/>
          <w14:textFill>
            <w14:solidFill>
              <w14:schemeClr w14:val="tx1"/>
            </w14:solidFill>
          </w14:textFill>
        </w:rPr>
        <w:t>1、2、3、4</w:t>
      </w:r>
    </w:p>
    <w:p w14:paraId="1E9936AE">
      <w:pPr>
        <w:numPr>
          <w:ilvl w:val="0"/>
          <w:numId w:val="4"/>
        </w:num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采购本国货物、工程和服务</w:t>
      </w:r>
    </w:p>
    <w:p w14:paraId="18F3C810">
      <w:p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p>
    <w:p w14:paraId="3E0CC053">
      <w:p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2、中小企业政策</w:t>
      </w:r>
    </w:p>
    <w:p w14:paraId="5AA6E005">
      <w:p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本项目按以下第</w:t>
      </w:r>
      <w:r>
        <w:rPr>
          <w:rFonts w:hint="eastAsia" w:ascii="宋体" w:hAnsi="宋体" w:eastAsia="宋体" w:cs="宋体"/>
          <w:b/>
          <w:bCs/>
          <w:color w:val="000000" w:themeColor="text1"/>
          <w:sz w:val="24"/>
          <w:szCs w:val="21"/>
          <w:highlight w:val="none"/>
          <w:u w:val="single"/>
          <w14:textFill>
            <w14:solidFill>
              <w14:schemeClr w14:val="tx1"/>
            </w14:solidFill>
          </w14:textFill>
        </w:rPr>
        <w:t>（</w:t>
      </w:r>
      <w:r>
        <w:rPr>
          <w:rFonts w:hint="eastAsia" w:ascii="宋体" w:hAnsi="宋体" w:eastAsia="宋体" w:cs="宋体"/>
          <w:b/>
          <w:bCs/>
          <w:color w:val="000000" w:themeColor="text1"/>
          <w:sz w:val="24"/>
          <w:szCs w:val="21"/>
          <w:highlight w:val="none"/>
          <w:u w:val="single"/>
          <w:lang w:val="en-US" w:eastAsia="zh-CN"/>
          <w14:textFill>
            <w14:solidFill>
              <w14:schemeClr w14:val="tx1"/>
            </w14:solidFill>
          </w14:textFill>
        </w:rPr>
        <w:t>1</w:t>
      </w:r>
      <w:r>
        <w:rPr>
          <w:rFonts w:hint="eastAsia" w:ascii="宋体" w:hAnsi="宋体" w:eastAsia="宋体" w:cs="宋体"/>
          <w:b/>
          <w:bCs/>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种政策确定本项目落实的中小企业政策：</w:t>
      </w:r>
    </w:p>
    <w:p w14:paraId="297D016B">
      <w:p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（1）本项目专门面向中小企业（含监狱企业、残疾人福利企业）采购。</w:t>
      </w:r>
    </w:p>
    <w:p w14:paraId="77161DAC">
      <w:p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（2）投标人提供的货物符合下列情形的，对小微企业报价给予</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w:t>
      </w:r>
      <w:r>
        <w:rPr>
          <w:rFonts w:hint="eastAsia" w:ascii="宋体" w:hAnsi="宋体" w:eastAsia="宋体" w:cs="宋体"/>
          <w:color w:val="000000" w:themeColor="text1"/>
          <w:sz w:val="24"/>
          <w:szCs w:val="21"/>
          <w:highlight w:val="none"/>
          <w:u w:val="single"/>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的扣除，用扣除后的价格参加评审。</w:t>
      </w:r>
    </w:p>
    <w:p w14:paraId="01440054">
      <w:p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在货物采购项目中，货物由中小企业制造，即货物由中小企业生产且使用该中小企业商号或者注册商标。</w:t>
      </w:r>
    </w:p>
    <w:p w14:paraId="21E58E90">
      <w:p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注：①参加投标的中小企业，应当按照《政府采购促进中小企业发展管理办法》（财库〔2020〕46号）规定，出具《中小企业声明函》，中小企业划型依据《关于印发中小企业划型标准规定的通知》（工信部联企业〔2011〕300号）。</w:t>
      </w:r>
    </w:p>
    <w:p w14:paraId="7260BCA3">
      <w:p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p>
    <w:p w14:paraId="33FA6717">
      <w:p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③参加投标的残疾人福利性单位，视同小型、微型企业。残疾人福利性单位应当按照《财政部民政部中国残疾人联合会关于促进残疾人就业政府采购政策的通知》（财库〔2017〕141号）的规定，提供《残疾人福利性单位声明函》。</w:t>
      </w:r>
    </w:p>
    <w:p w14:paraId="4588EF53">
      <w:p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p>
    <w:p w14:paraId="15EDB730">
      <w:p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3、政府采购节能产品、环境标志产品</w:t>
      </w:r>
    </w:p>
    <w:p w14:paraId="14FA3460">
      <w:p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4A4C3562">
      <w:p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（2）招标人拟采购的产品属于政府强制采购的节能产品品目清单范围的，投标人须提供国家确定的认证机构出具的、处于有效期之内的节能产品认证证书的，否则无效标处理。</w:t>
      </w:r>
    </w:p>
    <w:p w14:paraId="47071D69">
      <w:p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4、商品包装、快递包装政府采购需求标准（试行）</w:t>
      </w:r>
    </w:p>
    <w:p w14:paraId="3C51B348">
      <w:p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78FC23FB">
      <w:p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5、绿色数据中心政府采购需求标准（试行）</w:t>
      </w:r>
    </w:p>
    <w:p w14:paraId="27683016">
      <w:p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为加快数据中心绿色转型，根据财政部生态环境部工业和信息化部关于印发《绿色数据中心政府采购需求标准（试行）》的通知），本项目如涉及绿色数据中心，具体需求详见第四章采购需求。</w:t>
      </w:r>
    </w:p>
    <w:p w14:paraId="0F583F78">
      <w:pPr>
        <w:rPr>
          <w:rFonts w:ascii="宋体" w:hAnsi="宋体" w:eastAsia="宋体" w:cs="宋体"/>
          <w:color w:val="000000" w:themeColor="text1"/>
          <w:sz w:val="44"/>
          <w:szCs w:val="44"/>
          <w:highlight w:val="none"/>
          <w14:textFill>
            <w14:solidFill>
              <w14:schemeClr w14:val="tx1"/>
            </w14:solidFill>
          </w14:textFill>
        </w:rPr>
        <w:sectPr>
          <w:footerReference r:id="rId8" w:type="first"/>
          <w:headerReference r:id="rId6" w:type="default"/>
          <w:footerReference r:id="rId7" w:type="default"/>
          <w:pgSz w:w="11906" w:h="16838"/>
          <w:pgMar w:top="1418" w:right="1588" w:bottom="1418" w:left="1365" w:header="851" w:footer="907" w:gutter="0"/>
          <w:cols w:space="720" w:num="1"/>
          <w:titlePg/>
          <w:docGrid w:linePitch="360" w:charSpace="0"/>
        </w:sectPr>
      </w:pPr>
    </w:p>
    <w:p w14:paraId="40DBBE95">
      <w:pPr>
        <w:keepNext/>
        <w:jc w:val="center"/>
        <w:outlineLvl w:val="0"/>
        <w:rPr>
          <w:rFonts w:hint="eastAsia" w:ascii="宋体" w:hAnsi="宋体" w:eastAsia="宋体" w:cs="宋体"/>
          <w:b/>
          <w:color w:val="000000" w:themeColor="text1"/>
          <w:sz w:val="44"/>
          <w:szCs w:val="28"/>
          <w:highlight w:val="none"/>
          <w14:textFill>
            <w14:solidFill>
              <w14:schemeClr w14:val="tx1"/>
            </w14:solidFill>
          </w14:textFill>
        </w:rPr>
      </w:pPr>
      <w:bookmarkStart w:id="161" w:name="_Toc8770"/>
    </w:p>
    <w:p w14:paraId="78A47CDC">
      <w:pPr>
        <w:keepNext/>
        <w:jc w:val="center"/>
        <w:outlineLvl w:val="0"/>
        <w:rPr>
          <w:rFonts w:ascii="宋体" w:hAnsi="宋体" w:eastAsia="宋体" w:cs="宋体"/>
          <w:b/>
          <w:color w:val="000000" w:themeColor="text1"/>
          <w:sz w:val="44"/>
          <w:szCs w:val="28"/>
          <w:highlight w:val="none"/>
          <w14:textFill>
            <w14:solidFill>
              <w14:schemeClr w14:val="tx1"/>
            </w14:solidFill>
          </w14:textFill>
        </w:rPr>
      </w:pPr>
      <w:r>
        <w:rPr>
          <w:rFonts w:hint="eastAsia" w:ascii="宋体" w:hAnsi="宋体" w:eastAsia="宋体" w:cs="宋体"/>
          <w:b/>
          <w:color w:val="000000" w:themeColor="text1"/>
          <w:sz w:val="44"/>
          <w:szCs w:val="28"/>
          <w:highlight w:val="none"/>
          <w14:textFill>
            <w14:solidFill>
              <w14:schemeClr w14:val="tx1"/>
            </w14:solidFill>
          </w14:textFill>
        </w:rPr>
        <w:t>第六章 投标</w:t>
      </w:r>
      <w:bookmarkEnd w:id="151"/>
      <w:bookmarkEnd w:id="152"/>
      <w:bookmarkEnd w:id="159"/>
      <w:r>
        <w:rPr>
          <w:rFonts w:hint="eastAsia" w:ascii="宋体" w:hAnsi="宋体" w:eastAsia="宋体" w:cs="宋体"/>
          <w:b/>
          <w:color w:val="000000" w:themeColor="text1"/>
          <w:sz w:val="44"/>
          <w:szCs w:val="28"/>
          <w:highlight w:val="none"/>
          <w14:textFill>
            <w14:solidFill>
              <w14:schemeClr w14:val="tx1"/>
            </w14:solidFill>
          </w14:textFill>
        </w:rPr>
        <w:t>文件格式</w:t>
      </w:r>
      <w:bookmarkEnd w:id="161"/>
    </w:p>
    <w:p w14:paraId="730F6D71">
      <w:pPr>
        <w:jc w:val="center"/>
        <w:rPr>
          <w:rFonts w:ascii="宋体" w:hAnsi="宋体" w:eastAsia="宋体" w:cs="宋体"/>
          <w:bCs/>
          <w:color w:val="000000" w:themeColor="text1"/>
          <w:sz w:val="48"/>
          <w:szCs w:val="15"/>
          <w:highlight w:val="none"/>
          <w14:textFill>
            <w14:solidFill>
              <w14:schemeClr w14:val="tx1"/>
            </w14:solidFill>
          </w14:textFill>
        </w:rPr>
      </w:pPr>
      <w:bookmarkStart w:id="162" w:name="_Hlt26955039"/>
      <w:bookmarkEnd w:id="162"/>
      <w:bookmarkStart w:id="163" w:name="_Hlt26671244"/>
      <w:bookmarkEnd w:id="163"/>
      <w:bookmarkStart w:id="164" w:name="_Toc120614282"/>
      <w:bookmarkStart w:id="165" w:name="_Toc26554094"/>
      <w:bookmarkStart w:id="166" w:name="_Toc49090576"/>
    </w:p>
    <w:p w14:paraId="7EB0947F">
      <w:pPr>
        <w:jc w:val="center"/>
        <w:rPr>
          <w:rFonts w:ascii="宋体" w:hAnsi="宋体" w:eastAsia="宋体" w:cs="宋体"/>
          <w:b/>
          <w:color w:val="000000" w:themeColor="text1"/>
          <w:sz w:val="72"/>
          <w:szCs w:val="21"/>
          <w:highlight w:val="none"/>
          <w14:textFill>
            <w14:solidFill>
              <w14:schemeClr w14:val="tx1"/>
            </w14:solidFill>
          </w14:textFill>
        </w:rPr>
      </w:pPr>
    </w:p>
    <w:p w14:paraId="4903B430">
      <w:pPr>
        <w:jc w:val="center"/>
        <w:rPr>
          <w:rFonts w:ascii="宋体" w:hAnsi="宋体" w:eastAsia="宋体" w:cs="宋体"/>
          <w:b/>
          <w:color w:val="000000" w:themeColor="text1"/>
          <w:sz w:val="72"/>
          <w:szCs w:val="21"/>
          <w:highlight w:val="none"/>
          <w14:textFill>
            <w14:solidFill>
              <w14:schemeClr w14:val="tx1"/>
            </w14:solidFill>
          </w14:textFill>
        </w:rPr>
      </w:pPr>
    </w:p>
    <w:p w14:paraId="091D2858">
      <w:pPr>
        <w:jc w:val="center"/>
        <w:rPr>
          <w:rFonts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t>投标文件</w:t>
      </w:r>
    </w:p>
    <w:p w14:paraId="5441AE62">
      <w:pPr>
        <w:rPr>
          <w:rFonts w:ascii="宋体" w:hAnsi="宋体" w:eastAsia="宋体" w:cs="宋体"/>
          <w:b/>
          <w:color w:val="000000" w:themeColor="text1"/>
          <w:sz w:val="72"/>
          <w:szCs w:val="21"/>
          <w:highlight w:val="none"/>
          <w14:textFill>
            <w14:solidFill>
              <w14:schemeClr w14:val="tx1"/>
            </w14:solidFill>
          </w14:textFill>
        </w:rPr>
      </w:pPr>
    </w:p>
    <w:p w14:paraId="6EEFFD9F">
      <w:pPr>
        <w:jc w:val="center"/>
        <w:rPr>
          <w:rFonts w:ascii="宋体" w:hAnsi="宋体" w:eastAsia="宋体" w:cs="宋体"/>
          <w:b/>
          <w:color w:val="000000" w:themeColor="text1"/>
          <w:sz w:val="72"/>
          <w:szCs w:val="21"/>
          <w:highlight w:val="none"/>
          <w14:textFill>
            <w14:solidFill>
              <w14:schemeClr w14:val="tx1"/>
            </w14:solidFill>
          </w14:textFill>
        </w:rPr>
      </w:pPr>
    </w:p>
    <w:p w14:paraId="2104DB3D">
      <w:pPr>
        <w:jc w:val="center"/>
        <w:rPr>
          <w:rFonts w:ascii="宋体" w:hAnsi="宋体" w:eastAsia="宋体" w:cs="宋体"/>
          <w:b/>
          <w:color w:val="000000" w:themeColor="text1"/>
          <w:sz w:val="36"/>
          <w:szCs w:val="21"/>
          <w:highlight w:val="none"/>
          <w14:textFill>
            <w14:solidFill>
              <w14:schemeClr w14:val="tx1"/>
            </w14:solidFill>
          </w14:textFill>
        </w:rPr>
      </w:pPr>
    </w:p>
    <w:p w14:paraId="20D9A0D4">
      <w:pPr>
        <w:jc w:val="center"/>
        <w:rPr>
          <w:rFonts w:ascii="宋体" w:hAnsi="宋体" w:eastAsia="宋体" w:cs="宋体"/>
          <w:b/>
          <w:color w:val="000000" w:themeColor="text1"/>
          <w:sz w:val="36"/>
          <w:szCs w:val="21"/>
          <w:highlight w:val="none"/>
          <w14:textFill>
            <w14:solidFill>
              <w14:schemeClr w14:val="tx1"/>
            </w14:solidFill>
          </w14:textFill>
        </w:rPr>
      </w:pPr>
    </w:p>
    <w:p w14:paraId="1E37F46B">
      <w:pPr>
        <w:jc w:val="center"/>
        <w:rPr>
          <w:rFonts w:ascii="宋体" w:hAnsi="宋体" w:eastAsia="宋体" w:cs="宋体"/>
          <w:b/>
          <w:color w:val="000000" w:themeColor="text1"/>
          <w:sz w:val="36"/>
          <w:szCs w:val="21"/>
          <w:highlight w:val="none"/>
          <w14:textFill>
            <w14:solidFill>
              <w14:schemeClr w14:val="tx1"/>
            </w14:solidFill>
          </w14:textFill>
        </w:rPr>
      </w:pPr>
    </w:p>
    <w:p w14:paraId="015A42C6">
      <w:pPr>
        <w:ind w:firstLine="1084"/>
        <w:rPr>
          <w:rFonts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t>项目名称：</w:t>
      </w:r>
    </w:p>
    <w:p w14:paraId="192FDDBB">
      <w:pPr>
        <w:ind w:firstLine="1084"/>
        <w:rPr>
          <w:rFonts w:ascii="宋体" w:hAnsi="宋体" w:eastAsia="宋体" w:cs="宋体"/>
          <w:b/>
          <w:color w:val="000000" w:themeColor="text1"/>
          <w:sz w:val="36"/>
          <w:szCs w:val="21"/>
          <w:highlight w:val="none"/>
          <w:u w:val="singl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t>项目编号：</w:t>
      </w:r>
    </w:p>
    <w:p w14:paraId="535963B2">
      <w:pPr>
        <w:ind w:firstLine="1084"/>
        <w:rPr>
          <w:rFonts w:ascii="宋体" w:hAnsi="宋体" w:eastAsia="宋体" w:cs="宋体"/>
          <w:b/>
          <w:color w:val="000000" w:themeColor="text1"/>
          <w:sz w:val="36"/>
          <w:szCs w:val="21"/>
          <w:highlight w:val="none"/>
          <w:u w:val="singl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t>投标人名称：</w:t>
      </w:r>
      <w:r>
        <w:rPr>
          <w:rFonts w:hint="eastAsia" w:ascii="宋体" w:hAnsi="宋体" w:eastAsia="宋体" w:cs="宋体"/>
          <w:b/>
          <w:color w:val="000000" w:themeColor="text1"/>
          <w:sz w:val="36"/>
          <w:szCs w:val="21"/>
          <w:highlight w:val="none"/>
          <w:u w:val="single"/>
          <w14:textFill>
            <w14:solidFill>
              <w14:schemeClr w14:val="tx1"/>
            </w14:solidFill>
          </w14:textFill>
        </w:rPr>
        <w:t>（加盖CA电子公章）</w:t>
      </w:r>
    </w:p>
    <w:p w14:paraId="63FCBBF8">
      <w:pPr>
        <w:ind w:firstLine="1084"/>
        <w:rPr>
          <w:rFonts w:ascii="宋体" w:hAnsi="宋体" w:eastAsia="宋体" w:cs="宋体"/>
          <w:b/>
          <w:color w:val="000000" w:themeColor="text1"/>
          <w:sz w:val="36"/>
          <w:szCs w:val="21"/>
          <w:highlight w:val="none"/>
          <w:u w:val="singl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t>日期：</w:t>
      </w:r>
      <w:r>
        <w:rPr>
          <w:rFonts w:hint="eastAsia" w:ascii="宋体" w:hAnsi="宋体" w:eastAsia="宋体" w:cs="宋体"/>
          <w:b/>
          <w:color w:val="000000" w:themeColor="text1"/>
          <w:sz w:val="36"/>
          <w:szCs w:val="21"/>
          <w:highlight w:val="none"/>
          <w:u w:val="single"/>
          <w14:textFill>
            <w14:solidFill>
              <w14:schemeClr w14:val="tx1"/>
            </w14:solidFill>
          </w14:textFill>
        </w:rPr>
        <w:t xml:space="preserve">                       </w:t>
      </w:r>
    </w:p>
    <w:p w14:paraId="759FB862">
      <w:pPr>
        <w:spacing w:line="440" w:lineRule="exact"/>
        <w:jc w:val="center"/>
        <w:rPr>
          <w:rFonts w:ascii="宋体" w:hAnsi="宋体" w:eastAsia="宋体" w:cs="宋体"/>
          <w:b/>
          <w:bCs/>
          <w:color w:val="000000" w:themeColor="text1"/>
          <w:sz w:val="32"/>
          <w:szCs w:val="32"/>
          <w:highlight w:val="none"/>
          <w14:textFill>
            <w14:solidFill>
              <w14:schemeClr w14:val="tx1"/>
            </w14:solidFill>
          </w14:textFill>
        </w:rPr>
      </w:pPr>
    </w:p>
    <w:p w14:paraId="1863D423">
      <w:pPr>
        <w:spacing w:line="440" w:lineRule="exact"/>
        <w:rPr>
          <w:rFonts w:ascii="宋体" w:hAnsi="宋体" w:eastAsia="宋体" w:cs="宋体"/>
          <w:color w:val="000000" w:themeColor="text1"/>
          <w:szCs w:val="21"/>
          <w:highlight w:val="none"/>
          <w14:textFill>
            <w14:solidFill>
              <w14:schemeClr w14:val="tx1"/>
            </w14:solidFill>
          </w14:textFill>
        </w:rPr>
      </w:pPr>
    </w:p>
    <w:p w14:paraId="7AE9C7BC">
      <w:pPr>
        <w:ind w:firstLine="1084"/>
        <w:rPr>
          <w:rFonts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6"/>
          <w:szCs w:val="21"/>
          <w:highlight w:val="none"/>
          <w:u w:val="single"/>
          <w14:textFill>
            <w14:solidFill>
              <w14:schemeClr w14:val="tx1"/>
            </w14:solidFill>
          </w14:textFill>
        </w:rPr>
        <w:br w:type="page" w:clear="all"/>
      </w:r>
    </w:p>
    <w:p w14:paraId="206018A4">
      <w:pPr>
        <w:spacing w:line="440" w:lineRule="exact"/>
        <w:jc w:val="center"/>
        <w:rPr>
          <w:rFonts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投标文件目录</w:t>
      </w:r>
    </w:p>
    <w:p w14:paraId="08F864E4">
      <w:pPr>
        <w:spacing w:line="440" w:lineRule="exact"/>
        <w:jc w:val="center"/>
        <w:rPr>
          <w:rFonts w:ascii="宋体" w:hAnsi="宋体" w:eastAsia="宋体" w:cs="宋体"/>
          <w:b/>
          <w:bCs/>
          <w:color w:val="000000" w:themeColor="text1"/>
          <w:sz w:val="32"/>
          <w:szCs w:val="32"/>
          <w:highlight w:val="none"/>
          <w14:textFill>
            <w14:solidFill>
              <w14:schemeClr w14:val="tx1"/>
            </w14:solidFill>
          </w14:textFill>
        </w:rPr>
      </w:pPr>
    </w:p>
    <w:p w14:paraId="21304D5E">
      <w:pPr>
        <w:numPr>
          <w:ilvl w:val="0"/>
          <w:numId w:val="5"/>
        </w:numPr>
        <w:spacing w:line="440" w:lineRule="exact"/>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投标声明及承诺函</w:t>
      </w:r>
    </w:p>
    <w:p w14:paraId="6267EB02">
      <w:pPr>
        <w:numPr>
          <w:ilvl w:val="0"/>
          <w:numId w:val="5"/>
        </w:numPr>
        <w:spacing w:line="440" w:lineRule="exact"/>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投标人基本信息</w:t>
      </w:r>
    </w:p>
    <w:p w14:paraId="51069F2B">
      <w:pPr>
        <w:numPr>
          <w:ilvl w:val="0"/>
          <w:numId w:val="5"/>
        </w:numPr>
        <w:spacing w:line="440" w:lineRule="exact"/>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法人授权书</w:t>
      </w:r>
    </w:p>
    <w:p w14:paraId="5BFF3593">
      <w:pPr>
        <w:numPr>
          <w:ilvl w:val="0"/>
          <w:numId w:val="5"/>
        </w:numPr>
        <w:spacing w:line="440" w:lineRule="exact"/>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开标一览表</w:t>
      </w:r>
    </w:p>
    <w:p w14:paraId="77FB6A4E">
      <w:pPr>
        <w:numPr>
          <w:ilvl w:val="0"/>
          <w:numId w:val="5"/>
        </w:numPr>
        <w:spacing w:line="440" w:lineRule="exact"/>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中小（微）企业声明函</w:t>
      </w:r>
    </w:p>
    <w:p w14:paraId="4EBAD751">
      <w:pPr>
        <w:numPr>
          <w:ilvl w:val="0"/>
          <w:numId w:val="5"/>
        </w:numPr>
        <w:spacing w:line="440" w:lineRule="exact"/>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技术要求响应及偏离表</w:t>
      </w:r>
    </w:p>
    <w:p w14:paraId="20FCAE5D">
      <w:pPr>
        <w:numPr>
          <w:ilvl w:val="0"/>
          <w:numId w:val="5"/>
        </w:numPr>
        <w:spacing w:line="440" w:lineRule="exact"/>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项目组人员</w:t>
      </w:r>
    </w:p>
    <w:p w14:paraId="15A18BEC">
      <w:pPr>
        <w:numPr>
          <w:ilvl w:val="0"/>
          <w:numId w:val="5"/>
        </w:numPr>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企业业绩</w:t>
      </w:r>
    </w:p>
    <w:p w14:paraId="2D85655D">
      <w:pPr>
        <w:numPr>
          <w:ilvl w:val="0"/>
          <w:numId w:val="5"/>
        </w:numPr>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关于符合本国产品标准的声明函</w:t>
      </w:r>
    </w:p>
    <w:p w14:paraId="3190B83C">
      <w:pPr>
        <w:numPr>
          <w:ilvl w:val="0"/>
          <w:numId w:val="5"/>
        </w:numPr>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投标所需其他材料</w:t>
      </w:r>
    </w:p>
    <w:p w14:paraId="77127568">
      <w:pPr>
        <w:spacing w:before="120" w:after="120" w:line="400" w:lineRule="exact"/>
        <w:jc w:val="left"/>
        <w:rPr>
          <w:rFonts w:ascii="宋体" w:hAnsi="宋体" w:eastAsia="宋体" w:cs="宋体"/>
          <w:color w:val="000000" w:themeColor="text1"/>
          <w:sz w:val="24"/>
          <w:highlight w:val="none"/>
          <w14:textFill>
            <w14:solidFill>
              <w14:schemeClr w14:val="tx1"/>
            </w14:solidFill>
          </w14:textFill>
        </w:rPr>
      </w:pPr>
    </w:p>
    <w:p w14:paraId="272A3E42">
      <w:p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p>
    <w:p w14:paraId="5B6E30EC">
      <w:p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p>
    <w:p w14:paraId="2D567A92">
      <w:p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p>
    <w:p w14:paraId="1E4D3036">
      <w:p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p>
    <w:p w14:paraId="325801D3">
      <w:p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p>
    <w:p w14:paraId="54AA36EF">
      <w:pPr>
        <w:rPr>
          <w:rFonts w:ascii="宋体" w:hAnsi="宋体" w:eastAsia="宋体" w:cs="宋体"/>
          <w:color w:val="000000" w:themeColor="text1"/>
          <w:sz w:val="24"/>
          <w:highlight w:val="none"/>
          <w14:textFill>
            <w14:solidFill>
              <w14:schemeClr w14:val="tx1"/>
            </w14:solidFill>
          </w14:textFill>
        </w:rPr>
      </w:pPr>
      <w:bookmarkStart w:id="167" w:name="_Toc23838"/>
    </w:p>
    <w:p w14:paraId="2FE5B5D5">
      <w:pPr>
        <w:rPr>
          <w:rFonts w:ascii="宋体" w:hAnsi="宋体" w:eastAsia="宋体" w:cs="宋体"/>
          <w:color w:val="000000" w:themeColor="text1"/>
          <w:sz w:val="24"/>
          <w:highlight w:val="none"/>
          <w14:textFill>
            <w14:solidFill>
              <w14:schemeClr w14:val="tx1"/>
            </w14:solidFill>
          </w14:textFill>
        </w:rPr>
      </w:pPr>
    </w:p>
    <w:bookmarkEnd w:id="164"/>
    <w:bookmarkEnd w:id="165"/>
    <w:bookmarkEnd w:id="166"/>
    <w:bookmarkEnd w:id="167"/>
    <w:p w14:paraId="12783722">
      <w:pPr>
        <w:rPr>
          <w:rFonts w:ascii="宋体" w:hAnsi="宋体" w:eastAsia="宋体" w:cs="宋体"/>
          <w:color w:val="000000" w:themeColor="text1"/>
          <w:sz w:val="24"/>
          <w:highlight w:val="none"/>
          <w14:textFill>
            <w14:solidFill>
              <w14:schemeClr w14:val="tx1"/>
            </w14:solidFill>
          </w14:textFill>
        </w:rPr>
      </w:pPr>
    </w:p>
    <w:p w14:paraId="74BC1707">
      <w:pPr>
        <w:rPr>
          <w:rFonts w:ascii="宋体" w:hAnsi="宋体" w:eastAsia="宋体" w:cs="宋体"/>
          <w:color w:val="000000" w:themeColor="text1"/>
          <w:sz w:val="24"/>
          <w:highlight w:val="none"/>
          <w14:textFill>
            <w14:solidFill>
              <w14:schemeClr w14:val="tx1"/>
            </w14:solidFill>
          </w14:textFill>
        </w:rPr>
      </w:pPr>
    </w:p>
    <w:p w14:paraId="04E1DD35">
      <w:pPr>
        <w:rPr>
          <w:rFonts w:ascii="宋体" w:hAnsi="宋体" w:eastAsia="宋体" w:cs="宋体"/>
          <w:b/>
          <w:color w:val="000000" w:themeColor="text1"/>
          <w:sz w:val="32"/>
          <w:szCs w:val="32"/>
          <w:highlight w:val="none"/>
          <w14:textFill>
            <w14:solidFill>
              <w14:schemeClr w14:val="tx1"/>
            </w14:solidFill>
          </w14:textFill>
        </w:rPr>
      </w:pPr>
      <w:bookmarkStart w:id="168" w:name="_Toc120614284"/>
    </w:p>
    <w:p w14:paraId="4E3A6BCD">
      <w:pPr>
        <w:rPr>
          <w:rFonts w:ascii="宋体" w:hAnsi="宋体" w:eastAsia="宋体" w:cs="宋体"/>
          <w:b/>
          <w:color w:val="000000" w:themeColor="text1"/>
          <w:sz w:val="32"/>
          <w:szCs w:val="32"/>
          <w:highlight w:val="none"/>
          <w14:textFill>
            <w14:solidFill>
              <w14:schemeClr w14:val="tx1"/>
            </w14:solidFill>
          </w14:textFill>
        </w:rPr>
      </w:pPr>
    </w:p>
    <w:p w14:paraId="597621AC">
      <w:pPr>
        <w:rPr>
          <w:rFonts w:ascii="宋体" w:hAnsi="宋体" w:eastAsia="宋体" w:cs="宋体"/>
          <w:b/>
          <w:bCs/>
          <w:color w:val="000000" w:themeColor="text1"/>
          <w:sz w:val="32"/>
          <w:szCs w:val="32"/>
          <w:highlight w:val="none"/>
          <w14:textFill>
            <w14:solidFill>
              <w14:schemeClr w14:val="tx1"/>
            </w14:solidFill>
          </w14:textFill>
        </w:rPr>
      </w:pPr>
    </w:p>
    <w:p w14:paraId="0611B2C7">
      <w:pPr>
        <w:rPr>
          <w:rFonts w:ascii="宋体" w:hAnsi="宋体" w:eastAsia="宋体" w:cs="宋体"/>
          <w:b/>
          <w:bCs/>
          <w:color w:val="000000" w:themeColor="text1"/>
          <w:sz w:val="32"/>
          <w:szCs w:val="32"/>
          <w:highlight w:val="none"/>
          <w14:textFill>
            <w14:solidFill>
              <w14:schemeClr w14:val="tx1"/>
            </w14:solidFill>
          </w14:textFill>
        </w:rPr>
      </w:pPr>
    </w:p>
    <w:p w14:paraId="51002068">
      <w:pPr>
        <w:rPr>
          <w:rFonts w:ascii="宋体" w:hAnsi="宋体" w:eastAsia="宋体" w:cs="宋体"/>
          <w:b/>
          <w:bCs/>
          <w:color w:val="000000" w:themeColor="text1"/>
          <w:sz w:val="32"/>
          <w:szCs w:val="32"/>
          <w:highlight w:val="none"/>
          <w14:textFill>
            <w14:solidFill>
              <w14:schemeClr w14:val="tx1"/>
            </w14:solidFill>
          </w14:textFill>
        </w:rPr>
      </w:pPr>
    </w:p>
    <w:p w14:paraId="65FFEC57">
      <w:pPr>
        <w:rPr>
          <w:rFonts w:ascii="宋体" w:hAnsi="宋体" w:eastAsia="宋体" w:cs="宋体"/>
          <w:b/>
          <w:bCs/>
          <w:color w:val="000000" w:themeColor="text1"/>
          <w:sz w:val="32"/>
          <w:szCs w:val="32"/>
          <w:highlight w:val="none"/>
          <w14:textFill>
            <w14:solidFill>
              <w14:schemeClr w14:val="tx1"/>
            </w14:solidFill>
          </w14:textFill>
        </w:rPr>
      </w:pPr>
    </w:p>
    <w:p w14:paraId="1296FFD6">
      <w:pPr>
        <w:rPr>
          <w:rFonts w:ascii="宋体" w:hAnsi="宋体" w:eastAsia="宋体" w:cs="宋体"/>
          <w:b/>
          <w:bCs/>
          <w:color w:val="000000" w:themeColor="text1"/>
          <w:sz w:val="32"/>
          <w:szCs w:val="32"/>
          <w:highlight w:val="none"/>
          <w14:textFill>
            <w14:solidFill>
              <w14:schemeClr w14:val="tx1"/>
            </w14:solidFill>
          </w14:textFill>
        </w:rPr>
      </w:pPr>
    </w:p>
    <w:p w14:paraId="4A703383">
      <w:pPr>
        <w:rPr>
          <w:rFonts w:ascii="宋体" w:hAnsi="宋体" w:eastAsia="宋体" w:cs="宋体"/>
          <w:b/>
          <w:bCs/>
          <w:color w:val="000000" w:themeColor="text1"/>
          <w:sz w:val="32"/>
          <w:szCs w:val="32"/>
          <w:highlight w:val="none"/>
          <w14:textFill>
            <w14:solidFill>
              <w14:schemeClr w14:val="tx1"/>
            </w14:solidFill>
          </w14:textFill>
        </w:rPr>
      </w:pPr>
    </w:p>
    <w:p w14:paraId="710B98EB">
      <w:pPr>
        <w:rPr>
          <w:rFonts w:ascii="宋体" w:hAnsi="宋体" w:eastAsia="宋体" w:cs="宋体"/>
          <w:b/>
          <w:color w:val="000000" w:themeColor="text1"/>
          <w:sz w:val="32"/>
          <w:szCs w:val="32"/>
          <w:highlight w:val="none"/>
          <w14:textFill>
            <w14:solidFill>
              <w14:schemeClr w14:val="tx1"/>
            </w14:solidFill>
          </w14:textFill>
        </w:rPr>
      </w:pPr>
    </w:p>
    <w:p w14:paraId="64C4E2D2">
      <w:pPr>
        <w:rPr>
          <w:rFonts w:ascii="宋体" w:hAnsi="宋体" w:eastAsia="宋体" w:cs="宋体"/>
          <w:b/>
          <w:color w:val="000000" w:themeColor="text1"/>
          <w:sz w:val="32"/>
          <w:szCs w:val="32"/>
          <w:highlight w:val="none"/>
          <w14:textFill>
            <w14:solidFill>
              <w14:schemeClr w14:val="tx1"/>
            </w14:solidFill>
          </w14:textFill>
        </w:rPr>
      </w:pPr>
    </w:p>
    <w:p w14:paraId="5F5DCAA3">
      <w:pPr>
        <w:rPr>
          <w:rFonts w:ascii="宋体" w:hAnsi="宋体" w:eastAsia="宋体" w:cs="宋体"/>
          <w:b/>
          <w:color w:val="000000" w:themeColor="text1"/>
          <w:sz w:val="32"/>
          <w:szCs w:val="32"/>
          <w:highlight w:val="none"/>
          <w14:textFill>
            <w14:solidFill>
              <w14:schemeClr w14:val="tx1"/>
            </w14:solidFill>
          </w14:textFill>
        </w:rPr>
      </w:pPr>
    </w:p>
    <w:p w14:paraId="7E0CB198">
      <w:pPr>
        <w:outlineLvl w:val="1"/>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一、投标声明及承诺函</w:t>
      </w:r>
    </w:p>
    <w:p w14:paraId="36C57023">
      <w:pPr>
        <w:spacing w:line="500" w:lineRule="exact"/>
        <w:jc w:val="left"/>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（采购单位名称）：</w:t>
      </w:r>
    </w:p>
    <w:p w14:paraId="2084728E">
      <w:pPr>
        <w:spacing w:line="500"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根据已收到的项目编号为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的</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项目招标文件，我方在参加本项目招投标活动中，特作出如下承诺：</w:t>
      </w:r>
    </w:p>
    <w:p w14:paraId="412AF505">
      <w:pPr>
        <w:spacing w:line="500" w:lineRule="exact"/>
        <w:ind w:firstLine="480"/>
        <w:jc w:val="left"/>
        <w:rPr>
          <w:rFonts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一、我方</w:t>
      </w:r>
      <w:r>
        <w:rPr>
          <w:rFonts w:hint="eastAsia" w:ascii="宋体" w:hAnsi="宋体" w:eastAsia="宋体" w:cs="宋体"/>
          <w:color w:val="000000" w:themeColor="text1"/>
          <w:sz w:val="24"/>
          <w:szCs w:val="22"/>
          <w:highlight w:val="none"/>
          <w14:textFill>
            <w14:solidFill>
              <w14:schemeClr w14:val="tx1"/>
            </w14:solidFill>
          </w14:textFill>
        </w:rPr>
        <w:t>具备《中华人民共和国政府采购法》第二十二条第一款规定的6项条件；</w:t>
      </w:r>
    </w:p>
    <w:p w14:paraId="530A74A8">
      <w:pPr>
        <w:spacing w:line="500"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二、我方在参加政府采购活动前三年内（自本项目开标时间之日起计算），在经营活动中没有重大违法记录（指因违法经营受到刑事处罚或者责令停产停业、吊销许可证或者执照、较大数额罚款等行政处罚）。</w:t>
      </w:r>
    </w:p>
    <w:p w14:paraId="424D7C3D">
      <w:pPr>
        <w:spacing w:line="500"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三、我方按招标文件要求提交投标文件，响应招标文件规定的投标有效期；</w:t>
      </w:r>
    </w:p>
    <w:p w14:paraId="5ECF0F9B">
      <w:pPr>
        <w:spacing w:line="500"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四、如果我方的投标文件被接受，我方将按照《中华人民共和国民法典（第三编合同）》及其他有关法律、法规的规定，按期、按质、按量交付采购单位，全面做到履约守信；</w:t>
      </w:r>
    </w:p>
    <w:p w14:paraId="5D7B7907">
      <w:pPr>
        <w:spacing w:line="500"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五、我方若违背本声明及承诺约定，经查实，自愿接受招标人及相关主管部门相应的规定处理，并依法承担相应的法律责任。</w:t>
      </w:r>
    </w:p>
    <w:p w14:paraId="00952550">
      <w:pPr>
        <w:spacing w:line="500"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六、我方同意招标人、采购代理机构将本声明及承诺函上网公开。</w:t>
      </w:r>
    </w:p>
    <w:p w14:paraId="240A321C">
      <w:pPr>
        <w:spacing w:line="500" w:lineRule="exact"/>
        <w:ind w:firstLine="480"/>
        <w:jc w:val="left"/>
        <w:rPr>
          <w:rFonts w:ascii="宋体" w:hAnsi="宋体" w:eastAsia="宋体" w:cs="宋体"/>
          <w:color w:val="000000" w:themeColor="text1"/>
          <w:sz w:val="24"/>
          <w:highlight w:val="none"/>
          <w14:textFill>
            <w14:solidFill>
              <w14:schemeClr w14:val="tx1"/>
            </w14:solidFill>
          </w14:textFill>
        </w:rPr>
      </w:pPr>
    </w:p>
    <w:p w14:paraId="6E7781CC">
      <w:pPr>
        <w:spacing w:line="500" w:lineRule="exact"/>
        <w:jc w:val="left"/>
        <w:rPr>
          <w:rFonts w:ascii="宋体" w:hAnsi="宋体" w:eastAsia="宋体" w:cs="宋体"/>
          <w:color w:val="000000" w:themeColor="text1"/>
          <w:sz w:val="24"/>
          <w:highlight w:val="none"/>
          <w14:textFill>
            <w14:solidFill>
              <w14:schemeClr w14:val="tx1"/>
            </w14:solidFill>
          </w14:textFill>
        </w:rPr>
      </w:pPr>
    </w:p>
    <w:p w14:paraId="59D3F289">
      <w:pPr>
        <w:spacing w:line="500"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投标人名称：（加盖CA电子公章）</w:t>
      </w:r>
    </w:p>
    <w:p w14:paraId="71CE4593">
      <w:pPr>
        <w:ind w:firstLine="480"/>
        <w:rPr>
          <w:rFonts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75E22F1D">
      <w:pPr>
        <w:outlineLvl w:val="1"/>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二、投标人基本情况</w:t>
      </w:r>
    </w:p>
    <w:p w14:paraId="1E6D2A6D">
      <w:pPr>
        <w:jc w:val="center"/>
        <w:rPr>
          <w:rFonts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t>投标人基本情况表</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118"/>
        <w:gridCol w:w="1276"/>
        <w:gridCol w:w="2604"/>
      </w:tblGrid>
      <w:tr w14:paraId="73583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72731723">
            <w:pPr>
              <w:spacing w:line="6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投标人名称</w:t>
            </w:r>
          </w:p>
        </w:tc>
        <w:tc>
          <w:tcPr>
            <w:tcW w:w="6998" w:type="dxa"/>
            <w:gridSpan w:val="3"/>
            <w:noWrap w:val="0"/>
            <w:vAlign w:val="center"/>
          </w:tcPr>
          <w:p w14:paraId="70E6EC34">
            <w:pPr>
              <w:spacing w:line="600" w:lineRule="exact"/>
              <w:jc w:val="center"/>
              <w:rPr>
                <w:rFonts w:ascii="宋体" w:hAnsi="宋体" w:eastAsia="宋体" w:cs="宋体"/>
                <w:color w:val="000000" w:themeColor="text1"/>
                <w:sz w:val="24"/>
                <w:highlight w:val="none"/>
                <w14:textFill>
                  <w14:solidFill>
                    <w14:schemeClr w14:val="tx1"/>
                  </w14:solidFill>
                </w14:textFill>
              </w:rPr>
            </w:pPr>
          </w:p>
        </w:tc>
      </w:tr>
      <w:tr w14:paraId="7D32E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61F25F68">
            <w:pPr>
              <w:spacing w:line="6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w:t>
            </w:r>
          </w:p>
        </w:tc>
        <w:tc>
          <w:tcPr>
            <w:tcW w:w="3118" w:type="dxa"/>
            <w:noWrap w:val="0"/>
            <w:vAlign w:val="center"/>
          </w:tcPr>
          <w:p w14:paraId="5A58ECC5">
            <w:pPr>
              <w:spacing w:line="600" w:lineRule="exact"/>
              <w:jc w:val="center"/>
              <w:rPr>
                <w:rFonts w:ascii="宋体" w:hAnsi="宋体" w:eastAsia="宋体" w:cs="宋体"/>
                <w:color w:val="000000" w:themeColor="text1"/>
                <w:sz w:val="24"/>
                <w:highlight w:val="none"/>
                <w14:textFill>
                  <w14:solidFill>
                    <w14:schemeClr w14:val="tx1"/>
                  </w14:solidFill>
                </w14:textFill>
              </w:rPr>
            </w:pPr>
          </w:p>
        </w:tc>
        <w:tc>
          <w:tcPr>
            <w:tcW w:w="1276" w:type="dxa"/>
            <w:noWrap w:val="0"/>
            <w:vAlign w:val="center"/>
          </w:tcPr>
          <w:p w14:paraId="7800FA23">
            <w:pPr>
              <w:spacing w:line="6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注册地区</w:t>
            </w:r>
          </w:p>
        </w:tc>
        <w:tc>
          <w:tcPr>
            <w:tcW w:w="2604" w:type="dxa"/>
            <w:noWrap w:val="0"/>
            <w:vAlign w:val="center"/>
          </w:tcPr>
          <w:p w14:paraId="11E1C568">
            <w:pPr>
              <w:spacing w:line="600" w:lineRule="exact"/>
              <w:jc w:val="center"/>
              <w:rPr>
                <w:rFonts w:ascii="宋体" w:hAnsi="宋体" w:eastAsia="宋体" w:cs="宋体"/>
                <w:color w:val="000000" w:themeColor="text1"/>
                <w:sz w:val="24"/>
                <w:highlight w:val="none"/>
                <w14:textFill>
                  <w14:solidFill>
                    <w14:schemeClr w14:val="tx1"/>
                  </w14:solidFill>
                </w14:textFill>
              </w:rPr>
            </w:pPr>
          </w:p>
        </w:tc>
      </w:tr>
      <w:tr w14:paraId="23E99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423C6F1B">
            <w:pPr>
              <w:spacing w:line="6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地址</w:t>
            </w:r>
          </w:p>
        </w:tc>
        <w:tc>
          <w:tcPr>
            <w:tcW w:w="3118" w:type="dxa"/>
            <w:noWrap w:val="0"/>
            <w:vAlign w:val="center"/>
          </w:tcPr>
          <w:p w14:paraId="2FE7DD2E">
            <w:pPr>
              <w:spacing w:line="600" w:lineRule="exact"/>
              <w:jc w:val="center"/>
              <w:rPr>
                <w:rFonts w:ascii="宋体" w:hAnsi="宋体" w:eastAsia="宋体" w:cs="宋体"/>
                <w:color w:val="000000" w:themeColor="text1"/>
                <w:sz w:val="24"/>
                <w:highlight w:val="none"/>
                <w14:textFill>
                  <w14:solidFill>
                    <w14:schemeClr w14:val="tx1"/>
                  </w14:solidFill>
                </w14:textFill>
              </w:rPr>
            </w:pPr>
          </w:p>
        </w:tc>
        <w:tc>
          <w:tcPr>
            <w:tcW w:w="1276" w:type="dxa"/>
            <w:noWrap w:val="0"/>
            <w:vAlign w:val="center"/>
          </w:tcPr>
          <w:p w14:paraId="5B64338E">
            <w:pPr>
              <w:spacing w:line="6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邮政编码</w:t>
            </w:r>
          </w:p>
        </w:tc>
        <w:tc>
          <w:tcPr>
            <w:tcW w:w="2604" w:type="dxa"/>
            <w:noWrap w:val="0"/>
            <w:vAlign w:val="center"/>
          </w:tcPr>
          <w:p w14:paraId="36A66296">
            <w:pPr>
              <w:spacing w:line="600" w:lineRule="exact"/>
              <w:jc w:val="center"/>
              <w:rPr>
                <w:rFonts w:ascii="宋体" w:hAnsi="宋体" w:eastAsia="宋体" w:cs="宋体"/>
                <w:color w:val="000000" w:themeColor="text1"/>
                <w:sz w:val="24"/>
                <w:highlight w:val="none"/>
                <w14:textFill>
                  <w14:solidFill>
                    <w14:schemeClr w14:val="tx1"/>
                  </w14:solidFill>
                </w14:textFill>
              </w:rPr>
            </w:pPr>
          </w:p>
        </w:tc>
      </w:tr>
      <w:tr w14:paraId="5C47A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2AC1182B">
            <w:pPr>
              <w:spacing w:line="6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成立时间</w:t>
            </w:r>
          </w:p>
        </w:tc>
        <w:tc>
          <w:tcPr>
            <w:tcW w:w="3118" w:type="dxa"/>
            <w:noWrap w:val="0"/>
            <w:vAlign w:val="center"/>
          </w:tcPr>
          <w:p w14:paraId="04A3D880">
            <w:pPr>
              <w:spacing w:line="600" w:lineRule="exact"/>
              <w:jc w:val="center"/>
              <w:rPr>
                <w:rFonts w:ascii="宋体" w:hAnsi="宋体" w:eastAsia="宋体" w:cs="宋体"/>
                <w:color w:val="000000" w:themeColor="text1"/>
                <w:sz w:val="24"/>
                <w:highlight w:val="none"/>
                <w14:textFill>
                  <w14:solidFill>
                    <w14:schemeClr w14:val="tx1"/>
                  </w14:solidFill>
                </w14:textFill>
              </w:rPr>
            </w:pPr>
          </w:p>
        </w:tc>
        <w:tc>
          <w:tcPr>
            <w:tcW w:w="1276" w:type="dxa"/>
            <w:noWrap w:val="0"/>
            <w:vAlign w:val="center"/>
          </w:tcPr>
          <w:p w14:paraId="66B52A97">
            <w:pPr>
              <w:spacing w:line="6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单位性质</w:t>
            </w:r>
          </w:p>
        </w:tc>
        <w:tc>
          <w:tcPr>
            <w:tcW w:w="2604" w:type="dxa"/>
            <w:noWrap w:val="0"/>
            <w:vAlign w:val="center"/>
          </w:tcPr>
          <w:p w14:paraId="3F865C92">
            <w:pPr>
              <w:spacing w:line="600" w:lineRule="exact"/>
              <w:jc w:val="center"/>
              <w:rPr>
                <w:rFonts w:ascii="宋体" w:hAnsi="宋体" w:eastAsia="宋体" w:cs="宋体"/>
                <w:color w:val="000000" w:themeColor="text1"/>
                <w:sz w:val="24"/>
                <w:highlight w:val="none"/>
                <w14:textFill>
                  <w14:solidFill>
                    <w14:schemeClr w14:val="tx1"/>
                  </w14:solidFill>
                </w14:textFill>
              </w:rPr>
            </w:pPr>
          </w:p>
        </w:tc>
      </w:tr>
      <w:tr w14:paraId="78F7E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1FEAC2E3">
            <w:pPr>
              <w:spacing w:line="6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注册号或社会信用代码</w:t>
            </w:r>
          </w:p>
        </w:tc>
        <w:tc>
          <w:tcPr>
            <w:tcW w:w="3118" w:type="dxa"/>
            <w:noWrap w:val="0"/>
            <w:vAlign w:val="center"/>
          </w:tcPr>
          <w:p w14:paraId="41CE566D">
            <w:pPr>
              <w:spacing w:line="600" w:lineRule="exact"/>
              <w:jc w:val="center"/>
              <w:rPr>
                <w:rFonts w:ascii="宋体" w:hAnsi="宋体" w:eastAsia="宋体" w:cs="宋体"/>
                <w:color w:val="000000" w:themeColor="text1"/>
                <w:sz w:val="24"/>
                <w:highlight w:val="none"/>
                <w14:textFill>
                  <w14:solidFill>
                    <w14:schemeClr w14:val="tx1"/>
                  </w14:solidFill>
                </w14:textFill>
              </w:rPr>
            </w:pPr>
          </w:p>
        </w:tc>
        <w:tc>
          <w:tcPr>
            <w:tcW w:w="1276" w:type="dxa"/>
            <w:noWrap w:val="0"/>
            <w:vAlign w:val="center"/>
          </w:tcPr>
          <w:p w14:paraId="12349870">
            <w:pPr>
              <w:spacing w:line="6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注册资本（万元）</w:t>
            </w:r>
          </w:p>
        </w:tc>
        <w:tc>
          <w:tcPr>
            <w:tcW w:w="2604" w:type="dxa"/>
            <w:noWrap w:val="0"/>
            <w:vAlign w:val="center"/>
          </w:tcPr>
          <w:p w14:paraId="7EC9A8C2">
            <w:pPr>
              <w:spacing w:line="600" w:lineRule="exact"/>
              <w:jc w:val="center"/>
              <w:rPr>
                <w:rFonts w:ascii="宋体" w:hAnsi="宋体" w:eastAsia="宋体" w:cs="宋体"/>
                <w:color w:val="000000" w:themeColor="text1"/>
                <w:sz w:val="24"/>
                <w:highlight w:val="none"/>
                <w14:textFill>
                  <w14:solidFill>
                    <w14:schemeClr w14:val="tx1"/>
                  </w14:solidFill>
                </w14:textFill>
              </w:rPr>
            </w:pPr>
          </w:p>
        </w:tc>
      </w:tr>
      <w:tr w14:paraId="12E13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08A8C8B6">
            <w:pPr>
              <w:spacing w:line="6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投标人类别</w:t>
            </w:r>
          </w:p>
        </w:tc>
        <w:tc>
          <w:tcPr>
            <w:tcW w:w="6998" w:type="dxa"/>
            <w:gridSpan w:val="3"/>
            <w:noWrap w:val="0"/>
            <w:vAlign w:val="center"/>
          </w:tcPr>
          <w:p w14:paraId="4B19B842">
            <w:pPr>
              <w:spacing w:line="600" w:lineRule="exact"/>
              <w:jc w:val="center"/>
              <w:rPr>
                <w:rFonts w:ascii="宋体" w:hAnsi="宋体" w:eastAsia="宋体" w:cs="宋体"/>
                <w:color w:val="000000" w:themeColor="text1"/>
                <w:sz w:val="24"/>
                <w:highlight w:val="none"/>
                <w14:textFill>
                  <w14:solidFill>
                    <w14:schemeClr w14:val="tx1"/>
                  </w14:solidFill>
                </w14:textFill>
              </w:rPr>
            </w:pPr>
          </w:p>
        </w:tc>
      </w:tr>
      <w:tr w14:paraId="2A474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21A35C8F">
            <w:pPr>
              <w:spacing w:line="6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开户银行</w:t>
            </w:r>
          </w:p>
        </w:tc>
        <w:tc>
          <w:tcPr>
            <w:tcW w:w="3118" w:type="dxa"/>
            <w:noWrap w:val="0"/>
            <w:vAlign w:val="center"/>
          </w:tcPr>
          <w:p w14:paraId="4F0E198A">
            <w:pPr>
              <w:spacing w:line="600" w:lineRule="exact"/>
              <w:jc w:val="center"/>
              <w:rPr>
                <w:rFonts w:ascii="宋体" w:hAnsi="宋体" w:eastAsia="宋体" w:cs="宋体"/>
                <w:color w:val="000000" w:themeColor="text1"/>
                <w:sz w:val="24"/>
                <w:highlight w:val="none"/>
                <w14:textFill>
                  <w14:solidFill>
                    <w14:schemeClr w14:val="tx1"/>
                  </w14:solidFill>
                </w14:textFill>
              </w:rPr>
            </w:pPr>
          </w:p>
        </w:tc>
        <w:tc>
          <w:tcPr>
            <w:tcW w:w="1276" w:type="dxa"/>
            <w:noWrap w:val="0"/>
            <w:vAlign w:val="center"/>
          </w:tcPr>
          <w:p w14:paraId="0A0853F6">
            <w:pPr>
              <w:spacing w:line="6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账号</w:t>
            </w:r>
          </w:p>
        </w:tc>
        <w:tc>
          <w:tcPr>
            <w:tcW w:w="2604" w:type="dxa"/>
            <w:noWrap w:val="0"/>
            <w:vAlign w:val="center"/>
          </w:tcPr>
          <w:p w14:paraId="66AE7592">
            <w:pPr>
              <w:spacing w:line="600" w:lineRule="exact"/>
              <w:jc w:val="center"/>
              <w:rPr>
                <w:rFonts w:ascii="宋体" w:hAnsi="宋体" w:eastAsia="宋体" w:cs="宋体"/>
                <w:color w:val="000000" w:themeColor="text1"/>
                <w:sz w:val="24"/>
                <w:highlight w:val="none"/>
                <w14:textFill>
                  <w14:solidFill>
                    <w14:schemeClr w14:val="tx1"/>
                  </w14:solidFill>
                </w14:textFill>
              </w:rPr>
            </w:pPr>
          </w:p>
        </w:tc>
      </w:tr>
      <w:tr w14:paraId="1EBF7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noWrap w:val="0"/>
            <w:vAlign w:val="center"/>
          </w:tcPr>
          <w:p w14:paraId="56745D3F">
            <w:pPr>
              <w:spacing w:line="6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联系人</w:t>
            </w:r>
          </w:p>
        </w:tc>
        <w:tc>
          <w:tcPr>
            <w:tcW w:w="3118" w:type="dxa"/>
            <w:noWrap w:val="0"/>
            <w:vAlign w:val="center"/>
          </w:tcPr>
          <w:p w14:paraId="61F7F9C4">
            <w:pPr>
              <w:spacing w:line="600" w:lineRule="exact"/>
              <w:jc w:val="center"/>
              <w:rPr>
                <w:rFonts w:ascii="宋体" w:hAnsi="宋体" w:eastAsia="宋体" w:cs="宋体"/>
                <w:color w:val="000000" w:themeColor="text1"/>
                <w:sz w:val="24"/>
                <w:highlight w:val="none"/>
                <w14:textFill>
                  <w14:solidFill>
                    <w14:schemeClr w14:val="tx1"/>
                  </w14:solidFill>
                </w14:textFill>
              </w:rPr>
            </w:pPr>
          </w:p>
        </w:tc>
        <w:tc>
          <w:tcPr>
            <w:tcW w:w="1276" w:type="dxa"/>
            <w:noWrap w:val="0"/>
            <w:vAlign w:val="center"/>
          </w:tcPr>
          <w:p w14:paraId="0D94A6A0">
            <w:pPr>
              <w:spacing w:line="6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联系电话</w:t>
            </w:r>
          </w:p>
        </w:tc>
        <w:tc>
          <w:tcPr>
            <w:tcW w:w="2604" w:type="dxa"/>
            <w:noWrap w:val="0"/>
            <w:vAlign w:val="center"/>
          </w:tcPr>
          <w:p w14:paraId="30B5D848">
            <w:pPr>
              <w:spacing w:line="600" w:lineRule="exact"/>
              <w:jc w:val="center"/>
              <w:rPr>
                <w:rFonts w:ascii="宋体" w:hAnsi="宋体" w:eastAsia="宋体" w:cs="宋体"/>
                <w:color w:val="000000" w:themeColor="text1"/>
                <w:sz w:val="24"/>
                <w:highlight w:val="none"/>
                <w14:textFill>
                  <w14:solidFill>
                    <w14:schemeClr w14:val="tx1"/>
                  </w14:solidFill>
                </w14:textFill>
              </w:rPr>
            </w:pPr>
          </w:p>
        </w:tc>
      </w:tr>
      <w:tr w14:paraId="010C9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trPr>
        <w:tc>
          <w:tcPr>
            <w:tcW w:w="1526" w:type="dxa"/>
            <w:noWrap w:val="0"/>
            <w:vAlign w:val="center"/>
          </w:tcPr>
          <w:p w14:paraId="7652CF8E">
            <w:pPr>
              <w:spacing w:line="56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经营范围</w:t>
            </w:r>
          </w:p>
        </w:tc>
        <w:tc>
          <w:tcPr>
            <w:tcW w:w="6998" w:type="dxa"/>
            <w:gridSpan w:val="3"/>
            <w:noWrap w:val="0"/>
          </w:tcPr>
          <w:p w14:paraId="7CC683CA">
            <w:pPr>
              <w:spacing w:line="560" w:lineRule="exact"/>
              <w:ind w:firstLine="1432"/>
              <w:rPr>
                <w:rFonts w:ascii="宋体" w:hAnsi="宋体" w:eastAsia="宋体" w:cs="宋体"/>
                <w:color w:val="000000" w:themeColor="text1"/>
                <w:sz w:val="24"/>
                <w:highlight w:val="none"/>
                <w14:textFill>
                  <w14:solidFill>
                    <w14:schemeClr w14:val="tx1"/>
                  </w14:solidFill>
                </w14:textFill>
              </w:rPr>
            </w:pPr>
          </w:p>
        </w:tc>
      </w:tr>
      <w:tr w14:paraId="4F392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526" w:type="dxa"/>
            <w:noWrap w:val="0"/>
            <w:vAlign w:val="center"/>
          </w:tcPr>
          <w:p w14:paraId="71A80020">
            <w:pPr>
              <w:spacing w:line="56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备注</w:t>
            </w:r>
          </w:p>
        </w:tc>
        <w:tc>
          <w:tcPr>
            <w:tcW w:w="6998" w:type="dxa"/>
            <w:gridSpan w:val="3"/>
            <w:noWrap w:val="0"/>
            <w:vAlign w:val="center"/>
          </w:tcPr>
          <w:p w14:paraId="333C3FD1">
            <w:pPr>
              <w:spacing w:line="500" w:lineRule="exact"/>
              <w:jc w:val="center"/>
              <w:rPr>
                <w:rFonts w:ascii="宋体" w:hAnsi="宋体" w:eastAsia="宋体" w:cs="宋体"/>
                <w:color w:val="000000" w:themeColor="text1"/>
                <w:sz w:val="24"/>
                <w:highlight w:val="none"/>
                <w14:textFill>
                  <w14:solidFill>
                    <w14:schemeClr w14:val="tx1"/>
                  </w14:solidFill>
                </w14:textFill>
              </w:rPr>
            </w:pPr>
          </w:p>
          <w:p w14:paraId="0A5B1E7A">
            <w:pPr>
              <w:spacing w:line="50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需提供营业执照等证明材料</w:t>
            </w:r>
          </w:p>
        </w:tc>
      </w:tr>
    </w:tbl>
    <w:p w14:paraId="797369D0">
      <w:p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p>
    <w:p w14:paraId="000075D3">
      <w:p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p>
    <w:p w14:paraId="44F316B4">
      <w:pPr>
        <w:spacing w:line="440" w:lineRule="exact"/>
        <w:ind w:firstLine="480"/>
        <w:rPr>
          <w:rFonts w:ascii="宋体" w:hAnsi="宋体" w:eastAsia="宋体" w:cs="宋体"/>
          <w:color w:val="000000" w:themeColor="text1"/>
          <w:sz w:val="24"/>
          <w:szCs w:val="21"/>
          <w:highlight w:val="none"/>
          <w14:textFill>
            <w14:solidFill>
              <w14:schemeClr w14:val="tx1"/>
            </w14:solidFill>
          </w14:textFill>
        </w:rPr>
      </w:pPr>
    </w:p>
    <w:p w14:paraId="3FA608ED">
      <w:pPr>
        <w:rPr>
          <w:rFonts w:ascii="宋体" w:hAnsi="宋体" w:eastAsia="宋体" w:cs="宋体"/>
          <w:i/>
          <w:color w:val="000000" w:themeColor="text1"/>
          <w:sz w:val="32"/>
          <w:szCs w:val="32"/>
          <w:highlight w:val="none"/>
          <w:u w:val="single"/>
          <w14:textFill>
            <w14:solidFill>
              <w14:schemeClr w14:val="tx1"/>
            </w14:solidFill>
          </w14:textFill>
        </w:rPr>
      </w:pPr>
    </w:p>
    <w:p w14:paraId="13897403">
      <w:pPr>
        <w:jc w:val="center"/>
        <w:rPr>
          <w:rFonts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br w:type="page" w:clear="all"/>
      </w:r>
    </w:p>
    <w:p w14:paraId="1F3D7BF1">
      <w:pPr>
        <w:spacing w:line="360" w:lineRule="auto"/>
        <w:outlineLvl w:val="1"/>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三、法人授权书</w:t>
      </w:r>
    </w:p>
    <w:p w14:paraId="19F02747">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本授权书声明：____________（投标人名称）授权________________（被授权人的姓名）为我方就</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号</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lang w:eastAsia="zh-CN"/>
          <w14:textFill>
            <w14:solidFill>
              <w14:schemeClr w14:val="tx1"/>
            </w14:solidFill>
          </w14:textFill>
        </w:rPr>
        <w:t>项目</w:t>
      </w:r>
      <w:r>
        <w:rPr>
          <w:rFonts w:hint="eastAsia" w:ascii="宋体" w:hAnsi="宋体" w:eastAsia="宋体" w:cs="宋体"/>
          <w:color w:val="000000" w:themeColor="text1"/>
          <w:sz w:val="24"/>
          <w:highlight w:val="none"/>
          <w14:textFill>
            <w14:solidFill>
              <w14:schemeClr w14:val="tx1"/>
            </w14:solidFill>
          </w14:textFill>
        </w:rPr>
        <w:t>采购活动的合法代理人，以本单位名义全权处理一切与该</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lang w:eastAsia="zh-CN"/>
          <w14:textFill>
            <w14:solidFill>
              <w14:schemeClr w14:val="tx1"/>
            </w14:solidFill>
          </w14:textFill>
        </w:rPr>
        <w:t>项目</w:t>
      </w:r>
      <w:r>
        <w:rPr>
          <w:rFonts w:hint="eastAsia" w:ascii="宋体" w:hAnsi="宋体" w:eastAsia="宋体" w:cs="宋体"/>
          <w:color w:val="000000" w:themeColor="text1"/>
          <w:sz w:val="24"/>
          <w:highlight w:val="none"/>
          <w14:textFill>
            <w14:solidFill>
              <w14:schemeClr w14:val="tx1"/>
            </w14:solidFill>
          </w14:textFill>
        </w:rPr>
        <w:t>_采购有关的事务。</w:t>
      </w:r>
    </w:p>
    <w:p w14:paraId="0339FBA2">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本授权书于______年____月____日起生效，特此声明。</w:t>
      </w:r>
    </w:p>
    <w:p w14:paraId="09FEF46B">
      <w:pPr>
        <w:spacing w:line="360" w:lineRule="auto"/>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被授权人身份证号码：</w:t>
      </w:r>
    </w:p>
    <w:p w14:paraId="78FB8696">
      <w:pPr>
        <w:spacing w:line="360" w:lineRule="auto"/>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被授权人联系电话：（手机）</w:t>
      </w:r>
    </w:p>
    <w:p w14:paraId="73825F4C">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授权单位名称：</w:t>
      </w:r>
      <w:r>
        <w:rPr>
          <w:rFonts w:hint="eastAsia" w:ascii="宋体" w:hAnsi="宋体" w:eastAsia="宋体" w:cs="宋体"/>
          <w:color w:val="000000" w:themeColor="text1"/>
          <w:sz w:val="24"/>
          <w:highlight w:val="none"/>
          <w:u w:val="single"/>
          <w14:textFill>
            <w14:solidFill>
              <w14:schemeClr w14:val="tx1"/>
            </w14:solidFill>
          </w14:textFill>
        </w:rPr>
        <w:t>（加盖CA电子公章）</w:t>
      </w:r>
    </w:p>
    <w:p w14:paraId="4367FD21">
      <w:pPr>
        <w:spacing w:line="360" w:lineRule="auto"/>
        <w:ind w:firstLine="480"/>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法定代表人（签字或盖章）：</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29D9E4CB">
      <w:pPr>
        <w:spacing w:line="360" w:lineRule="auto"/>
        <w:ind w:firstLine="480"/>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被授权代理人（签字或盖章）：</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6C25D24D">
      <w:pPr>
        <w:spacing w:line="360" w:lineRule="auto"/>
        <w:ind w:firstLine="480"/>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单位地址：</w:t>
      </w:r>
    </w:p>
    <w:p w14:paraId="3DEE4A33">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w:t>
      </w:r>
      <w:bookmarkStart w:id="169" w:name="_格式3__银行出具的资信证明"/>
      <w:bookmarkEnd w:id="169"/>
      <w:bookmarkStart w:id="170" w:name="_Hlt26955070"/>
      <w:bookmarkEnd w:id="170"/>
      <w:bookmarkStart w:id="171" w:name="_Hlt26671380"/>
      <w:bookmarkEnd w:id="171"/>
    </w:p>
    <w:p w14:paraId="4568FD82">
      <w:pPr>
        <w:spacing w:line="360" w:lineRule="auto"/>
        <w:outlineLvl w:val="1"/>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四、开标一览表</w:t>
      </w:r>
    </w:p>
    <w:p w14:paraId="2D82C009">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投标人全称（加盖CA电子签章）：</w:t>
      </w:r>
    </w:p>
    <w:p w14:paraId="648ABAC3">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项目名称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eastAsia="zh-CN"/>
          <w14:textFill>
            <w14:solidFill>
              <w14:schemeClr w14:val="tx1"/>
            </w14:solidFill>
          </w14:textFill>
        </w:rPr>
        <w:t>项目</w:t>
      </w:r>
    </w:p>
    <w:p w14:paraId="588049A2">
      <w:pPr>
        <w:spacing w:line="360" w:lineRule="auto"/>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招标编号：</w:t>
      </w:r>
    </w:p>
    <w:tbl>
      <w:tblPr>
        <w:tblStyle w:val="3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60"/>
      </w:tblGrid>
      <w:tr w14:paraId="52519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3" w:hRule="atLeast"/>
        </w:trPr>
        <w:tc>
          <w:tcPr>
            <w:tcW w:w="8860" w:type="dxa"/>
            <w:noWrap w:val="0"/>
            <w:vAlign w:val="center"/>
          </w:tcPr>
          <w:p w14:paraId="67D5947D">
            <w:pP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投标总报价</w:t>
            </w:r>
          </w:p>
        </w:tc>
      </w:tr>
      <w:tr w14:paraId="59912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trPr>
        <w:tc>
          <w:tcPr>
            <w:tcW w:w="8860" w:type="dxa"/>
            <w:noWrap w:val="0"/>
            <w:vAlign w:val="center"/>
          </w:tcPr>
          <w:p w14:paraId="7B5A317D">
            <w:pPr>
              <w:spacing w:line="500" w:lineRule="exact"/>
              <w:jc w:val="left"/>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小写：</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（人民币：元）</w:t>
            </w:r>
          </w:p>
        </w:tc>
      </w:tr>
      <w:tr w14:paraId="5FC87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trPr>
        <w:tc>
          <w:tcPr>
            <w:tcW w:w="8860" w:type="dxa"/>
            <w:noWrap w:val="0"/>
            <w:vAlign w:val="center"/>
          </w:tcPr>
          <w:p w14:paraId="6D2B0A81">
            <w:pPr>
              <w:spacing w:line="500" w:lineRule="exact"/>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合同履行期限：</w:t>
            </w:r>
          </w:p>
        </w:tc>
      </w:tr>
      <w:tr w14:paraId="4D6AE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trPr>
        <w:tc>
          <w:tcPr>
            <w:tcW w:w="8860" w:type="dxa"/>
            <w:noWrap w:val="0"/>
            <w:vAlign w:val="center"/>
          </w:tcPr>
          <w:p w14:paraId="51DE537F">
            <w:pPr>
              <w:spacing w:line="500" w:lineRule="exact"/>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质保期：</w:t>
            </w:r>
          </w:p>
        </w:tc>
      </w:tr>
    </w:tbl>
    <w:p w14:paraId="56C5356E">
      <w:pPr>
        <w:rPr>
          <w:rFonts w:ascii="宋体" w:hAnsi="宋体" w:eastAsia="宋体" w:cs="宋体"/>
          <w:color w:val="000000" w:themeColor="text1"/>
          <w:sz w:val="24"/>
          <w:highlight w:val="none"/>
          <w14:textFill>
            <w14:solidFill>
              <w14:schemeClr w14:val="tx1"/>
            </w14:solidFill>
          </w14:textFill>
        </w:rPr>
      </w:pPr>
    </w:p>
    <w:p w14:paraId="3227C3AA">
      <w:pPr>
        <w:ind w:firstLine="480"/>
        <w:jc w:val="righ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日</w:t>
      </w:r>
    </w:p>
    <w:p w14:paraId="66B43CCD">
      <w:pPr>
        <w:ind w:firstLine="480"/>
        <w:rPr>
          <w:rFonts w:ascii="宋体" w:hAnsi="宋体" w:eastAsia="宋体" w:cs="宋体"/>
          <w:color w:val="000000" w:themeColor="text1"/>
          <w:sz w:val="24"/>
          <w:highlight w:val="none"/>
          <w14:textFill>
            <w14:solidFill>
              <w14:schemeClr w14:val="tx1"/>
            </w14:solidFill>
          </w14:textFill>
        </w:rPr>
      </w:pPr>
    </w:p>
    <w:p w14:paraId="7ACCF194">
      <w:pPr>
        <w:jc w:val="center"/>
        <w:rPr>
          <w:rFonts w:ascii="宋体" w:hAnsi="宋体" w:eastAsia="宋体" w:cs="宋体"/>
          <w:b/>
          <w:bCs/>
          <w:color w:val="000000" w:themeColor="text1"/>
          <w:sz w:val="32"/>
          <w:szCs w:val="32"/>
          <w:highlight w:val="none"/>
          <w14:textFill>
            <w14:solidFill>
              <w14:schemeClr w14:val="tx1"/>
            </w14:solidFill>
          </w14:textFill>
        </w:rPr>
      </w:pPr>
    </w:p>
    <w:p w14:paraId="3C47045A">
      <w:pPr>
        <w:spacing w:line="420" w:lineRule="exact"/>
        <w:ind w:left="420" w:firstLine="480"/>
        <w:jc w:val="left"/>
        <w:rPr>
          <w:rFonts w:ascii="宋体" w:hAnsi="宋体" w:eastAsia="宋体" w:cs="宋体"/>
          <w:color w:val="000000" w:themeColor="text1"/>
          <w:sz w:val="24"/>
          <w:szCs w:val="21"/>
          <w:highlight w:val="none"/>
          <w14:textFill>
            <w14:solidFill>
              <w14:schemeClr w14:val="tx1"/>
            </w14:solidFill>
          </w14:textFill>
        </w:rPr>
      </w:pPr>
    </w:p>
    <w:p w14:paraId="7DCC2964">
      <w:pPr>
        <w:jc w:val="center"/>
        <w:rPr>
          <w:rFonts w:ascii="宋体" w:hAnsi="宋体" w:eastAsia="宋体" w:cs="宋体"/>
          <w:bCs/>
          <w:color w:val="000000" w:themeColor="text1"/>
          <w:sz w:val="24"/>
          <w:szCs w:val="21"/>
          <w:highlight w:val="none"/>
          <w14:textFill>
            <w14:solidFill>
              <w14:schemeClr w14:val="tx1"/>
            </w14:solidFill>
          </w14:textFill>
        </w:rPr>
      </w:pPr>
    </w:p>
    <w:p w14:paraId="3587188B">
      <w:pPr>
        <w:jc w:val="center"/>
        <w:rPr>
          <w:rFonts w:ascii="宋体" w:hAnsi="宋体" w:eastAsia="宋体" w:cs="宋体"/>
          <w:bCs/>
          <w:color w:val="000000" w:themeColor="text1"/>
          <w:sz w:val="24"/>
          <w:szCs w:val="21"/>
          <w:highlight w:val="none"/>
          <w14:textFill>
            <w14:solidFill>
              <w14:schemeClr w14:val="tx1"/>
            </w14:solidFill>
          </w14:textFill>
        </w:rPr>
      </w:pPr>
    </w:p>
    <w:p w14:paraId="0BAD7C4F">
      <w:pPr>
        <w:jc w:val="center"/>
        <w:rPr>
          <w:rFonts w:ascii="宋体" w:hAnsi="宋体" w:eastAsia="宋体" w:cs="宋体"/>
          <w:bCs/>
          <w:color w:val="000000" w:themeColor="text1"/>
          <w:sz w:val="24"/>
          <w:szCs w:val="21"/>
          <w:highlight w:val="none"/>
          <w14:textFill>
            <w14:solidFill>
              <w14:schemeClr w14:val="tx1"/>
            </w14:solidFill>
          </w14:textFill>
        </w:rPr>
      </w:pPr>
    </w:p>
    <w:p w14:paraId="3A81C253">
      <w:pPr>
        <w:jc w:val="center"/>
        <w:rPr>
          <w:rFonts w:ascii="宋体" w:hAnsi="宋体" w:eastAsia="宋体" w:cs="宋体"/>
          <w:bCs/>
          <w:color w:val="000000" w:themeColor="text1"/>
          <w:sz w:val="24"/>
          <w:szCs w:val="21"/>
          <w:highlight w:val="none"/>
          <w14:textFill>
            <w14:solidFill>
              <w14:schemeClr w14:val="tx1"/>
            </w14:solidFill>
          </w14:textFill>
        </w:rPr>
      </w:pPr>
    </w:p>
    <w:p w14:paraId="3A632DDD">
      <w:pPr>
        <w:jc w:val="center"/>
        <w:rPr>
          <w:rFonts w:ascii="宋体" w:hAnsi="宋体" w:eastAsia="宋体" w:cs="宋体"/>
          <w:bCs/>
          <w:color w:val="000000" w:themeColor="text1"/>
          <w:sz w:val="24"/>
          <w:szCs w:val="21"/>
          <w:highlight w:val="none"/>
          <w14:textFill>
            <w14:solidFill>
              <w14:schemeClr w14:val="tx1"/>
            </w14:solidFill>
          </w14:textFill>
        </w:rPr>
      </w:pPr>
    </w:p>
    <w:p w14:paraId="031D0333">
      <w:pPr>
        <w:jc w:val="center"/>
        <w:rPr>
          <w:rFonts w:ascii="宋体" w:hAnsi="宋体" w:eastAsia="宋体" w:cs="宋体"/>
          <w:bCs/>
          <w:color w:val="000000" w:themeColor="text1"/>
          <w:sz w:val="24"/>
          <w:szCs w:val="21"/>
          <w:highlight w:val="none"/>
          <w14:textFill>
            <w14:solidFill>
              <w14:schemeClr w14:val="tx1"/>
            </w14:solidFill>
          </w14:textFill>
        </w:rPr>
      </w:pPr>
    </w:p>
    <w:p w14:paraId="251DA763">
      <w:pPr>
        <w:rPr>
          <w:rFonts w:ascii="宋体" w:hAnsi="宋体" w:eastAsia="宋体" w:cs="宋体"/>
          <w:b/>
          <w:color w:val="000000" w:themeColor="text1"/>
          <w:sz w:val="32"/>
          <w:szCs w:val="32"/>
          <w:highlight w:val="none"/>
          <w14:textFill>
            <w14:solidFill>
              <w14:schemeClr w14:val="tx1"/>
            </w14:solidFill>
          </w14:textFill>
        </w:rPr>
      </w:pPr>
    </w:p>
    <w:p w14:paraId="5FA8B158">
      <w:pPr>
        <w:rPr>
          <w:rFonts w:ascii="宋体" w:hAnsi="宋体" w:eastAsia="宋体" w:cs="宋体"/>
          <w:b/>
          <w:color w:val="000000" w:themeColor="text1"/>
          <w:sz w:val="32"/>
          <w:szCs w:val="32"/>
          <w:highlight w:val="none"/>
          <w14:textFill>
            <w14:solidFill>
              <w14:schemeClr w14:val="tx1"/>
            </w14:solidFill>
          </w14:textFill>
        </w:rPr>
      </w:pPr>
    </w:p>
    <w:p w14:paraId="3BF2B355">
      <w:pPr>
        <w:rPr>
          <w:rFonts w:ascii="宋体" w:hAnsi="宋体" w:eastAsia="宋体" w:cs="宋体"/>
          <w:b/>
          <w:color w:val="000000" w:themeColor="text1"/>
          <w:sz w:val="32"/>
          <w:szCs w:val="32"/>
          <w:highlight w:val="none"/>
          <w14:textFill>
            <w14:solidFill>
              <w14:schemeClr w14:val="tx1"/>
            </w14:solidFill>
          </w14:textFill>
        </w:rPr>
      </w:pPr>
    </w:p>
    <w:p w14:paraId="0A52C011">
      <w:pPr>
        <w:rPr>
          <w:rFonts w:ascii="宋体" w:hAnsi="宋体" w:eastAsia="宋体" w:cs="宋体"/>
          <w:b/>
          <w:color w:val="000000" w:themeColor="text1"/>
          <w:sz w:val="32"/>
          <w:szCs w:val="32"/>
          <w:highlight w:val="none"/>
          <w14:textFill>
            <w14:solidFill>
              <w14:schemeClr w14:val="tx1"/>
            </w14:solidFill>
          </w14:textFill>
        </w:rPr>
      </w:pPr>
    </w:p>
    <w:p w14:paraId="5DFF9BC6">
      <w:pPr>
        <w:rPr>
          <w:rFonts w:ascii="宋体" w:hAnsi="宋体" w:eastAsia="宋体" w:cs="宋体"/>
          <w:b/>
          <w:color w:val="000000" w:themeColor="text1"/>
          <w:sz w:val="32"/>
          <w:szCs w:val="32"/>
          <w:highlight w:val="none"/>
          <w14:textFill>
            <w14:solidFill>
              <w14:schemeClr w14:val="tx1"/>
            </w14:solidFill>
          </w14:textFill>
        </w:rPr>
      </w:pPr>
    </w:p>
    <w:p w14:paraId="0F261C07">
      <w:pPr>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p>
    <w:p w14:paraId="59A7C660">
      <w:pPr>
        <w:outlineLvl w:val="1"/>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lang w:eastAsia="zh-CN"/>
          <w14:textFill>
            <w14:solidFill>
              <w14:schemeClr w14:val="tx1"/>
            </w14:solidFill>
          </w14:textFill>
        </w:rPr>
        <w:t>五</w:t>
      </w:r>
      <w:r>
        <w:rPr>
          <w:rFonts w:hint="eastAsia" w:ascii="宋体" w:hAnsi="宋体" w:eastAsia="宋体" w:cs="宋体"/>
          <w:b/>
          <w:color w:val="000000" w:themeColor="text1"/>
          <w:sz w:val="32"/>
          <w:szCs w:val="32"/>
          <w:highlight w:val="none"/>
          <w14:textFill>
            <w14:solidFill>
              <w14:schemeClr w14:val="tx1"/>
            </w14:solidFill>
          </w14:textFill>
        </w:rPr>
        <w:t>、中小（微）企业声明函（货物）</w:t>
      </w:r>
    </w:p>
    <w:p w14:paraId="034308DB">
      <w:pPr>
        <w:jc w:val="center"/>
        <w:rPr>
          <w:rFonts w:ascii="宋体" w:hAnsi="宋体" w:eastAsia="宋体" w:cs="宋体"/>
          <w:b/>
          <w:color w:val="000000" w:themeColor="text1"/>
          <w:sz w:val="36"/>
          <w:szCs w:val="36"/>
          <w:highlight w:val="none"/>
          <w14:textFill>
            <w14:solidFill>
              <w14:schemeClr w14:val="tx1"/>
            </w14:solidFill>
          </w14:textFill>
        </w:rPr>
      </w:pPr>
    </w:p>
    <w:p w14:paraId="544CD735">
      <w:pPr>
        <w:jc w:val="center"/>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中小（微）企业声明函（货物）</w:t>
      </w:r>
    </w:p>
    <w:p w14:paraId="74A81EC3">
      <w:pPr>
        <w:spacing w:line="500"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本公司（联合体）郑重声明，根据《政府采购促进中小企业发展管理办法》（财库〔2020〕46号）的规定，本公司（联合体）参加</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的</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项目</w:t>
      </w:r>
      <w:r>
        <w:rPr>
          <w:rFonts w:hint="eastAsia" w:ascii="宋体" w:hAnsi="宋体" w:eastAsia="宋体" w:cs="宋体"/>
          <w:color w:val="000000" w:themeColor="text1"/>
          <w:sz w:val="24"/>
          <w:highlight w:val="none"/>
          <w14:textFill>
            <w14:solidFill>
              <w14:schemeClr w14:val="tx1"/>
            </w14:solidFill>
          </w14:textFill>
        </w:rPr>
        <w:t>采购活动，提供的货物全部由符合政策要求的中小企业制造。相关企业（含联合体中的中小企业、签订分包意向协议的中小企业）的具体情况如下：</w:t>
      </w:r>
    </w:p>
    <w:p w14:paraId="35AAE6A0">
      <w:pPr>
        <w:spacing w:line="500" w:lineRule="exact"/>
        <w:ind w:firstLine="480"/>
        <w:jc w:val="left"/>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u w:val="single"/>
          <w14:textFill>
            <w14:solidFill>
              <w14:schemeClr w14:val="tx1"/>
            </w14:solidFill>
          </w14:textFill>
        </w:rPr>
        <w:t>标的名称</w:t>
      </w:r>
      <w:r>
        <w:rPr>
          <w:rFonts w:hint="eastAsia" w:ascii="宋体" w:hAnsi="宋体" w:eastAsia="宋体" w:cs="宋体"/>
          <w:color w:val="000000" w:themeColor="text1"/>
          <w:sz w:val="24"/>
          <w:highlight w:val="none"/>
          <w14:textFill>
            <w14:solidFill>
              <w14:schemeClr w14:val="tx1"/>
            </w14:solidFill>
          </w14:textFill>
        </w:rPr>
        <w:t>，属于（</w:t>
      </w:r>
      <w:r>
        <w:rPr>
          <w:rFonts w:hint="eastAsia" w:ascii="宋体" w:hAnsi="宋体" w:eastAsia="宋体" w:cs="宋体"/>
          <w:i/>
          <w:color w:val="000000" w:themeColor="text1"/>
          <w:sz w:val="24"/>
          <w:highlight w:val="none"/>
          <w:u w:val="single"/>
          <w14:textFill>
            <w14:solidFill>
              <w14:schemeClr w14:val="tx1"/>
            </w14:solidFill>
          </w14:textFill>
        </w:rPr>
        <w:t>采购文件中明确的所属行业）</w:t>
      </w:r>
      <w:r>
        <w:rPr>
          <w:rFonts w:hint="eastAsia" w:ascii="宋体" w:hAnsi="宋体" w:eastAsia="宋体" w:cs="宋体"/>
          <w:color w:val="000000" w:themeColor="text1"/>
          <w:sz w:val="24"/>
          <w:highlight w:val="none"/>
          <w:u w:val="single"/>
          <w14:textFill>
            <w14:solidFill>
              <w14:schemeClr w14:val="tx1"/>
            </w14:solidFill>
          </w14:textFill>
        </w:rPr>
        <w:t>行业</w:t>
      </w:r>
      <w:r>
        <w:rPr>
          <w:rFonts w:hint="eastAsia" w:ascii="宋体" w:hAnsi="宋体" w:eastAsia="宋体" w:cs="宋体"/>
          <w:color w:val="000000" w:themeColor="text1"/>
          <w:sz w:val="24"/>
          <w:highlight w:val="none"/>
          <w14:textFill>
            <w14:solidFill>
              <w14:schemeClr w14:val="tx1"/>
            </w14:solidFill>
          </w14:textFill>
        </w:rPr>
        <w:t>；制造商为</w:t>
      </w:r>
      <w:r>
        <w:rPr>
          <w:rFonts w:hint="eastAsia" w:ascii="宋体" w:hAnsi="宋体" w:eastAsia="宋体" w:cs="宋体"/>
          <w:color w:val="000000" w:themeColor="text1"/>
          <w:sz w:val="24"/>
          <w:highlight w:val="none"/>
          <w:u w:val="single"/>
          <w14:textFill>
            <w14:solidFill>
              <w14:schemeClr w14:val="tx1"/>
            </w14:solidFill>
          </w14:textFill>
        </w:rPr>
        <w:t>（企业名称）</w:t>
      </w:r>
      <w:r>
        <w:rPr>
          <w:rFonts w:hint="eastAsia" w:ascii="宋体" w:hAnsi="宋体" w:eastAsia="宋体" w:cs="宋体"/>
          <w:color w:val="000000" w:themeColor="text1"/>
          <w:sz w:val="24"/>
          <w:highlight w:val="none"/>
          <w14:textFill>
            <w14:solidFill>
              <w14:schemeClr w14:val="tx1"/>
            </w14:solidFill>
          </w14:textFill>
        </w:rPr>
        <w:t>，从业人员人，营业收入为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万元，资产总额为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万元</w:t>
      </w:r>
      <w:r>
        <w:rPr>
          <w:rFonts w:hint="eastAsia" w:ascii="宋体" w:hAnsi="宋体" w:eastAsia="宋体" w:cs="宋体"/>
          <w:color w:val="000000" w:themeColor="text1"/>
          <w:sz w:val="24"/>
          <w:highlight w:val="none"/>
          <w:vertAlign w:val="superscript"/>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，属于</w:t>
      </w:r>
      <w:r>
        <w:rPr>
          <w:rFonts w:hint="eastAsia" w:ascii="宋体" w:hAnsi="宋体" w:eastAsia="宋体" w:cs="Times New Roman"/>
          <w:color w:val="auto"/>
          <w:sz w:val="24"/>
          <w:szCs w:val="24"/>
          <w:highlight w:val="none"/>
          <w:u w:val="single"/>
        </w:rPr>
        <w:t>（□中型企业 □小型企业 □微型企业）</w:t>
      </w:r>
      <w:r>
        <w:rPr>
          <w:rFonts w:hint="eastAsia" w:ascii="宋体" w:hAnsi="宋体" w:eastAsia="宋体" w:cs="宋体"/>
          <w:color w:val="000000" w:themeColor="text1"/>
          <w:sz w:val="24"/>
          <w:highlight w:val="none"/>
          <w:u w:val="single"/>
          <w14:textFill>
            <w14:solidFill>
              <w14:schemeClr w14:val="tx1"/>
            </w14:solidFill>
          </w14:textFill>
        </w:rPr>
        <w:t>；</w:t>
      </w:r>
    </w:p>
    <w:p w14:paraId="280DB49B">
      <w:pPr>
        <w:spacing w:line="500" w:lineRule="exact"/>
        <w:ind w:firstLine="480"/>
        <w:jc w:val="left"/>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r>
        <w:rPr>
          <w:rFonts w:hint="eastAsia" w:ascii="宋体" w:hAnsi="宋体" w:eastAsia="宋体" w:cs="宋体"/>
          <w:color w:val="000000" w:themeColor="text1"/>
          <w:sz w:val="24"/>
          <w:highlight w:val="none"/>
          <w:u w:val="single"/>
          <w14:textFill>
            <w14:solidFill>
              <w14:schemeClr w14:val="tx1"/>
            </w14:solidFill>
          </w14:textFill>
        </w:rPr>
        <w:t>标的名称</w:t>
      </w:r>
      <w:r>
        <w:rPr>
          <w:rFonts w:hint="eastAsia" w:ascii="宋体" w:hAnsi="宋体" w:eastAsia="宋体" w:cs="宋体"/>
          <w:color w:val="000000" w:themeColor="text1"/>
          <w:sz w:val="24"/>
          <w:highlight w:val="none"/>
          <w14:textFill>
            <w14:solidFill>
              <w14:schemeClr w14:val="tx1"/>
            </w14:solidFill>
          </w14:textFill>
        </w:rPr>
        <w:t>，属于（</w:t>
      </w:r>
      <w:r>
        <w:rPr>
          <w:rFonts w:hint="eastAsia" w:ascii="宋体" w:hAnsi="宋体" w:eastAsia="宋体" w:cs="宋体"/>
          <w:i/>
          <w:color w:val="000000" w:themeColor="text1"/>
          <w:sz w:val="24"/>
          <w:highlight w:val="none"/>
          <w:u w:val="single"/>
          <w14:textFill>
            <w14:solidFill>
              <w14:schemeClr w14:val="tx1"/>
            </w14:solidFill>
          </w14:textFill>
        </w:rPr>
        <w:t>采购文件中明确的所属行业）</w:t>
      </w:r>
      <w:r>
        <w:rPr>
          <w:rFonts w:hint="eastAsia" w:ascii="宋体" w:hAnsi="宋体" w:eastAsia="宋体" w:cs="宋体"/>
          <w:color w:val="000000" w:themeColor="text1"/>
          <w:sz w:val="24"/>
          <w:highlight w:val="none"/>
          <w:u w:val="single"/>
          <w14:textFill>
            <w14:solidFill>
              <w14:schemeClr w14:val="tx1"/>
            </w14:solidFill>
          </w14:textFill>
        </w:rPr>
        <w:t>行业</w:t>
      </w:r>
      <w:r>
        <w:rPr>
          <w:rFonts w:hint="eastAsia" w:ascii="宋体" w:hAnsi="宋体" w:eastAsia="宋体" w:cs="宋体"/>
          <w:color w:val="000000" w:themeColor="text1"/>
          <w:sz w:val="24"/>
          <w:highlight w:val="none"/>
          <w14:textFill>
            <w14:solidFill>
              <w14:schemeClr w14:val="tx1"/>
            </w14:solidFill>
          </w14:textFill>
        </w:rPr>
        <w:t>；制造商为</w:t>
      </w:r>
      <w:r>
        <w:rPr>
          <w:rFonts w:hint="eastAsia" w:ascii="宋体" w:hAnsi="宋体" w:eastAsia="宋体" w:cs="宋体"/>
          <w:color w:val="000000" w:themeColor="text1"/>
          <w:sz w:val="24"/>
          <w:highlight w:val="none"/>
          <w:u w:val="single"/>
          <w14:textFill>
            <w14:solidFill>
              <w14:schemeClr w14:val="tx1"/>
            </w14:solidFill>
          </w14:textFill>
        </w:rPr>
        <w:t>（企业名称）</w:t>
      </w:r>
      <w:r>
        <w:rPr>
          <w:rFonts w:hint="eastAsia" w:ascii="宋体" w:hAnsi="宋体" w:eastAsia="宋体" w:cs="宋体"/>
          <w:color w:val="000000" w:themeColor="text1"/>
          <w:sz w:val="24"/>
          <w:highlight w:val="none"/>
          <w14:textFill>
            <w14:solidFill>
              <w14:schemeClr w14:val="tx1"/>
            </w14:solidFill>
          </w14:textFill>
        </w:rPr>
        <w:t>，从业人员人，营业收入为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万元，资产总额为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万元，属于</w:t>
      </w:r>
      <w:r>
        <w:rPr>
          <w:rFonts w:hint="eastAsia" w:ascii="宋体" w:hAnsi="宋体" w:eastAsia="宋体" w:cs="Times New Roman"/>
          <w:color w:val="auto"/>
          <w:sz w:val="24"/>
          <w:szCs w:val="24"/>
          <w:highlight w:val="none"/>
          <w:u w:val="single"/>
        </w:rPr>
        <w:t>（□中型企业 □小型企业 □微型企业）</w:t>
      </w:r>
      <w:r>
        <w:rPr>
          <w:rFonts w:hint="eastAsia" w:ascii="宋体" w:hAnsi="宋体" w:eastAsia="宋体" w:cs="宋体"/>
          <w:color w:val="000000" w:themeColor="text1"/>
          <w:sz w:val="24"/>
          <w:highlight w:val="none"/>
          <w:u w:val="single"/>
          <w14:textFill>
            <w14:solidFill>
              <w14:schemeClr w14:val="tx1"/>
            </w14:solidFill>
          </w14:textFill>
        </w:rPr>
        <w:t>；</w:t>
      </w:r>
    </w:p>
    <w:p w14:paraId="26DD2C1E">
      <w:pPr>
        <w:spacing w:line="500"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p>
    <w:p w14:paraId="453A827C">
      <w:pPr>
        <w:spacing w:line="500"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以上企业，不属于大企业的分支机构，不存在控股股东为大企业的情形，也不存在与大企业的负责人为同一人的情形。</w:t>
      </w:r>
    </w:p>
    <w:p w14:paraId="3C7C5A10">
      <w:pPr>
        <w:spacing w:line="500"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本企业对上述声明内容的真实性负责。如有虚假，将依法承担相应责任。</w:t>
      </w:r>
    </w:p>
    <w:p w14:paraId="68F71FE7">
      <w:pPr>
        <w:spacing w:line="360" w:lineRule="auto"/>
        <w:ind w:right="720"/>
        <w:rPr>
          <w:rFonts w:ascii="宋体" w:hAnsi="宋体" w:eastAsia="宋体" w:cs="宋体"/>
          <w:color w:val="000000" w:themeColor="text1"/>
          <w:sz w:val="24"/>
          <w:highlight w:val="none"/>
          <w14:textFill>
            <w14:solidFill>
              <w14:schemeClr w14:val="tx1"/>
            </w14:solidFill>
          </w14:textFill>
        </w:rPr>
      </w:pPr>
    </w:p>
    <w:p w14:paraId="2AB5C62B">
      <w:pPr>
        <w:spacing w:line="360" w:lineRule="auto"/>
        <w:ind w:right="180" w:firstLine="360"/>
        <w:jc w:val="righ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企业名称：（加盖CA电子公章）</w:t>
      </w:r>
    </w:p>
    <w:p w14:paraId="7882907D">
      <w:pPr>
        <w:spacing w:line="360" w:lineRule="auto"/>
        <w:ind w:firstLine="576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日期：___年___月___日</w:t>
      </w:r>
    </w:p>
    <w:p w14:paraId="19A7C7CA">
      <w:pPr>
        <w:spacing w:line="560" w:lineRule="exact"/>
        <w:ind w:firstLine="360"/>
        <w:rPr>
          <w:rFonts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vertAlign w:val="superscript"/>
          <w14:textFill>
            <w14:solidFill>
              <w14:schemeClr w14:val="tx1"/>
            </w14:solidFill>
          </w14:textFill>
        </w:rPr>
        <w:t>1</w:t>
      </w:r>
      <w:r>
        <w:rPr>
          <w:rFonts w:hint="eastAsia" w:ascii="宋体" w:hAnsi="宋体" w:eastAsia="宋体" w:cs="宋体"/>
          <w:color w:val="000000" w:themeColor="text1"/>
          <w:sz w:val="18"/>
          <w:szCs w:val="18"/>
          <w:highlight w:val="none"/>
          <w14:textFill>
            <w14:solidFill>
              <w14:schemeClr w14:val="tx1"/>
            </w14:solidFill>
          </w14:textFill>
        </w:rPr>
        <w:t>从业人员、营业收入、资产总额填报上一年数据，无上一年数据的新成立企业可不填报。</w:t>
      </w:r>
    </w:p>
    <w:p w14:paraId="0F061737">
      <w:pPr>
        <w:spacing w:line="460" w:lineRule="exact"/>
        <w:rPr>
          <w:rFonts w:ascii="宋体" w:hAnsi="宋体" w:eastAsia="宋体" w:cs="宋体"/>
          <w:iCs/>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p>
    <w:p w14:paraId="2A3650A3">
      <w:pPr>
        <w:spacing w:before="151" w:after="151" w:line="600" w:lineRule="exact"/>
        <w:jc w:val="center"/>
        <w:rPr>
          <w:rFonts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残疾人福利性单位声明函</w:t>
      </w:r>
    </w:p>
    <w:p w14:paraId="56192014">
      <w:pPr>
        <w:spacing w:line="588" w:lineRule="exact"/>
        <w:rPr>
          <w:rFonts w:ascii="宋体" w:hAnsi="宋体" w:eastAsia="宋体" w:cs="宋体"/>
          <w:b/>
          <w:color w:val="000000" w:themeColor="text1"/>
          <w:spacing w:val="6"/>
          <w:sz w:val="30"/>
          <w:szCs w:val="30"/>
          <w:highlight w:val="none"/>
          <w14:textFill>
            <w14:solidFill>
              <w14:schemeClr w14:val="tx1"/>
            </w14:solidFill>
          </w14:textFill>
        </w:rPr>
      </w:pPr>
    </w:p>
    <w:p w14:paraId="30EAF6B7">
      <w:pPr>
        <w:spacing w:line="588" w:lineRule="exact"/>
        <w:ind w:firstLine="480"/>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141号）的规定，本单位为符合条件的残疾人福利性单位，且本单位参加______单位的采购文件项目编号为______的</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项目采购活动由本单位提供货物。</w:t>
      </w:r>
    </w:p>
    <w:p w14:paraId="4CD42588">
      <w:pPr>
        <w:spacing w:line="588" w:lineRule="exact"/>
        <w:ind w:firstLine="480"/>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本单位对上述声明的真实性负责。如有虚假，将依法承担相应责任。</w:t>
      </w:r>
    </w:p>
    <w:p w14:paraId="24FF51C4">
      <w:pPr>
        <w:spacing w:line="588" w:lineRule="exact"/>
        <w:ind w:firstLine="480"/>
        <w:rPr>
          <w:rFonts w:ascii="宋体" w:hAnsi="宋体" w:eastAsia="宋体" w:cs="宋体"/>
          <w:color w:val="000000" w:themeColor="text1"/>
          <w:sz w:val="24"/>
          <w:szCs w:val="21"/>
          <w:highlight w:val="none"/>
          <w14:textFill>
            <w14:solidFill>
              <w14:schemeClr w14:val="tx1"/>
            </w14:solidFill>
          </w14:textFill>
        </w:rPr>
      </w:pPr>
    </w:p>
    <w:p w14:paraId="09A8D746">
      <w:pPr>
        <w:spacing w:line="588" w:lineRule="exact"/>
        <w:ind w:firstLine="480"/>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（备注：1、投标人如不提供此声明函，价格将不做相应扣除。2、成交投标人为残疾人福利单位的，此声明函将随成交结果同时公告，接受社会监督）</w:t>
      </w:r>
    </w:p>
    <w:p w14:paraId="05280E03">
      <w:pPr>
        <w:spacing w:line="588" w:lineRule="exact"/>
        <w:ind w:firstLine="624"/>
        <w:rPr>
          <w:rFonts w:ascii="宋体" w:hAnsi="宋体" w:eastAsia="宋体" w:cs="宋体"/>
          <w:color w:val="000000" w:themeColor="text1"/>
          <w:spacing w:val="6"/>
          <w:sz w:val="30"/>
          <w:szCs w:val="30"/>
          <w:highlight w:val="none"/>
          <w14:textFill>
            <w14:solidFill>
              <w14:schemeClr w14:val="tx1"/>
            </w14:solidFill>
          </w14:textFill>
        </w:rPr>
      </w:pPr>
    </w:p>
    <w:p w14:paraId="52DB8875">
      <w:pPr>
        <w:tabs>
          <w:tab w:val="left" w:pos="4860"/>
        </w:tabs>
        <w:spacing w:line="588" w:lineRule="exact"/>
        <w:ind w:right="1560" w:firstLine="624"/>
        <w:jc w:val="center"/>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pacing w:val="6"/>
          <w:sz w:val="30"/>
          <w:szCs w:val="30"/>
          <w:highlight w:val="non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          投标人全称（加盖CA电子公章）：</w:t>
      </w:r>
    </w:p>
    <w:p w14:paraId="4AAD2478">
      <w:pPr>
        <w:tabs>
          <w:tab w:val="left" w:pos="4860"/>
        </w:tabs>
        <w:spacing w:line="588" w:lineRule="exact"/>
        <w:ind w:right="1560" w:firstLine="480"/>
        <w:jc w:val="center"/>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        日  期：</w:t>
      </w:r>
    </w:p>
    <w:p w14:paraId="4799AD29">
      <w:pPr>
        <w:spacing w:line="360" w:lineRule="auto"/>
        <w:ind w:firstLine="624"/>
        <w:rPr>
          <w:rFonts w:ascii="宋体" w:hAnsi="宋体" w:eastAsia="宋体" w:cs="宋体"/>
          <w:color w:val="000000" w:themeColor="text1"/>
          <w:spacing w:val="6"/>
          <w:sz w:val="30"/>
          <w:szCs w:val="30"/>
          <w:highlight w:val="none"/>
          <w14:textFill>
            <w14:solidFill>
              <w14:schemeClr w14:val="tx1"/>
            </w14:solidFill>
          </w14:textFill>
        </w:rPr>
      </w:pPr>
    </w:p>
    <w:p w14:paraId="6D16E7A6">
      <w:pPr>
        <w:outlineLvl w:val="1"/>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lang w:eastAsia="zh-CN"/>
          <w14:textFill>
            <w14:solidFill>
              <w14:schemeClr w14:val="tx1"/>
            </w14:solidFill>
          </w14:textFill>
        </w:rPr>
        <w:t>六</w:t>
      </w:r>
      <w:r>
        <w:rPr>
          <w:rFonts w:hint="eastAsia" w:ascii="宋体" w:hAnsi="宋体" w:eastAsia="宋体" w:cs="宋体"/>
          <w:b/>
          <w:color w:val="000000" w:themeColor="text1"/>
          <w:sz w:val="32"/>
          <w:szCs w:val="32"/>
          <w:highlight w:val="none"/>
          <w14:textFill>
            <w14:solidFill>
              <w14:schemeClr w14:val="tx1"/>
            </w14:solidFill>
          </w14:textFill>
        </w:rPr>
        <w:t>、技术要求响应及偏离表</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2862"/>
        <w:gridCol w:w="2305"/>
        <w:gridCol w:w="2250"/>
        <w:gridCol w:w="963"/>
      </w:tblGrid>
      <w:tr w14:paraId="532BA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2" w:hRule="atLeast"/>
        </w:trPr>
        <w:tc>
          <w:tcPr>
            <w:tcW w:w="737" w:type="dxa"/>
            <w:noWrap w:val="0"/>
            <w:vAlign w:val="center"/>
          </w:tcPr>
          <w:p w14:paraId="2E15A2BC">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序号</w:t>
            </w:r>
          </w:p>
        </w:tc>
        <w:tc>
          <w:tcPr>
            <w:tcW w:w="2862" w:type="dxa"/>
            <w:noWrap w:val="0"/>
            <w:vAlign w:val="center"/>
          </w:tcPr>
          <w:p w14:paraId="5F8487FD">
            <w:pPr>
              <w:widowControl/>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招标文件内容</w:t>
            </w:r>
          </w:p>
        </w:tc>
        <w:tc>
          <w:tcPr>
            <w:tcW w:w="2305" w:type="dxa"/>
            <w:noWrap w:val="0"/>
            <w:vAlign w:val="center"/>
          </w:tcPr>
          <w:p w14:paraId="7048CECB">
            <w:pPr>
              <w:widowControl/>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投标文件内容</w:t>
            </w:r>
          </w:p>
        </w:tc>
        <w:tc>
          <w:tcPr>
            <w:tcW w:w="2250" w:type="dxa"/>
            <w:noWrap w:val="0"/>
            <w:vAlign w:val="center"/>
          </w:tcPr>
          <w:p w14:paraId="54C9B64F">
            <w:pPr>
              <w:widowControl/>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偏离（填报“正偏离、符合或负偏离”）</w:t>
            </w:r>
          </w:p>
        </w:tc>
        <w:tc>
          <w:tcPr>
            <w:tcW w:w="963" w:type="dxa"/>
            <w:noWrap w:val="0"/>
            <w:vAlign w:val="center"/>
          </w:tcPr>
          <w:p w14:paraId="0E8E9293">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备注</w:t>
            </w:r>
          </w:p>
        </w:tc>
      </w:tr>
      <w:tr w14:paraId="02754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737" w:type="dxa"/>
            <w:noWrap w:val="0"/>
          </w:tcPr>
          <w:p w14:paraId="2C14046C">
            <w:pPr>
              <w:jc w:val="center"/>
              <w:rPr>
                <w:rFonts w:ascii="宋体" w:hAnsi="宋体" w:eastAsia="宋体" w:cs="宋体"/>
                <w:color w:val="000000" w:themeColor="text1"/>
                <w:sz w:val="24"/>
                <w:highlight w:val="none"/>
                <w14:textFill>
                  <w14:solidFill>
                    <w14:schemeClr w14:val="tx1"/>
                  </w14:solidFill>
                </w14:textFill>
              </w:rPr>
            </w:pPr>
          </w:p>
        </w:tc>
        <w:tc>
          <w:tcPr>
            <w:tcW w:w="2862" w:type="dxa"/>
            <w:noWrap w:val="0"/>
          </w:tcPr>
          <w:p w14:paraId="4CDFE186">
            <w:pPr>
              <w:jc w:val="center"/>
              <w:rPr>
                <w:rFonts w:ascii="宋体" w:hAnsi="宋体" w:eastAsia="宋体" w:cs="宋体"/>
                <w:color w:val="000000" w:themeColor="text1"/>
                <w:sz w:val="24"/>
                <w:highlight w:val="none"/>
                <w14:textFill>
                  <w14:solidFill>
                    <w14:schemeClr w14:val="tx1"/>
                  </w14:solidFill>
                </w14:textFill>
              </w:rPr>
            </w:pPr>
          </w:p>
        </w:tc>
        <w:tc>
          <w:tcPr>
            <w:tcW w:w="2305" w:type="dxa"/>
            <w:noWrap w:val="0"/>
          </w:tcPr>
          <w:p w14:paraId="70AB6A7E">
            <w:pPr>
              <w:jc w:val="center"/>
              <w:rPr>
                <w:rFonts w:ascii="宋体" w:hAnsi="宋体" w:eastAsia="宋体" w:cs="宋体"/>
                <w:color w:val="000000" w:themeColor="text1"/>
                <w:sz w:val="24"/>
                <w:highlight w:val="none"/>
                <w14:textFill>
                  <w14:solidFill>
                    <w14:schemeClr w14:val="tx1"/>
                  </w14:solidFill>
                </w14:textFill>
              </w:rPr>
            </w:pPr>
          </w:p>
        </w:tc>
        <w:tc>
          <w:tcPr>
            <w:tcW w:w="2250" w:type="dxa"/>
            <w:noWrap w:val="0"/>
          </w:tcPr>
          <w:p w14:paraId="5789D236">
            <w:pPr>
              <w:jc w:val="center"/>
              <w:rPr>
                <w:rFonts w:ascii="宋体" w:hAnsi="宋体" w:eastAsia="宋体" w:cs="宋体"/>
                <w:color w:val="000000" w:themeColor="text1"/>
                <w:sz w:val="24"/>
                <w:highlight w:val="none"/>
                <w14:textFill>
                  <w14:solidFill>
                    <w14:schemeClr w14:val="tx1"/>
                  </w14:solidFill>
                </w14:textFill>
              </w:rPr>
            </w:pPr>
          </w:p>
        </w:tc>
        <w:tc>
          <w:tcPr>
            <w:tcW w:w="963" w:type="dxa"/>
            <w:noWrap w:val="0"/>
          </w:tcPr>
          <w:p w14:paraId="56484B34">
            <w:pPr>
              <w:jc w:val="center"/>
              <w:rPr>
                <w:rFonts w:ascii="宋体" w:hAnsi="宋体" w:eastAsia="宋体" w:cs="宋体"/>
                <w:color w:val="000000" w:themeColor="text1"/>
                <w:sz w:val="24"/>
                <w:highlight w:val="none"/>
                <w14:textFill>
                  <w14:solidFill>
                    <w14:schemeClr w14:val="tx1"/>
                  </w14:solidFill>
                </w14:textFill>
              </w:rPr>
            </w:pPr>
          </w:p>
        </w:tc>
      </w:tr>
      <w:tr w14:paraId="48828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737" w:type="dxa"/>
            <w:noWrap w:val="0"/>
          </w:tcPr>
          <w:p w14:paraId="4F4D4955">
            <w:pPr>
              <w:jc w:val="center"/>
              <w:rPr>
                <w:rFonts w:ascii="宋体" w:hAnsi="宋体" w:eastAsia="宋体" w:cs="宋体"/>
                <w:color w:val="000000" w:themeColor="text1"/>
                <w:sz w:val="24"/>
                <w:highlight w:val="none"/>
                <w14:textFill>
                  <w14:solidFill>
                    <w14:schemeClr w14:val="tx1"/>
                  </w14:solidFill>
                </w14:textFill>
              </w:rPr>
            </w:pPr>
          </w:p>
        </w:tc>
        <w:tc>
          <w:tcPr>
            <w:tcW w:w="2862" w:type="dxa"/>
            <w:noWrap w:val="0"/>
          </w:tcPr>
          <w:p w14:paraId="56D0DBF3">
            <w:pPr>
              <w:jc w:val="center"/>
              <w:rPr>
                <w:rFonts w:ascii="宋体" w:hAnsi="宋体" w:eastAsia="宋体" w:cs="宋体"/>
                <w:color w:val="000000" w:themeColor="text1"/>
                <w:sz w:val="24"/>
                <w:highlight w:val="none"/>
                <w14:textFill>
                  <w14:solidFill>
                    <w14:schemeClr w14:val="tx1"/>
                  </w14:solidFill>
                </w14:textFill>
              </w:rPr>
            </w:pPr>
          </w:p>
        </w:tc>
        <w:tc>
          <w:tcPr>
            <w:tcW w:w="2305" w:type="dxa"/>
            <w:noWrap w:val="0"/>
          </w:tcPr>
          <w:p w14:paraId="18B60D23">
            <w:pPr>
              <w:jc w:val="center"/>
              <w:rPr>
                <w:rFonts w:ascii="宋体" w:hAnsi="宋体" w:eastAsia="宋体" w:cs="宋体"/>
                <w:color w:val="000000" w:themeColor="text1"/>
                <w:sz w:val="24"/>
                <w:highlight w:val="none"/>
                <w14:textFill>
                  <w14:solidFill>
                    <w14:schemeClr w14:val="tx1"/>
                  </w14:solidFill>
                </w14:textFill>
              </w:rPr>
            </w:pPr>
          </w:p>
        </w:tc>
        <w:tc>
          <w:tcPr>
            <w:tcW w:w="2250" w:type="dxa"/>
            <w:noWrap w:val="0"/>
          </w:tcPr>
          <w:p w14:paraId="3B1DF952">
            <w:pPr>
              <w:jc w:val="center"/>
              <w:rPr>
                <w:rFonts w:ascii="宋体" w:hAnsi="宋体" w:eastAsia="宋体" w:cs="宋体"/>
                <w:color w:val="000000" w:themeColor="text1"/>
                <w:sz w:val="24"/>
                <w:highlight w:val="none"/>
                <w14:textFill>
                  <w14:solidFill>
                    <w14:schemeClr w14:val="tx1"/>
                  </w14:solidFill>
                </w14:textFill>
              </w:rPr>
            </w:pPr>
          </w:p>
        </w:tc>
        <w:tc>
          <w:tcPr>
            <w:tcW w:w="963" w:type="dxa"/>
            <w:noWrap w:val="0"/>
          </w:tcPr>
          <w:p w14:paraId="04B7A9C2">
            <w:pPr>
              <w:jc w:val="center"/>
              <w:rPr>
                <w:rFonts w:ascii="宋体" w:hAnsi="宋体" w:eastAsia="宋体" w:cs="宋体"/>
                <w:color w:val="000000" w:themeColor="text1"/>
                <w:sz w:val="24"/>
                <w:highlight w:val="none"/>
                <w14:textFill>
                  <w14:solidFill>
                    <w14:schemeClr w14:val="tx1"/>
                  </w14:solidFill>
                </w14:textFill>
              </w:rPr>
            </w:pPr>
          </w:p>
        </w:tc>
      </w:tr>
      <w:tr w14:paraId="09822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737" w:type="dxa"/>
            <w:noWrap w:val="0"/>
          </w:tcPr>
          <w:p w14:paraId="3D0A0C51">
            <w:pPr>
              <w:jc w:val="center"/>
              <w:rPr>
                <w:rFonts w:ascii="宋体" w:hAnsi="宋体" w:eastAsia="宋体" w:cs="宋体"/>
                <w:color w:val="000000" w:themeColor="text1"/>
                <w:sz w:val="24"/>
                <w:highlight w:val="none"/>
                <w14:textFill>
                  <w14:solidFill>
                    <w14:schemeClr w14:val="tx1"/>
                  </w14:solidFill>
                </w14:textFill>
              </w:rPr>
            </w:pPr>
          </w:p>
        </w:tc>
        <w:tc>
          <w:tcPr>
            <w:tcW w:w="2862" w:type="dxa"/>
            <w:noWrap w:val="0"/>
          </w:tcPr>
          <w:p w14:paraId="1762F8E7">
            <w:pPr>
              <w:jc w:val="center"/>
              <w:rPr>
                <w:rFonts w:ascii="宋体" w:hAnsi="宋体" w:eastAsia="宋体" w:cs="宋体"/>
                <w:color w:val="000000" w:themeColor="text1"/>
                <w:sz w:val="24"/>
                <w:highlight w:val="none"/>
                <w14:textFill>
                  <w14:solidFill>
                    <w14:schemeClr w14:val="tx1"/>
                  </w14:solidFill>
                </w14:textFill>
              </w:rPr>
            </w:pPr>
          </w:p>
        </w:tc>
        <w:tc>
          <w:tcPr>
            <w:tcW w:w="2305" w:type="dxa"/>
            <w:noWrap w:val="0"/>
          </w:tcPr>
          <w:p w14:paraId="5F923932">
            <w:pPr>
              <w:jc w:val="center"/>
              <w:rPr>
                <w:rFonts w:ascii="宋体" w:hAnsi="宋体" w:eastAsia="宋体" w:cs="宋体"/>
                <w:color w:val="000000" w:themeColor="text1"/>
                <w:sz w:val="24"/>
                <w:highlight w:val="none"/>
                <w14:textFill>
                  <w14:solidFill>
                    <w14:schemeClr w14:val="tx1"/>
                  </w14:solidFill>
                </w14:textFill>
              </w:rPr>
            </w:pPr>
          </w:p>
        </w:tc>
        <w:tc>
          <w:tcPr>
            <w:tcW w:w="2250" w:type="dxa"/>
            <w:noWrap w:val="0"/>
          </w:tcPr>
          <w:p w14:paraId="6E598409">
            <w:pPr>
              <w:jc w:val="center"/>
              <w:rPr>
                <w:rFonts w:ascii="宋体" w:hAnsi="宋体" w:eastAsia="宋体" w:cs="宋体"/>
                <w:color w:val="000000" w:themeColor="text1"/>
                <w:sz w:val="24"/>
                <w:highlight w:val="none"/>
                <w14:textFill>
                  <w14:solidFill>
                    <w14:schemeClr w14:val="tx1"/>
                  </w14:solidFill>
                </w14:textFill>
              </w:rPr>
            </w:pPr>
          </w:p>
        </w:tc>
        <w:tc>
          <w:tcPr>
            <w:tcW w:w="963" w:type="dxa"/>
            <w:noWrap w:val="0"/>
          </w:tcPr>
          <w:p w14:paraId="69D2EA48">
            <w:pPr>
              <w:jc w:val="center"/>
              <w:rPr>
                <w:rFonts w:ascii="宋体" w:hAnsi="宋体" w:eastAsia="宋体" w:cs="宋体"/>
                <w:color w:val="000000" w:themeColor="text1"/>
                <w:sz w:val="24"/>
                <w:highlight w:val="none"/>
                <w14:textFill>
                  <w14:solidFill>
                    <w14:schemeClr w14:val="tx1"/>
                  </w14:solidFill>
                </w14:textFill>
              </w:rPr>
            </w:pPr>
          </w:p>
        </w:tc>
      </w:tr>
      <w:tr w14:paraId="66F91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737" w:type="dxa"/>
            <w:noWrap w:val="0"/>
          </w:tcPr>
          <w:p w14:paraId="10E45DED">
            <w:pPr>
              <w:jc w:val="center"/>
              <w:rPr>
                <w:rFonts w:ascii="宋体" w:hAnsi="宋体" w:eastAsia="宋体" w:cs="宋体"/>
                <w:color w:val="000000" w:themeColor="text1"/>
                <w:sz w:val="24"/>
                <w:highlight w:val="none"/>
                <w14:textFill>
                  <w14:solidFill>
                    <w14:schemeClr w14:val="tx1"/>
                  </w14:solidFill>
                </w14:textFill>
              </w:rPr>
            </w:pPr>
          </w:p>
        </w:tc>
        <w:tc>
          <w:tcPr>
            <w:tcW w:w="2862" w:type="dxa"/>
            <w:noWrap w:val="0"/>
          </w:tcPr>
          <w:p w14:paraId="1A6ED6D8">
            <w:pPr>
              <w:jc w:val="center"/>
              <w:rPr>
                <w:rFonts w:ascii="宋体" w:hAnsi="宋体" w:eastAsia="宋体" w:cs="宋体"/>
                <w:color w:val="000000" w:themeColor="text1"/>
                <w:sz w:val="24"/>
                <w:highlight w:val="none"/>
                <w14:textFill>
                  <w14:solidFill>
                    <w14:schemeClr w14:val="tx1"/>
                  </w14:solidFill>
                </w14:textFill>
              </w:rPr>
            </w:pPr>
          </w:p>
        </w:tc>
        <w:tc>
          <w:tcPr>
            <w:tcW w:w="2305" w:type="dxa"/>
            <w:noWrap w:val="0"/>
          </w:tcPr>
          <w:p w14:paraId="2A8A51DC">
            <w:pPr>
              <w:jc w:val="center"/>
              <w:rPr>
                <w:rFonts w:ascii="宋体" w:hAnsi="宋体" w:eastAsia="宋体" w:cs="宋体"/>
                <w:color w:val="000000" w:themeColor="text1"/>
                <w:sz w:val="24"/>
                <w:highlight w:val="none"/>
                <w14:textFill>
                  <w14:solidFill>
                    <w14:schemeClr w14:val="tx1"/>
                  </w14:solidFill>
                </w14:textFill>
              </w:rPr>
            </w:pPr>
          </w:p>
        </w:tc>
        <w:tc>
          <w:tcPr>
            <w:tcW w:w="2250" w:type="dxa"/>
            <w:noWrap w:val="0"/>
          </w:tcPr>
          <w:p w14:paraId="3D62DC6C">
            <w:pPr>
              <w:jc w:val="center"/>
              <w:rPr>
                <w:rFonts w:ascii="宋体" w:hAnsi="宋体" w:eastAsia="宋体" w:cs="宋体"/>
                <w:color w:val="000000" w:themeColor="text1"/>
                <w:sz w:val="24"/>
                <w:highlight w:val="none"/>
                <w14:textFill>
                  <w14:solidFill>
                    <w14:schemeClr w14:val="tx1"/>
                  </w14:solidFill>
                </w14:textFill>
              </w:rPr>
            </w:pPr>
          </w:p>
        </w:tc>
        <w:tc>
          <w:tcPr>
            <w:tcW w:w="963" w:type="dxa"/>
            <w:noWrap w:val="0"/>
          </w:tcPr>
          <w:p w14:paraId="781E870D">
            <w:pPr>
              <w:jc w:val="center"/>
              <w:rPr>
                <w:rFonts w:ascii="宋体" w:hAnsi="宋体" w:eastAsia="宋体" w:cs="宋体"/>
                <w:color w:val="000000" w:themeColor="text1"/>
                <w:sz w:val="24"/>
                <w:highlight w:val="none"/>
                <w14:textFill>
                  <w14:solidFill>
                    <w14:schemeClr w14:val="tx1"/>
                  </w14:solidFill>
                </w14:textFill>
              </w:rPr>
            </w:pPr>
          </w:p>
        </w:tc>
      </w:tr>
      <w:tr w14:paraId="3A3F6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737" w:type="dxa"/>
            <w:noWrap w:val="0"/>
          </w:tcPr>
          <w:p w14:paraId="3EBFDBE4">
            <w:pPr>
              <w:jc w:val="center"/>
              <w:rPr>
                <w:rFonts w:ascii="宋体" w:hAnsi="宋体" w:eastAsia="宋体" w:cs="宋体"/>
                <w:color w:val="000000" w:themeColor="text1"/>
                <w:sz w:val="24"/>
                <w:highlight w:val="none"/>
                <w14:textFill>
                  <w14:solidFill>
                    <w14:schemeClr w14:val="tx1"/>
                  </w14:solidFill>
                </w14:textFill>
              </w:rPr>
            </w:pPr>
          </w:p>
        </w:tc>
        <w:tc>
          <w:tcPr>
            <w:tcW w:w="2862" w:type="dxa"/>
            <w:noWrap w:val="0"/>
          </w:tcPr>
          <w:p w14:paraId="41460091">
            <w:pPr>
              <w:jc w:val="center"/>
              <w:rPr>
                <w:rFonts w:ascii="宋体" w:hAnsi="宋体" w:eastAsia="宋体" w:cs="宋体"/>
                <w:color w:val="000000" w:themeColor="text1"/>
                <w:sz w:val="24"/>
                <w:highlight w:val="none"/>
                <w14:textFill>
                  <w14:solidFill>
                    <w14:schemeClr w14:val="tx1"/>
                  </w14:solidFill>
                </w14:textFill>
              </w:rPr>
            </w:pPr>
          </w:p>
        </w:tc>
        <w:tc>
          <w:tcPr>
            <w:tcW w:w="2305" w:type="dxa"/>
            <w:noWrap w:val="0"/>
          </w:tcPr>
          <w:p w14:paraId="33743BAF">
            <w:pPr>
              <w:jc w:val="center"/>
              <w:rPr>
                <w:rFonts w:ascii="宋体" w:hAnsi="宋体" w:eastAsia="宋体" w:cs="宋体"/>
                <w:color w:val="000000" w:themeColor="text1"/>
                <w:sz w:val="24"/>
                <w:highlight w:val="none"/>
                <w14:textFill>
                  <w14:solidFill>
                    <w14:schemeClr w14:val="tx1"/>
                  </w14:solidFill>
                </w14:textFill>
              </w:rPr>
            </w:pPr>
          </w:p>
        </w:tc>
        <w:tc>
          <w:tcPr>
            <w:tcW w:w="2250" w:type="dxa"/>
            <w:noWrap w:val="0"/>
          </w:tcPr>
          <w:p w14:paraId="50E6FA18">
            <w:pPr>
              <w:jc w:val="center"/>
              <w:rPr>
                <w:rFonts w:ascii="宋体" w:hAnsi="宋体" w:eastAsia="宋体" w:cs="宋体"/>
                <w:color w:val="000000" w:themeColor="text1"/>
                <w:sz w:val="24"/>
                <w:highlight w:val="none"/>
                <w14:textFill>
                  <w14:solidFill>
                    <w14:schemeClr w14:val="tx1"/>
                  </w14:solidFill>
                </w14:textFill>
              </w:rPr>
            </w:pPr>
          </w:p>
        </w:tc>
        <w:tc>
          <w:tcPr>
            <w:tcW w:w="963" w:type="dxa"/>
            <w:noWrap w:val="0"/>
          </w:tcPr>
          <w:p w14:paraId="23842123">
            <w:pPr>
              <w:jc w:val="center"/>
              <w:rPr>
                <w:rFonts w:ascii="宋体" w:hAnsi="宋体" w:eastAsia="宋体" w:cs="宋体"/>
                <w:color w:val="000000" w:themeColor="text1"/>
                <w:sz w:val="24"/>
                <w:highlight w:val="none"/>
                <w14:textFill>
                  <w14:solidFill>
                    <w14:schemeClr w14:val="tx1"/>
                  </w14:solidFill>
                </w14:textFill>
              </w:rPr>
            </w:pPr>
          </w:p>
        </w:tc>
      </w:tr>
      <w:tr w14:paraId="41905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737" w:type="dxa"/>
            <w:noWrap w:val="0"/>
          </w:tcPr>
          <w:p w14:paraId="033D9702">
            <w:pPr>
              <w:jc w:val="center"/>
              <w:rPr>
                <w:rFonts w:ascii="宋体" w:hAnsi="宋体" w:eastAsia="宋体" w:cs="宋体"/>
                <w:color w:val="000000" w:themeColor="text1"/>
                <w:sz w:val="24"/>
                <w:highlight w:val="none"/>
                <w14:textFill>
                  <w14:solidFill>
                    <w14:schemeClr w14:val="tx1"/>
                  </w14:solidFill>
                </w14:textFill>
              </w:rPr>
            </w:pPr>
          </w:p>
        </w:tc>
        <w:tc>
          <w:tcPr>
            <w:tcW w:w="2862" w:type="dxa"/>
            <w:noWrap w:val="0"/>
          </w:tcPr>
          <w:p w14:paraId="690D88FC">
            <w:pPr>
              <w:jc w:val="center"/>
              <w:rPr>
                <w:rFonts w:ascii="宋体" w:hAnsi="宋体" w:eastAsia="宋体" w:cs="宋体"/>
                <w:color w:val="000000" w:themeColor="text1"/>
                <w:sz w:val="24"/>
                <w:highlight w:val="none"/>
                <w14:textFill>
                  <w14:solidFill>
                    <w14:schemeClr w14:val="tx1"/>
                  </w14:solidFill>
                </w14:textFill>
              </w:rPr>
            </w:pPr>
          </w:p>
        </w:tc>
        <w:tc>
          <w:tcPr>
            <w:tcW w:w="2305" w:type="dxa"/>
            <w:noWrap w:val="0"/>
          </w:tcPr>
          <w:p w14:paraId="00C1D158">
            <w:pPr>
              <w:jc w:val="center"/>
              <w:rPr>
                <w:rFonts w:ascii="宋体" w:hAnsi="宋体" w:eastAsia="宋体" w:cs="宋体"/>
                <w:color w:val="000000" w:themeColor="text1"/>
                <w:sz w:val="24"/>
                <w:highlight w:val="none"/>
                <w14:textFill>
                  <w14:solidFill>
                    <w14:schemeClr w14:val="tx1"/>
                  </w14:solidFill>
                </w14:textFill>
              </w:rPr>
            </w:pPr>
          </w:p>
        </w:tc>
        <w:tc>
          <w:tcPr>
            <w:tcW w:w="2250" w:type="dxa"/>
            <w:noWrap w:val="0"/>
          </w:tcPr>
          <w:p w14:paraId="49D0F64B">
            <w:pPr>
              <w:jc w:val="center"/>
              <w:rPr>
                <w:rFonts w:ascii="宋体" w:hAnsi="宋体" w:eastAsia="宋体" w:cs="宋体"/>
                <w:color w:val="000000" w:themeColor="text1"/>
                <w:sz w:val="24"/>
                <w:highlight w:val="none"/>
                <w14:textFill>
                  <w14:solidFill>
                    <w14:schemeClr w14:val="tx1"/>
                  </w14:solidFill>
                </w14:textFill>
              </w:rPr>
            </w:pPr>
          </w:p>
        </w:tc>
        <w:tc>
          <w:tcPr>
            <w:tcW w:w="963" w:type="dxa"/>
            <w:noWrap w:val="0"/>
          </w:tcPr>
          <w:p w14:paraId="1401FB45">
            <w:pPr>
              <w:jc w:val="center"/>
              <w:rPr>
                <w:rFonts w:ascii="宋体" w:hAnsi="宋体" w:eastAsia="宋体" w:cs="宋体"/>
                <w:color w:val="000000" w:themeColor="text1"/>
                <w:sz w:val="24"/>
                <w:highlight w:val="none"/>
                <w14:textFill>
                  <w14:solidFill>
                    <w14:schemeClr w14:val="tx1"/>
                  </w14:solidFill>
                </w14:textFill>
              </w:rPr>
            </w:pPr>
          </w:p>
        </w:tc>
      </w:tr>
      <w:tr w14:paraId="68521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737" w:type="dxa"/>
            <w:noWrap w:val="0"/>
          </w:tcPr>
          <w:p w14:paraId="257DCEA0">
            <w:pPr>
              <w:jc w:val="center"/>
              <w:rPr>
                <w:rFonts w:ascii="宋体" w:hAnsi="宋体" w:eastAsia="宋体" w:cs="宋体"/>
                <w:color w:val="000000" w:themeColor="text1"/>
                <w:sz w:val="24"/>
                <w:highlight w:val="none"/>
                <w14:textFill>
                  <w14:solidFill>
                    <w14:schemeClr w14:val="tx1"/>
                  </w14:solidFill>
                </w14:textFill>
              </w:rPr>
            </w:pPr>
          </w:p>
        </w:tc>
        <w:tc>
          <w:tcPr>
            <w:tcW w:w="2862" w:type="dxa"/>
            <w:noWrap w:val="0"/>
          </w:tcPr>
          <w:p w14:paraId="77B0B67B">
            <w:pPr>
              <w:jc w:val="center"/>
              <w:rPr>
                <w:rFonts w:ascii="宋体" w:hAnsi="宋体" w:eastAsia="宋体" w:cs="宋体"/>
                <w:color w:val="000000" w:themeColor="text1"/>
                <w:sz w:val="24"/>
                <w:highlight w:val="none"/>
                <w14:textFill>
                  <w14:solidFill>
                    <w14:schemeClr w14:val="tx1"/>
                  </w14:solidFill>
                </w14:textFill>
              </w:rPr>
            </w:pPr>
          </w:p>
        </w:tc>
        <w:tc>
          <w:tcPr>
            <w:tcW w:w="2305" w:type="dxa"/>
            <w:noWrap w:val="0"/>
          </w:tcPr>
          <w:p w14:paraId="2CB9BC6C">
            <w:pPr>
              <w:jc w:val="center"/>
              <w:rPr>
                <w:rFonts w:ascii="宋体" w:hAnsi="宋体" w:eastAsia="宋体" w:cs="宋体"/>
                <w:color w:val="000000" w:themeColor="text1"/>
                <w:sz w:val="24"/>
                <w:highlight w:val="none"/>
                <w14:textFill>
                  <w14:solidFill>
                    <w14:schemeClr w14:val="tx1"/>
                  </w14:solidFill>
                </w14:textFill>
              </w:rPr>
            </w:pPr>
          </w:p>
        </w:tc>
        <w:tc>
          <w:tcPr>
            <w:tcW w:w="2250" w:type="dxa"/>
            <w:noWrap w:val="0"/>
          </w:tcPr>
          <w:p w14:paraId="45BEE87E">
            <w:pPr>
              <w:jc w:val="center"/>
              <w:rPr>
                <w:rFonts w:ascii="宋体" w:hAnsi="宋体" w:eastAsia="宋体" w:cs="宋体"/>
                <w:color w:val="000000" w:themeColor="text1"/>
                <w:sz w:val="24"/>
                <w:highlight w:val="none"/>
                <w14:textFill>
                  <w14:solidFill>
                    <w14:schemeClr w14:val="tx1"/>
                  </w14:solidFill>
                </w14:textFill>
              </w:rPr>
            </w:pPr>
          </w:p>
        </w:tc>
        <w:tc>
          <w:tcPr>
            <w:tcW w:w="963" w:type="dxa"/>
            <w:noWrap w:val="0"/>
          </w:tcPr>
          <w:p w14:paraId="3A0B96EF">
            <w:pPr>
              <w:jc w:val="center"/>
              <w:rPr>
                <w:rFonts w:ascii="宋体" w:hAnsi="宋体" w:eastAsia="宋体" w:cs="宋体"/>
                <w:color w:val="000000" w:themeColor="text1"/>
                <w:sz w:val="24"/>
                <w:highlight w:val="none"/>
                <w14:textFill>
                  <w14:solidFill>
                    <w14:schemeClr w14:val="tx1"/>
                  </w14:solidFill>
                </w14:textFill>
              </w:rPr>
            </w:pPr>
          </w:p>
        </w:tc>
      </w:tr>
      <w:tr w14:paraId="21A22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1" w:hRule="atLeast"/>
        </w:trPr>
        <w:tc>
          <w:tcPr>
            <w:tcW w:w="737" w:type="dxa"/>
            <w:noWrap w:val="0"/>
          </w:tcPr>
          <w:p w14:paraId="6D7AF3D6">
            <w:pPr>
              <w:jc w:val="center"/>
              <w:rPr>
                <w:rFonts w:ascii="宋体" w:hAnsi="宋体" w:eastAsia="宋体" w:cs="宋体"/>
                <w:color w:val="000000" w:themeColor="text1"/>
                <w:sz w:val="24"/>
                <w:highlight w:val="none"/>
                <w14:textFill>
                  <w14:solidFill>
                    <w14:schemeClr w14:val="tx1"/>
                  </w14:solidFill>
                </w14:textFill>
              </w:rPr>
            </w:pPr>
          </w:p>
        </w:tc>
        <w:tc>
          <w:tcPr>
            <w:tcW w:w="2862" w:type="dxa"/>
            <w:noWrap w:val="0"/>
          </w:tcPr>
          <w:p w14:paraId="4D84C041">
            <w:pPr>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p>
        </w:tc>
        <w:tc>
          <w:tcPr>
            <w:tcW w:w="2305" w:type="dxa"/>
            <w:noWrap w:val="0"/>
          </w:tcPr>
          <w:p w14:paraId="7C25883E">
            <w:pPr>
              <w:jc w:val="center"/>
              <w:rPr>
                <w:rFonts w:ascii="宋体" w:hAnsi="宋体" w:eastAsia="宋体" w:cs="宋体"/>
                <w:color w:val="000000" w:themeColor="text1"/>
                <w:sz w:val="24"/>
                <w:highlight w:val="none"/>
                <w14:textFill>
                  <w14:solidFill>
                    <w14:schemeClr w14:val="tx1"/>
                  </w14:solidFill>
                </w14:textFill>
              </w:rPr>
            </w:pPr>
          </w:p>
        </w:tc>
        <w:tc>
          <w:tcPr>
            <w:tcW w:w="2250" w:type="dxa"/>
            <w:noWrap w:val="0"/>
          </w:tcPr>
          <w:p w14:paraId="512B5E76">
            <w:pPr>
              <w:jc w:val="center"/>
              <w:rPr>
                <w:rFonts w:ascii="宋体" w:hAnsi="宋体" w:eastAsia="宋体" w:cs="宋体"/>
                <w:color w:val="000000" w:themeColor="text1"/>
                <w:sz w:val="24"/>
                <w:highlight w:val="none"/>
                <w14:textFill>
                  <w14:solidFill>
                    <w14:schemeClr w14:val="tx1"/>
                  </w14:solidFill>
                </w14:textFill>
              </w:rPr>
            </w:pPr>
          </w:p>
        </w:tc>
        <w:tc>
          <w:tcPr>
            <w:tcW w:w="963" w:type="dxa"/>
            <w:noWrap w:val="0"/>
          </w:tcPr>
          <w:p w14:paraId="06236744">
            <w:pPr>
              <w:jc w:val="center"/>
              <w:rPr>
                <w:rFonts w:ascii="宋体" w:hAnsi="宋体" w:eastAsia="宋体" w:cs="宋体"/>
                <w:color w:val="000000" w:themeColor="text1"/>
                <w:sz w:val="24"/>
                <w:highlight w:val="none"/>
                <w14:textFill>
                  <w14:solidFill>
                    <w14:schemeClr w14:val="tx1"/>
                  </w14:solidFill>
                </w14:textFill>
              </w:rPr>
            </w:pPr>
          </w:p>
        </w:tc>
      </w:tr>
    </w:tbl>
    <w:p w14:paraId="0914B523">
      <w:pPr>
        <w:spacing w:line="360" w:lineRule="auto"/>
        <w:ind w:firstLine="480"/>
        <w:jc w:val="left"/>
        <w:rPr>
          <w:rFonts w:ascii="宋体" w:hAnsi="宋体" w:eastAsia="宋体" w:cs="宋体"/>
          <w:bCs/>
          <w:color w:val="000000" w:themeColor="text1"/>
          <w:sz w:val="24"/>
          <w:szCs w:val="16"/>
          <w:highlight w:val="none"/>
          <w14:textFill>
            <w14:solidFill>
              <w14:schemeClr w14:val="tx1"/>
            </w14:solidFill>
          </w14:textFill>
        </w:rPr>
      </w:pPr>
      <w:r>
        <w:rPr>
          <w:rFonts w:hint="eastAsia" w:ascii="宋体" w:hAnsi="宋体" w:eastAsia="宋体" w:cs="宋体"/>
          <w:bCs/>
          <w:color w:val="000000" w:themeColor="text1"/>
          <w:sz w:val="24"/>
          <w:szCs w:val="16"/>
          <w:highlight w:val="none"/>
          <w14:textFill>
            <w14:solidFill>
              <w14:schemeClr w14:val="tx1"/>
            </w14:solidFill>
          </w14:textFill>
        </w:rPr>
        <w:t>备注：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p>
    <w:p w14:paraId="6822A705">
      <w:pPr>
        <w:numPr>
          <w:ilvl w:val="0"/>
          <w:numId w:val="6"/>
        </w:numPr>
        <w:spacing w:line="360" w:lineRule="auto"/>
        <w:ind w:firstLine="480"/>
        <w:jc w:val="left"/>
        <w:rPr>
          <w:rFonts w:hint="eastAsia" w:ascii="宋体" w:hAnsi="宋体" w:eastAsia="宋体" w:cs="宋体"/>
          <w:b w:val="0"/>
          <w:bCs/>
          <w:color w:val="000000" w:themeColor="text1"/>
          <w:sz w:val="24"/>
          <w:szCs w:val="16"/>
          <w:highlight w:val="none"/>
          <w14:textFill>
            <w14:solidFill>
              <w14:schemeClr w14:val="tx1"/>
            </w14:solidFill>
          </w14:textFill>
        </w:rPr>
      </w:pPr>
      <w:r>
        <w:rPr>
          <w:rFonts w:hint="eastAsia" w:ascii="宋体" w:hAnsi="宋体" w:eastAsia="宋体" w:cs="宋体"/>
          <w:bCs/>
          <w:color w:val="000000" w:themeColor="text1"/>
          <w:sz w:val="24"/>
          <w:szCs w:val="16"/>
          <w:highlight w:val="none"/>
          <w14:textFill>
            <w14:solidFill>
              <w14:schemeClr w14:val="tx1"/>
            </w14:solidFill>
          </w14:textFill>
        </w:rPr>
        <w:t>对采购需求的其它非实质性要求，投标人按所投产品情况在此表中详细列出偏离情况（包括正偏离、负偏离、无偏离）并说明理由；</w:t>
      </w:r>
      <w:r>
        <w:rPr>
          <w:rFonts w:hint="eastAsia" w:ascii="宋体" w:hAnsi="宋体" w:eastAsia="宋体" w:cs="宋体"/>
          <w:b w:val="0"/>
          <w:bCs/>
          <w:color w:val="000000" w:themeColor="text1"/>
          <w:sz w:val="24"/>
          <w:szCs w:val="16"/>
          <w:highlight w:val="none"/>
          <w14:textFill>
            <w14:solidFill>
              <w14:schemeClr w14:val="tx1"/>
            </w14:solidFill>
          </w14:textFill>
        </w:rPr>
        <w:t>未列明的均视为未响应招标文件要求。</w:t>
      </w:r>
    </w:p>
    <w:p w14:paraId="7445ACF2">
      <w:pPr>
        <w:spacing w:line="360" w:lineRule="auto"/>
        <w:ind w:firstLine="480"/>
        <w:jc w:val="left"/>
        <w:rPr>
          <w:rFonts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Cs/>
          <w:color w:val="000000" w:themeColor="text1"/>
          <w:sz w:val="24"/>
          <w:szCs w:val="16"/>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16"/>
          <w:highlight w:val="none"/>
          <w14:textFill>
            <w14:solidFill>
              <w14:schemeClr w14:val="tx1"/>
            </w14:solidFill>
          </w14:textFill>
        </w:rPr>
        <w:t>为便于评审，投标人须针对本项目</w:t>
      </w:r>
      <w:r>
        <w:rPr>
          <w:rFonts w:hint="eastAsia" w:ascii="宋体" w:hAnsi="宋体" w:eastAsia="宋体" w:cs="宋体"/>
          <w:bCs/>
          <w:color w:val="000000" w:themeColor="text1"/>
          <w:sz w:val="24"/>
          <w:szCs w:val="16"/>
          <w:highlight w:val="none"/>
          <w:lang w:eastAsia="zh-CN"/>
          <w14:textFill>
            <w14:solidFill>
              <w14:schemeClr w14:val="tx1"/>
            </w14:solidFill>
          </w14:textFill>
        </w:rPr>
        <w:t>采购需求</w:t>
      </w:r>
      <w:r>
        <w:rPr>
          <w:rFonts w:hint="eastAsia" w:ascii="宋体" w:hAnsi="宋体" w:eastAsia="宋体" w:cs="宋体"/>
          <w:bCs/>
          <w:color w:val="000000" w:themeColor="text1"/>
          <w:sz w:val="24"/>
          <w:szCs w:val="16"/>
          <w:highlight w:val="none"/>
          <w14:textFill>
            <w14:solidFill>
              <w14:schemeClr w14:val="tx1"/>
            </w14:solidFill>
          </w14:textFill>
        </w:rPr>
        <w:t>中的</w:t>
      </w:r>
      <w:r>
        <w:rPr>
          <w:rFonts w:hint="eastAsia" w:ascii="宋体" w:hAnsi="宋体" w:eastAsia="宋体" w:cs="宋体"/>
          <w:bCs/>
          <w:color w:val="000000" w:themeColor="text1"/>
          <w:sz w:val="24"/>
          <w:szCs w:val="16"/>
          <w:highlight w:val="none"/>
          <w:lang w:eastAsia="zh-CN"/>
          <w14:textFill>
            <w14:solidFill>
              <w14:schemeClr w14:val="tx1"/>
            </w14:solidFill>
          </w14:textFill>
        </w:rPr>
        <w:t>技术</w:t>
      </w:r>
      <w:r>
        <w:rPr>
          <w:rFonts w:hint="eastAsia" w:ascii="宋体" w:hAnsi="宋体" w:eastAsia="宋体" w:cs="宋体"/>
          <w:bCs/>
          <w:color w:val="000000" w:themeColor="text1"/>
          <w:sz w:val="24"/>
          <w:szCs w:val="16"/>
          <w:highlight w:val="none"/>
          <w14:textFill>
            <w14:solidFill>
              <w14:schemeClr w14:val="tx1"/>
            </w14:solidFill>
          </w14:textFill>
        </w:rPr>
        <w:t>条款，编制《技术响应偏离表》。索引中需明确标注每项技术指标的响应页码，并对非实质性偏离项进行逐条说明。未提供索引或内容无法查证者，可能导致该项评审不得分。</w:t>
      </w:r>
    </w:p>
    <w:p w14:paraId="78D14393">
      <w:pPr>
        <w:rPr>
          <w:rFonts w:ascii="宋体" w:hAnsi="宋体" w:eastAsia="宋体" w:cs="宋体"/>
          <w:b/>
          <w:color w:val="000000" w:themeColor="text1"/>
          <w:sz w:val="32"/>
          <w:highlight w:val="none"/>
          <w14:textFill>
            <w14:solidFill>
              <w14:schemeClr w14:val="tx1"/>
            </w14:solidFill>
          </w14:textFill>
        </w:rPr>
      </w:pPr>
    </w:p>
    <w:p w14:paraId="591A2693">
      <w:pPr>
        <w:rPr>
          <w:rFonts w:ascii="宋体" w:hAnsi="宋体" w:eastAsia="宋体" w:cs="宋体"/>
          <w:b/>
          <w:color w:val="000000" w:themeColor="text1"/>
          <w:sz w:val="32"/>
          <w:highlight w:val="none"/>
          <w14:textFill>
            <w14:solidFill>
              <w14:schemeClr w14:val="tx1"/>
            </w14:solidFill>
          </w14:textFill>
        </w:rPr>
      </w:pPr>
    </w:p>
    <w:p w14:paraId="253012B7">
      <w:pPr>
        <w:rPr>
          <w:rFonts w:ascii="宋体" w:hAnsi="宋体" w:eastAsia="宋体" w:cs="宋体"/>
          <w:b/>
          <w:color w:val="000000" w:themeColor="text1"/>
          <w:sz w:val="32"/>
          <w:highlight w:val="none"/>
          <w14:textFill>
            <w14:solidFill>
              <w14:schemeClr w14:val="tx1"/>
            </w14:solidFill>
          </w14:textFill>
        </w:rPr>
      </w:pPr>
    </w:p>
    <w:p w14:paraId="776432EC">
      <w:pPr>
        <w:rPr>
          <w:rFonts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br w:type="page" w:clear="all"/>
      </w:r>
    </w:p>
    <w:p w14:paraId="592C25A9">
      <w:pPr>
        <w:outlineLvl w:val="1"/>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lang w:eastAsia="zh-CN"/>
          <w14:textFill>
            <w14:solidFill>
              <w14:schemeClr w14:val="tx1"/>
            </w14:solidFill>
          </w14:textFill>
        </w:rPr>
        <w:t>七</w:t>
      </w:r>
      <w:r>
        <w:rPr>
          <w:rFonts w:hint="eastAsia" w:ascii="宋体" w:hAnsi="宋体" w:eastAsia="宋体" w:cs="宋体"/>
          <w:b/>
          <w:color w:val="000000" w:themeColor="text1"/>
          <w:sz w:val="32"/>
          <w:szCs w:val="32"/>
          <w:highlight w:val="none"/>
          <w14:textFill>
            <w14:solidFill>
              <w14:schemeClr w14:val="tx1"/>
            </w14:solidFill>
          </w14:textFill>
        </w:rPr>
        <w:t>、项目组人员</w:t>
      </w:r>
    </w:p>
    <w:p w14:paraId="30864809">
      <w:pPr>
        <w:widowControl/>
        <w:spacing w:before="100" w:beforeAutospacing="1" w:after="100" w:afterAutospacing="1" w:line="600" w:lineRule="exact"/>
        <w:jc w:val="center"/>
        <w:rPr>
          <w:rFonts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bidi="ar"/>
          <w14:textFill>
            <w14:solidFill>
              <w14:schemeClr w14:val="tx1"/>
            </w14:solidFill>
          </w14:textFill>
        </w:rPr>
        <w:t>项目组成员</w:t>
      </w:r>
    </w:p>
    <w:tbl>
      <w:tblPr>
        <w:tblStyle w:val="33"/>
        <w:tblpPr w:leftFromText="180" w:rightFromText="180" w:vertAnchor="text" w:horzAnchor="margin" w:tblpXSpec="center"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47ABC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50A818C">
            <w:pPr>
              <w:widowControl/>
              <w:spacing w:beforeAutospacing="1" w:line="56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姓名</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145A743">
            <w:pPr>
              <w:widowControl/>
              <w:spacing w:beforeAutospacing="1" w:line="56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职务</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387B647">
            <w:pPr>
              <w:widowControl/>
              <w:spacing w:beforeAutospacing="1" w:line="56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学历</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A5DADAF">
            <w:pPr>
              <w:widowControl/>
              <w:spacing w:beforeAutospacing="1" w:line="560" w:lineRule="exact"/>
              <w:ind w:firstLine="280"/>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身份证号</w:t>
            </w:r>
          </w:p>
        </w:tc>
        <w:tc>
          <w:tcPr>
            <w:tcW w:w="1702" w:type="dxa"/>
            <w:tcBorders>
              <w:top w:val="single" w:color="auto" w:sz="4" w:space="0"/>
              <w:left w:val="single" w:color="auto" w:sz="4" w:space="0"/>
              <w:bottom w:val="single" w:color="auto" w:sz="4" w:space="0"/>
              <w:right w:val="single" w:color="auto" w:sz="4" w:space="0"/>
            </w:tcBorders>
            <w:noWrap w:val="0"/>
            <w:vAlign w:val="center"/>
          </w:tcPr>
          <w:p w14:paraId="472DF2C2">
            <w:pPr>
              <w:widowControl/>
              <w:spacing w:beforeAutospacing="1" w:line="560" w:lineRule="exact"/>
              <w:jc w:val="center"/>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相关证书</w:t>
            </w:r>
          </w:p>
        </w:tc>
        <w:tc>
          <w:tcPr>
            <w:tcW w:w="962" w:type="dxa"/>
            <w:tcBorders>
              <w:top w:val="single" w:color="auto" w:sz="4" w:space="0"/>
              <w:left w:val="single" w:color="auto" w:sz="4" w:space="0"/>
              <w:bottom w:val="single" w:color="auto" w:sz="4" w:space="0"/>
              <w:right w:val="single" w:color="auto" w:sz="4" w:space="0"/>
            </w:tcBorders>
            <w:noWrap w:val="0"/>
            <w:vAlign w:val="center"/>
          </w:tcPr>
          <w:p w14:paraId="4110E153">
            <w:pPr>
              <w:widowControl/>
              <w:spacing w:beforeAutospacing="1" w:line="560" w:lineRule="exact"/>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备注</w:t>
            </w:r>
          </w:p>
        </w:tc>
      </w:tr>
      <w:tr w14:paraId="72260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5700E374">
            <w:pPr>
              <w:widowControl/>
              <w:spacing w:line="560" w:lineRule="exact"/>
              <w:ind w:firstLine="560"/>
              <w:jc w:val="center"/>
              <w:rPr>
                <w:rFonts w:ascii="宋体" w:hAnsi="宋体" w:eastAsia="宋体" w:cs="宋体"/>
                <w:color w:val="000000" w:themeColor="text1"/>
                <w:sz w:val="24"/>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528027FF">
            <w:pPr>
              <w:widowControl/>
              <w:spacing w:before="100" w:beforeAutospacing="1" w:after="100" w:afterAutospacing="1"/>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项目负责人</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8E81D5E">
            <w:pPr>
              <w:widowControl/>
              <w:spacing w:line="560" w:lineRule="exact"/>
              <w:ind w:firstLine="560"/>
              <w:jc w:val="center"/>
              <w:rPr>
                <w:rFonts w:ascii="宋体" w:hAnsi="宋体" w:eastAsia="宋体" w:cs="宋体"/>
                <w:color w:val="000000" w:themeColor="text1"/>
                <w:sz w:val="24"/>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FD9BF37">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7A394A37">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551E0BDB">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r>
      <w:tr w14:paraId="1C8C6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630C84D">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4ADF4180">
            <w:pPr>
              <w:widowControl/>
              <w:spacing w:before="100" w:beforeAutospacing="1" w:after="100" w:afterAutospacing="1"/>
              <w:jc w:val="center"/>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bidi="ar"/>
                <w14:textFill>
                  <w14:solidFill>
                    <w14:schemeClr w14:val="tx1"/>
                  </w14:solidFill>
                </w14:textFill>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65A6BB01">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5056EAC">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089C522A">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15FBAF53">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r>
      <w:tr w14:paraId="28E1E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4C7FB6B7">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62A5619">
            <w:pPr>
              <w:widowControl/>
              <w:spacing w:before="100" w:beforeAutospacing="1" w:after="100" w:afterAutospacing="1"/>
              <w:ind w:firstLine="280"/>
              <w:jc w:val="left"/>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bidi="ar"/>
                <w14:textFill>
                  <w14:solidFill>
                    <w14:schemeClr w14:val="tx1"/>
                  </w14:solidFill>
                </w14:textFill>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1A46D2C">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3805AB1">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1162F876">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64FD7926">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r>
      <w:tr w14:paraId="646DA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D75A96F">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1D9BD827">
            <w:pPr>
              <w:widowControl/>
              <w:spacing w:before="100" w:beforeAutospacing="1" w:after="100" w:afterAutospacing="1"/>
              <w:jc w:val="left"/>
              <w:rPr>
                <w:rFonts w:ascii="宋体" w:hAnsi="宋体" w:eastAsia="宋体" w:cs="宋体"/>
                <w:color w:val="000000" w:themeColor="text1"/>
                <w:sz w:val="28"/>
                <w:szCs w:val="28"/>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C528D05">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669C108">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402D0FA1">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27C04C8B">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r>
      <w:tr w14:paraId="14824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84CFCA7">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6E1A561">
            <w:pPr>
              <w:widowControl/>
              <w:spacing w:before="100" w:beforeAutospacing="1" w:after="100" w:afterAutospacing="1"/>
              <w:jc w:val="left"/>
              <w:rPr>
                <w:rFonts w:ascii="宋体" w:hAnsi="宋体" w:eastAsia="宋体" w:cs="宋体"/>
                <w:color w:val="000000" w:themeColor="text1"/>
                <w:sz w:val="28"/>
                <w:szCs w:val="28"/>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7858E0D5">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3BBC52E">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6D9FDA44">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1301150F">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r>
      <w:tr w14:paraId="325B9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CA2BF2D">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678610A2">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EAD25E8">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8536872">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2ACB5486">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6BCE3F4C">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r>
      <w:tr w14:paraId="0EDB8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069D843">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1DFF4F55">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2FA9D60">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D1636C6">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658C781F">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6F64B843">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r>
      <w:tr w14:paraId="4253F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51AB0AA9">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4C8680AB">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6EC1C01">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EC5EAF2">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0AE0999B">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2357D390">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r>
      <w:tr w14:paraId="288B6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34B2205">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7ED6DCAF">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1504F3D">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B16EB87">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48349B3C">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7229F91C">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r>
      <w:tr w14:paraId="6C706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37F21703">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EF44352">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9D51D51">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F888212">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5071C559">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1C23A118">
            <w:pPr>
              <w:widowControl/>
              <w:spacing w:line="560" w:lineRule="exact"/>
              <w:ind w:firstLine="560"/>
              <w:jc w:val="center"/>
              <w:rPr>
                <w:rFonts w:ascii="宋体" w:hAnsi="宋体" w:eastAsia="宋体" w:cs="宋体"/>
                <w:color w:val="000000" w:themeColor="text1"/>
                <w:sz w:val="28"/>
                <w:szCs w:val="28"/>
                <w:highlight w:val="none"/>
                <w14:textFill>
                  <w14:solidFill>
                    <w14:schemeClr w14:val="tx1"/>
                  </w14:solidFill>
                </w14:textFill>
              </w:rPr>
            </w:pPr>
          </w:p>
        </w:tc>
      </w:tr>
    </w:tbl>
    <w:p w14:paraId="08986746">
      <w:pPr>
        <w:widowControl/>
        <w:spacing w:before="100" w:beforeAutospacing="1" w:after="100" w:afterAutospacing="1" w:line="460" w:lineRule="exact"/>
        <w:ind w:firstLine="398"/>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bidi="ar"/>
          <w14:textFill>
            <w14:solidFill>
              <w14:schemeClr w14:val="tx1"/>
            </w14:solidFill>
          </w14:textFill>
        </w:rPr>
        <w:t>注：如投标人中标，项目组成员必须按本表承诺人员操作，不得随意更换。按招标文件要求附相关人员证书。</w:t>
      </w:r>
    </w:p>
    <w:p w14:paraId="23AAB0B8">
      <w:pPr>
        <w:widowControl/>
        <w:spacing w:before="100" w:beforeAutospacing="1" w:after="100" w:afterAutospacing="1" w:line="500" w:lineRule="exact"/>
        <w:ind w:firstLine="280"/>
        <w:jc w:val="left"/>
        <w:rPr>
          <w:rFonts w:ascii="宋体" w:hAnsi="宋体" w:eastAsia="宋体" w:cs="宋体"/>
          <w:color w:val="000000" w:themeColor="text1"/>
          <w:sz w:val="24"/>
          <w:highlight w:val="none"/>
          <w14:textFill>
            <w14:solidFill>
              <w14:schemeClr w14:val="tx1"/>
            </w14:solidFill>
          </w14:textFill>
        </w:rPr>
      </w:pPr>
    </w:p>
    <w:p w14:paraId="121ABED6">
      <w:pPr>
        <w:outlineLvl w:val="1"/>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bookmarkStart w:id="172" w:name="_Toc11176"/>
      <w:r>
        <w:rPr>
          <w:rFonts w:hint="eastAsia" w:ascii="宋体" w:hAnsi="宋体" w:eastAsia="宋体" w:cs="宋体"/>
          <w:b/>
          <w:color w:val="000000" w:themeColor="text1"/>
          <w:sz w:val="32"/>
          <w:szCs w:val="32"/>
          <w:highlight w:val="none"/>
          <w:lang w:eastAsia="zh-CN"/>
          <w14:textFill>
            <w14:solidFill>
              <w14:schemeClr w14:val="tx1"/>
            </w14:solidFill>
          </w14:textFill>
        </w:rPr>
        <w:t>八</w:t>
      </w:r>
      <w:r>
        <w:rPr>
          <w:rFonts w:hint="eastAsia" w:ascii="宋体" w:hAnsi="宋体" w:eastAsia="宋体" w:cs="宋体"/>
          <w:b/>
          <w:color w:val="000000" w:themeColor="text1"/>
          <w:sz w:val="32"/>
          <w:szCs w:val="32"/>
          <w:highlight w:val="none"/>
          <w14:textFill>
            <w14:solidFill>
              <w14:schemeClr w14:val="tx1"/>
            </w14:solidFill>
          </w14:textFill>
        </w:rPr>
        <w:t>、</w:t>
      </w:r>
      <w:bookmarkEnd w:id="172"/>
      <w:r>
        <w:rPr>
          <w:rFonts w:hint="eastAsia" w:ascii="宋体" w:hAnsi="宋体" w:eastAsia="宋体" w:cs="宋体"/>
          <w:b/>
          <w:color w:val="000000" w:themeColor="text1"/>
          <w:sz w:val="32"/>
          <w:szCs w:val="32"/>
          <w:highlight w:val="none"/>
          <w14:textFill>
            <w14:solidFill>
              <w14:schemeClr w14:val="tx1"/>
            </w14:solidFill>
          </w14:textFill>
        </w:rPr>
        <w:t>企业业绩</w:t>
      </w:r>
    </w:p>
    <w:p w14:paraId="0C08D60E">
      <w:pPr>
        <w:jc w:val="center"/>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投标人承担类似项目业绩一览表</w:t>
      </w:r>
    </w:p>
    <w:tbl>
      <w:tblPr>
        <w:tblStyle w:val="33"/>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3827"/>
        <w:gridCol w:w="2433"/>
        <w:gridCol w:w="1395"/>
      </w:tblGrid>
      <w:tr w14:paraId="511D4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229" w:type="dxa"/>
            <w:noWrap w:val="0"/>
          </w:tcPr>
          <w:p w14:paraId="3485DB59">
            <w:pPr>
              <w:spacing w:line="56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序号</w:t>
            </w:r>
          </w:p>
        </w:tc>
        <w:tc>
          <w:tcPr>
            <w:tcW w:w="3827" w:type="dxa"/>
            <w:noWrap w:val="0"/>
            <w:vAlign w:val="center"/>
          </w:tcPr>
          <w:p w14:paraId="35DD4246">
            <w:pPr>
              <w:spacing w:line="56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项目名称</w:t>
            </w:r>
          </w:p>
        </w:tc>
        <w:tc>
          <w:tcPr>
            <w:tcW w:w="2433" w:type="dxa"/>
            <w:noWrap w:val="0"/>
            <w:vAlign w:val="center"/>
          </w:tcPr>
          <w:p w14:paraId="67D88401">
            <w:pPr>
              <w:spacing w:line="56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采购单位</w:t>
            </w:r>
          </w:p>
        </w:tc>
        <w:tc>
          <w:tcPr>
            <w:tcW w:w="1395" w:type="dxa"/>
            <w:noWrap w:val="0"/>
            <w:vAlign w:val="center"/>
          </w:tcPr>
          <w:p w14:paraId="29E1C80A">
            <w:pPr>
              <w:spacing w:line="560" w:lineRule="exact"/>
              <w:jc w:val="cente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合同金额</w:t>
            </w:r>
          </w:p>
        </w:tc>
      </w:tr>
      <w:tr w14:paraId="3E4B3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tcPr>
          <w:p w14:paraId="0F7428CC">
            <w:pPr>
              <w:spacing w:line="560" w:lineRule="exact"/>
              <w:jc w:val="center"/>
              <w:rPr>
                <w:rFonts w:ascii="宋体" w:hAnsi="宋体" w:eastAsia="宋体" w:cs="宋体"/>
                <w:color w:val="000000" w:themeColor="text1"/>
                <w:sz w:val="24"/>
                <w:highlight w:val="none"/>
                <w14:textFill>
                  <w14:solidFill>
                    <w14:schemeClr w14:val="tx1"/>
                  </w14:solidFill>
                </w14:textFill>
              </w:rPr>
            </w:pPr>
          </w:p>
        </w:tc>
        <w:tc>
          <w:tcPr>
            <w:tcW w:w="3827" w:type="dxa"/>
            <w:noWrap w:val="0"/>
            <w:vAlign w:val="center"/>
          </w:tcPr>
          <w:p w14:paraId="25E7B9CC">
            <w:pPr>
              <w:spacing w:line="560" w:lineRule="exact"/>
              <w:jc w:val="center"/>
              <w:rPr>
                <w:rFonts w:ascii="宋体" w:hAnsi="宋体" w:eastAsia="宋体" w:cs="宋体"/>
                <w:color w:val="000000" w:themeColor="text1"/>
                <w:sz w:val="24"/>
                <w:highlight w:val="none"/>
                <w14:textFill>
                  <w14:solidFill>
                    <w14:schemeClr w14:val="tx1"/>
                  </w14:solidFill>
                </w14:textFill>
              </w:rPr>
            </w:pPr>
          </w:p>
        </w:tc>
        <w:tc>
          <w:tcPr>
            <w:tcW w:w="2433" w:type="dxa"/>
            <w:noWrap w:val="0"/>
            <w:vAlign w:val="center"/>
          </w:tcPr>
          <w:p w14:paraId="08EF11A0">
            <w:pPr>
              <w:spacing w:line="560" w:lineRule="exact"/>
              <w:jc w:val="center"/>
              <w:rPr>
                <w:rFonts w:ascii="宋体" w:hAnsi="宋体" w:eastAsia="宋体" w:cs="宋体"/>
                <w:color w:val="000000" w:themeColor="text1"/>
                <w:sz w:val="24"/>
                <w:highlight w:val="none"/>
                <w14:textFill>
                  <w14:solidFill>
                    <w14:schemeClr w14:val="tx1"/>
                  </w14:solidFill>
                </w14:textFill>
              </w:rPr>
            </w:pPr>
          </w:p>
        </w:tc>
        <w:tc>
          <w:tcPr>
            <w:tcW w:w="1395" w:type="dxa"/>
            <w:noWrap w:val="0"/>
            <w:vAlign w:val="center"/>
          </w:tcPr>
          <w:p w14:paraId="0561E250">
            <w:pPr>
              <w:spacing w:line="560" w:lineRule="exact"/>
              <w:jc w:val="center"/>
              <w:rPr>
                <w:rFonts w:ascii="宋体" w:hAnsi="宋体" w:eastAsia="宋体" w:cs="宋体"/>
                <w:color w:val="000000" w:themeColor="text1"/>
                <w:sz w:val="24"/>
                <w:highlight w:val="none"/>
                <w14:textFill>
                  <w14:solidFill>
                    <w14:schemeClr w14:val="tx1"/>
                  </w14:solidFill>
                </w14:textFill>
              </w:rPr>
            </w:pPr>
          </w:p>
        </w:tc>
      </w:tr>
      <w:tr w14:paraId="5EB1E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tcPr>
          <w:p w14:paraId="0FBEBB03">
            <w:pPr>
              <w:spacing w:line="560" w:lineRule="exact"/>
              <w:jc w:val="center"/>
              <w:rPr>
                <w:rFonts w:ascii="宋体" w:hAnsi="宋体" w:eastAsia="宋体" w:cs="宋体"/>
                <w:color w:val="000000" w:themeColor="text1"/>
                <w:sz w:val="24"/>
                <w:highlight w:val="none"/>
                <w14:textFill>
                  <w14:solidFill>
                    <w14:schemeClr w14:val="tx1"/>
                  </w14:solidFill>
                </w14:textFill>
              </w:rPr>
            </w:pPr>
          </w:p>
        </w:tc>
        <w:tc>
          <w:tcPr>
            <w:tcW w:w="3827" w:type="dxa"/>
            <w:noWrap w:val="0"/>
            <w:vAlign w:val="center"/>
          </w:tcPr>
          <w:p w14:paraId="7BAF6F2F">
            <w:pPr>
              <w:spacing w:line="560" w:lineRule="exact"/>
              <w:jc w:val="center"/>
              <w:rPr>
                <w:rFonts w:ascii="宋体" w:hAnsi="宋体" w:eastAsia="宋体" w:cs="宋体"/>
                <w:color w:val="000000" w:themeColor="text1"/>
                <w:sz w:val="24"/>
                <w:highlight w:val="none"/>
                <w14:textFill>
                  <w14:solidFill>
                    <w14:schemeClr w14:val="tx1"/>
                  </w14:solidFill>
                </w14:textFill>
              </w:rPr>
            </w:pPr>
          </w:p>
        </w:tc>
        <w:tc>
          <w:tcPr>
            <w:tcW w:w="2433" w:type="dxa"/>
            <w:noWrap w:val="0"/>
            <w:vAlign w:val="center"/>
          </w:tcPr>
          <w:p w14:paraId="5CE23B81">
            <w:pPr>
              <w:spacing w:line="560" w:lineRule="exact"/>
              <w:jc w:val="center"/>
              <w:rPr>
                <w:rFonts w:ascii="宋体" w:hAnsi="宋体" w:eastAsia="宋体" w:cs="宋体"/>
                <w:color w:val="000000" w:themeColor="text1"/>
                <w:sz w:val="24"/>
                <w:highlight w:val="none"/>
                <w14:textFill>
                  <w14:solidFill>
                    <w14:schemeClr w14:val="tx1"/>
                  </w14:solidFill>
                </w14:textFill>
              </w:rPr>
            </w:pPr>
          </w:p>
        </w:tc>
        <w:tc>
          <w:tcPr>
            <w:tcW w:w="1395" w:type="dxa"/>
            <w:noWrap w:val="0"/>
            <w:vAlign w:val="center"/>
          </w:tcPr>
          <w:p w14:paraId="600BFFDD">
            <w:pPr>
              <w:spacing w:line="560" w:lineRule="exact"/>
              <w:jc w:val="center"/>
              <w:rPr>
                <w:rFonts w:ascii="宋体" w:hAnsi="宋体" w:eastAsia="宋体" w:cs="宋体"/>
                <w:color w:val="000000" w:themeColor="text1"/>
                <w:sz w:val="24"/>
                <w:highlight w:val="none"/>
                <w14:textFill>
                  <w14:solidFill>
                    <w14:schemeClr w14:val="tx1"/>
                  </w14:solidFill>
                </w14:textFill>
              </w:rPr>
            </w:pPr>
          </w:p>
        </w:tc>
      </w:tr>
      <w:tr w14:paraId="04257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noWrap w:val="0"/>
          </w:tcPr>
          <w:p w14:paraId="3930B836">
            <w:pPr>
              <w:spacing w:line="560" w:lineRule="exact"/>
              <w:jc w:val="center"/>
              <w:rPr>
                <w:rFonts w:ascii="宋体" w:hAnsi="宋体" w:eastAsia="宋体" w:cs="宋体"/>
                <w:color w:val="000000" w:themeColor="text1"/>
                <w:sz w:val="24"/>
                <w:highlight w:val="none"/>
                <w14:textFill>
                  <w14:solidFill>
                    <w14:schemeClr w14:val="tx1"/>
                  </w14:solidFill>
                </w14:textFill>
              </w:rPr>
            </w:pPr>
          </w:p>
        </w:tc>
        <w:tc>
          <w:tcPr>
            <w:tcW w:w="3827" w:type="dxa"/>
            <w:noWrap w:val="0"/>
            <w:vAlign w:val="center"/>
          </w:tcPr>
          <w:p w14:paraId="2615561B">
            <w:pPr>
              <w:spacing w:line="560" w:lineRule="exact"/>
              <w:jc w:val="center"/>
              <w:rPr>
                <w:rFonts w:ascii="宋体" w:hAnsi="宋体" w:eastAsia="宋体" w:cs="宋体"/>
                <w:color w:val="000000" w:themeColor="text1"/>
                <w:sz w:val="24"/>
                <w:highlight w:val="none"/>
                <w14:textFill>
                  <w14:solidFill>
                    <w14:schemeClr w14:val="tx1"/>
                  </w14:solidFill>
                </w14:textFill>
              </w:rPr>
            </w:pPr>
          </w:p>
        </w:tc>
        <w:tc>
          <w:tcPr>
            <w:tcW w:w="2433" w:type="dxa"/>
            <w:noWrap w:val="0"/>
            <w:vAlign w:val="center"/>
          </w:tcPr>
          <w:p w14:paraId="11274EEE">
            <w:pPr>
              <w:spacing w:line="560" w:lineRule="exact"/>
              <w:jc w:val="center"/>
              <w:rPr>
                <w:rFonts w:ascii="宋体" w:hAnsi="宋体" w:eastAsia="宋体" w:cs="宋体"/>
                <w:color w:val="000000" w:themeColor="text1"/>
                <w:sz w:val="24"/>
                <w:highlight w:val="none"/>
                <w14:textFill>
                  <w14:solidFill>
                    <w14:schemeClr w14:val="tx1"/>
                  </w14:solidFill>
                </w14:textFill>
              </w:rPr>
            </w:pPr>
          </w:p>
        </w:tc>
        <w:tc>
          <w:tcPr>
            <w:tcW w:w="1395" w:type="dxa"/>
            <w:noWrap w:val="0"/>
            <w:vAlign w:val="center"/>
          </w:tcPr>
          <w:p w14:paraId="3CE44EC2">
            <w:pPr>
              <w:spacing w:line="560" w:lineRule="exact"/>
              <w:jc w:val="center"/>
              <w:rPr>
                <w:rFonts w:ascii="宋体" w:hAnsi="宋体" w:eastAsia="宋体" w:cs="宋体"/>
                <w:color w:val="000000" w:themeColor="text1"/>
                <w:sz w:val="24"/>
                <w:highlight w:val="none"/>
                <w14:textFill>
                  <w14:solidFill>
                    <w14:schemeClr w14:val="tx1"/>
                  </w14:solidFill>
                </w14:textFill>
              </w:rPr>
            </w:pPr>
          </w:p>
        </w:tc>
      </w:tr>
      <w:tr w14:paraId="31FC4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1229" w:type="dxa"/>
            <w:noWrap w:val="0"/>
          </w:tcPr>
          <w:p w14:paraId="70AD7D2D">
            <w:pPr>
              <w:spacing w:line="560" w:lineRule="exact"/>
              <w:jc w:val="center"/>
              <w:rPr>
                <w:rFonts w:ascii="宋体" w:hAnsi="宋体" w:eastAsia="宋体" w:cs="宋体"/>
                <w:color w:val="000000" w:themeColor="text1"/>
                <w:sz w:val="24"/>
                <w:highlight w:val="none"/>
                <w14:textFill>
                  <w14:solidFill>
                    <w14:schemeClr w14:val="tx1"/>
                  </w14:solidFill>
                </w14:textFill>
              </w:rPr>
            </w:pPr>
          </w:p>
        </w:tc>
        <w:tc>
          <w:tcPr>
            <w:tcW w:w="3827" w:type="dxa"/>
            <w:noWrap w:val="0"/>
            <w:vAlign w:val="center"/>
          </w:tcPr>
          <w:p w14:paraId="045829D3">
            <w:pPr>
              <w:spacing w:line="560" w:lineRule="exact"/>
              <w:jc w:val="center"/>
              <w:rPr>
                <w:rFonts w:ascii="宋体" w:hAnsi="宋体" w:eastAsia="宋体" w:cs="宋体"/>
                <w:color w:val="000000" w:themeColor="text1"/>
                <w:sz w:val="24"/>
                <w:highlight w:val="none"/>
                <w14:textFill>
                  <w14:solidFill>
                    <w14:schemeClr w14:val="tx1"/>
                  </w14:solidFill>
                </w14:textFill>
              </w:rPr>
            </w:pPr>
          </w:p>
        </w:tc>
        <w:tc>
          <w:tcPr>
            <w:tcW w:w="2433" w:type="dxa"/>
            <w:noWrap w:val="0"/>
            <w:vAlign w:val="center"/>
          </w:tcPr>
          <w:p w14:paraId="1640781E">
            <w:pPr>
              <w:spacing w:line="560" w:lineRule="exact"/>
              <w:jc w:val="center"/>
              <w:rPr>
                <w:rFonts w:ascii="宋体" w:hAnsi="宋体" w:eastAsia="宋体" w:cs="宋体"/>
                <w:color w:val="000000" w:themeColor="text1"/>
                <w:sz w:val="24"/>
                <w:highlight w:val="none"/>
                <w14:textFill>
                  <w14:solidFill>
                    <w14:schemeClr w14:val="tx1"/>
                  </w14:solidFill>
                </w14:textFill>
              </w:rPr>
            </w:pPr>
          </w:p>
        </w:tc>
        <w:tc>
          <w:tcPr>
            <w:tcW w:w="1395" w:type="dxa"/>
            <w:noWrap w:val="0"/>
            <w:vAlign w:val="center"/>
          </w:tcPr>
          <w:p w14:paraId="059D6922">
            <w:pPr>
              <w:spacing w:line="560" w:lineRule="exact"/>
              <w:jc w:val="center"/>
              <w:rPr>
                <w:rFonts w:ascii="宋体" w:hAnsi="宋体" w:eastAsia="宋体" w:cs="宋体"/>
                <w:color w:val="000000" w:themeColor="text1"/>
                <w:sz w:val="24"/>
                <w:highlight w:val="none"/>
                <w14:textFill>
                  <w14:solidFill>
                    <w14:schemeClr w14:val="tx1"/>
                  </w14:solidFill>
                </w14:textFill>
              </w:rPr>
            </w:pPr>
          </w:p>
        </w:tc>
      </w:tr>
    </w:tbl>
    <w:p w14:paraId="4940A042">
      <w:pPr>
        <w:rPr>
          <w:rFonts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注：请填写此表，并按要求上传业绩资料电子件。</w:t>
      </w:r>
    </w:p>
    <w:p w14:paraId="086F37BF">
      <w:pPr>
        <w:widowControl/>
        <w:spacing w:line="500" w:lineRule="exact"/>
        <w:ind w:firstLine="482"/>
        <w:rPr>
          <w:rFonts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br w:type="page" w:clear="all"/>
      </w:r>
      <w:bookmarkStart w:id="173" w:name="_Toc28140"/>
    </w:p>
    <w:p w14:paraId="2BAFB0F3">
      <w:pPr>
        <w:pStyle w:val="200"/>
        <w:numPr>
          <w:ilvl w:val="0"/>
          <w:numId w:val="0"/>
        </w:numPr>
        <w:shd w:val="clear" w:color="auto"/>
        <w:outlineLvl w:val="1"/>
        <w:rPr>
          <w:rFonts w:hint="eastAsia" w:ascii="宋体" w:hAnsi="宋体" w:eastAsia="宋体" w:cs="宋体"/>
          <w:b/>
          <w:color w:val="auto"/>
          <w:sz w:val="32"/>
          <w:szCs w:val="32"/>
          <w:highlight w:val="none"/>
        </w:rPr>
      </w:pPr>
      <w:r>
        <w:rPr>
          <w:rFonts w:hint="eastAsia" w:ascii="仿宋" w:hAnsi="仿宋" w:eastAsia="仿宋" w:cs="仿宋"/>
          <w:b/>
          <w:color w:val="000000" w:themeColor="text1"/>
          <w:sz w:val="32"/>
          <w:szCs w:val="32"/>
          <w:highlight w:val="none"/>
          <w:lang w:eastAsia="zh-CN"/>
          <w14:textFill>
            <w14:solidFill>
              <w14:schemeClr w14:val="tx1"/>
            </w14:solidFill>
          </w14:textFill>
        </w:rPr>
        <w:t>九</w:t>
      </w:r>
      <w:r>
        <w:rPr>
          <w:rFonts w:hint="eastAsia" w:ascii="仿宋" w:hAnsi="仿宋" w:eastAsia="仿宋" w:cs="仿宋"/>
          <w:b/>
          <w:color w:val="000000" w:themeColor="text1"/>
          <w:sz w:val="32"/>
          <w:szCs w:val="32"/>
          <w:highlight w:val="none"/>
          <w14:textFill>
            <w14:solidFill>
              <w14:schemeClr w14:val="tx1"/>
            </w14:solidFill>
          </w14:textFill>
        </w:rPr>
        <w:t>、</w:t>
      </w:r>
      <w:r>
        <w:rPr>
          <w:rFonts w:hint="eastAsia" w:ascii="宋体" w:hAnsi="宋体" w:eastAsia="宋体" w:cs="宋体"/>
          <w:b/>
          <w:color w:val="auto"/>
          <w:sz w:val="32"/>
          <w:szCs w:val="32"/>
          <w:highlight w:val="none"/>
        </w:rPr>
        <w:t>关于符合本国产品标准的声明函</w:t>
      </w:r>
    </w:p>
    <w:p w14:paraId="128E32C1">
      <w:pPr>
        <w:pStyle w:val="200"/>
        <w:numPr>
          <w:ilvl w:val="0"/>
          <w:numId w:val="0"/>
        </w:numPr>
        <w:shd w:val="clear" w:color="auto"/>
        <w:outlineLvl w:val="1"/>
        <w:rPr>
          <w:rFonts w:hint="eastAsia" w:ascii="宋体" w:hAnsi="宋体" w:eastAsia="宋体" w:cs="宋体"/>
          <w:b/>
          <w:color w:val="auto"/>
          <w:sz w:val="32"/>
          <w:szCs w:val="32"/>
          <w:highlight w:val="none"/>
        </w:rPr>
      </w:pPr>
    </w:p>
    <w:p w14:paraId="6DAF837D">
      <w:pPr>
        <w:keepNext w:val="0"/>
        <w:keepLines w:val="0"/>
        <w:pageBreakBefore w:val="0"/>
        <w:widowControl w:val="0"/>
        <w:shd w:val="clear" w:color="auto"/>
        <w:spacing w:line="400" w:lineRule="exact"/>
        <w:ind w:firstLine="56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本公司（单位）郑重声明，根据《国务院办公厅关于在政府采购中实施本国产品标准及相关政策的通知》（国办发〔2025〕34号）的规定，本公司（单位）</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提供的以下产品属于本国产品。具体情况如下：</w:t>
      </w:r>
    </w:p>
    <w:p w14:paraId="1AFAB5D7">
      <w:pPr>
        <w:keepNext w:val="0"/>
        <w:keepLines w:val="0"/>
        <w:pageBreakBefore w:val="0"/>
        <w:widowControl w:val="0"/>
        <w:shd w:val="clear" w:color="auto"/>
        <w:spacing w:line="400" w:lineRule="exact"/>
        <w:ind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，生产厂为（厂名）</w:t>
      </w:r>
      <w:r>
        <w:rPr>
          <w:rFonts w:hint="eastAsia" w:ascii="宋体" w:hAnsi="宋体" w:eastAsia="宋体" w:cs="宋体"/>
          <w:b w:val="0"/>
          <w:bCs/>
          <w:color w:val="auto"/>
          <w:sz w:val="24"/>
          <w:szCs w:val="24"/>
          <w:highlight w:val="none"/>
          <w:vertAlign w:val="superscript"/>
        </w:rPr>
        <w:t>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，厂址为（生产厂址）</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（规定比例）</w:t>
      </w:r>
      <w:r>
        <w:rPr>
          <w:rFonts w:hint="eastAsia" w:ascii="宋体" w:hAnsi="宋体" w:eastAsia="宋体" w:cs="宋体"/>
          <w:b w:val="0"/>
          <w:bCs/>
          <w:color w:val="auto"/>
          <w:sz w:val="24"/>
          <w:szCs w:val="24"/>
          <w:highlight w:val="none"/>
          <w:vertAlign w:val="superscript"/>
        </w:rPr>
        <w:t>3</w:t>
      </w:r>
      <w:r>
        <w:rPr>
          <w:rFonts w:hint="eastAsia" w:ascii="宋体" w:hAnsi="宋体" w:eastAsia="宋体" w:cs="宋体"/>
          <w:b w:val="0"/>
          <w:bCs/>
          <w:color w:val="auto"/>
          <w:sz w:val="24"/>
          <w:szCs w:val="24"/>
          <w:highlight w:val="none"/>
        </w:rPr>
        <w:t>。（产品名称1）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的（关键组件）</w:t>
      </w:r>
      <w:r>
        <w:rPr>
          <w:rFonts w:hint="eastAsia" w:ascii="宋体" w:hAnsi="宋体" w:eastAsia="宋体" w:cs="宋体"/>
          <w:b w:val="0"/>
          <w:bCs/>
          <w:color w:val="auto"/>
          <w:sz w:val="24"/>
          <w:szCs w:val="24"/>
          <w:highlight w:val="none"/>
          <w:vertAlign w:val="superscript"/>
        </w:rPr>
        <w:t>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在中国境内生产。（产品名称1）的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（关键工序）</w:t>
      </w:r>
      <w:r>
        <w:rPr>
          <w:rFonts w:hint="eastAsia" w:ascii="宋体" w:hAnsi="宋体" w:eastAsia="宋体" w:cs="宋体"/>
          <w:b w:val="0"/>
          <w:bCs/>
          <w:color w:val="auto"/>
          <w:sz w:val="24"/>
          <w:szCs w:val="24"/>
          <w:highlight w:val="none"/>
          <w:vertAlign w:val="superscript"/>
        </w:rPr>
        <w:t>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在中国境内完成。</w:t>
      </w:r>
    </w:p>
    <w:p w14:paraId="63C6B57B">
      <w:pPr>
        <w:keepNext w:val="0"/>
        <w:keepLines w:val="0"/>
        <w:pageBreakBefore w:val="0"/>
        <w:widowControl w:val="0"/>
        <w:shd w:val="clear" w:color="auto"/>
        <w:spacing w:line="400" w:lineRule="exact"/>
        <w:ind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，生产厂为（厂名）</w:t>
      </w:r>
      <w:r>
        <w:rPr>
          <w:rFonts w:hint="eastAsia" w:ascii="宋体" w:hAnsi="宋体" w:eastAsia="宋体" w:cs="宋体"/>
          <w:b w:val="0"/>
          <w:bCs/>
          <w:color w:val="auto"/>
          <w:sz w:val="24"/>
          <w:szCs w:val="24"/>
          <w:highlight w:val="none"/>
          <w:vertAlign w:val="superscript"/>
        </w:rPr>
        <w:t>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，厂址为（生产厂址）</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（规定比例）</w:t>
      </w:r>
      <w:r>
        <w:rPr>
          <w:rFonts w:hint="eastAsia" w:ascii="宋体" w:hAnsi="宋体" w:eastAsia="宋体" w:cs="宋体"/>
          <w:b w:val="0"/>
          <w:bCs/>
          <w:color w:val="auto"/>
          <w:sz w:val="24"/>
          <w:szCs w:val="24"/>
          <w:highlight w:val="none"/>
          <w:vertAlign w:val="superscript"/>
        </w:rPr>
        <w:t>3</w:t>
      </w:r>
      <w:r>
        <w:rPr>
          <w:rFonts w:hint="eastAsia" w:ascii="宋体" w:hAnsi="宋体" w:eastAsia="宋体" w:cs="宋体"/>
          <w:b w:val="0"/>
          <w:bCs/>
          <w:color w:val="auto"/>
          <w:sz w:val="24"/>
          <w:szCs w:val="24"/>
          <w:highlight w:val="none"/>
        </w:rPr>
        <w:t>。（产品名称2）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的（关键组件）</w:t>
      </w:r>
      <w:r>
        <w:rPr>
          <w:rFonts w:hint="eastAsia" w:ascii="宋体" w:hAnsi="宋体" w:eastAsia="宋体" w:cs="宋体"/>
          <w:b w:val="0"/>
          <w:bCs/>
          <w:color w:val="auto"/>
          <w:sz w:val="24"/>
          <w:szCs w:val="24"/>
          <w:highlight w:val="none"/>
          <w:vertAlign w:val="superscript"/>
        </w:rPr>
        <w:t>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在中国境内生产。（产品名称2）的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（关键工序）</w:t>
      </w:r>
      <w:r>
        <w:rPr>
          <w:rFonts w:hint="eastAsia" w:ascii="宋体" w:hAnsi="宋体" w:eastAsia="宋体" w:cs="宋体"/>
          <w:b w:val="0"/>
          <w:bCs/>
          <w:color w:val="auto"/>
          <w:sz w:val="24"/>
          <w:szCs w:val="24"/>
          <w:highlight w:val="none"/>
          <w:vertAlign w:val="superscript"/>
        </w:rPr>
        <w:t>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在中国境内完成。</w:t>
      </w:r>
    </w:p>
    <w:p w14:paraId="1030A605">
      <w:pPr>
        <w:keepNext w:val="0"/>
        <w:keepLines w:val="0"/>
        <w:pageBreakBefore w:val="0"/>
        <w:widowControl w:val="0"/>
        <w:shd w:val="clear" w:color="auto"/>
        <w:spacing w:line="400" w:lineRule="exact"/>
        <w:ind w:firstLine="56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p>
    <w:p w14:paraId="7C02A524">
      <w:pPr>
        <w:keepNext w:val="0"/>
        <w:keepLines w:val="0"/>
        <w:pageBreakBefore w:val="0"/>
        <w:widowControl w:val="0"/>
        <w:shd w:val="clear" w:color="auto"/>
        <w:spacing w:line="400" w:lineRule="exact"/>
        <w:ind w:firstLine="56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本公司（单位）对上述声明内容的真实性负责。如有虚假，愿承担相应法律责任。</w:t>
      </w:r>
    </w:p>
    <w:p w14:paraId="7AF4E614">
      <w:pPr>
        <w:keepNext w:val="0"/>
        <w:keepLines w:val="0"/>
        <w:pageBreakBefore w:val="0"/>
        <w:widowControl w:val="0"/>
        <w:shd w:val="clear" w:color="auto"/>
        <w:spacing w:line="400" w:lineRule="exact"/>
        <w:ind w:firstLine="562"/>
        <w:jc w:val="both"/>
        <w:rPr>
          <w:rFonts w:hint="eastAsia" w:ascii="宋体" w:hAnsi="宋体" w:eastAsia="宋体" w:cs="宋体"/>
          <w:b w:val="0"/>
          <w:bCs/>
          <w:color w:val="auto"/>
          <w:sz w:val="24"/>
          <w:szCs w:val="24"/>
          <w:highlight w:val="none"/>
        </w:rPr>
      </w:pPr>
    </w:p>
    <w:p w14:paraId="5EA1CC70">
      <w:pPr>
        <w:keepNext w:val="0"/>
        <w:keepLines w:val="0"/>
        <w:pageBreakBefore w:val="0"/>
        <w:widowControl w:val="0"/>
        <w:shd w:val="clear" w:color="auto"/>
        <w:spacing w:line="400" w:lineRule="exact"/>
        <w:ind w:firstLine="56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公司（单位）名称（盖章）：</w:t>
      </w:r>
    </w:p>
    <w:p w14:paraId="63BB7CE3">
      <w:pPr>
        <w:keepNext w:val="0"/>
        <w:keepLines w:val="0"/>
        <w:pageBreakBefore w:val="0"/>
        <w:widowControl w:val="0"/>
        <w:shd w:val="clear" w:color="auto"/>
        <w:spacing w:line="400" w:lineRule="exact"/>
        <w:ind w:firstLine="562"/>
        <w:jc w:val="both"/>
        <w:rPr>
          <w:rFonts w:hint="eastAsia" w:ascii="宋体" w:hAnsi="宋体" w:eastAsia="宋体" w:cs="宋体"/>
          <w:b w:val="0"/>
          <w:bCs/>
          <w:color w:val="auto"/>
          <w:sz w:val="24"/>
          <w:szCs w:val="24"/>
          <w:highlight w:val="none"/>
        </w:rPr>
      </w:pPr>
    </w:p>
    <w:p w14:paraId="378A2CF3">
      <w:pPr>
        <w:keepNext w:val="0"/>
        <w:keepLines w:val="0"/>
        <w:pageBreakBefore w:val="0"/>
        <w:widowControl w:val="0"/>
        <w:shd w:val="clear" w:color="auto"/>
        <w:spacing w:line="400" w:lineRule="exact"/>
        <w:ind w:firstLine="562"/>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日期：    年    月    日</w:t>
      </w:r>
    </w:p>
    <w:p w14:paraId="42926A3C">
      <w:pPr>
        <w:keepNext w:val="0"/>
        <w:keepLines w:val="0"/>
        <w:pageBreakBefore w:val="0"/>
        <w:widowControl w:val="0"/>
        <w:shd w:val="clear" w:color="auto"/>
        <w:spacing w:line="400" w:lineRule="exact"/>
        <w:ind w:firstLine="480"/>
        <w:jc w:val="both"/>
        <w:rPr>
          <w:rFonts w:hint="eastAsia" w:ascii="宋体" w:hAnsi="宋体" w:eastAsia="宋体" w:cs="宋体"/>
          <w:b w:val="0"/>
          <w:bCs/>
          <w:color w:val="auto"/>
          <w:sz w:val="24"/>
          <w:szCs w:val="24"/>
          <w:highlight w:val="none"/>
        </w:rPr>
      </w:pPr>
    </w:p>
    <w:p w14:paraId="64C596A9">
      <w:pPr>
        <w:pStyle w:val="32"/>
        <w:rPr>
          <w:rFonts w:hint="eastAsia"/>
          <w:highlight w:val="none"/>
        </w:rPr>
      </w:pPr>
    </w:p>
    <w:p w14:paraId="305B5369">
      <w:pPr>
        <w:keepNext w:val="0"/>
        <w:keepLines w:val="0"/>
        <w:pageBreakBefore w:val="0"/>
        <w:widowControl w:val="0"/>
        <w:shd w:val="clear" w:color="auto"/>
        <w:spacing w:line="400" w:lineRule="exact"/>
        <w:ind w:firstLine="480"/>
        <w:jc w:val="both"/>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注：1.产品如有型号，请在“产品名称”栏一并填写。</w:t>
      </w:r>
    </w:p>
    <w:p w14:paraId="2760BBED">
      <w:pPr>
        <w:keepNext w:val="0"/>
        <w:keepLines w:val="0"/>
        <w:pageBreakBefore w:val="0"/>
        <w:widowControl w:val="0"/>
        <w:shd w:val="clear" w:color="auto"/>
        <w:spacing w:line="400" w:lineRule="exact"/>
        <w:ind w:firstLine="482"/>
        <w:jc w:val="both"/>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2.生产厂名与厂址应与生产厂营业执照载明的相关信息保持一致。</w:t>
      </w:r>
    </w:p>
    <w:p w14:paraId="04244344">
      <w:pPr>
        <w:keepNext w:val="0"/>
        <w:keepLines w:val="0"/>
        <w:pageBreakBefore w:val="0"/>
        <w:widowControl w:val="0"/>
        <w:shd w:val="clear" w:color="auto"/>
        <w:spacing w:line="400" w:lineRule="exact"/>
        <w:ind w:firstLine="482"/>
        <w:jc w:val="both"/>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3.该产品的中国境内生产的组件成本占比相关要求实施前，“规定比例”栏可不填，下同。</w:t>
      </w:r>
    </w:p>
    <w:p w14:paraId="604FBF58">
      <w:pPr>
        <w:keepNext w:val="0"/>
        <w:keepLines w:val="0"/>
        <w:pageBreakBefore w:val="0"/>
        <w:widowControl w:val="0"/>
        <w:shd w:val="clear" w:color="auto"/>
        <w:spacing w:line="400" w:lineRule="exact"/>
        <w:ind w:firstLine="482"/>
        <w:jc w:val="both"/>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4.该产品的关键组件要求实施前，“关键组件”栏可不填，下同。</w:t>
      </w:r>
    </w:p>
    <w:p w14:paraId="2ADE4ED0">
      <w:pPr>
        <w:keepNext w:val="0"/>
        <w:keepLines w:val="0"/>
        <w:pageBreakBefore w:val="0"/>
        <w:widowControl w:val="0"/>
        <w:shd w:val="clear" w:color="auto"/>
        <w:spacing w:line="400" w:lineRule="exact"/>
        <w:ind w:firstLine="482"/>
        <w:jc w:val="both"/>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5.该产品的关键工序要求实施前，“关键工序”栏可不填，下同。</w:t>
      </w:r>
    </w:p>
    <w:p w14:paraId="073B2501">
      <w:pPr>
        <w:widowControl/>
        <w:shd w:val="clear" w:color="auto"/>
        <w:spacing w:line="500" w:lineRule="exact"/>
        <w:ind w:firstLine="562"/>
        <w:jc w:val="both"/>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t>6.用斜线划除的地方无需填写。</w:t>
      </w:r>
    </w:p>
    <w:p w14:paraId="49AB4DE6">
      <w:pPr>
        <w:outlineLvl w:val="1"/>
        <w:rPr>
          <w:rFonts w:hint="eastAsia" w:ascii="仿宋" w:hAnsi="仿宋" w:eastAsia="仿宋" w:cs="仿宋"/>
          <w:b/>
          <w:color w:val="000000" w:themeColor="text1"/>
          <w:sz w:val="32"/>
          <w:szCs w:val="32"/>
          <w:highlight w:val="none"/>
          <w14:textFill>
            <w14:solidFill>
              <w14:schemeClr w14:val="tx1"/>
            </w14:solidFill>
          </w14:textFill>
        </w:rPr>
      </w:pPr>
    </w:p>
    <w:p w14:paraId="10AE9E8A">
      <w:pPr>
        <w:outlineLvl w:val="1"/>
        <w:rPr>
          <w:rFonts w:hint="eastAsia" w:ascii="仿宋" w:hAnsi="仿宋" w:eastAsia="仿宋" w:cs="仿宋"/>
          <w:b/>
          <w:color w:val="000000" w:themeColor="text1"/>
          <w:sz w:val="32"/>
          <w:szCs w:val="32"/>
          <w:highlight w:val="none"/>
          <w14:textFill>
            <w14:solidFill>
              <w14:schemeClr w14:val="tx1"/>
            </w14:solidFill>
          </w14:textFill>
        </w:rPr>
      </w:pPr>
    </w:p>
    <w:p w14:paraId="5E3B165B">
      <w:pPr>
        <w:outlineLvl w:val="1"/>
        <w:rPr>
          <w:rFonts w:hint="eastAsia" w:ascii="仿宋" w:hAnsi="仿宋" w:eastAsia="仿宋" w:cs="仿宋"/>
          <w:b/>
          <w:color w:val="000000" w:themeColor="text1"/>
          <w:sz w:val="32"/>
          <w:szCs w:val="32"/>
          <w:highlight w:val="none"/>
          <w14:textFill>
            <w14:solidFill>
              <w14:schemeClr w14:val="tx1"/>
            </w14:solidFill>
          </w14:textFill>
        </w:rPr>
      </w:pPr>
    </w:p>
    <w:p w14:paraId="48F24BA8">
      <w:pPr>
        <w:outlineLvl w:val="1"/>
        <w:rPr>
          <w:rFonts w:hint="eastAsia" w:ascii="仿宋" w:hAnsi="仿宋" w:eastAsia="仿宋" w:cs="仿宋"/>
          <w:b/>
          <w:color w:val="000000" w:themeColor="text1"/>
          <w:sz w:val="32"/>
          <w:szCs w:val="32"/>
          <w:highlight w:val="none"/>
          <w14:textFill>
            <w14:solidFill>
              <w14:schemeClr w14:val="tx1"/>
            </w14:solidFill>
          </w14:textFill>
        </w:rPr>
      </w:pPr>
    </w:p>
    <w:p w14:paraId="1354E0BE">
      <w:pPr>
        <w:outlineLvl w:val="1"/>
        <w:rPr>
          <w:rFonts w:hint="eastAsia" w:ascii="仿宋" w:hAnsi="仿宋" w:eastAsia="仿宋" w:cs="仿宋"/>
          <w:b/>
          <w:color w:val="000000" w:themeColor="text1"/>
          <w:sz w:val="32"/>
          <w:szCs w:val="32"/>
          <w:highlight w:val="none"/>
          <w14:textFill>
            <w14:solidFill>
              <w14:schemeClr w14:val="tx1"/>
            </w14:solidFill>
          </w14:textFill>
        </w:rPr>
      </w:pPr>
    </w:p>
    <w:p w14:paraId="33CD728B">
      <w:pPr>
        <w:outlineLvl w:val="1"/>
        <w:rPr>
          <w:rFonts w:hint="eastAsia" w:ascii="仿宋" w:hAnsi="仿宋" w:eastAsia="仿宋" w:cs="仿宋"/>
          <w:b/>
          <w:color w:val="000000" w:themeColor="text1"/>
          <w:sz w:val="32"/>
          <w:szCs w:val="32"/>
          <w:highlight w:val="none"/>
          <w14:textFill>
            <w14:solidFill>
              <w14:schemeClr w14:val="tx1"/>
            </w14:solidFill>
          </w14:textFill>
        </w:rPr>
      </w:pPr>
    </w:p>
    <w:p w14:paraId="4F72654F">
      <w:pPr>
        <w:outlineLvl w:val="1"/>
        <w:rPr>
          <w:rFonts w:ascii="宋体" w:hAnsi="宋体" w:eastAsia="宋体" w:cs="宋体"/>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lang w:val="en-US" w:eastAsia="zh-CN"/>
          <w14:textFill>
            <w14:solidFill>
              <w14:schemeClr w14:val="tx1"/>
            </w14:solidFill>
          </w14:textFill>
        </w:rPr>
        <w:t>十、</w:t>
      </w:r>
      <w:r>
        <w:rPr>
          <w:rFonts w:hint="eastAsia" w:ascii="宋体" w:hAnsi="宋体" w:eastAsia="宋体" w:cs="宋体"/>
          <w:b/>
          <w:color w:val="000000" w:themeColor="text1"/>
          <w:sz w:val="32"/>
          <w:szCs w:val="32"/>
          <w:highlight w:val="none"/>
          <w14:textFill>
            <w14:solidFill>
              <w14:schemeClr w14:val="tx1"/>
            </w14:solidFill>
          </w14:textFill>
        </w:rPr>
        <w:t>投标所需其他材料</w:t>
      </w:r>
      <w:bookmarkEnd w:id="173"/>
    </w:p>
    <w:p w14:paraId="3E523A15">
      <w:pPr>
        <w:spacing w:line="360" w:lineRule="auto"/>
        <w:ind w:firstLine="56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请在此文档中增加投标所需其他相关内容（包括资格要求、评分办法、采购需求中涉及的证件证明及其它投标人认为有必要提供的资料），如没有请将此空文档上传。</w:t>
      </w:r>
    </w:p>
    <w:p w14:paraId="1FE308F5">
      <w:pPr>
        <w:rPr>
          <w:rFonts w:ascii="宋体" w:hAnsi="宋体" w:eastAsia="宋体" w:cs="宋体"/>
          <w:color w:val="000000" w:themeColor="text1"/>
          <w:sz w:val="20"/>
          <w:szCs w:val="21"/>
          <w:highlight w:val="none"/>
          <w14:textFill>
            <w14:solidFill>
              <w14:schemeClr w14:val="tx1"/>
            </w14:solidFill>
          </w14:textFill>
        </w:rPr>
      </w:pPr>
    </w:p>
    <w:p w14:paraId="5B69BDE4">
      <w:pPr>
        <w:rPr>
          <w:rFonts w:ascii="宋体" w:hAnsi="宋体" w:eastAsia="宋体" w:cs="宋体"/>
          <w:color w:val="000000" w:themeColor="text1"/>
          <w:szCs w:val="21"/>
          <w:highlight w:val="none"/>
          <w14:textFill>
            <w14:solidFill>
              <w14:schemeClr w14:val="tx1"/>
            </w14:solidFill>
          </w14:textFill>
        </w:rPr>
      </w:pPr>
    </w:p>
    <w:p w14:paraId="04F2B4C9">
      <w:pPr>
        <w:rPr>
          <w:rFonts w:ascii="宋体" w:hAnsi="宋体" w:eastAsia="宋体" w:cs="宋体"/>
          <w:color w:val="000000" w:themeColor="text1"/>
          <w:sz w:val="32"/>
          <w:szCs w:val="21"/>
          <w:highlight w:val="none"/>
          <w14:textFill>
            <w14:solidFill>
              <w14:schemeClr w14:val="tx1"/>
            </w14:solidFill>
          </w14:textFill>
        </w:rPr>
      </w:pPr>
    </w:p>
    <w:p w14:paraId="041C8269">
      <w:pPr>
        <w:rPr>
          <w:rFonts w:ascii="宋体" w:hAnsi="宋体" w:eastAsia="宋体" w:cs="宋体"/>
          <w:color w:val="000000" w:themeColor="text1"/>
          <w:sz w:val="32"/>
          <w:szCs w:val="21"/>
          <w:highlight w:val="none"/>
          <w14:textFill>
            <w14:solidFill>
              <w14:schemeClr w14:val="tx1"/>
            </w14:solidFill>
          </w14:textFill>
        </w:rPr>
      </w:pPr>
    </w:p>
    <w:bookmarkEnd w:id="168"/>
    <w:p w14:paraId="19F9542A">
      <w:pPr>
        <w:rPr>
          <w:rFonts w:ascii="宋体" w:hAnsi="宋体" w:eastAsia="宋体" w:cs="宋体"/>
          <w:color w:val="000000" w:themeColor="text1"/>
          <w:sz w:val="32"/>
          <w:szCs w:val="21"/>
          <w:highlight w:val="none"/>
          <w14:textFill>
            <w14:solidFill>
              <w14:schemeClr w14:val="tx1"/>
            </w14:solidFill>
          </w14:textFill>
        </w:rPr>
      </w:pPr>
    </w:p>
    <w:p w14:paraId="39D5B9E0">
      <w:pPr>
        <w:rPr>
          <w:rFonts w:ascii="宋体" w:hAnsi="宋体" w:eastAsia="宋体" w:cs="宋体"/>
          <w:color w:val="000000" w:themeColor="text1"/>
          <w:sz w:val="32"/>
          <w:szCs w:val="21"/>
          <w:highlight w:val="none"/>
          <w14:textFill>
            <w14:solidFill>
              <w14:schemeClr w14:val="tx1"/>
            </w14:solidFill>
          </w14:textFill>
        </w:rPr>
      </w:pPr>
    </w:p>
    <w:p w14:paraId="5BA04558">
      <w:pPr>
        <w:spacing w:line="480" w:lineRule="auto"/>
        <w:rPr>
          <w:rFonts w:ascii="宋体" w:hAnsi="宋体" w:eastAsia="宋体" w:cs="宋体"/>
          <w:color w:val="000000" w:themeColor="text1"/>
          <w:sz w:val="24"/>
          <w:szCs w:val="21"/>
          <w:highlight w:val="none"/>
          <w14:textFill>
            <w14:solidFill>
              <w14:schemeClr w14:val="tx1"/>
            </w14:solidFill>
          </w14:textFill>
        </w:rPr>
      </w:pPr>
    </w:p>
    <w:p w14:paraId="038E9B7C">
      <w:pPr>
        <w:spacing w:line="480" w:lineRule="auto"/>
        <w:rPr>
          <w:rFonts w:ascii="宋体" w:hAnsi="宋体" w:eastAsia="宋体" w:cs="宋体"/>
          <w:color w:val="000000" w:themeColor="text1"/>
          <w:sz w:val="30"/>
          <w:szCs w:val="21"/>
          <w:highlight w:val="none"/>
          <w14:textFill>
            <w14:solidFill>
              <w14:schemeClr w14:val="tx1"/>
            </w14:solidFill>
          </w14:textFill>
        </w:rPr>
      </w:pPr>
    </w:p>
    <w:p w14:paraId="3157F441">
      <w:pPr>
        <w:rPr>
          <w:rFonts w:ascii="宋体" w:hAnsi="宋体" w:eastAsia="宋体" w:cs="宋体"/>
          <w:color w:val="000000" w:themeColor="text1"/>
          <w:sz w:val="24"/>
          <w:szCs w:val="21"/>
          <w:highlight w:val="none"/>
          <w14:textFill>
            <w14:solidFill>
              <w14:schemeClr w14:val="tx1"/>
            </w14:solidFill>
          </w14:textFill>
        </w:rPr>
      </w:pPr>
      <w:bookmarkStart w:id="174" w:name="_Hlt26671374"/>
      <w:bookmarkEnd w:id="174"/>
      <w:bookmarkStart w:id="175" w:name="_Hlt26955066"/>
      <w:bookmarkEnd w:id="175"/>
      <w:bookmarkStart w:id="176" w:name="_Hlt26609389"/>
      <w:bookmarkEnd w:id="176"/>
      <w:bookmarkStart w:id="177" w:name="_Toc462564146"/>
    </w:p>
    <w:p w14:paraId="556E1C49">
      <w:pPr>
        <w:rPr>
          <w:rFonts w:ascii="宋体" w:hAnsi="宋体" w:eastAsia="宋体" w:cs="宋体"/>
          <w:color w:val="000000" w:themeColor="text1"/>
          <w:sz w:val="24"/>
          <w:szCs w:val="21"/>
          <w:highlight w:val="none"/>
          <w14:textFill>
            <w14:solidFill>
              <w14:schemeClr w14:val="tx1"/>
            </w14:solidFill>
          </w14:textFill>
        </w:rPr>
      </w:pPr>
    </w:p>
    <w:p w14:paraId="2FAACAB3">
      <w:pPr>
        <w:spacing w:line="560" w:lineRule="exact"/>
        <w:ind w:firstLine="480"/>
        <w:rPr>
          <w:rFonts w:ascii="宋体" w:hAnsi="宋体" w:eastAsia="宋体" w:cs="宋体"/>
          <w:color w:val="000000" w:themeColor="text1"/>
          <w:sz w:val="24"/>
          <w:szCs w:val="32"/>
          <w:highlight w:val="none"/>
          <w:lang w:val="zh-TW"/>
          <w14:textFill>
            <w14:solidFill>
              <w14:schemeClr w14:val="tx1"/>
            </w14:solidFill>
          </w14:textFill>
        </w:rPr>
      </w:pPr>
    </w:p>
    <w:p w14:paraId="7792A701">
      <w:pPr>
        <w:spacing w:line="560" w:lineRule="exact"/>
        <w:ind w:firstLine="480"/>
        <w:rPr>
          <w:rFonts w:ascii="宋体" w:hAnsi="宋体" w:eastAsia="宋体" w:cs="宋体"/>
          <w:color w:val="000000" w:themeColor="text1"/>
          <w:sz w:val="24"/>
          <w:szCs w:val="32"/>
          <w:highlight w:val="none"/>
          <w:lang w:val="zh-TW"/>
          <w14:textFill>
            <w14:solidFill>
              <w14:schemeClr w14:val="tx1"/>
            </w14:solidFill>
          </w14:textFill>
        </w:rPr>
      </w:pPr>
    </w:p>
    <w:p w14:paraId="047E7B84">
      <w:pPr>
        <w:spacing w:line="560" w:lineRule="exact"/>
        <w:ind w:firstLine="480"/>
        <w:rPr>
          <w:rFonts w:ascii="宋体" w:hAnsi="宋体" w:eastAsia="宋体" w:cs="宋体"/>
          <w:color w:val="000000" w:themeColor="text1"/>
          <w:sz w:val="24"/>
          <w:szCs w:val="32"/>
          <w:highlight w:val="none"/>
          <w:lang w:val="zh-TW"/>
          <w14:textFill>
            <w14:solidFill>
              <w14:schemeClr w14:val="tx1"/>
            </w14:solidFill>
          </w14:textFill>
        </w:rPr>
      </w:pPr>
    </w:p>
    <w:p w14:paraId="3441CC0A">
      <w:pPr>
        <w:spacing w:line="560" w:lineRule="exact"/>
        <w:ind w:firstLine="480"/>
        <w:rPr>
          <w:rFonts w:ascii="宋体" w:hAnsi="宋体" w:eastAsia="宋体" w:cs="宋体"/>
          <w:color w:val="000000" w:themeColor="text1"/>
          <w:sz w:val="24"/>
          <w:szCs w:val="32"/>
          <w:highlight w:val="none"/>
          <w:lang w:val="zh-TW"/>
          <w14:textFill>
            <w14:solidFill>
              <w14:schemeClr w14:val="tx1"/>
            </w14:solidFill>
          </w14:textFill>
        </w:rPr>
      </w:pPr>
    </w:p>
    <w:bookmarkEnd w:id="141"/>
    <w:bookmarkEnd w:id="142"/>
    <w:bookmarkEnd w:id="177"/>
    <w:p w14:paraId="383A4FD5">
      <w:pPr>
        <w:spacing w:line="560" w:lineRule="exact"/>
        <w:ind w:firstLine="480"/>
        <w:rPr>
          <w:rFonts w:ascii="宋体" w:hAnsi="宋体" w:eastAsia="宋体" w:cs="宋体"/>
          <w:color w:val="000000" w:themeColor="text1"/>
          <w:sz w:val="24"/>
          <w:szCs w:val="32"/>
          <w:highlight w:val="none"/>
          <w:lang w:val="zh-TW"/>
          <w14:textFill>
            <w14:solidFill>
              <w14:schemeClr w14:val="tx1"/>
            </w14:solidFill>
          </w14:textFill>
        </w:rPr>
      </w:pPr>
    </w:p>
    <w:p w14:paraId="7232F59F">
      <w:pPr>
        <w:spacing w:line="560" w:lineRule="exact"/>
        <w:ind w:firstLine="480"/>
        <w:rPr>
          <w:rFonts w:ascii="宋体" w:hAnsi="宋体" w:eastAsia="宋体" w:cs="宋体"/>
          <w:color w:val="000000" w:themeColor="text1"/>
          <w:sz w:val="24"/>
          <w:szCs w:val="32"/>
          <w:highlight w:val="none"/>
          <w:lang w:val="zh-TW"/>
          <w14:textFill>
            <w14:solidFill>
              <w14:schemeClr w14:val="tx1"/>
            </w14:solidFill>
          </w14:textFill>
        </w:rPr>
      </w:pPr>
    </w:p>
    <w:p w14:paraId="7CB5C8CF">
      <w:pPr>
        <w:jc w:val="center"/>
        <w:rPr>
          <w:rFonts w:ascii="宋体" w:hAnsi="宋体" w:eastAsia="宋体" w:cs="宋体"/>
          <w:b/>
          <w:bCs/>
          <w:color w:val="000000" w:themeColor="text1"/>
          <w:sz w:val="32"/>
          <w:szCs w:val="32"/>
          <w:highlight w:val="none"/>
          <w14:textFill>
            <w14:solidFill>
              <w14:schemeClr w14:val="tx1"/>
            </w14:solidFill>
          </w14:textFill>
        </w:rPr>
      </w:pPr>
      <w:bookmarkStart w:id="178" w:name="_格式2__法定代表人授权书"/>
      <w:bookmarkEnd w:id="178"/>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bCs/>
          <w:color w:val="000000" w:themeColor="text1"/>
          <w:sz w:val="32"/>
          <w:szCs w:val="32"/>
          <w:highlight w:val="none"/>
          <w14:textFill>
            <w14:solidFill>
              <w14:schemeClr w14:val="tx1"/>
            </w14:solidFill>
          </w14:textFill>
        </w:rPr>
        <w:t>质疑函范本</w:t>
      </w:r>
    </w:p>
    <w:p w14:paraId="44E4942A">
      <w:pPr>
        <w:spacing w:before="290" w:line="360" w:lineRule="auto"/>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一、质疑投标人基本信息</w:t>
      </w:r>
    </w:p>
    <w:p w14:paraId="7AE27185">
      <w:pPr>
        <w:spacing w:line="360" w:lineRule="auto"/>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质疑投标人：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32CAE880">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地址：</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邮编：</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4DEB1DB8">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联系电话：</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725BFB65">
      <w:pPr>
        <w:spacing w:line="360" w:lineRule="auto"/>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授权代表：</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61536738">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联系电话：</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0CF677FD">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邮编：</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457E6C46">
      <w:pPr>
        <w:spacing w:line="360" w:lineRule="auto"/>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二、质疑项目基本情况</w:t>
      </w:r>
    </w:p>
    <w:p w14:paraId="50169B27">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质疑项目的名称：</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4CCCEFFB">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质疑项目的编号：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包号：</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0A9DFDE6">
      <w:pPr>
        <w:spacing w:line="360" w:lineRule="auto"/>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招标人名称：</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262A24FD">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采购文件获取日期：</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52B1A56C">
      <w:pPr>
        <w:spacing w:line="360" w:lineRule="auto"/>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三、质疑事项具体内容</w:t>
      </w:r>
    </w:p>
    <w:p w14:paraId="32028C64">
      <w:pPr>
        <w:spacing w:line="360" w:lineRule="auto"/>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质疑事项1：</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2125B639">
      <w:pPr>
        <w:spacing w:line="360" w:lineRule="auto"/>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事实依据：</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5E000DC4">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0C8E5429">
      <w:pPr>
        <w:spacing w:line="360" w:lineRule="auto"/>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法律依据：</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5E616325">
      <w:pPr>
        <w:spacing w:line="360" w:lineRule="auto"/>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7372D487">
      <w:pPr>
        <w:spacing w:line="360" w:lineRule="auto"/>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质疑事项2</w:t>
      </w:r>
    </w:p>
    <w:p w14:paraId="0522EC1B">
      <w:pP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p>
    <w:p w14:paraId="03C71B4E">
      <w:pPr>
        <w:spacing w:line="360" w:lineRule="auto"/>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四、与质疑事项相关的质疑请求</w:t>
      </w:r>
    </w:p>
    <w:p w14:paraId="21145909">
      <w:pPr>
        <w:spacing w:line="360" w:lineRule="auto"/>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请求：</w:t>
      </w:r>
      <w:r>
        <w:rPr>
          <w:rFonts w:hint="eastAsia" w:ascii="宋体" w:hAnsi="宋体" w:eastAsia="宋体" w:cs="宋体"/>
          <w:color w:val="000000" w:themeColor="text1"/>
          <w:sz w:val="24"/>
          <w:highlight w:val="none"/>
          <w:u w:val="single"/>
          <w14:textFill>
            <w14:solidFill>
              <w14:schemeClr w14:val="tx1"/>
            </w14:solidFill>
          </w14:textFill>
        </w:rPr>
        <w:t xml:space="preserve">                                                                     </w:t>
      </w:r>
    </w:p>
    <w:p w14:paraId="7A1137E7">
      <w:pP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签字（签章）：                   公章：                      </w:t>
      </w:r>
    </w:p>
    <w:p w14:paraId="4F3547EC">
      <w:pPr>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w:t>
      </w:r>
    </w:p>
    <w:p w14:paraId="37AA2BBD">
      <w:pPr>
        <w:spacing w:line="500" w:lineRule="exact"/>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质疑函制作说明：</w:t>
      </w:r>
    </w:p>
    <w:p w14:paraId="4D0F98E3">
      <w:pPr>
        <w:widowControl/>
        <w:spacing w:line="500"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1.投标人提出质疑时，应提交质疑函和必要的证明材料。</w:t>
      </w:r>
    </w:p>
    <w:p w14:paraId="648C87EC">
      <w:pPr>
        <w:widowControl/>
        <w:spacing w:line="500"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29754A49">
      <w:pPr>
        <w:widowControl/>
        <w:spacing w:line="500"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3.质疑投标人若对项目的某一</w:t>
      </w:r>
      <w:r>
        <w:rPr>
          <w:rFonts w:hint="eastAsia" w:ascii="宋体" w:hAnsi="宋体" w:eastAsia="宋体" w:cs="宋体"/>
          <w:color w:val="000000" w:themeColor="text1"/>
          <w:sz w:val="24"/>
          <w:highlight w:val="none"/>
          <w:lang w:val="en-US" w:eastAsia="zh-CN"/>
          <w14:textFill>
            <w14:solidFill>
              <w14:schemeClr w14:val="tx1"/>
            </w14:solidFill>
          </w14:textFill>
        </w:rPr>
        <w:t>采购包</w:t>
      </w:r>
      <w:r>
        <w:rPr>
          <w:rFonts w:hint="eastAsia" w:ascii="宋体" w:hAnsi="宋体" w:eastAsia="宋体" w:cs="宋体"/>
          <w:color w:val="000000" w:themeColor="text1"/>
          <w:sz w:val="24"/>
          <w:highlight w:val="none"/>
          <w14:textFill>
            <w14:solidFill>
              <w14:schemeClr w14:val="tx1"/>
            </w14:solidFill>
          </w14:textFill>
        </w:rPr>
        <w:t>进行质疑，质疑函中应列明具体</w:t>
      </w:r>
      <w:r>
        <w:rPr>
          <w:rFonts w:hint="eastAsia" w:ascii="宋体" w:hAnsi="宋体" w:eastAsia="宋体" w:cs="宋体"/>
          <w:color w:val="000000" w:themeColor="text1"/>
          <w:sz w:val="24"/>
          <w:highlight w:val="none"/>
          <w:lang w:val="en-US" w:eastAsia="zh-CN"/>
          <w14:textFill>
            <w14:solidFill>
              <w14:schemeClr w14:val="tx1"/>
            </w14:solidFill>
          </w14:textFill>
        </w:rPr>
        <w:t>采购包</w:t>
      </w:r>
      <w:r>
        <w:rPr>
          <w:rFonts w:hint="eastAsia" w:ascii="宋体" w:hAnsi="宋体" w:eastAsia="宋体" w:cs="宋体"/>
          <w:color w:val="000000" w:themeColor="text1"/>
          <w:sz w:val="24"/>
          <w:highlight w:val="none"/>
          <w14:textFill>
            <w14:solidFill>
              <w14:schemeClr w14:val="tx1"/>
            </w14:solidFill>
          </w14:textFill>
        </w:rPr>
        <w:t>号。</w:t>
      </w:r>
    </w:p>
    <w:p w14:paraId="5FAD3D5F">
      <w:pPr>
        <w:widowControl/>
        <w:spacing w:line="500"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4.质疑函的质疑事项应具体、明确，并有必要的事实依据和法律依据。</w:t>
      </w:r>
    </w:p>
    <w:p w14:paraId="7AB1AFBB">
      <w:pPr>
        <w:widowControl/>
        <w:spacing w:line="500"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5.质疑函的质疑请求应与质疑事项相关。</w:t>
      </w:r>
    </w:p>
    <w:p w14:paraId="48ECC16C">
      <w:pPr>
        <w:widowControl/>
        <w:spacing w:line="500" w:lineRule="exact"/>
        <w:ind w:firstLine="480"/>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6.质疑投标人为自然人的，质疑函应由本人签字；质疑投标人为法人或者其他组织的，质疑函应由法定代表人、主要负责人，或者其授权代表签字或者盖章，并加盖公章。</w:t>
      </w:r>
    </w:p>
    <w:p w14:paraId="0EEBE847">
      <w:pPr>
        <w:widowControl/>
        <w:spacing w:line="400" w:lineRule="exact"/>
        <w:ind w:firstLine="480"/>
        <w:jc w:val="left"/>
        <w:rPr>
          <w:rFonts w:ascii="宋体" w:hAnsi="宋体" w:eastAsia="宋体" w:cs="宋体"/>
          <w:color w:val="000000" w:themeColor="text1"/>
          <w:sz w:val="24"/>
          <w:highlight w:val="none"/>
          <w14:textFill>
            <w14:solidFill>
              <w14:schemeClr w14:val="tx1"/>
            </w14:solidFill>
          </w14:textFill>
        </w:rPr>
      </w:pPr>
    </w:p>
    <w:p w14:paraId="21DCC105">
      <w:pPr>
        <w:ind w:firstLine="420"/>
        <w:rPr>
          <w:rFonts w:ascii="宋体" w:hAnsi="宋体" w:eastAsia="宋体" w:cs="宋体"/>
          <w:color w:val="000000" w:themeColor="text1"/>
          <w:sz w:val="24"/>
          <w:highlight w:val="none"/>
          <w14:textFill>
            <w14:solidFill>
              <w14:schemeClr w14:val="tx1"/>
            </w14:solidFill>
          </w14:textFill>
        </w:rPr>
      </w:pPr>
    </w:p>
    <w:p w14:paraId="3548BC92">
      <w:pPr>
        <w:ind w:firstLine="420"/>
        <w:rPr>
          <w:rFonts w:ascii="宋体" w:hAnsi="宋体" w:eastAsia="宋体" w:cs="宋体"/>
          <w:color w:val="000000" w:themeColor="text1"/>
          <w:sz w:val="24"/>
          <w:highlight w:val="none"/>
          <w14:textFill>
            <w14:solidFill>
              <w14:schemeClr w14:val="tx1"/>
            </w14:solidFill>
          </w14:textFill>
        </w:rPr>
      </w:pPr>
    </w:p>
    <w:p w14:paraId="7FEA647D">
      <w:pPr>
        <w:rPr>
          <w:rFonts w:ascii="宋体" w:hAnsi="宋体" w:eastAsia="宋体" w:cs="宋体"/>
          <w:color w:val="000000" w:themeColor="text1"/>
          <w:szCs w:val="21"/>
          <w:highlight w:val="none"/>
          <w14:textFill>
            <w14:solidFill>
              <w14:schemeClr w14:val="tx1"/>
            </w14:solidFill>
          </w14:textFill>
        </w:rPr>
      </w:pPr>
    </w:p>
    <w:p w14:paraId="0E54DEFE">
      <w:pPr>
        <w:rPr>
          <w:rFonts w:ascii="宋体" w:hAnsi="宋体" w:eastAsia="宋体" w:cs="宋体"/>
          <w:color w:val="000000" w:themeColor="text1"/>
          <w:szCs w:val="21"/>
          <w:highlight w:val="none"/>
          <w14:textFill>
            <w14:solidFill>
              <w14:schemeClr w14:val="tx1"/>
            </w14:solidFill>
          </w14:textFill>
        </w:rPr>
      </w:pPr>
    </w:p>
    <w:p w14:paraId="1B61E41F">
      <w:pPr>
        <w:rPr>
          <w:rFonts w:ascii="宋体" w:hAnsi="宋体" w:eastAsia="宋体" w:cs="宋体"/>
          <w:color w:val="000000" w:themeColor="text1"/>
          <w:highlight w:val="none"/>
          <w14:textFill>
            <w14:solidFill>
              <w14:schemeClr w14:val="tx1"/>
            </w14:solidFill>
          </w14:textFill>
        </w:rPr>
      </w:pPr>
    </w:p>
    <w:p w14:paraId="6F7C13D7">
      <w:pPr>
        <w:rPr>
          <w:rFonts w:ascii="宋体" w:hAnsi="宋体" w:eastAsia="宋体" w:cs="宋体"/>
          <w:color w:val="000000" w:themeColor="text1"/>
          <w:highlight w:val="none"/>
          <w14:textFill>
            <w14:solidFill>
              <w14:schemeClr w14:val="tx1"/>
            </w14:solidFill>
          </w14:textFill>
        </w:rPr>
      </w:pPr>
    </w:p>
    <w:p w14:paraId="3CBBD8BC">
      <w:pPr>
        <w:rPr>
          <w:color w:val="000000" w:themeColor="text1"/>
          <w:highlight w:val="none"/>
          <w14:textFill>
            <w14:solidFill>
              <w14:schemeClr w14:val="tx1"/>
            </w14:solidFill>
          </w14:textFill>
        </w:rPr>
      </w:pPr>
    </w:p>
    <w:sectPr>
      <w:pgSz w:w="11906" w:h="16838"/>
      <w:pgMar w:top="1418" w:right="1588" w:bottom="1418" w:left="1365"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C69D6">
    <w:pPr>
      <w:rPr>
        <w:rFonts w:ascii="Times New Roman" w:hAnsi="Times New Roman" w:eastAsia="宋体" w:cs="Times New Roman"/>
        <w:b/>
        <w: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25184B">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1DkIrDsCAABxBAAADgAAAAAAAAABACAAAAAfAQAAZHJzL2Uyb0Rv&#10;Yy54bWxQSwUGAAAAAAYABgBZAQAAzAUAAAAA&#10;">
              <v:fill on="f" focussize="0,0"/>
              <v:stroke on="f" weight="0.5pt"/>
              <v:imagedata o:title=""/>
              <o:lock v:ext="edit" aspectratio="f"/>
              <v:textbox inset="0mm,0mm,0mm,0mm" style="mso-fit-shape-to-text:t;">
                <w:txbxContent>
                  <w:p w14:paraId="3725184B">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5E567">
    <w:pPr>
      <w:pStyle w:val="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98A14F">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J3ZuA8AgAAcQQAAA4AAAAAAAAAAQAgAAAAHwEAAGRycy9lMm9E&#10;b2MueG1sUEsFBgAAAAAGAAYAWQEAAM0FAAAAAA==&#10;">
              <v:fill on="f" focussize="0,0"/>
              <v:stroke on="f" weight="0.5pt"/>
              <v:imagedata o:title=""/>
              <o:lock v:ext="edit" aspectratio="f"/>
              <v:textbox inset="0mm,0mm,0mm,0mm" style="mso-fit-shape-to-text:t;">
                <w:txbxContent>
                  <w:p w14:paraId="4498A14F">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1C0E5F">
    <w:pPr>
      <w:tabs>
        <w:tab w:val="center" w:pos="4153"/>
        <w:tab w:val="right" w:pos="8306"/>
      </w:tabs>
      <w:jc w:val="center"/>
      <w:rPr>
        <w:rFonts w:ascii="Times New Roman" w:hAnsi="Times New Roman" w:eastAsia="宋体" w:cs="Times New Roman"/>
        <w:b/>
        <w: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E58DD">
                          <w:pPr>
                            <w:pStyle w:val="20"/>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CE2fhw8AgAAcQQAAA4AAAAAAAAAAQAgAAAAHwEAAGRycy9lMm9E&#10;b2MueG1sUEsFBgAAAAAGAAYAWQEAAM0FAAAAAA==&#10;">
              <v:fill on="f" focussize="0,0"/>
              <v:stroke on="f" weight="0.5pt"/>
              <v:imagedata o:title=""/>
              <o:lock v:ext="edit" aspectratio="f"/>
              <v:textbox inset="0mm,0mm,0mm,0mm" style="mso-fit-shape-to-text:t;">
                <w:txbxContent>
                  <w:p w14:paraId="019E58DD">
                    <w:pPr>
                      <w:pStyle w:val="20"/>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64855">
    <w:pPr>
      <w:tabs>
        <w:tab w:val="center" w:pos="4153"/>
        <w:tab w:val="right" w:pos="8306"/>
      </w:tabs>
      <w:rPr>
        <w:rFonts w:ascii="Times New Roman" w:hAnsi="Times New Roman" w:eastAsia="宋体"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85120">
                          <w:pPr>
                            <w:pStyle w:val="20"/>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LlxkxY8AgAAcQQAAA4AAAAAAAAAAQAgAAAAHwEAAGRycy9lMm9E&#10;b2MueG1sUEsFBgAAAAAGAAYAWQEAAM0FAAAAAA==&#10;">
              <v:fill on="f" focussize="0,0"/>
              <v:stroke on="f" weight="0.5pt"/>
              <v:imagedata o:title=""/>
              <o:lock v:ext="edit" aspectratio="f"/>
              <v:textbox inset="0mm,0mm,0mm,0mm" style="mso-fit-shape-to-text:t;">
                <w:txbxContent>
                  <w:p w14:paraId="57285120">
                    <w:pPr>
                      <w:pStyle w:val="20"/>
                    </w:pPr>
                    <w:r>
                      <w:fldChar w:fldCharType="begin"/>
                    </w:r>
                    <w:r>
                      <w:instrText xml:space="preserve"> PAGE  \* MERGEFORMAT </w:instrText>
                    </w:r>
                    <w:r>
                      <w:fldChar w:fldCharType="separate"/>
                    </w:r>
                    <w:r>
                      <w:t>48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E977F">
    <w:pPr>
      <w:jc w:val="center"/>
      <w:rPr>
        <w:rFonts w:ascii="Times New Roman" w:hAnsi="Times New Roman" w:eastAsia="宋体" w:cs="Times New Roman"/>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28699">
    <w:pPr>
      <w:tabs>
        <w:tab w:val="center" w:pos="4153"/>
        <w:tab w:val="right" w:pos="8306"/>
      </w:tabs>
      <w:jc w:val="center"/>
      <w:rPr>
        <w:rFonts w:ascii="Times New Roman" w:hAnsi="Times New Roman" w:eastAsia="宋体" w:cs="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2EF7210E"/>
    <w:multiLevelType w:val="singleLevel"/>
    <w:tmpl w:val="2EF7210E"/>
    <w:lvl w:ilvl="0" w:tentative="0">
      <w:start w:val="5"/>
      <w:numFmt w:val="chineseCounting"/>
      <w:suff w:val="nothing"/>
      <w:lvlText w:val="（%1）"/>
      <w:lvlJc w:val="left"/>
      <w:rPr>
        <w:rFonts w:hint="eastAsia"/>
      </w:rPr>
    </w:lvl>
  </w:abstractNum>
  <w:abstractNum w:abstractNumId="2">
    <w:nsid w:val="51811E3C"/>
    <w:multiLevelType w:val="singleLevel"/>
    <w:tmpl w:val="51811E3C"/>
    <w:lvl w:ilvl="0" w:tentative="0">
      <w:start w:val="2"/>
      <w:numFmt w:val="decimal"/>
      <w:lvlText w:val="%1."/>
      <w:lvlJc w:val="left"/>
      <w:pPr>
        <w:tabs>
          <w:tab w:val="left" w:pos="312"/>
        </w:tabs>
      </w:pPr>
    </w:lvl>
  </w:abstractNum>
  <w:abstractNum w:abstractNumId="3">
    <w:nsid w:val="59ADCABA"/>
    <w:multiLevelType w:val="multilevel"/>
    <w:tmpl w:val="59ADCABA"/>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72DCA39A"/>
    <w:multiLevelType w:val="singleLevel"/>
    <w:tmpl w:val="72DCA39A"/>
    <w:lvl w:ilvl="0" w:tentative="0">
      <w:start w:val="4"/>
      <w:numFmt w:val="chineseCounting"/>
      <w:suff w:val="nothing"/>
      <w:lvlText w:val="%1、"/>
      <w:lvlJc w:val="left"/>
      <w:rPr>
        <w:rFonts w:hint="eastAsia"/>
      </w:rPr>
    </w:lvl>
  </w:abstractNum>
  <w:abstractNum w:abstractNumId="5">
    <w:nsid w:val="7CDE6266"/>
    <w:multiLevelType w:val="singleLevel"/>
    <w:tmpl w:val="7CDE6266"/>
    <w:lvl w:ilvl="0" w:tentative="0">
      <w:start w:val="1"/>
      <w:numFmt w:val="chineseCounting"/>
      <w:suff w:val="nothing"/>
      <w:lvlText w:val="（%1）"/>
      <w:lvlJc w:val="left"/>
      <w:rPr>
        <w:rFonts w:hint="eastAsia"/>
      </w:rPr>
    </w:lvl>
  </w:abstractNum>
  <w:num w:numId="1">
    <w:abstractNumId w:val="4"/>
  </w:num>
  <w:num w:numId="2">
    <w:abstractNumId w:val="5"/>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160F0D"/>
    <w:rsid w:val="02251150"/>
    <w:rsid w:val="02322D20"/>
    <w:rsid w:val="02D81522"/>
    <w:rsid w:val="04243DB5"/>
    <w:rsid w:val="04497102"/>
    <w:rsid w:val="04F94333"/>
    <w:rsid w:val="06783F44"/>
    <w:rsid w:val="08856DEC"/>
    <w:rsid w:val="097430E9"/>
    <w:rsid w:val="0AC23BD1"/>
    <w:rsid w:val="0BEC0234"/>
    <w:rsid w:val="0C721436"/>
    <w:rsid w:val="0C85560D"/>
    <w:rsid w:val="0DBC0BBA"/>
    <w:rsid w:val="0E7D2A40"/>
    <w:rsid w:val="0ED40186"/>
    <w:rsid w:val="0EE52393"/>
    <w:rsid w:val="101F4799"/>
    <w:rsid w:val="12062D4C"/>
    <w:rsid w:val="12231403"/>
    <w:rsid w:val="124243B3"/>
    <w:rsid w:val="12D06EB6"/>
    <w:rsid w:val="14101C60"/>
    <w:rsid w:val="14926B19"/>
    <w:rsid w:val="1582093B"/>
    <w:rsid w:val="15920D1C"/>
    <w:rsid w:val="15A05265"/>
    <w:rsid w:val="15C9656A"/>
    <w:rsid w:val="16EA58C1"/>
    <w:rsid w:val="17BD3EAD"/>
    <w:rsid w:val="18117D55"/>
    <w:rsid w:val="1860294B"/>
    <w:rsid w:val="18ED6A14"/>
    <w:rsid w:val="193208CA"/>
    <w:rsid w:val="19A5109C"/>
    <w:rsid w:val="19BA177B"/>
    <w:rsid w:val="1A736AA5"/>
    <w:rsid w:val="1A805DDF"/>
    <w:rsid w:val="1AEC6857"/>
    <w:rsid w:val="1B4E57FD"/>
    <w:rsid w:val="1B743FAF"/>
    <w:rsid w:val="1B7F1479"/>
    <w:rsid w:val="1C314E69"/>
    <w:rsid w:val="1C7A05BE"/>
    <w:rsid w:val="1D100F23"/>
    <w:rsid w:val="1D7F39B2"/>
    <w:rsid w:val="1DE71C83"/>
    <w:rsid w:val="1E636E30"/>
    <w:rsid w:val="1EAA2F55"/>
    <w:rsid w:val="1F861028"/>
    <w:rsid w:val="1FC81641"/>
    <w:rsid w:val="20D9162C"/>
    <w:rsid w:val="21294361"/>
    <w:rsid w:val="2205092A"/>
    <w:rsid w:val="22564482"/>
    <w:rsid w:val="226A714E"/>
    <w:rsid w:val="235651B5"/>
    <w:rsid w:val="237B69CA"/>
    <w:rsid w:val="237F64BA"/>
    <w:rsid w:val="242E1C8E"/>
    <w:rsid w:val="24B74AB8"/>
    <w:rsid w:val="251315B0"/>
    <w:rsid w:val="2527505B"/>
    <w:rsid w:val="253B0B07"/>
    <w:rsid w:val="256F6E56"/>
    <w:rsid w:val="26505FC4"/>
    <w:rsid w:val="268F2EB8"/>
    <w:rsid w:val="27030D76"/>
    <w:rsid w:val="277A5916"/>
    <w:rsid w:val="27D843EB"/>
    <w:rsid w:val="28B7310E"/>
    <w:rsid w:val="28CF1C92"/>
    <w:rsid w:val="292D3962"/>
    <w:rsid w:val="29433779"/>
    <w:rsid w:val="295D1AE5"/>
    <w:rsid w:val="29FA0F90"/>
    <w:rsid w:val="2A5749FC"/>
    <w:rsid w:val="2AD27817"/>
    <w:rsid w:val="2B404781"/>
    <w:rsid w:val="2D1E4F96"/>
    <w:rsid w:val="2D2C1E4D"/>
    <w:rsid w:val="2D542766"/>
    <w:rsid w:val="2D81734B"/>
    <w:rsid w:val="2DEF248E"/>
    <w:rsid w:val="2E5B7B24"/>
    <w:rsid w:val="2EA86D20"/>
    <w:rsid w:val="2F634EE2"/>
    <w:rsid w:val="2F7D7BFE"/>
    <w:rsid w:val="2F8337D6"/>
    <w:rsid w:val="300D4E4E"/>
    <w:rsid w:val="304F2F3D"/>
    <w:rsid w:val="307F3A16"/>
    <w:rsid w:val="308B0B94"/>
    <w:rsid w:val="309C4B4F"/>
    <w:rsid w:val="30B1358F"/>
    <w:rsid w:val="30FF0978"/>
    <w:rsid w:val="3138414C"/>
    <w:rsid w:val="315A40C3"/>
    <w:rsid w:val="31EB11BF"/>
    <w:rsid w:val="31F664E1"/>
    <w:rsid w:val="326C2300"/>
    <w:rsid w:val="32AC6713"/>
    <w:rsid w:val="338B4A07"/>
    <w:rsid w:val="34E645EB"/>
    <w:rsid w:val="36266C69"/>
    <w:rsid w:val="371B6F9D"/>
    <w:rsid w:val="37A83DDA"/>
    <w:rsid w:val="38AF73EA"/>
    <w:rsid w:val="3B0A0908"/>
    <w:rsid w:val="3B3616FD"/>
    <w:rsid w:val="3BD02487"/>
    <w:rsid w:val="3C2974B3"/>
    <w:rsid w:val="3CE33B06"/>
    <w:rsid w:val="3D08531B"/>
    <w:rsid w:val="3DC65327"/>
    <w:rsid w:val="3DDF6293"/>
    <w:rsid w:val="3E4110D7"/>
    <w:rsid w:val="3E5E4F1E"/>
    <w:rsid w:val="3E884D3E"/>
    <w:rsid w:val="3F827606"/>
    <w:rsid w:val="3F984734"/>
    <w:rsid w:val="3FAF7CCF"/>
    <w:rsid w:val="3FE94F8F"/>
    <w:rsid w:val="41E64A44"/>
    <w:rsid w:val="422A188F"/>
    <w:rsid w:val="42744B24"/>
    <w:rsid w:val="42D51A60"/>
    <w:rsid w:val="43FA3C0F"/>
    <w:rsid w:val="45765517"/>
    <w:rsid w:val="46971BE9"/>
    <w:rsid w:val="46DD15C6"/>
    <w:rsid w:val="4710374A"/>
    <w:rsid w:val="4718745E"/>
    <w:rsid w:val="47583313"/>
    <w:rsid w:val="47AC615E"/>
    <w:rsid w:val="47C3221B"/>
    <w:rsid w:val="47CF0F0F"/>
    <w:rsid w:val="48052B82"/>
    <w:rsid w:val="48DB38E3"/>
    <w:rsid w:val="4A8A779D"/>
    <w:rsid w:val="4AE03433"/>
    <w:rsid w:val="4AEA6060"/>
    <w:rsid w:val="4B320132"/>
    <w:rsid w:val="4BAF1783"/>
    <w:rsid w:val="4BF64A53"/>
    <w:rsid w:val="4E6A0907"/>
    <w:rsid w:val="4EBE143F"/>
    <w:rsid w:val="4F642884"/>
    <w:rsid w:val="4F8D1DDB"/>
    <w:rsid w:val="4FB9443F"/>
    <w:rsid w:val="4FBE7C5D"/>
    <w:rsid w:val="4FE34B53"/>
    <w:rsid w:val="51237B2B"/>
    <w:rsid w:val="51613056"/>
    <w:rsid w:val="51DF05C2"/>
    <w:rsid w:val="54F65B02"/>
    <w:rsid w:val="550A17D8"/>
    <w:rsid w:val="55E02539"/>
    <w:rsid w:val="55FF6AA8"/>
    <w:rsid w:val="56130B60"/>
    <w:rsid w:val="59C008B0"/>
    <w:rsid w:val="59C26161"/>
    <w:rsid w:val="5B5714EF"/>
    <w:rsid w:val="5BBB7CD0"/>
    <w:rsid w:val="5C480E38"/>
    <w:rsid w:val="5D0C7246"/>
    <w:rsid w:val="5D935EDD"/>
    <w:rsid w:val="5DAA4F99"/>
    <w:rsid w:val="5E177E70"/>
    <w:rsid w:val="5E304448"/>
    <w:rsid w:val="5E6A32E8"/>
    <w:rsid w:val="5E7B3747"/>
    <w:rsid w:val="5F3758C0"/>
    <w:rsid w:val="5F9A7D24"/>
    <w:rsid w:val="5FD446C6"/>
    <w:rsid w:val="5FDC1FC3"/>
    <w:rsid w:val="606F3406"/>
    <w:rsid w:val="607D1C07"/>
    <w:rsid w:val="614302DD"/>
    <w:rsid w:val="615E268C"/>
    <w:rsid w:val="63CB65D6"/>
    <w:rsid w:val="641A755E"/>
    <w:rsid w:val="6434612D"/>
    <w:rsid w:val="64B957DA"/>
    <w:rsid w:val="64C80D68"/>
    <w:rsid w:val="6522334B"/>
    <w:rsid w:val="65442AE4"/>
    <w:rsid w:val="66B12029"/>
    <w:rsid w:val="66E005EB"/>
    <w:rsid w:val="67044F7F"/>
    <w:rsid w:val="68B03FED"/>
    <w:rsid w:val="69780FAF"/>
    <w:rsid w:val="69CB429F"/>
    <w:rsid w:val="6A0E683A"/>
    <w:rsid w:val="6AE461D0"/>
    <w:rsid w:val="6B2F1B41"/>
    <w:rsid w:val="6B5C220A"/>
    <w:rsid w:val="6B715CB5"/>
    <w:rsid w:val="6C335661"/>
    <w:rsid w:val="6D857C81"/>
    <w:rsid w:val="6DF36E56"/>
    <w:rsid w:val="6ED21161"/>
    <w:rsid w:val="6F8D7496"/>
    <w:rsid w:val="710F0455"/>
    <w:rsid w:val="72227D09"/>
    <w:rsid w:val="735C724B"/>
    <w:rsid w:val="7399049F"/>
    <w:rsid w:val="7450329B"/>
    <w:rsid w:val="74AA048A"/>
    <w:rsid w:val="755723C0"/>
    <w:rsid w:val="75C701D8"/>
    <w:rsid w:val="75EB5431"/>
    <w:rsid w:val="76065B94"/>
    <w:rsid w:val="76453A15"/>
    <w:rsid w:val="76DB0DCF"/>
    <w:rsid w:val="76EE3728"/>
    <w:rsid w:val="76EF1DF0"/>
    <w:rsid w:val="77291B3A"/>
    <w:rsid w:val="774467F3"/>
    <w:rsid w:val="77C74EAF"/>
    <w:rsid w:val="78190928"/>
    <w:rsid w:val="78631368"/>
    <w:rsid w:val="790F6B0E"/>
    <w:rsid w:val="7962376E"/>
    <w:rsid w:val="797057FE"/>
    <w:rsid w:val="79A25BD4"/>
    <w:rsid w:val="79B841EB"/>
    <w:rsid w:val="79F95D73"/>
    <w:rsid w:val="7A3449A8"/>
    <w:rsid w:val="7AB1259D"/>
    <w:rsid w:val="7AF1471D"/>
    <w:rsid w:val="7C3A6597"/>
    <w:rsid w:val="7C7E0232"/>
    <w:rsid w:val="7CCC3693"/>
    <w:rsid w:val="7E266F7F"/>
    <w:rsid w:val="7EAF0B77"/>
    <w:rsid w:val="7EDF2CD5"/>
    <w:rsid w:val="7F6C4DEE"/>
    <w:rsid w:val="7F73429A"/>
    <w:rsid w:val="7F9164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3">
    <w:name w:val="heading 2"/>
    <w:next w:val="4"/>
    <w:qFormat/>
    <w:uiPriority w:val="0"/>
    <w:pPr>
      <w:keepNext/>
      <w:keepLines/>
      <w:widowControl w:val="0"/>
      <w:spacing w:before="260" w:after="260" w:line="413" w:lineRule="auto"/>
      <w:jc w:val="both"/>
      <w:outlineLvl w:val="1"/>
    </w:pPr>
    <w:rPr>
      <w:rFonts w:hint="default" w:ascii="Arial" w:hAnsi="Arial" w:eastAsia="黑体" w:cs="Times New Roman"/>
      <w:b/>
      <w:sz w:val="32"/>
      <w:lang w:val="en-US" w:eastAsia="zh-CN" w:bidi="ar-SA"/>
    </w:rPr>
  </w:style>
  <w:style w:type="paragraph" w:styleId="5">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4">
    <w:name w:val="Normal Indent"/>
    <w:qFormat/>
    <w:uiPriority w:val="0"/>
    <w:pPr>
      <w:widowControl w:val="0"/>
      <w:ind w:firstLine="420"/>
      <w:jc w:val="both"/>
    </w:pPr>
    <w:rPr>
      <w:rFonts w:hint="default" w:ascii="宋体" w:hAnsi="Calibri" w:eastAsia="宋体" w:cs="Times New Roman"/>
      <w:color w:val="000000"/>
      <w:sz w:val="24"/>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Body Text"/>
    <w:basedOn w:val="1"/>
    <w:next w:val="15"/>
    <w:qFormat/>
    <w:uiPriority w:val="0"/>
    <w:rPr>
      <w:rFonts w:ascii="宋体" w:hAnsi="宋体" w:eastAsia="宋体" w:cs="宋体"/>
      <w:sz w:val="30"/>
      <w:szCs w:val="30"/>
      <w:lang w:val="en-US" w:eastAsia="en-US" w:bidi="ar-SA"/>
    </w:rPr>
  </w:style>
  <w:style w:type="paragraph" w:customStyle="1" w:styleId="1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8"/>
    <w:semiHidden/>
    <w:unhideWhenUsed/>
    <w:qFormat/>
    <w:uiPriority w:val="99"/>
    <w:pPr>
      <w:spacing w:after="0" w:line="240" w:lineRule="auto"/>
    </w:pPr>
    <w:rPr>
      <w:sz w:val="20"/>
    </w:rPr>
  </w:style>
  <w:style w:type="paragraph" w:styleId="20">
    <w:name w:val="footer"/>
    <w:qFormat/>
    <w:uiPriority w:val="0"/>
    <w:pPr>
      <w:widowControl w:val="0"/>
      <w:tabs>
        <w:tab w:val="center" w:pos="4153"/>
        <w:tab w:val="right" w:pos="8306"/>
      </w:tabs>
    </w:pPr>
    <w:rPr>
      <w:rFonts w:hint="default" w:asciiTheme="minorHAnsi" w:hAnsiTheme="minorHAnsi" w:eastAsiaTheme="minorEastAsia" w:cstheme="minorBidi"/>
      <w:sz w:val="18"/>
      <w:szCs w:val="24"/>
      <w:lang w:val="en-US" w:eastAsia="zh-CN" w:bidi="ar-SA"/>
    </w:rPr>
  </w:style>
  <w:style w:type="paragraph" w:styleId="21">
    <w:name w:val="header"/>
    <w:basedOn w:val="1"/>
    <w:link w:val="59"/>
    <w:unhideWhenUsed/>
    <w:qFormat/>
    <w:uiPriority w:val="99"/>
    <w:pPr>
      <w:tabs>
        <w:tab w:val="center" w:pos="7143"/>
        <w:tab w:val="right" w:pos="14287"/>
      </w:tabs>
      <w:spacing w:after="0" w:line="240" w:lineRule="auto"/>
    </w:pPr>
  </w:style>
  <w:style w:type="paragraph" w:styleId="22">
    <w:name w:val="toc 1"/>
    <w:next w:val="1"/>
    <w:qFormat/>
    <w:uiPriority w:val="39"/>
    <w:pPr>
      <w:widowControl w:val="0"/>
      <w:jc w:val="both"/>
    </w:pPr>
    <w:rPr>
      <w:rFonts w:hint="default" w:asciiTheme="minorHAnsi" w:hAnsiTheme="minorHAnsi" w:eastAsiaTheme="minorEastAsia" w:cstheme="minorBidi"/>
      <w:sz w:val="21"/>
      <w:szCs w:val="24"/>
      <w:lang w:val="en-US" w:eastAsia="zh-CN" w:bidi="ar-SA"/>
    </w:r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4"/>
    <w:qFormat/>
    <w:uiPriority w:val="11"/>
    <w:pPr>
      <w:spacing w:before="200" w:after="200"/>
    </w:pPr>
    <w:rPr>
      <w:sz w:val="24"/>
      <w:szCs w:val="24"/>
    </w:rPr>
  </w:style>
  <w:style w:type="paragraph" w:styleId="25">
    <w:name w:val="footnote text"/>
    <w:basedOn w:val="1"/>
    <w:link w:val="187"/>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semiHidden/>
    <w:unhideWhenUsed/>
    <w:qFormat/>
    <w:uiPriority w:val="99"/>
    <w:rPr>
      <w:sz w:val="24"/>
    </w:rPr>
  </w:style>
  <w:style w:type="paragraph" w:styleId="31">
    <w:name w:val="Title"/>
    <w:basedOn w:val="1"/>
    <w:next w:val="1"/>
    <w:link w:val="53"/>
    <w:qFormat/>
    <w:uiPriority w:val="10"/>
    <w:pPr>
      <w:spacing w:before="300" w:after="200"/>
      <w:contextualSpacing/>
    </w:pPr>
    <w:rPr>
      <w:sz w:val="48"/>
      <w:szCs w:val="48"/>
    </w:rPr>
  </w:style>
  <w:style w:type="paragraph" w:styleId="32">
    <w:name w:val="Body Text First Indent"/>
    <w:basedOn w:val="14"/>
    <w:unhideWhenUsed/>
    <w:qFormat/>
    <w:uiPriority w:val="99"/>
    <w:pPr>
      <w:ind w:firstLine="420" w:firstLineChars="100"/>
    </w:pPr>
  </w:style>
  <w:style w:type="table" w:styleId="34">
    <w:name w:val="Table Grid"/>
    <w:basedOn w:val="3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6">
    <w:name w:val="endnote reference"/>
    <w:basedOn w:val="35"/>
    <w:semiHidden/>
    <w:unhideWhenUsed/>
    <w:qFormat/>
    <w:uiPriority w:val="99"/>
    <w:rPr>
      <w:vertAlign w:val="superscript"/>
    </w:rPr>
  </w:style>
  <w:style w:type="character" w:styleId="37">
    <w:name w:val="FollowedHyperlink"/>
    <w:basedOn w:val="35"/>
    <w:semiHidden/>
    <w:unhideWhenUsed/>
    <w:qFormat/>
    <w:uiPriority w:val="99"/>
    <w:rPr>
      <w:color w:val="333333"/>
      <w:u w:val="none"/>
    </w:rPr>
  </w:style>
  <w:style w:type="character" w:styleId="38">
    <w:name w:val="Hyperlink"/>
    <w:basedOn w:val="35"/>
    <w:unhideWhenUsed/>
    <w:qFormat/>
    <w:uiPriority w:val="99"/>
    <w:rPr>
      <w:color w:val="0026E5" w:themeColor="hyperlink"/>
      <w:u w:val="single"/>
      <w14:textFill>
        <w14:solidFill>
          <w14:schemeClr w14:val="hlink"/>
        </w14:solidFill>
      </w14:textFill>
    </w:rPr>
  </w:style>
  <w:style w:type="character" w:styleId="39">
    <w:name w:val="footnote reference"/>
    <w:basedOn w:val="35"/>
    <w:unhideWhenUsed/>
    <w:qFormat/>
    <w:uiPriority w:val="99"/>
    <w:rPr>
      <w:vertAlign w:val="superscript"/>
    </w:rPr>
  </w:style>
  <w:style w:type="paragraph" w:customStyle="1" w:styleId="40">
    <w:name w:val="BodyText1I1"/>
    <w:basedOn w:val="41"/>
    <w:next w:val="1"/>
    <w:qFormat/>
    <w:uiPriority w:val="0"/>
    <w:pPr>
      <w:spacing w:after="120"/>
      <w:ind w:firstLine="420"/>
    </w:pPr>
    <w:rPr>
      <w:sz w:val="24"/>
    </w:rPr>
  </w:style>
  <w:style w:type="paragraph" w:customStyle="1" w:styleId="41">
    <w:name w:val="BodyText1"/>
    <w:basedOn w:val="1"/>
    <w:qFormat/>
    <w:uiPriority w:val="0"/>
    <w:rPr>
      <w:sz w:val="32"/>
    </w:rPr>
  </w:style>
  <w:style w:type="character" w:customStyle="1" w:styleId="42">
    <w:name w:val="Heading 1 Char"/>
    <w:basedOn w:val="35"/>
    <w:link w:val="2"/>
    <w:qFormat/>
    <w:uiPriority w:val="9"/>
    <w:rPr>
      <w:rFonts w:ascii="Arial" w:hAnsi="Arial" w:eastAsia="Arial" w:cs="Arial"/>
      <w:sz w:val="40"/>
      <w:szCs w:val="40"/>
    </w:rPr>
  </w:style>
  <w:style w:type="character" w:customStyle="1" w:styleId="43">
    <w:name w:val="Heading 2 Char"/>
    <w:basedOn w:val="35"/>
    <w:qFormat/>
    <w:uiPriority w:val="9"/>
    <w:rPr>
      <w:rFonts w:ascii="Arial" w:hAnsi="Arial" w:eastAsia="Arial" w:cs="Arial"/>
      <w:sz w:val="34"/>
    </w:rPr>
  </w:style>
  <w:style w:type="character" w:customStyle="1" w:styleId="44">
    <w:name w:val="Heading 3 Char"/>
    <w:basedOn w:val="35"/>
    <w:link w:val="5"/>
    <w:qFormat/>
    <w:uiPriority w:val="9"/>
    <w:rPr>
      <w:rFonts w:ascii="Arial" w:hAnsi="Arial" w:eastAsia="Arial" w:cs="Arial"/>
      <w:sz w:val="30"/>
      <w:szCs w:val="30"/>
    </w:rPr>
  </w:style>
  <w:style w:type="character" w:customStyle="1" w:styleId="45">
    <w:name w:val="Heading 4 Char"/>
    <w:basedOn w:val="35"/>
    <w:link w:val="6"/>
    <w:qFormat/>
    <w:uiPriority w:val="9"/>
    <w:rPr>
      <w:rFonts w:ascii="Arial" w:hAnsi="Arial" w:eastAsia="Arial" w:cs="Arial"/>
      <w:b/>
      <w:bCs/>
      <w:sz w:val="26"/>
      <w:szCs w:val="26"/>
    </w:rPr>
  </w:style>
  <w:style w:type="character" w:customStyle="1" w:styleId="46">
    <w:name w:val="Heading 5 Char"/>
    <w:basedOn w:val="35"/>
    <w:link w:val="7"/>
    <w:qFormat/>
    <w:uiPriority w:val="9"/>
    <w:rPr>
      <w:rFonts w:ascii="Arial" w:hAnsi="Arial" w:eastAsia="Arial" w:cs="Arial"/>
      <w:b/>
      <w:bCs/>
      <w:sz w:val="24"/>
      <w:szCs w:val="24"/>
    </w:rPr>
  </w:style>
  <w:style w:type="character" w:customStyle="1" w:styleId="47">
    <w:name w:val="Heading 6 Char"/>
    <w:basedOn w:val="35"/>
    <w:link w:val="8"/>
    <w:qFormat/>
    <w:uiPriority w:val="9"/>
    <w:rPr>
      <w:rFonts w:ascii="Arial" w:hAnsi="Arial" w:eastAsia="Arial" w:cs="Arial"/>
      <w:b/>
      <w:bCs/>
      <w:sz w:val="22"/>
      <w:szCs w:val="22"/>
    </w:rPr>
  </w:style>
  <w:style w:type="character" w:customStyle="1" w:styleId="48">
    <w:name w:val="Heading 7 Char"/>
    <w:basedOn w:val="35"/>
    <w:link w:val="9"/>
    <w:qFormat/>
    <w:uiPriority w:val="9"/>
    <w:rPr>
      <w:rFonts w:ascii="Arial" w:hAnsi="Arial" w:eastAsia="Arial" w:cs="Arial"/>
      <w:b/>
      <w:bCs/>
      <w:i/>
      <w:iCs/>
      <w:sz w:val="22"/>
      <w:szCs w:val="22"/>
    </w:rPr>
  </w:style>
  <w:style w:type="character" w:customStyle="1" w:styleId="49">
    <w:name w:val="Heading 8 Char"/>
    <w:basedOn w:val="35"/>
    <w:link w:val="10"/>
    <w:qFormat/>
    <w:uiPriority w:val="9"/>
    <w:rPr>
      <w:rFonts w:ascii="Arial" w:hAnsi="Arial" w:eastAsia="Arial" w:cs="Arial"/>
      <w:i/>
      <w:iCs/>
      <w:sz w:val="22"/>
      <w:szCs w:val="22"/>
    </w:rPr>
  </w:style>
  <w:style w:type="character" w:customStyle="1" w:styleId="50">
    <w:name w:val="Heading 9 Char"/>
    <w:basedOn w:val="35"/>
    <w:link w:val="11"/>
    <w:qFormat/>
    <w:uiPriority w:val="9"/>
    <w:rPr>
      <w:rFonts w:ascii="Arial" w:hAnsi="Arial" w:eastAsia="Arial" w:cs="Arial"/>
      <w:i/>
      <w:iCs/>
      <w:sz w:val="21"/>
      <w:szCs w:val="21"/>
    </w:rPr>
  </w:style>
  <w:style w:type="paragraph" w:styleId="51">
    <w:name w:val="List Paragraph"/>
    <w:basedOn w:val="1"/>
    <w:qFormat/>
    <w:uiPriority w:val="34"/>
    <w:pPr>
      <w:ind w:left="720"/>
      <w:contextualSpacing/>
    </w:pPr>
  </w:style>
  <w:style w:type="paragraph" w:styleId="52">
    <w:name w:val="No Spacing"/>
    <w:qFormat/>
    <w:uiPriority w:val="1"/>
    <w:pPr>
      <w:spacing w:before="0" w:after="0" w:line="240" w:lineRule="auto"/>
    </w:pPr>
    <w:rPr>
      <w:rFonts w:hint="default" w:ascii="Times New Roman" w:hAnsi="Times New Roman" w:eastAsia="宋体" w:cs="Times New Roman"/>
    </w:rPr>
  </w:style>
  <w:style w:type="character" w:customStyle="1" w:styleId="53">
    <w:name w:val="Title Char"/>
    <w:basedOn w:val="35"/>
    <w:link w:val="31"/>
    <w:qFormat/>
    <w:uiPriority w:val="10"/>
    <w:rPr>
      <w:sz w:val="48"/>
      <w:szCs w:val="48"/>
    </w:rPr>
  </w:style>
  <w:style w:type="character" w:customStyle="1" w:styleId="54">
    <w:name w:val="Subtitle Char"/>
    <w:basedOn w:val="35"/>
    <w:link w:val="24"/>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basedOn w:val="35"/>
    <w:link w:val="21"/>
    <w:qFormat/>
    <w:uiPriority w:val="99"/>
  </w:style>
  <w:style w:type="character" w:customStyle="1" w:styleId="60">
    <w:name w:val="Footer Char"/>
    <w:basedOn w:val="35"/>
    <w:qFormat/>
    <w:uiPriority w:val="99"/>
  </w:style>
  <w:style w:type="character" w:customStyle="1" w:styleId="61">
    <w:name w:val="Caption Char"/>
    <w:qFormat/>
    <w:uiPriority w:val="99"/>
  </w:style>
  <w:style w:type="table" w:customStyle="1" w:styleId="62">
    <w:name w:val="Table Grid Light"/>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basedOn w:val="3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basedOn w:val="3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basedOn w:val="3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basedOn w:val="3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basedOn w:val="3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basedOn w:val="33"/>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0">
    <w:name w:val="Grid Table 1 Light - Accent 2"/>
    <w:basedOn w:val="33"/>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1">
    <w:name w:val="Grid Table 1 Light - Accent 3"/>
    <w:basedOn w:val="33"/>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2">
    <w:name w:val="Grid Table 1 Light - Accent 4"/>
    <w:basedOn w:val="33"/>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3">
    <w:name w:val="Grid Table 1 Light - Accent 5"/>
    <w:basedOn w:val="33"/>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4">
    <w:name w:val="Grid Table 1 Light - Accent 6"/>
    <w:basedOn w:val="33"/>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5">
    <w:name w:val="Grid Table 2"/>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basedOn w:val="3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7">
    <w:name w:val="Grid Table 2 - Accent 2"/>
    <w:basedOn w:val="33"/>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8">
    <w:name w:val="Grid Table 2 - Accent 3"/>
    <w:basedOn w:val="33"/>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9">
    <w:name w:val="Grid Table 2 - Accent 4"/>
    <w:basedOn w:val="33"/>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0">
    <w:name w:val="Grid Table 2 - Accent 5"/>
    <w:basedOn w:val="33"/>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1">
    <w:name w:val="Grid Table 2 - Accent 6"/>
    <w:basedOn w:val="33"/>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2">
    <w:name w:val="Grid Table 3"/>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basedOn w:val="33"/>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4">
    <w:name w:val="Grid Table 3 - Accent 2"/>
    <w:basedOn w:val="33"/>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5">
    <w:name w:val="Grid Table 3 - Accent 3"/>
    <w:basedOn w:val="33"/>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6">
    <w:name w:val="Grid Table 3 - Accent 4"/>
    <w:basedOn w:val="33"/>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7">
    <w:name w:val="Grid Table 3 - Accent 5"/>
    <w:basedOn w:val="33"/>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8">
    <w:name w:val="Grid Table 3 - Accent 6"/>
    <w:basedOn w:val="33"/>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9">
    <w:name w:val="Grid Table 4"/>
    <w:basedOn w:val="3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basedOn w:val="33"/>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1">
    <w:name w:val="Grid Table 4 - Accent 2"/>
    <w:basedOn w:val="33"/>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2">
    <w:name w:val="Grid Table 4 - Accent 3"/>
    <w:basedOn w:val="33"/>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3">
    <w:name w:val="Grid Table 4 - Accent 4"/>
    <w:basedOn w:val="33"/>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4">
    <w:name w:val="Grid Table 4 - Accent 5"/>
    <w:basedOn w:val="33"/>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5">
    <w:name w:val="Grid Table 4 - Accent 6"/>
    <w:basedOn w:val="33"/>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6">
    <w:name w:val="Grid Table 5 Dark"/>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8">
    <w:name w:val="Grid Table 5 Dark - Accent 2"/>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9">
    <w:name w:val="Grid Table 5 Dark - Accent 3"/>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0">
    <w:name w:val="Grid Table 5 Dark- Accent 4"/>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1">
    <w:name w:val="Grid Table 5 Dark - Accent 5"/>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2">
    <w:name w:val="Grid Table 5 Dark - Accent 6"/>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3">
    <w:name w:val="Grid Table 6 Colorful"/>
    <w:basedOn w:val="3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basedOn w:val="33"/>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basedOn w:val="33"/>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basedOn w:val="33"/>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basedOn w:val="33"/>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basedOn w:val="33"/>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9">
    <w:name w:val="Grid Table 6 Colorful - Accent 6"/>
    <w:basedOn w:val="33"/>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0">
    <w:name w:val="Grid Table 7 Colorful"/>
    <w:basedOn w:val="3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basedOn w:val="33"/>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basedOn w:val="33"/>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basedOn w:val="33"/>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basedOn w:val="33"/>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basedOn w:val="33"/>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6">
    <w:name w:val="Grid Table 7 Colorful - Accent 6"/>
    <w:basedOn w:val="33"/>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7">
    <w:name w:val="List Table 1 Light"/>
    <w:basedOn w:val="3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basedOn w:val="33"/>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9">
    <w:name w:val="List Table 1 Light - Accent 2"/>
    <w:basedOn w:val="33"/>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0">
    <w:name w:val="List Table 1 Light - Accent 3"/>
    <w:basedOn w:val="33"/>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1">
    <w:name w:val="List Table 1 Light - Accent 4"/>
    <w:basedOn w:val="33"/>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2">
    <w:name w:val="List Table 1 Light - Accent 5"/>
    <w:basedOn w:val="33"/>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3">
    <w:name w:val="List Table 1 Light - Accent 6"/>
    <w:basedOn w:val="33"/>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4">
    <w:name w:val="List Table 2"/>
    <w:basedOn w:val="3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basedOn w:val="33"/>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6">
    <w:name w:val="List Table 2 - Accent 2"/>
    <w:basedOn w:val="33"/>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7">
    <w:name w:val="List Table 2 - Accent 3"/>
    <w:basedOn w:val="33"/>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8">
    <w:name w:val="List Table 2 - Accent 4"/>
    <w:basedOn w:val="33"/>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9">
    <w:name w:val="List Table 2 - Accent 5"/>
    <w:basedOn w:val="33"/>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0">
    <w:name w:val="List Table 2 - Accent 6"/>
    <w:basedOn w:val="33"/>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1">
    <w:name w:val="List Table 3"/>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basedOn w:val="33"/>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3">
    <w:name w:val="List Table 3 - Accent 2"/>
    <w:basedOn w:val="33"/>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4">
    <w:name w:val="List Table 3 - Accent 3"/>
    <w:basedOn w:val="33"/>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5">
    <w:name w:val="List Table 3 - Accent 4"/>
    <w:basedOn w:val="33"/>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6">
    <w:name w:val="List Table 3 - Accent 5"/>
    <w:basedOn w:val="33"/>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7">
    <w:name w:val="List Table 3 - Accent 6"/>
    <w:basedOn w:val="33"/>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8">
    <w:name w:val="List Table 4"/>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basedOn w:val="33"/>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0">
    <w:name w:val="List Table 4 - Accent 2"/>
    <w:basedOn w:val="33"/>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1">
    <w:name w:val="List Table 4 - Accent 3"/>
    <w:basedOn w:val="33"/>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2">
    <w:name w:val="List Table 4 - Accent 4"/>
    <w:basedOn w:val="33"/>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3">
    <w:name w:val="List Table 4 - Accent 5"/>
    <w:basedOn w:val="33"/>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4">
    <w:name w:val="List Table 4 - Accent 6"/>
    <w:basedOn w:val="33"/>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5">
    <w:name w:val="List Table 5 Dark"/>
    <w:basedOn w:val="3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basedOn w:val="33"/>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7">
    <w:name w:val="List Table 5 Dark - Accent 2"/>
    <w:basedOn w:val="33"/>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8">
    <w:name w:val="List Table 5 Dark - Accent 3"/>
    <w:basedOn w:val="33"/>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9">
    <w:name w:val="List Table 5 Dark - Accent 4"/>
    <w:basedOn w:val="33"/>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0">
    <w:name w:val="List Table 5 Dark - Accent 5"/>
    <w:basedOn w:val="33"/>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1">
    <w:name w:val="List Table 5 Dark - Accent 6"/>
    <w:basedOn w:val="33"/>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2">
    <w:name w:val="List Table 6 Colorful"/>
    <w:basedOn w:val="3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basedOn w:val="33"/>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4">
    <w:name w:val="List Table 6 Colorful - Accent 2"/>
    <w:basedOn w:val="33"/>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basedOn w:val="33"/>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basedOn w:val="33"/>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basedOn w:val="33"/>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basedOn w:val="33"/>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9">
    <w:name w:val="List Table 7 Colorful"/>
    <w:basedOn w:val="3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basedOn w:val="33"/>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1">
    <w:name w:val="List Table 7 Colorful - Accent 2"/>
    <w:basedOn w:val="33"/>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basedOn w:val="33"/>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basedOn w:val="33"/>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basedOn w:val="33"/>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basedOn w:val="33"/>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6">
    <w:name w:val="Lined - Accent"/>
    <w:basedOn w:val="33"/>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basedOn w:val="33"/>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8">
    <w:name w:val="Lined - Accent 2"/>
    <w:basedOn w:val="33"/>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9">
    <w:name w:val="Lined - Accent 3"/>
    <w:basedOn w:val="33"/>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0">
    <w:name w:val="Lined - Accent 4"/>
    <w:basedOn w:val="33"/>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1">
    <w:name w:val="Lined - Accent 5"/>
    <w:basedOn w:val="33"/>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2">
    <w:name w:val="Lined - Accent 6"/>
    <w:basedOn w:val="33"/>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3">
    <w:name w:val="Bordered &amp; Lined - Accent"/>
    <w:basedOn w:val="33"/>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basedOn w:val="33"/>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5">
    <w:name w:val="Bordered &amp; Lined - Accent 2"/>
    <w:basedOn w:val="33"/>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6">
    <w:name w:val="Bordered &amp; Lined - Accent 3"/>
    <w:basedOn w:val="33"/>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7">
    <w:name w:val="Bordered &amp; Lined - Accent 4"/>
    <w:basedOn w:val="33"/>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8">
    <w:name w:val="Bordered &amp; Lined - Accent 5"/>
    <w:basedOn w:val="33"/>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9">
    <w:name w:val="Bordered &amp; Lined - Accent 6"/>
    <w:basedOn w:val="33"/>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0">
    <w:name w:val="Bordered"/>
    <w:basedOn w:val="33"/>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basedOn w:val="33"/>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2">
    <w:name w:val="Bordered - Accent 2"/>
    <w:basedOn w:val="33"/>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3">
    <w:name w:val="Bordered - Accent 3"/>
    <w:basedOn w:val="33"/>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4">
    <w:name w:val="Bordered - Accent 4"/>
    <w:basedOn w:val="33"/>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5">
    <w:name w:val="Bordered - Accent 5"/>
    <w:basedOn w:val="33"/>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6">
    <w:name w:val="Bordered - Accent 6"/>
    <w:basedOn w:val="33"/>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7">
    <w:name w:val="Footnote Text Char"/>
    <w:link w:val="25"/>
    <w:qFormat/>
    <w:uiPriority w:val="99"/>
    <w:rPr>
      <w:sz w:val="18"/>
    </w:rPr>
  </w:style>
  <w:style w:type="character" w:customStyle="1" w:styleId="188">
    <w:name w:val="Endnote Text Char"/>
    <w:link w:val="19"/>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table" w:customStyle="1" w:styleId="190">
    <w:name w:val="网格型_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paragraph" w:customStyle="1" w:styleId="191">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92">
    <w:name w:val="正文_16_0_0"/>
    <w:next w:val="19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93">
    <w:name w:val="正文1_0"/>
    <w:qFormat/>
    <w:uiPriority w:val="0"/>
    <w:pPr>
      <w:widowControl w:val="0"/>
      <w:jc w:val="both"/>
    </w:pPr>
    <w:rPr>
      <w:rFonts w:ascii="Times New Roman" w:hAnsi="Times New Roman" w:eastAsia="宋体" w:cs="Times New Roman"/>
      <w:szCs w:val="24"/>
      <w:lang w:val="en-US" w:eastAsia="zh-CN" w:bidi="ar-SA"/>
    </w:rPr>
  </w:style>
  <w:style w:type="paragraph" w:customStyle="1" w:styleId="194">
    <w:name w:val="纯文本1"/>
    <w:basedOn w:val="1"/>
    <w:qFormat/>
    <w:uiPriority w:val="0"/>
    <w:rPr>
      <w:rFonts w:ascii="宋体" w:hAnsi="Courier New" w:cs="Courier New"/>
    </w:rPr>
  </w:style>
  <w:style w:type="paragraph" w:customStyle="1" w:styleId="195">
    <w:name w:val="正文_3"/>
    <w:qFormat/>
    <w:uiPriority w:val="0"/>
    <w:pPr>
      <w:widowControl w:val="0"/>
      <w:jc w:val="both"/>
    </w:pPr>
    <w:rPr>
      <w:rFonts w:ascii="Calibri" w:hAnsi="Calibri" w:eastAsia="宋体" w:cs="Times New Roman"/>
      <w:sz w:val="21"/>
      <w:szCs w:val="22"/>
      <w:lang w:val="en-US" w:eastAsia="zh-CN" w:bidi="ar-SA"/>
    </w:rPr>
  </w:style>
  <w:style w:type="character" w:customStyle="1" w:styleId="196">
    <w:name w:val="current2"/>
    <w:basedOn w:val="35"/>
    <w:qFormat/>
    <w:uiPriority w:val="0"/>
    <w:rPr>
      <w:b/>
      <w:bCs/>
      <w:color w:val="FFFFFF"/>
      <w:bdr w:val="single" w:color="0075CC" w:sz="6" w:space="0"/>
      <w:shd w:val="clear" w:fill="0075CC"/>
    </w:rPr>
  </w:style>
  <w:style w:type="character" w:customStyle="1" w:styleId="197">
    <w:name w:val="current3"/>
    <w:basedOn w:val="35"/>
    <w:qFormat/>
    <w:uiPriority w:val="0"/>
    <w:rPr>
      <w:b/>
      <w:bCs/>
      <w:color w:val="FFFFFF"/>
      <w:bdr w:val="single" w:color="0075CC" w:sz="6" w:space="0"/>
      <w:shd w:val="clear" w:fill="0075CC"/>
    </w:rPr>
  </w:style>
  <w:style w:type="character" w:customStyle="1" w:styleId="198">
    <w:name w:val="disabled"/>
    <w:basedOn w:val="35"/>
    <w:qFormat/>
    <w:uiPriority w:val="0"/>
    <w:rPr>
      <w:color w:val="DDDDDD"/>
      <w:bdr w:val="single" w:color="EEEEEE" w:sz="6" w:space="0"/>
    </w:rPr>
  </w:style>
  <w:style w:type="character" w:customStyle="1" w:styleId="199">
    <w:name w:val="disabled1"/>
    <w:basedOn w:val="35"/>
    <w:qFormat/>
    <w:uiPriority w:val="0"/>
    <w:rPr>
      <w:color w:val="DDDDDD"/>
      <w:bdr w:val="single" w:color="EEEEEE" w:sz="6" w:space="0"/>
    </w:rPr>
  </w:style>
  <w:style w:type="paragraph" w:customStyle="1" w:styleId="200">
    <w:name w:val="Normal_20"/>
    <w:qFormat/>
    <w:uiPriority w:val="0"/>
    <w:rPr>
      <w:rFonts w:hint="default" w:ascii="黑体" w:hAnsi="黑体" w:eastAsia="黑体" w:cs="黑体"/>
      <w:b/>
      <w:sz w:val="32"/>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74e4253f-ea37-401e-9686-05ddd12c2030</errorID>
      <errorWord>：</errorWord>
      <group>L1_Punc</group>
      <groupName>标点问题</groupName>
      <ability>L2_Punc_CN</ability>
      <abilityName>标点符号检查</abilityName>
      <candidateList/>
      <explain/>
      <paraID>3C92EC35</paraID>
      <start>0</start>
      <end>1</end>
      <status>unmodified</status>
      <modifiedWord/>
      <trackRevisions>false</trackRevisions>
    </reviewItem>
    <reviewItem>
      <errorID>e291faad-c151-4aef-ab67-c3aac690cd58</errorID>
      <errorWord>：</errorWord>
      <group>L1_Punc</group>
      <groupName>标点问题</groupName>
      <ability>L2_Punc_CN</ability>
      <abilityName>标点符号检查</abilityName>
      <candidateList/>
      <explain/>
      <paraID>3DDF7011</paraID>
      <start>0</start>
      <end>1</end>
      <status>unmodified</status>
      <modifiedWord/>
      <trackRevisions>false</trackRevisions>
    </reviewItem>
    <reviewItem>
      <errorID>eda0fa8b-b2c1-4f15-a22f-177a6280143a</errorID>
      <errorWord>：</errorWord>
      <group>L1_Punc</group>
      <groupName>标点问题</groupName>
      <ability>L2_Punc_CN</ability>
      <abilityName>标点符号检查</abilityName>
      <candidateList/>
      <explain/>
      <paraID>1A1B1462</paraID>
      <start>0</start>
      <end>1</end>
      <status>unmodified</status>
      <modifiedWord/>
      <trackRevisions>false</trackRevisions>
    </reviewItem>
    <reviewItem>
      <errorID>66e18dd5-b748-4bb6-8a08-db13b0e0a297</errorID>
      <errorWord>：</errorWord>
      <group>L1_Punc</group>
      <groupName>标点问题</groupName>
      <ability>L2_Punc_CN</ability>
      <abilityName>标点符号检查</abilityName>
      <candidateList/>
      <explain/>
      <paraID>   31E51</paraID>
      <start>0</start>
      <end>1</end>
      <status>unmodified</status>
      <modifiedWord/>
      <trackRevisions>false</trackRevisions>
    </reviewItem>
    <reviewItem>
      <errorID>dc3c7376-78b4-4a29-804b-18d72917bf8e</errorID>
      <errorWord>：</errorWord>
      <group>L1_Punc</group>
      <groupName>标点问题</groupName>
      <ability>L2_Punc_CN</ability>
      <abilityName>标点符号检查</abilityName>
      <candidateList/>
      <explain/>
      <paraID>35E90458</paraID>
      <start>0</start>
      <end>1</end>
      <status>unmodified</status>
      <modifiedWord/>
      <trackRevisions>false</trackRevisions>
    </reviewItem>
    <reviewItem>
      <errorID>3cf2aa67-dcf5-4aec-8499-4c6b8218d8a6</errorID>
      <errorWord>(</errorWord>
      <group>L1_Format</group>
      <groupName>格式问题</groupName>
      <ability>L2_HalfPunc_CN</ability>
      <abilityName>全半角检查</abilityName>
      <candidateList>
        <item>（</item>
      </candidateList>
      <explain>文本全半角错误。</explain>
      <paraID>68E49B9F</paraID>
      <start>46</start>
      <end>47</end>
      <status>unmodified</status>
      <modifiedWord/>
      <trackRevisions>false</trackRevisions>
    </reviewItem>
    <reviewItem>
      <errorID>02eaff19-dd9a-47b9-95f0-5388b3943ed0</errorID>
      <errorWord>/）</errorWord>
      <group>L1_Punc</group>
      <groupName>标点问题</groupName>
      <ability>L2_Punc_CN</ability>
      <abilityName>标点符号检查</abilityName>
      <candidateList>
        <item>）</item>
      </candidateList>
      <explain/>
      <paraID>30BDE9DC</paraID>
      <start>86</start>
      <end>88</end>
      <status>unmodified</status>
      <modifiedWord/>
      <trackRevisions>false</trackRevisions>
    </reviewItem>
    <reviewItem>
      <errorID>8fa88be0-09ef-4013-b173-c7ef2195e5f7</errorID>
      <errorWord>：</errorWord>
      <group>L1_Format</group>
      <groupName>格式问题</groupName>
      <ability>L2_HalfPunc_CN</ability>
      <abilityName>全半角检查</abilityName>
      <candidateList>
        <item>:</item>
      </candidateList>
      <explain>文本全半角错误。</explain>
      <paraID>1FB7D9AD</paraID>
      <start>19</start>
      <end>20</end>
      <status>unmodified</status>
      <modifiedWord/>
      <trackRevisions>false</trackRevisions>
    </reviewItem>
    <reviewItem>
      <errorID>676c0a2f-6f71-40b8-86c8-9ac4734818d6</errorID>
      <errorWord>：</errorWord>
      <group>L1_Format</group>
      <groupName>格式问题</groupName>
      <ability>L2_HalfPunc_CN</ability>
      <abilityName>全半角检查</abilityName>
      <candidateList>
        <item>:</item>
      </candidateList>
      <explain>文本全半角错误。</explain>
      <paraID>1FB7D9AD</paraID>
      <start>29</start>
      <end>30</end>
      <status>unmodified</status>
      <modifiedWord/>
      <trackRevisions>false</trackRevisions>
    </reviewItem>
    <reviewItem>
      <errorID>b9c399c6-87d5-4224-86c1-99d85df7e54b</errorID>
      <errorWord>：</errorWord>
      <group>L1_Format</group>
      <groupName>格式问题</groupName>
      <ability>L2_HalfPunc_CN</ability>
      <abilityName>全半角检查</abilityName>
      <candidateList>
        <item>:</item>
      </candidateList>
      <explain>文本全半角错误。</explain>
      <paraID>1FB7D9AD</paraID>
      <start>39</start>
      <end>40</end>
      <status>unmodified</status>
      <modifiedWord/>
      <trackRevisions>false</trackRevisions>
    </reviewItem>
    <reviewItem>
      <errorID>623f5b72-9e7a-48b8-ab2a-a9ed058c14d3</errorID>
      <errorWord>：</errorWord>
      <group>L1_Format</group>
      <groupName>格式问题</groupName>
      <ability>L2_HalfPunc_CN</ability>
      <abilityName>全半角检查</abilityName>
      <candidateList>
        <item>:</item>
      </candidateList>
      <explain>文本全半角错误。</explain>
      <paraID>1FB7D9AD</paraID>
      <start>49</start>
      <end>50</end>
      <status>unmodified</status>
      <modifiedWord/>
      <trackRevisions>false</trackRevisions>
    </reviewItem>
    <reviewItem>
      <errorID>f9c97eff-f077-4e07-a68f-5e2fe5d711df</errorID>
      <errorWord>：</errorWord>
      <group>L1_Format</group>
      <groupName>格式问题</groupName>
      <ability>L2_HalfPunc_CN</ability>
      <abilityName>全半角检查</abilityName>
      <candidateList>
        <item>:</item>
      </candidateList>
      <explain>文本全半角错误。</explain>
      <paraID>1FB7D9AD</paraID>
      <start>58</start>
      <end>59</end>
      <status>unmodified</status>
      <modifiedWord/>
      <trackRevisions>false</trackRevisions>
    </reviewItem>
    <reviewItem>
      <errorID>24b309f8-7525-4471-a99a-f458016cd40d</errorID>
      <errorWord>：</errorWord>
      <group>L1_Format</group>
      <groupName>格式问题</groupName>
      <ability>L2_HalfPunc_CN</ability>
      <abilityName>全半角检查</abilityName>
      <candidateList>
        <item>:</item>
      </candidateList>
      <explain>文本全半角错误。</explain>
      <paraID>1FB7D9AD</paraID>
      <start>68</start>
      <end>69</end>
      <status>unmodified</status>
      <modifiedWord/>
      <trackRevisions>false</trackRevisions>
    </reviewItem>
    <reviewItem>
      <errorID>4ba58ac9-2d03-4be5-af7e-988bb3448893</errorID>
      <errorWord>：</errorWord>
      <group>L1_Format</group>
      <groupName>格式问题</groupName>
      <ability>L2_HalfPunc_CN</ability>
      <abilityName>全半角检查</abilityName>
      <candidateList>
        <item>:</item>
      </candidateList>
      <explain>文本全半角错误。</explain>
      <paraID> 9A318AB</paraID>
      <start>30</start>
      <end>31</end>
      <status>unmodified</status>
      <modifiedWord/>
      <trackRevisions>false</trackRevisions>
    </reviewItem>
    <reviewItem>
      <errorID>a5d7f042-d4a4-443b-988d-c148384eb31e</errorID>
      <errorWord>：</errorWord>
      <group>L1_Format</group>
      <groupName>格式问题</groupName>
      <ability>L2_HalfPunc_CN</ability>
      <abilityName>全半角检查</abilityName>
      <candidateList>
        <item>:</item>
      </candidateList>
      <explain>文本全半角错误。</explain>
      <paraID> 9A318AB</paraID>
      <start>42</start>
      <end>43</end>
      <status>unmodified</status>
      <modifiedWord/>
      <trackRevisions>false</trackRevisions>
    </reviewItem>
    <reviewItem>
      <errorID>c1bb2d54-6618-4ce3-b2ec-ced5e41cfc8c</errorID>
      <errorWord>：</errorWord>
      <group>L1_Format</group>
      <groupName>格式问题</groupName>
      <ability>L2_HalfPunc_CN</ability>
      <abilityName>全半角检查</abilityName>
      <candidateList>
        <item>:</item>
      </candidateList>
      <explain>文本全半角错误。</explain>
      <paraID> 9A318AB</paraID>
      <start>54</start>
      <end>55</end>
      <status>unmodified</status>
      <modifiedWord/>
      <trackRevisions>false</trackRevisions>
    </reviewItem>
    <reviewItem>
      <errorID>2cdb360c-24c0-4358-8853-ece5426a73b1</errorID>
      <errorWord>：</errorWord>
      <group>L1_Format</group>
      <groupName>格式问题</groupName>
      <ability>L2_HalfPunc_CN</ability>
      <abilityName>全半角检查</abilityName>
      <candidateList>
        <item>:</item>
      </candidateList>
      <explain>文本全半角错误。</explain>
      <paraID> 9A318AB</paraID>
      <start>64</start>
      <end>65</end>
      <status>unmodified</status>
      <modifiedWord/>
      <trackRevisions>false</trackRevisions>
    </reviewItem>
    <reviewItem>
      <errorID>7b90f0f5-324f-437f-b8e3-13276b509e7d</errorID>
      <errorWord>：</errorWord>
      <group>L1_Format</group>
      <groupName>格式问题</groupName>
      <ability>L2_HalfPunc_CN</ability>
      <abilityName>全半角检查</abilityName>
      <candidateList>
        <item>:</item>
      </candidateList>
      <explain>文本全半角错误。</explain>
      <paraID> 9A318AB</paraID>
      <start>73</start>
      <end>74</end>
      <status>unmodified</status>
      <modifiedWord/>
      <trackRevisions>false</trackRevisions>
    </reviewItem>
    <reviewItem>
      <errorID>c961275e-44a6-4ec7-9556-6093024cb431</errorID>
      <errorWord>：</errorWord>
      <group>L1_Format</group>
      <groupName>格式问题</groupName>
      <ability>L2_HalfPunc_CN</ability>
      <abilityName>全半角检查</abilityName>
      <candidateList>
        <item>:</item>
      </candidateList>
      <explain>文本全半角错误。</explain>
      <paraID> 9A318AB</paraID>
      <start>85</start>
      <end>86</end>
      <status>unmodified</status>
      <modifiedWord/>
      <trackRevisions>false</trackRevisions>
    </reviewItem>
    <reviewItem>
      <errorID>a08c104d-3795-48c1-9695-3fc9485e7b89</errorID>
      <errorWord>：</errorWord>
      <group>L1_Format</group>
      <groupName>格式问题</groupName>
      <ability>L2_HalfPunc_CN</ability>
      <abilityName>全半角检查</abilityName>
      <candidateList>
        <item>:</item>
      </candidateList>
      <explain>文本全半角错误。</explain>
      <paraID>5C73BE11</paraID>
      <start>13</start>
      <end>14</end>
      <status>unmodified</status>
      <modifiedWord/>
      <trackRevisions>false</trackRevisions>
    </reviewItem>
    <reviewItem>
      <errorID>362aada1-da7b-4891-a265-840357568b37</errorID>
      <errorWord>：</errorWord>
      <group>L1_Format</group>
      <groupName>格式问题</groupName>
      <ability>L2_HalfPunc_CN</ability>
      <abilityName>全半角检查</abilityName>
      <candidateList>
        <item>:</item>
      </candidateList>
      <explain>文本全半角错误。</explain>
      <paraID>5C73BE11</paraID>
      <start>24</start>
      <end>25</end>
      <status>unmodified</status>
      <modifiedWord/>
      <trackRevisions>false</trackRevisions>
    </reviewItem>
    <reviewItem>
      <errorID>655c0f33-c888-4630-ad4f-dba77854fd25</errorID>
      <errorWord>/）</errorWord>
      <group>L1_Punc</group>
      <groupName>标点问题</groupName>
      <ability>L2_Punc_CN</ability>
      <abilityName>标点符号检查</abilityName>
      <candidateList>
        <item>）</item>
      </candidateList>
      <explain/>
      <paraID>5FE5BECA</paraID>
      <start>56</start>
      <end>58</end>
      <status>unmodified</status>
      <modifiedWord/>
      <trackRevisions>false</trackRevisions>
    </reviewItem>
    <reviewItem>
      <errorID>4b44a253-e6e6-4f1a-9158-3030e771c906</errorID>
      <errorWord>“.</errorWord>
      <group>L1_Punc</group>
      <groupName>标点问题</groupName>
      <ability>L2_Punc_CN</ability>
      <abilityName>标点符号检查</abilityName>
      <candidateList>
        <item>“</item>
      </candidateList>
      <explain/>
      <paraID>5FE5BECA</paraID>
      <start>130</start>
      <end>132</end>
      <status>unmodified</status>
      <modifiedWord/>
      <trackRevisions>false</trackRevisions>
    </reviewItem>
    <reviewItem>
      <errorID>d6fb2c0a-22bb-46f7-86f3-cb5e9e999e05</errorID>
      <errorWord>》</errorWord>
      <group>L1_Word</group>
      <groupName>字词问题</groupName>
      <ability>L2_Typo</ability>
      <abilityName>字词错误</abilityName>
      <candidateList>
        <item>》和</item>
      </candidateList>
      <explain/>
      <paraID>40E57B77</paraID>
      <start>47</start>
      <end>48</end>
      <status>unmodified</status>
      <modifiedWord/>
      <trackRevisions>false</trackRevisions>
    </reviewItem>
    <reviewItem>
      <errorID>72ce450f-d17c-4172-b486-648af9431721</errorID>
      <errorWord>子</errorWord>
      <group>L1_Word</group>
      <groupName>字词问题</groupName>
      <ability>L2_Typo</ability>
      <abilityName>字词错误</abilityName>
      <candidateList>
        <item>子文</item>
      </candidateList>
      <explain/>
      <paraID>4F9695B3</paraID>
      <start>162</start>
      <end>163</end>
      <status>unmodified</status>
      <modifiedWord/>
      <trackRevisions>false</trackRevisions>
    </reviewItem>
    <reviewItem>
      <errorID>48b4cfbb-e359-4877-9edf-d88bd9c88cd1</errorID>
      <errorWord>（</errorWord>
      <group>L1_Punc</group>
      <groupName>标点问题</groupName>
      <ability>L2_Punc_CN</ability>
      <abilityName>标点符号检查</abilityName>
      <candidateList/>
      <explain>同一形式括号套用。</explain>
      <paraID>1E8D183B</paraID>
      <start>59</start>
      <end>60</end>
      <status>unmodified</status>
      <modifiedWord/>
      <trackRevisions>false</trackRevisions>
    </reviewItem>
    <reviewItem>
      <errorID>4270e6b0-26a4-4a08-8618-706fbec41365</errorID>
      <errorWord>）</errorWord>
      <group>L1_Punc</group>
      <groupName>标点问题</groupName>
      <ability>L2_Punc_CN</ability>
      <abilityName>标点符号检查</abilityName>
      <candidateList/>
      <explain>同一形式括号套用。</explain>
      <paraID>1E8D183B</paraID>
      <start>62</start>
      <end>63</end>
      <status>unmodified</status>
      <modifiedWord/>
      <trackRevisions>false</trackRevisions>
    </reviewItem>
    <reviewItem>
      <errorID>8447cb64-e412-4665-9436-636103e2396a</errorID>
      <errorWord>（</errorWord>
      <group>L1_Punc</group>
      <groupName>标点问题</groupName>
      <ability>L2_Punc_CN</ability>
      <abilityName>标点符号检查</abilityName>
      <candidateList/>
      <explain>同一形式括号套用。</explain>
      <paraID>1E8D183B</paraID>
      <start>81</start>
      <end>82</end>
      <status>unmodified</status>
      <modifiedWord/>
      <trackRevisions>false</trackRevisions>
    </reviewItem>
    <reviewItem>
      <errorID>e722b3ba-b1b6-4ef2-b7cf-6b6d80590111</errorID>
      <errorWord>）</errorWord>
      <group>L1_Punc</group>
      <groupName>标点问题</groupName>
      <ability>L2_Punc_CN</ability>
      <abilityName>标点符号检查</abilityName>
      <candidateList/>
      <explain>同一形式括号套用。</explain>
      <paraID>1E8D183B</paraID>
      <start>96</start>
      <end>97</end>
      <status>unmodified</status>
      <modifiedWord/>
      <trackRevisions>false</trackRevisions>
    </reviewItem>
    <reviewItem>
      <errorID>f60b740f-1d21-4d36-8aa8-780d930542e3</errorID>
      <errorWord>：</errorWord>
      <group>L1_Format</group>
      <groupName>格式问题</groupName>
      <ability>L2_HalfPunc_CN</ability>
      <abilityName>全半角检查</abilityName>
      <candidateList>
        <item>:</item>
      </candidateList>
      <explain>文本全半角错误。</explain>
      <paraID>1714C315</paraID>
      <start>14</start>
      <end>15</end>
      <status>unmodified</status>
      <modifiedWord/>
      <trackRevisions>false</trackRevisions>
    </reviewItem>
    <reviewItem>
      <errorID>f145652c-4481-4577-aa1e-840e36e36519</errorID>
      <errorWord>：</errorWord>
      <group>L1_Format</group>
      <groupName>格式问题</groupName>
      <ability>L2_HalfPunc_CN</ability>
      <abilityName>全半角检查</abilityName>
      <candidateList>
        <item>:</item>
      </candidateList>
      <explain>文本全半角错误。</explain>
      <paraID>1714C315</paraID>
      <start>25</start>
      <end>26</end>
      <status>unmodified</status>
      <modifiedWord/>
      <trackRevisions>false</trackRevisions>
    </reviewItem>
    <reviewItem>
      <errorID>ac4ef8ea-5a26-4fbf-8484-c49aadace42f</errorID>
      <errorWord>涵义</errorWord>
      <group>L1_Word</group>
      <groupName>字词问题</groupName>
      <ability>L2_Alias</ability>
      <abilityName>也作/曾用词</abilityName>
      <candidateList>
        <item>含义</item>
      </candidateList>
      <explain>词汇[涵义]为不规范表述或旧称，其规范书面表述为[含义]。</explain>
      <paraID>3A9687A4</paraID>
      <start>5</start>
      <end>7</end>
      <status>unmodified</status>
      <modifiedWord/>
      <trackRevisions>false</trackRevisions>
    </reviewItem>
    <reviewItem>
      <errorID>52a649af-cfb4-42e2-9cd5-5bd0c0bc27d3</errorID>
      <errorWord>其它</errorWord>
      <group>L1_Word</group>
      <groupName>字词问题</groupName>
      <ability>L2_Alias</ability>
      <abilityName>也作/曾用词</abilityName>
      <candidateList>
        <item>其他</item>
      </candidateList>
      <explain>词汇[其它]为不规范表述或旧称，其规范书面表述为[其他]。</explain>
      <paraID>32ED6711</paraID>
      <start>35</start>
      <end>37</end>
      <status>unmodified</status>
      <modifiedWord/>
      <trackRevisions>false</trackRevisions>
    </reviewItem>
    <reviewItem>
      <errorID>7c788e74-5bee-4371-8b9c-1f4c2d1b66c9</errorID>
      <errorWord>其它</errorWord>
      <group>L1_Word</group>
      <groupName>字词问题</groupName>
      <ability>L2_Alias</ability>
      <abilityName>也作/曾用词</abilityName>
      <candidateList>
        <item>其他</item>
      </candidateList>
      <explain>词汇[其它]为不规范表述或旧称，其规范书面表述为[其他]。</explain>
      <paraID>39CA9BE6</paraID>
      <start>45</start>
      <end>47</end>
      <status>unmodified</status>
      <modifiedWord/>
      <trackRevisions>false</trackRevisions>
    </reviewItem>
    <reviewItem>
      <errorID>cef9c3c1-f9f1-4164-9d71-5fcc8da59612</errorID>
      <errorWord>：</errorWord>
      <group>L1_Format</group>
      <groupName>格式问题</groupName>
      <ability>L2_HalfPunc_CN</ability>
      <abilityName>全半角检查</abilityName>
      <candidateList>
        <item>:</item>
      </candidateList>
      <explain>文本全半角错误。</explain>
      <paraID>213DA8CB</paraID>
      <start>24</start>
      <end>25</end>
      <status>unmodified</status>
      <modifiedWord/>
      <trackRevisions>false</trackRevisions>
    </reviewItem>
    <reviewItem>
      <errorID>954da5f2-cbbc-4ded-a888-924c0ad0f681</errorID>
      <errorWord>：</errorWord>
      <group>L1_Format</group>
      <groupName>格式问题</groupName>
      <ability>L2_HalfPunc_CN</ability>
      <abilityName>全半角检查</abilityName>
      <candidateList>
        <item>:</item>
      </candidateList>
      <explain>文本全半角错误。</explain>
      <paraID>213DA8CB</paraID>
      <start>36</start>
      <end>37</end>
      <status>unmodified</status>
      <modifiedWord/>
      <trackRevisions>false</trackRevisions>
    </reviewItem>
    <reviewItem>
      <errorID>d3063c24-d492-40a3-954e-858c235ce97f</errorID>
      <errorWord>：</errorWord>
      <group>L1_Format</group>
      <groupName>格式问题</groupName>
      <ability>L2_HalfPunc_CN</ability>
      <abilityName>全半角检查</abilityName>
      <candidateList>
        <item>:</item>
      </candidateList>
      <explain>文本全半角错误。</explain>
      <paraID>213DA8CB</paraID>
      <start>48</start>
      <end>49</end>
      <status>unmodified</status>
      <modifiedWord/>
      <trackRevisions>false</trackRevisions>
    </reviewItem>
    <reviewItem>
      <errorID>df366f62-5e77-4cd7-9f9f-3f557a4b55bd</errorID>
      <errorWord>：</errorWord>
      <group>L1_Format</group>
      <groupName>格式问题</groupName>
      <ability>L2_HalfPunc_CN</ability>
      <abilityName>全半角检查</abilityName>
      <candidateList>
        <item>:</item>
      </candidateList>
      <explain>文本全半角错误。</explain>
      <paraID>213DA8CB</paraID>
      <start>58</start>
      <end>59</end>
      <status>unmodified</status>
      <modifiedWord/>
      <trackRevisions>false</trackRevisions>
    </reviewItem>
    <reviewItem>
      <errorID>d56c94bc-1fe6-4b85-818a-8495212c4592</errorID>
      <errorWord>：</errorWord>
      <group>L1_Format</group>
      <groupName>格式问题</groupName>
      <ability>L2_HalfPunc_CN</ability>
      <abilityName>全半角检查</abilityName>
      <candidateList>
        <item>:</item>
      </candidateList>
      <explain>文本全半角错误。</explain>
      <paraID>213DA8CB</paraID>
      <start>67</start>
      <end>68</end>
      <status>unmodified</status>
      <modifiedWord/>
      <trackRevisions>false</trackRevisions>
    </reviewItem>
    <reviewItem>
      <errorID>af9846c6-a10e-4fd0-af27-da70608c8b4b</errorID>
      <errorWord>：</errorWord>
      <group>L1_Format</group>
      <groupName>格式问题</groupName>
      <ability>L2_HalfPunc_CN</ability>
      <abilityName>全半角检查</abilityName>
      <candidateList>
        <item>:</item>
      </candidateList>
      <explain>文本全半角错误。</explain>
      <paraID>213DA8CB</paraID>
      <start>79</start>
      <end>80</end>
      <status>unmodified</status>
      <modifiedWord/>
      <trackRevisions>false</trackRevisions>
    </reviewItem>
    <reviewItem>
      <errorID>aca277c8-06f2-492b-b83f-a1d8e9731826</errorID>
      <errorWord>：</errorWord>
      <group>L1_Format</group>
      <groupName>格式问题</groupName>
      <ability>L2_HalfPunc_CN</ability>
      <abilityName>全半角检查</abilityName>
      <candidateList>
        <item>:</item>
      </candidateList>
      <explain>文本全半角错误。</explain>
      <paraID>1B9C3008</paraID>
      <start>13</start>
      <end>14</end>
      <status>unmodified</status>
      <modifiedWord/>
      <trackRevisions>false</trackRevisions>
    </reviewItem>
    <reviewItem>
      <errorID>ba55cfad-0d82-4d97-9159-f758c8ad56d1</errorID>
      <errorWord>：</errorWord>
      <group>L1_Format</group>
      <groupName>格式问题</groupName>
      <ability>L2_HalfPunc_CN</ability>
      <abilityName>全半角检查</abilityName>
      <candidateList>
        <item>:</item>
      </candidateList>
      <explain>文本全半角错误。</explain>
      <paraID>1B9C3008</paraID>
      <start>24</start>
      <end>25</end>
      <status>unmodified</status>
      <modifiedWord/>
      <trackRevisions>false</trackRevisions>
    </reviewItem>
    <reviewItem>
      <errorID>8ea55e7a-3002-4526-b5db-e8d0d14e7600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6F1FCE83</paraID>
      <start>0</start>
      <end>2</end>
      <status>unmodified</status>
      <modifiedWord/>
      <trackRevisions>false</trackRevisions>
    </reviewItem>
    <reviewItem>
      <errorID>6544d09b-e5ac-4c50-a3ef-78d676ae8015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324277CB</paraID>
      <start>0</start>
      <end>2</end>
      <status>unmodified</status>
      <modifiedWord/>
      <trackRevisions>false</trackRevisions>
    </reviewItem>
    <reviewItem>
      <errorID>b534f09d-0a2d-4d67-ac95-bd200660ea2a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3AFA787E</paraID>
      <start>0</start>
      <end>2</end>
      <status>unmodified</status>
      <modifiedWord/>
      <trackRevisions>false</trackRevisions>
    </reviewItem>
    <reviewItem>
      <errorID>551989d3-095e-4973-992b-d775fb87838b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248E1004</paraID>
      <start>0</start>
      <end>2</end>
      <status>unmodified</status>
      <modifiedWord/>
      <trackRevisions>false</trackRevisions>
    </reviewItem>
    <reviewItem>
      <errorID>623b0bfd-eb16-4432-b815-4e9ae9909832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79094097</paraID>
      <start>0</start>
      <end>2</end>
      <status>unmodified</status>
      <modifiedWord/>
      <trackRevisions>false</trackRevisions>
    </reviewItem>
    <reviewItem>
      <errorID>30ee148e-c970-4bda-9d6c-a2666c7b4701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72FFEA92</paraID>
      <start>0</start>
      <end>2</end>
      <status>unmodified</status>
      <modifiedWord/>
      <trackRevisions>false</trackRevisions>
    </reviewItem>
    <reviewItem>
      <errorID>00dfa928-8686-4d8e-9352-8da17559e40b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31BCB74A</paraID>
      <start>0</start>
      <end>2</end>
      <status>unmodified</status>
      <modifiedWord/>
      <trackRevisions>false</trackRevisions>
    </reviewItem>
    <reviewItem>
      <errorID>feeba558-3d11-432d-9c5c-cd0cf22c7d04</errorID>
      <errorWord>虚实仿真</errorWord>
      <group>L1_Knowledge</group>
      <groupName>知识性问题</groupName>
      <ability>L2_Knowledge</ability>
      <abilityName>其他知识</abilityName>
      <candidateList>
        <item>虚拟仿真</item>
      </candidateList>
      <explain/>
      <paraID>31BCB74A</paraID>
      <start>85</start>
      <end>89</end>
      <status>unmodified</status>
      <modifiedWord/>
      <trackRevisions>false</trackRevisions>
    </reviewItem>
    <reviewItem>
      <errorID>0862a0cf-6c77-4a72-87bc-63ca99870798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2FD0717E</paraID>
      <start>0</start>
      <end>2</end>
      <status>unmodified</status>
      <modifiedWord/>
      <trackRevisions>false</trackRevisions>
    </reviewItem>
    <reviewItem>
      <errorID>8e15f9dc-2189-46b3-b2b1-18032b255803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6A9ECD8E</paraID>
      <start>0</start>
      <end>2</end>
      <status>unmodified</status>
      <modifiedWord/>
      <trackRevisions>false</trackRevisions>
    </reviewItem>
    <reviewItem>
      <errorID>cec87204-7927-40c8-9e76-4c26f183f076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6940B82B</paraID>
      <start>0</start>
      <end>2</end>
      <status>unmodified</status>
      <modifiedWord/>
      <trackRevisions>false</trackRevisions>
    </reviewItem>
    <reviewItem>
      <errorID>19fa977c-7d8a-48da-b923-a2582f140d4e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72E645ED</paraID>
      <start>0</start>
      <end>2</end>
      <status>unmodified</status>
      <modifiedWord/>
      <trackRevisions>false</trackRevisions>
    </reviewItem>
    <reviewItem>
      <errorID>f87c8e77-1953-4163-9c29-37a1c512248c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7157C0E</paraID>
      <start>0</start>
      <end>2</end>
      <status>unmodified</status>
      <modifiedWord/>
      <trackRevisions>false</trackRevisions>
    </reviewItem>
    <reviewItem>
      <errorID>c7110a47-46a9-4340-b85d-5ae23bc2e9c4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5E44C860</paraID>
      <start>0</start>
      <end>2</end>
      <status>unmodified</status>
      <modifiedWord/>
      <trackRevisions>false</trackRevisions>
    </reviewItem>
    <reviewItem>
      <errorID>abf75595-9b5d-4232-9626-490129310e92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FC7F9EC</paraID>
      <start>0</start>
      <end>2</end>
      <status>unmodified</status>
      <modifiedWord/>
      <trackRevisions>false</trackRevisions>
    </reviewItem>
    <reviewItem>
      <errorID>ac9519f1-6cf9-43c6-8b90-060f6494e230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5CB8D8F</paraID>
      <start>0</start>
      <end>2</end>
      <status>unmodified</status>
      <modifiedWord/>
      <trackRevisions>false</trackRevisions>
    </reviewItem>
    <reviewItem>
      <errorID>803d87e9-749b-4770-9e90-6ab378ac6606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6D024A9D</paraID>
      <start>0</start>
      <end>3</end>
      <status>unmodified</status>
      <modifiedWord/>
      <trackRevisions>false</trackRevisions>
    </reviewItem>
    <reviewItem>
      <errorID>b4af61c6-66de-454b-aadd-c70d7ae5592d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BF55490</paraID>
      <start>0</start>
      <end>3</end>
      <status>unmodified</status>
      <modifiedWord/>
      <trackRevisions>false</trackRevisions>
    </reviewItem>
    <reviewItem>
      <errorID>21749fae-91cd-48be-99db-8775377b64ec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5DB9BE99</paraID>
      <start>0</start>
      <end>3</end>
      <status>unmodified</status>
      <modifiedWord/>
      <trackRevisions>false</trackRevisions>
    </reviewItem>
    <reviewItem>
      <errorID>293e8a9e-b4c1-4046-8129-9ed7c3927e08</errorID>
      <errorWord>持</errorWord>
      <group>L1_Word</group>
      <groupName>字词问题</groupName>
      <ability>L2_Typo</ability>
      <abilityName>字词错误</abilityName>
      <candidateList>
        <item>持等</item>
      </candidateList>
      <explain/>
      <paraID>5DB9BE99</paraID>
      <start>52</start>
      <end>53</end>
      <status>unmodified</status>
      <modifiedWord/>
      <trackRevisions>false</trackRevisions>
    </reviewItem>
    <reviewItem>
      <errorID>fabc0f82-2e77-4d9b-b609-09102a7b74a2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39D1ECD1</paraID>
      <start>0</start>
      <end>3</end>
      <status>unmodified</status>
      <modifiedWord/>
      <trackRevisions>false</trackRevisions>
    </reviewItem>
    <reviewItem>
      <errorID>0ba8f2c6-a2cc-4a89-b36e-9c278f7910ce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4576E3B8</paraID>
      <start>0</start>
      <end>3</end>
      <status>unmodified</status>
      <modifiedWord/>
      <trackRevisions>false</trackRevisions>
    </reviewItem>
    <reviewItem>
      <errorID>f3a74ee5-55d5-46ea-9f93-07723be61f83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367EB240</paraID>
      <start>0</start>
      <end>2</end>
      <status>unmodified</status>
      <modifiedWord/>
      <trackRevisions>false</trackRevisions>
    </reviewItem>
    <reviewItem>
      <errorID>6bb9ac09-d2c3-42ec-b8c4-61568854bf40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35892116</paraID>
      <start>0</start>
      <end>2</end>
      <status>unmodified</status>
      <modifiedWord/>
      <trackRevisions>false</trackRevisions>
    </reviewItem>
    <reviewItem>
      <errorID>f58cb12d-0021-4904-b7ea-274279807c22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68C708AE</paraID>
      <start>0</start>
      <end>2</end>
      <status>unmodified</status>
      <modifiedWord/>
      <trackRevisions>false</trackRevisions>
    </reviewItem>
    <reviewItem>
      <errorID>8c45053d-b3bb-462b-a1b1-2663ae6db55a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36A4E430</paraID>
      <start>0</start>
      <end>2</end>
      <status>unmodified</status>
      <modifiedWord/>
      <trackRevisions>false</trackRevisions>
    </reviewItem>
    <reviewItem>
      <errorID>bfcf816f-c131-40ea-a8f5-4957238f76ea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6ED2CB45</paraID>
      <start>0</start>
      <end>2</end>
      <status>unmodified</status>
      <modifiedWord/>
      <trackRevisions>false</trackRevisions>
    </reviewItem>
    <reviewItem>
      <errorID>506088e7-163b-4fb4-a223-dc4d29d8cd6b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27CCFAFF</paraID>
      <start>0</start>
      <end>2</end>
      <status>unmodified</status>
      <modifiedWord/>
      <trackRevisions>false</trackRevisions>
    </reviewItem>
    <reviewItem>
      <errorID>22d76e30-4afb-4377-9a20-d831ceeb243f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C48F014</paraID>
      <start>0</start>
      <end>2</end>
      <status>unmodified</status>
      <modifiedWord/>
      <trackRevisions>false</trackRevisions>
    </reviewItem>
    <reviewItem>
      <errorID>5403ae33-7d76-461e-9cca-58c960b0eb8e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652EDAF2</paraID>
      <start>0</start>
      <end>2</end>
      <status>unmodified</status>
      <modifiedWord/>
      <trackRevisions>false</trackRevisions>
    </reviewItem>
    <reviewItem>
      <errorID>5a65d495-0920-4974-ab24-e6539f6932e4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51927225</paraID>
      <start>0</start>
      <end>2</end>
      <status>unmodified</status>
      <modifiedWord/>
      <trackRevisions>false</trackRevisions>
    </reviewItem>
    <reviewItem>
      <errorID>0471e67b-2ff1-4c06-811f-b6089c69272c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7A31D56C</paraID>
      <start>0</start>
      <end>2</end>
      <status>unmodified</status>
      <modifiedWord/>
      <trackRevisions>false</trackRevisions>
    </reviewItem>
    <reviewItem>
      <errorID>e1685065-fe7e-4b45-bd44-2e2f21653de7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64D58439</paraID>
      <start>0</start>
      <end>2</end>
      <status>unmodified</status>
      <modifiedWord/>
      <trackRevisions>false</trackRevisions>
    </reviewItem>
    <reviewItem>
      <errorID>07a6d296-2d7c-4978-8dfe-509329582118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495F81F7</paraID>
      <start>0</start>
      <end>2</end>
      <status>unmodified</status>
      <modifiedWord/>
      <trackRevisions>false</trackRevisions>
    </reviewItem>
    <reviewItem>
      <errorID>e8571465-89fe-49fe-8ed1-11a78411f3aa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7009B506</paraID>
      <start>0</start>
      <end>2</end>
      <status>unmodified</status>
      <modifiedWord/>
      <trackRevisions>false</trackRevisions>
    </reviewItem>
    <reviewItem>
      <errorID>7cfdc25e-dbd6-4994-9200-ba40fc0da15e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3F728E48</paraID>
      <start>0</start>
      <end>2</end>
      <status>unmodified</status>
      <modifiedWord/>
      <trackRevisions>false</trackRevisions>
    </reviewItem>
    <reviewItem>
      <errorID>87b4128e-a1e7-4288-99f5-a7d2701bb8b7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28C93799</paraID>
      <start>0</start>
      <end>2</end>
      <status>unmodified</status>
      <modifiedWord/>
      <trackRevisions>false</trackRevisions>
    </reviewItem>
    <reviewItem>
      <errorID>d1c7d459-db68-47c6-b13e-04dee6405877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4A66C172</paraID>
      <start>0</start>
      <end>2</end>
      <status>unmodified</status>
      <modifiedWord/>
      <trackRevisions>false</trackRevisions>
    </reviewItem>
    <reviewItem>
      <errorID>85ac30cb-1d03-48b3-bc3d-9b528c3f135c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63181C96</paraID>
      <start>0</start>
      <end>2</end>
      <status>unmodified</status>
      <modifiedWord/>
      <trackRevisions>false</trackRevisions>
    </reviewItem>
    <reviewItem>
      <errorID>caad11bb-01a1-4a2d-b560-fabbb4db90bd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2F0D8F18</paraID>
      <start>0</start>
      <end>2</end>
      <status>unmodified</status>
      <modifiedWord/>
      <trackRevisions>false</trackRevisions>
    </reviewItem>
    <reviewItem>
      <errorID>9e365df1-cb7f-47d0-9118-e65d551516d2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36375513</paraID>
      <start>0</start>
      <end>2</end>
      <status>unmodified</status>
      <modifiedWord/>
      <trackRevisions>false</trackRevisions>
    </reviewItem>
    <reviewItem>
      <errorID>17009d99-a9f4-4f4d-9714-328e03ae05a5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3C78D14</paraID>
      <start>0</start>
      <end>2</end>
      <status>unmodified</status>
      <modifiedWord/>
      <trackRevisions>false</trackRevisions>
    </reviewItem>
    <reviewItem>
      <errorID>58ba1177-a871-45e1-950e-ac84d164a98b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197BDD35</paraID>
      <start>0</start>
      <end>3</end>
      <status>unmodified</status>
      <modifiedWord/>
      <trackRevisions>false</trackRevisions>
    </reviewItem>
    <reviewItem>
      <errorID>ae01f43e-7de1-447e-aab3-9745f68cf425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3FE202C9</paraID>
      <start>0</start>
      <end>3</end>
      <status>unmodified</status>
      <modifiedWord/>
      <trackRevisions>false</trackRevisions>
    </reviewItem>
    <reviewItem>
      <errorID>a054bda6-67db-415f-9035-25ad221f10a8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5C91AC43</paraID>
      <start>0</start>
      <end>3</end>
      <status>unmodified</status>
      <modifiedWord/>
      <trackRevisions>false</trackRevisions>
    </reviewItem>
    <reviewItem>
      <errorID>672454f3-eb41-4c96-94ef-cf89ba313c4b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5B8A7EF9</paraID>
      <start>0</start>
      <end>3</end>
      <status>unmodified</status>
      <modifiedWord/>
      <trackRevisions>false</trackRevisions>
    </reviewItem>
    <reviewItem>
      <errorID>cc2d472a-1936-44af-82de-08a6dec3dc94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6B36013A</paraID>
      <start>0</start>
      <end>3</end>
      <status>unmodified</status>
      <modifiedWord/>
      <trackRevisions>false</trackRevisions>
    </reviewItem>
    <reviewItem>
      <errorID>e180a6d7-b8f6-4c7b-9b63-adbbfc2beda2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11DA080F</paraID>
      <start>0</start>
      <end>3</end>
      <status>unmodified</status>
      <modifiedWord/>
      <trackRevisions>false</trackRevisions>
    </reviewItem>
    <reviewItem>
      <errorID>f1cd444e-739a-4c07-b9dd-81d0422ba8ac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7473CFD5</paraID>
      <start>0</start>
      <end>3</end>
      <status>unmodified</status>
      <modifiedWord/>
      <trackRevisions>false</trackRevisions>
    </reviewItem>
    <reviewItem>
      <errorID>b9681d4b-0d96-44ba-afc7-eff68f1f5693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19F91AEA</paraID>
      <start>0</start>
      <end>3</end>
      <status>unmodified</status>
      <modifiedWord/>
      <trackRevisions>false</trackRevisions>
    </reviewItem>
    <reviewItem>
      <errorID>cc8f24e1-fc8d-4056-94a1-5a73d9ad91ab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48A324B</paraID>
      <start>0</start>
      <end>3</end>
      <status>unmodified</status>
      <modifiedWord/>
      <trackRevisions>false</trackRevisions>
    </reviewItem>
    <reviewItem>
      <errorID>ef660d2c-7612-4d1b-b0f7-eb61fb6e133c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1B7911B5</paraID>
      <start>0</start>
      <end>2</end>
      <status>unmodified</status>
      <modifiedWord/>
      <trackRevisions>false</trackRevisions>
    </reviewItem>
    <reviewItem>
      <errorID>ed11b66a-0d25-43ac-80ca-b5faa0fa3aab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EA915E3</paraID>
      <start>0</start>
      <end>2</end>
      <status>unmodified</status>
      <modifiedWord/>
      <trackRevisions>false</trackRevisions>
    </reviewItem>
    <reviewItem>
      <errorID>b7961df0-5fa3-4714-bde7-d1a76bf33356</errorID>
      <errorWord>3、</errorWord>
      <group>L1_Format</group>
      <groupName>格式问题</groupName>
      <ability>L2_Ordinal</ability>
      <abilityName>序号格式</abilityName>
      <candidateList>
        <item>3.</item>
      </candidateList>
      <explain>当前序号格式不规范，建议修改为规范格式[3.]。</explain>
      <paraID> 7B963BC</paraID>
      <start>0</start>
      <end>2</end>
      <status>unmodified</status>
      <modifiedWord/>
      <trackRevisions>false</trackRevisions>
    </reviewItem>
    <reviewItem>
      <errorID>a917d924-1439-497d-bbc4-25c7eb340b63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6E33D499</paraID>
      <start>0</start>
      <end>2</end>
      <status>unmodified</status>
      <modifiedWord/>
      <trackRevisions>false</trackRevisions>
    </reviewItem>
    <reviewItem>
      <errorID>3907f271-10f5-4ce3-9dfc-087dfe500219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556FDF5A</paraID>
      <start>0</start>
      <end>2</end>
      <status>unmodified</status>
      <modifiedWord/>
      <trackRevisions>false</trackRevisions>
    </reviewItem>
    <reviewItem>
      <errorID>fa5c9626-5a89-43bf-bbf8-af2e417e6aa6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3FD85D95</paraID>
      <start>0</start>
      <end>2</end>
      <status>unmodified</status>
      <modifiedWord/>
      <trackRevisions>false</trackRevisions>
    </reviewItem>
    <reviewItem>
      <errorID>03a11aac-a9d8-49e4-abb1-1136383b5504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6A8AE775</paraID>
      <start>0</start>
      <end>2</end>
      <status>unmodified</status>
      <modifiedWord/>
      <trackRevisions>false</trackRevisions>
    </reviewItem>
    <reviewItem>
      <errorID>6a33658d-ca08-4da3-95cb-006b2c82b9f5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6DDE5489</paraID>
      <start>0</start>
      <end>2</end>
      <status>unmodified</status>
      <modifiedWord/>
      <trackRevisions>false</trackRevisions>
    </reviewItem>
    <reviewItem>
      <errorID>7e29f74b-810e-43b1-bd62-c948466da4ab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55DEE3B</paraID>
      <start>0</start>
      <end>2</end>
      <status>unmodified</status>
      <modifiedWord/>
      <trackRevisions>false</trackRevisions>
    </reviewItem>
    <reviewItem>
      <errorID>c2701020-b059-4f41-be84-4bb0f1aa32ba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7F88F49E</paraID>
      <start>0</start>
      <end>3</end>
      <status>unmodified</status>
      <modifiedWord/>
      <trackRevisions>false</trackRevisions>
    </reviewItem>
    <reviewItem>
      <errorID>4435784a-d710-4bfd-a230-59a5a28ae258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49F7E447</paraID>
      <start>0</start>
      <end>2</end>
      <status>unmodified</status>
      <modifiedWord/>
      <trackRevisions>false</trackRevisions>
    </reviewItem>
    <reviewItem>
      <errorID>01793582-5f10-47ec-b9b9-979556d55be9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45FD4FD5</paraID>
      <start>0</start>
      <end>2</end>
      <status>unmodified</status>
      <modifiedWord/>
      <trackRevisions>false</trackRevisions>
    </reviewItem>
    <reviewItem>
      <errorID>57b5dabe-6ae4-4db6-84d6-5fd2d69f8661</errorID>
      <errorWord>III</errorWord>
      <group>L1_Knowledge</group>
      <groupName>知识性问题</groupName>
      <ability>L2_Knowledge</ability>
      <abilityName>其他知识</abilityName>
      <candidateList>
        <item>Ⅲ</item>
      </candidateList>
      <explain>中文环境下罗马数字格式错误。</explain>
      <paraID>45FD4FD5</paraID>
      <start>16</start>
      <end>19</end>
      <status>unmodified</status>
      <modifiedWord/>
      <trackRevisions>false</trackRevisions>
    </reviewItem>
    <reviewItem>
      <errorID>e2d450d2-1a2d-4909-8815-02204b422ee6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21EC88A1</paraID>
      <start>0</start>
      <end>2</end>
      <status>unmodified</status>
      <modifiedWord/>
      <trackRevisions>false</trackRevisions>
    </reviewItem>
    <reviewItem>
      <errorID>5f7b370b-584e-4e94-87d2-5f7baa63fb24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7D70A789</paraID>
      <start>0</start>
      <end>2</end>
      <status>unmodified</status>
      <modifiedWord/>
      <trackRevisions>false</trackRevisions>
    </reviewItem>
    <reviewItem>
      <errorID>8ec2045e-e54c-4624-af4c-4ff39a21072f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65D84028</paraID>
      <start>0</start>
      <end>2</end>
      <status>unmodified</status>
      <modifiedWord/>
      <trackRevisions>false</trackRevisions>
    </reviewItem>
    <reviewItem>
      <errorID>ae90d031-d6d4-4379-94fd-ea25234f063f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34223572</paraID>
      <start>0</start>
      <end>2</end>
      <status>unmodified</status>
      <modifiedWord/>
      <trackRevisions>false</trackRevisions>
    </reviewItem>
    <reviewItem>
      <errorID>08eb7348-b7e0-4ab5-a09d-4abe62e9415d</errorID>
      <errorWord>1、</errorWord>
      <group>L1_Format</group>
      <groupName>格式问题</groupName>
      <ability>L2_Ordinal</ability>
      <abilityName>序号格式</abilityName>
      <candidateList>
        <item>1.</item>
      </candidateList>
      <explain>当前序号格式不规范，建议修改为规范格式[1.]。</explain>
      <paraID>5FC2D573</paraID>
      <start>0</start>
      <end>2</end>
      <status>unmodified</status>
      <modifiedWord/>
      <trackRevisions>false</trackRevisions>
    </reviewItem>
    <reviewItem>
      <errorID>cb422b19-737b-40f4-ae08-c1dffc72daa3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5083945D</paraID>
      <start>0</start>
      <end>2</end>
      <status>unmodified</status>
      <modifiedWord/>
      <trackRevisions>false</trackRevisions>
    </reviewItem>
    <reviewItem>
      <errorID>15d05e8e-c0db-4c7f-aac6-540c82fa9330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62DF89BA</paraID>
      <start>0</start>
      <end>2</end>
      <status>unmodified</status>
      <modifiedWord/>
      <trackRevisions>false</trackRevisions>
    </reviewItem>
    <reviewItem>
      <errorID>3e1d72a0-1b10-45bd-8186-5345ea460a1a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34B38B86</paraID>
      <start>0</start>
      <end>2</end>
      <status>unmodified</status>
      <modifiedWord/>
      <trackRevisions>false</trackRevisions>
    </reviewItem>
    <reviewItem>
      <errorID>f4bcf049-fd8f-4899-9819-a4d50b781b9d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24CDDC23</paraID>
      <start>46</start>
      <end>47</end>
      <status>unmodified</status>
      <modifiedWord/>
      <trackRevisions>false</trackRevisions>
    </reviewItem>
    <reviewItem>
      <errorID>e90b27e8-8e26-4bd4-a75b-7b3602900e91</errorID>
      <errorWord>试配</errorWord>
      <group>L1_Word</group>
      <groupName>字词问题</groupName>
      <ability>L2_Typo</ability>
      <abilityName>字词错误</abilityName>
      <candidateList>
        <item>适配</item>
      </candidateList>
      <explain/>
      <paraID>3FA34E34</paraID>
      <start>81</start>
      <end>83</end>
      <status>unmodified</status>
      <modifiedWord/>
      <trackRevisions>false</trackRevisions>
    </reviewItem>
    <reviewItem>
      <errorID>c1854adb-845e-44ab-803b-a96d7b0d8fdb</errorID>
      <errorWord>排</errorWord>
      <group>L1_Word</group>
      <groupName>字词问题</groupName>
      <ability>L2_Typo</ability>
      <abilityName>字词错误</abilityName>
      <candidateList>
        <item>排放</item>
      </candidateList>
      <explain/>
      <paraID>1B4D05FD</paraID>
      <start>39</start>
      <end>40</end>
      <status>unmodified</status>
      <modifiedWord/>
      <trackRevisions>false</trackRevisions>
    </reviewItem>
    <reviewItem>
      <errorID>c7f2679c-7d7e-4e50-a3a8-93386760f6ea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BD57840</paraID>
      <start>0</start>
      <end>2</end>
      <status>unmodified</status>
      <modifiedWord/>
      <trackRevisions>false</trackRevisions>
    </reviewItem>
    <reviewItem>
      <errorID>77aaafe1-0080-4856-8dd4-ddf5bc2b63f7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1772D71D</paraID>
      <start>0</start>
      <end>2</end>
      <status>unmodified</status>
      <modifiedWord/>
      <trackRevisions>false</trackRevisions>
    </reviewItem>
    <reviewItem>
      <errorID>e0e64abe-cc4a-46ff-8ba2-d11d4715b814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458F434D</paraID>
      <start>0</start>
      <end>2</end>
      <status>unmodified</status>
      <modifiedWord/>
      <trackRevisions>false</trackRevisions>
    </reviewItem>
    <reviewItem>
      <errorID>00a087c8-c658-4d83-9c24-4da36953e6a1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2415B113</paraID>
      <start>0</start>
      <end>2</end>
      <status>unmodified</status>
      <modifiedWord/>
      <trackRevisions>false</trackRevisions>
    </reviewItem>
    <reviewItem>
      <errorID>8dfb43c9-e7c7-407e-9d8c-d9c37ca82c87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3508E87B</paraID>
      <start>0</start>
      <end>2</end>
      <status>unmodified</status>
      <modifiedWord/>
      <trackRevisions>false</trackRevisions>
    </reviewItem>
    <reviewItem>
      <errorID>f3c5f266-c7bc-4d1f-9099-a162a4012d0e</errorID>
      <errorWord>（</errorWord>
      <group>L1_Punc</group>
      <groupName>标点问题</groupName>
      <ability>L2_Punc_CN</ability>
      <abilityName>标点符号检查</abilityName>
      <candidateList/>
      <explain>同一形式括号套用。</explain>
      <paraID>5BBB90CC</paraID>
      <start>32</start>
      <end>33</end>
      <status>unmodified</status>
      <modifiedWord/>
      <trackRevisions>false</trackRevisions>
    </reviewItem>
    <reviewItem>
      <errorID>673b2006-db27-4bc2-bcbf-ce4323bad97c</errorID>
      <errorWord>）</errorWord>
      <group>L1_Punc</group>
      <groupName>标点问题</groupName>
      <ability>L2_Punc_CN</ability>
      <abilityName>标点符号检查</abilityName>
      <candidateList/>
      <explain>同一形式括号套用。</explain>
      <paraID>5BBB90CC</paraID>
      <start>35</start>
      <end>36</end>
      <status>unmodified</status>
      <modifiedWord/>
      <trackRevisions>false</trackRevisions>
    </reviewItem>
    <reviewItem>
      <errorID>47fdd536-09e6-4247-8e3f-2c474c9b184d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6E591F65</paraID>
      <start>0</start>
      <end>2</end>
      <status>unmodified</status>
      <modifiedWord/>
      <trackRevisions>false</trackRevisions>
    </reviewItem>
    <reviewItem>
      <errorID>c4b9ac2d-eb9c-4112-8627-c8ab230f2805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6C165170</paraID>
      <start>0</start>
      <end>2</end>
      <status>unmodified</status>
      <modifiedWord/>
      <trackRevisions>false</trackRevisions>
    </reviewItem>
    <reviewItem>
      <errorID>d5258028-6357-4981-93e7-64a74bd740f8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2F3F1752</paraID>
      <start>0</start>
      <end>2</end>
      <status>unmodified</status>
      <modifiedWord/>
      <trackRevisions>false</trackRevisions>
    </reviewItem>
    <reviewItem>
      <errorID>4981a1ed-6688-4403-b299-9fa87f680e40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226E7258</paraID>
      <start>0</start>
      <end>2</end>
      <status>unmodified</status>
      <modifiedWord/>
      <trackRevisions>false</trackRevisions>
    </reviewItem>
    <reviewItem>
      <errorID>2a0f76cc-0ea4-406f-8a9e-f6c985e92827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2254D60</paraID>
      <start>0</start>
      <end>2</end>
      <status>unmodified</status>
      <modifiedWord/>
      <trackRevisions>false</trackRevisions>
    </reviewItem>
    <reviewItem>
      <errorID>d41b6281-f4d8-4448-8678-4a3334606938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6C160036</paraID>
      <start>0</start>
      <end>2</end>
      <status>unmodified</status>
      <modifiedWord/>
      <trackRevisions>false</trackRevisions>
    </reviewItem>
    <reviewItem>
      <errorID>b62d2206-f6d6-4fcd-a663-853462876065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23131B7F</paraID>
      <start>0</start>
      <end>2</end>
      <status>unmodified</status>
      <modifiedWord/>
      <trackRevisions>false</trackRevisions>
    </reviewItem>
    <reviewItem>
      <errorID>f234f01f-edac-4421-9dd3-6943834c717f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2F1295B4</paraID>
      <start>0</start>
      <end>2</end>
      <status>unmodified</status>
      <modifiedWord/>
      <trackRevisions>false</trackRevisions>
    </reviewItem>
    <reviewItem>
      <errorID>4c4992e6-c645-4bf2-85ec-37ef49fdb8ca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7705E790</paraID>
      <start>0</start>
      <end>2</end>
      <status>unmodified</status>
      <modifiedWord/>
      <trackRevisions>false</trackRevisions>
    </reviewItem>
    <reviewItem>
      <errorID>117105e7-fde3-4a25-b537-4405a4cd26c2</errorID>
      <errorWord>电</errorWord>
      <group>L1_Word</group>
      <groupName>字词问题</groupName>
      <ability>L2_Typo</ability>
      <abilityName>字词错误</abilityName>
      <candidateList>
        <item>电池</item>
      </candidateList>
      <explain/>
      <paraID>7705E790</paraID>
      <start>5</start>
      <end>6</end>
      <status>unmodified</status>
      <modifiedWord/>
      <trackRevisions>false</trackRevisions>
    </reviewItem>
    <reviewItem>
      <errorID>bdf11e9f-468b-4d26-9642-4b22adf59018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389182F6</paraID>
      <start>0</start>
      <end>3</end>
      <status>unmodified</status>
      <modifiedWord/>
      <trackRevisions>false</trackRevisions>
    </reviewItem>
    <reviewItem>
      <errorID>91e6be0e-7a85-42fd-9e58-14d219a30033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4159F6C0</paraID>
      <start>0</start>
      <end>3</end>
      <status>unmodified</status>
      <modifiedWord/>
      <trackRevisions>false</trackRevisions>
    </reviewItem>
    <reviewItem>
      <errorID>706dfaf9-9872-4715-88e4-65ced2e87cf9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335C065B</paraID>
      <start>0</start>
      <end>3</end>
      <status>unmodified</status>
      <modifiedWord/>
      <trackRevisions>false</trackRevisions>
    </reviewItem>
    <reviewItem>
      <errorID>91694a62-5aef-4bb4-ac46-d26e1e401a28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6C6CAC65</paraID>
      <start>0</start>
      <end>3</end>
      <status>unmodified</status>
      <modifiedWord/>
      <trackRevisions>false</trackRevisions>
    </reviewItem>
    <reviewItem>
      <errorID>d306e5d4-25d9-4307-a09c-b1dbdfeab187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201E88A4</paraID>
      <start>0</start>
      <end>3</end>
      <status>unmodified</status>
      <modifiedWord/>
      <trackRevisions>false</trackRevisions>
    </reviewItem>
    <reviewItem>
      <errorID>52e02e60-8b1a-4ebe-8035-14c612cadfbe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4E6CCF6C</paraID>
      <start>0</start>
      <end>3</end>
      <status>unmodified</status>
      <modifiedWord/>
      <trackRevisions>false</trackRevisions>
    </reviewItem>
    <reviewItem>
      <errorID>b5d9e3d1-1931-4fd1-ab75-bf58c98e9586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3F5E45E4</paraID>
      <start>0</start>
      <end>3</end>
      <status>unmodified</status>
      <modifiedWord/>
      <trackRevisions>false</trackRevisions>
    </reviewItem>
    <reviewItem>
      <errorID>4550abfe-f481-49a8-bd29-84c9f6c41d8b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1EAC05A3</paraID>
      <start>0</start>
      <end>3</end>
      <status>unmodified</status>
      <modifiedWord/>
      <trackRevisions>false</trackRevisions>
    </reviewItem>
    <reviewItem>
      <errorID>64b1a00a-a04d-4362-bc22-165d02d7182c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1EBD54D7</paraID>
      <start>0</start>
      <end>2</end>
      <status>unmodified</status>
      <modifiedWord/>
      <trackRevisions>false</trackRevisions>
    </reviewItem>
    <reviewItem>
      <errorID>821d93cd-fa80-4c94-b684-8735151c7534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606C75A6</paraID>
      <start>0</start>
      <end>2</end>
      <status>unmodified</status>
      <modifiedWord/>
      <trackRevisions>false</trackRevisions>
    </reviewItem>
    <reviewItem>
      <errorID>007ada95-a699-436c-ab6c-b9da46441817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3BEA4E53</paraID>
      <start>0</start>
      <end>2</end>
      <status>unmodified</status>
      <modifiedWord/>
      <trackRevisions>false</trackRevisions>
    </reviewItem>
    <reviewItem>
      <errorID>9b533114-ce07-497f-a430-c55a8e58cc2f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26CBAB02</paraID>
      <start>0</start>
      <end>2</end>
      <status>unmodified</status>
      <modifiedWord/>
      <trackRevisions>false</trackRevisions>
    </reviewItem>
    <reviewItem>
      <errorID>33013416-e24e-4746-b6c5-4b80e157df12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6E6C31EF</paraID>
      <start>0</start>
      <end>2</end>
      <status>unmodified</status>
      <modifiedWord/>
      <trackRevisions>false</trackRevisions>
    </reviewItem>
    <reviewItem>
      <errorID>558e67d2-793b-4254-8123-02e90f46e83b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47C47F3B</paraID>
      <start>0</start>
      <end>2</end>
      <status>unmodified</status>
      <modifiedWord/>
      <trackRevisions>false</trackRevisions>
    </reviewItem>
    <reviewItem>
      <errorID>7caabb90-8e5d-40c7-94ae-9731add71296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5851D95E</paraID>
      <start>0</start>
      <end>2</end>
      <status>unmodified</status>
      <modifiedWord/>
      <trackRevisions>false</trackRevisions>
    </reviewItem>
    <reviewItem>
      <errorID>43c1f108-1b53-4531-b395-b31eade1f1b0</errorID>
      <errorWord>电</errorWord>
      <group>L1_Word</group>
      <groupName>字词问题</groupName>
      <ability>L2_Typo</ability>
      <abilityName>字词错误</abilityName>
      <candidateList>
        <item>电池</item>
      </candidateList>
      <explain/>
      <paraID>5851D95E</paraID>
      <start>5</start>
      <end>6</end>
      <status>unmodified</status>
      <modifiedWord/>
      <trackRevisions>false</trackRevisions>
    </reviewItem>
    <reviewItem>
      <errorID>15d46d46-daa4-4070-8743-62d7cb33b518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570CCA4E</paraID>
      <start>0</start>
      <end>2</end>
      <status>unmodified</status>
      <modifiedWord/>
      <trackRevisions>false</trackRevisions>
    </reviewItem>
    <reviewItem>
      <errorID>5838fc95-a84d-4874-9b85-b5e663bfe9c0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20BA0667</paraID>
      <start>0</start>
      <end>2</end>
      <status>unmodified</status>
      <modifiedWord/>
      <trackRevisions>false</trackRevisions>
    </reviewItem>
    <reviewItem>
      <errorID>bbd9644f-7faa-4f9e-9dfb-e0f76376bf15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1B945EC2</paraID>
      <start>0</start>
      <end>3</end>
      <status>unmodified</status>
      <modifiedWord/>
      <trackRevisions>false</trackRevisions>
    </reviewItem>
    <reviewItem>
      <errorID>d6dee711-5052-4582-b519-0f6a0f2c9a16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2603FAF1</paraID>
      <start>0</start>
      <end>3</end>
      <status>unmodified</status>
      <modifiedWord/>
      <trackRevisions>false</trackRevisions>
    </reviewItem>
    <reviewItem>
      <errorID>cc2ac469-c102-4406-aadf-3b96fb2f2e7c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1BEA774</paraID>
      <start>0</start>
      <end>3</end>
      <status>unmodified</status>
      <modifiedWord/>
      <trackRevisions>false</trackRevisions>
    </reviewItem>
    <reviewItem>
      <errorID>dde433e5-1716-4ab0-84e3-d213952270d8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A2AAD97</paraID>
      <start>0</start>
      <end>3</end>
      <status>unmodified</status>
      <modifiedWord/>
      <trackRevisions>false</trackRevisions>
    </reviewItem>
    <reviewItem>
      <errorID>a23e32d9-a8ab-4726-955d-f3c17cb4b47c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22521FEC</paraID>
      <start>0</start>
      <end>3</end>
      <status>unmodified</status>
      <modifiedWord/>
      <trackRevisions>false</trackRevisions>
    </reviewItem>
    <reviewItem>
      <errorID>c7c42d54-8879-4a0a-9379-32b130810548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439F75B2</paraID>
      <start>0</start>
      <end>3</end>
      <status>unmodified</status>
      <modifiedWord/>
      <trackRevisions>false</trackRevisions>
    </reviewItem>
    <reviewItem>
      <errorID>cdf38c8e-6043-4d05-8bc5-0b0c7f7f622e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5772F781</paraID>
      <start>0</start>
      <end>3</end>
      <status>unmodified</status>
      <modifiedWord/>
      <trackRevisions>false</trackRevisions>
    </reviewItem>
    <reviewItem>
      <errorID>a6d92a8f-0452-48e4-9107-5a7f8039edcc</errorID>
      <errorWord>(</errorWord>
      <group>L1_Format</group>
      <groupName>格式问题</groupName>
      <ability>L2_HalfPunc_CN</ability>
      <abilityName>全半角检查</abilityName>
      <candidateList>
        <item>（</item>
      </candidateList>
      <explain>文本全半角错误。</explain>
      <paraID>31E84627</paraID>
      <start>108</start>
      <end>109</end>
      <status>unmodified</status>
      <modifiedWord/>
      <trackRevisions>false</trackRevisions>
    </reviewItem>
    <reviewItem>
      <errorID>257d7d3e-1156-4d32-9b06-97f2c848fd71</errorID>
      <errorWord>)</errorWord>
      <group>L1_Format</group>
      <groupName>格式问题</groupName>
      <ability>L2_HalfPunc_CN</ability>
      <abilityName>全半角检查</abilityName>
      <candidateList>
        <item>）</item>
      </candidateList>
      <explain>文本全半角错误。</explain>
      <paraID>31E84627</paraID>
      <start>122</start>
      <end>123</end>
      <status>unmodified</status>
      <modifiedWord/>
      <trackRevisions>false</trackRevisions>
    </reviewItem>
    <reviewItem>
      <errorID>a48cb995-93e1-42b1-b247-7f35e822cb8e</errorID>
      <errorWord>件和</errorWord>
      <group>L1_Word</group>
      <groupName>字词问题</groupName>
      <ability>L2_Typo</ability>
      <abilityName>字词错误</abilityName>
      <candidateList>
        <item>件</item>
      </candidateList>
      <explain/>
      <paraID> F920068</paraID>
      <start>66</start>
      <end>67</end>
      <status>modified</status>
      <modifiedWord>件</modifiedWord>
      <trackRevisions>false</trackRevisions>
    </reviewItem>
    <reviewItem>
      <errorID>98f88393-454d-4566-b880-f9c87ea7751d</errorID>
      <errorWord>（</errorWord>
      <group>L1_Punc</group>
      <groupName>标点问题</groupName>
      <ability>L2_Punc_CN</ability>
      <abilityName>标点符号检查</abilityName>
      <candidateList/>
      <explain>同一形式括号套用。</explain>
      <paraID> F920068</paraID>
      <start>70</start>
      <end>71</end>
      <status>unmodified</status>
      <modifiedWord/>
      <trackRevisions>false</trackRevisions>
    </reviewItem>
    <reviewItem>
      <errorID>fb3460e3-7f98-407d-a6ef-b29fcb285be9</errorID>
      <errorWord>）</errorWord>
      <group>L1_Punc</group>
      <groupName>标点问题</groupName>
      <ability>L2_Punc_CN</ability>
      <abilityName>标点符号检查</abilityName>
      <candidateList/>
      <explain>同一形式括号套用。</explain>
      <paraID> F920068</paraID>
      <start>73</start>
      <end>74</end>
      <status>unmodified</status>
      <modifiedWord/>
      <trackRevisions>false</trackRevisions>
    </reviewItem>
    <reviewItem>
      <errorID>f1d93abd-a13a-4a8d-acda-2bc5d654b3a6</errorID>
      <errorWord>件和</errorWord>
      <group>L1_Word</group>
      <groupName>字词问题</groupName>
      <ability>L2_Typo</ability>
      <abilityName>字词错误</abilityName>
      <candidateList>
        <item>件</item>
      </candidateList>
      <explain/>
      <paraID> 2798B5E</paraID>
      <start>66</start>
      <end>67</end>
      <status>modified</status>
      <modifiedWord>件</modifiedWord>
      <trackRevisions>false</trackRevisions>
    </reviewItem>
    <reviewItem>
      <errorID>3827e03e-1664-4317-a4f3-58232b35c9b2</errorID>
      <errorWord>（</errorWord>
      <group>L1_Punc</group>
      <groupName>标点问题</groupName>
      <ability>L2_Punc_CN</ability>
      <abilityName>标点符号检查</abilityName>
      <candidateList/>
      <explain>同一形式括号套用。</explain>
      <paraID> 2798B5E</paraID>
      <start>70</start>
      <end>71</end>
      <status>unmodified</status>
      <modifiedWord/>
      <trackRevisions>false</trackRevisions>
    </reviewItem>
    <reviewItem>
      <errorID>13e07b3e-8b87-43cf-8b48-29f1b11aaad6</errorID>
      <errorWord>）</errorWord>
      <group>L1_Punc</group>
      <groupName>标点问题</groupName>
      <ability>L2_Punc_CN</ability>
      <abilityName>标点符号检查</abilityName>
      <candidateList/>
      <explain>同一形式括号套用。</explain>
      <paraID> 2798B5E</paraID>
      <start>73</start>
      <end>74</end>
      <status>unmodified</status>
      <modifiedWord/>
      <trackRevisions>false</trackRevisions>
    </reviewItem>
    <reviewItem>
      <errorID>0f2fd3b3-7340-4358-9864-0cfda89fd59a</errorID>
      <errorWord>件和</errorWord>
      <group>L1_Word</group>
      <groupName>字词问题</groupName>
      <ability>L2_Typo</ability>
      <abilityName>字词错误</abilityName>
      <candidateList>
        <item>件</item>
      </candidateList>
      <explain/>
      <paraID>624F5159</paraID>
      <start>66</start>
      <end>67</end>
      <status>modified</status>
      <modifiedWord>件</modifiedWord>
      <trackRevisions>false</trackRevisions>
    </reviewItem>
    <reviewItem>
      <errorID>f05171f6-d817-4f21-b66f-c09049beca4c</errorID>
      <errorWord>（</errorWord>
      <group>L1_Punc</group>
      <groupName>标点问题</groupName>
      <ability>L2_Punc_CN</ability>
      <abilityName>标点符号检查</abilityName>
      <candidateList/>
      <explain>同一形式括号套用。</explain>
      <paraID>624F5159</paraID>
      <start>70</start>
      <end>71</end>
      <status>unmodified</status>
      <modifiedWord/>
      <trackRevisions>false</trackRevisions>
    </reviewItem>
    <reviewItem>
      <errorID>2b7b0782-02f2-4ffe-88c9-c06e3d9fa783</errorID>
      <errorWord>）</errorWord>
      <group>L1_Punc</group>
      <groupName>标点问题</groupName>
      <ability>L2_Punc_CN</ability>
      <abilityName>标点符号检查</abilityName>
      <candidateList/>
      <explain>同一形式括号套用。</explain>
      <paraID>624F5159</paraID>
      <start>73</start>
      <end>74</end>
      <status>unmodified</status>
      <modifiedWord/>
      <trackRevisions>false</trackRevisions>
    </reviewItem>
    <reviewItem>
      <errorID>8c2dd83a-5b97-4067-948a-ef40da398867</errorID>
      <errorWord>件和</errorWord>
      <group>L1_Word</group>
      <groupName>字词问题</groupName>
      <ability>L2_Typo</ability>
      <abilityName>字词错误</abilityName>
      <candidateList>
        <item>件</item>
      </candidateList>
      <explain/>
      <paraID>296173B4</paraID>
      <start>66</start>
      <end>67</end>
      <status>modified</status>
      <modifiedWord>件</modifiedWord>
      <trackRevisions>false</trackRevisions>
    </reviewItem>
    <reviewItem>
      <errorID>0314d362-73ff-4982-ae55-05766f6863a4</errorID>
      <errorWord>（</errorWord>
      <group>L1_Punc</group>
      <groupName>标点问题</groupName>
      <ability>L2_Punc_CN</ability>
      <abilityName>标点符号检查</abilityName>
      <candidateList/>
      <explain>同一形式括号套用。</explain>
      <paraID>296173B4</paraID>
      <start>70</start>
      <end>71</end>
      <status>unmodified</status>
      <modifiedWord/>
      <trackRevisions>false</trackRevisions>
    </reviewItem>
    <reviewItem>
      <errorID>25cdf2f2-5a0f-47ee-beb1-9b738c8e5e32</errorID>
      <errorWord>）</errorWord>
      <group>L1_Punc</group>
      <groupName>标点问题</groupName>
      <ability>L2_Punc_CN</ability>
      <abilityName>标点符号检查</abilityName>
      <candidateList/>
      <explain>同一形式括号套用。</explain>
      <paraID>296173B4</paraID>
      <start>73</start>
      <end>74</end>
      <status>unmodified</status>
      <modifiedWord/>
      <trackRevisions>false</trackRevisions>
    </reviewItem>
    <reviewItem>
      <errorID>5542e8c1-9028-489e-ae1e-5570115b566e</errorID>
      <errorWord>件和</errorWord>
      <group>L1_Word</group>
      <groupName>字词问题</groupName>
      <ability>L2_Typo</ability>
      <abilityName>字词错误</abilityName>
      <candidateList>
        <item>件</item>
      </candidateList>
      <explain/>
      <paraID>6AC5FB02</paraID>
      <start>66</start>
      <end>67</end>
      <status>modified</status>
      <modifiedWord>件</modifiedWord>
      <trackRevisions>false</trackRevisions>
    </reviewItem>
    <reviewItem>
      <errorID>f78a9e5b-b7e9-4a8b-8748-ae75b89ef87f</errorID>
      <errorWord>（</errorWord>
      <group>L1_Punc</group>
      <groupName>标点问题</groupName>
      <ability>L2_Punc_CN</ability>
      <abilityName>标点符号检查</abilityName>
      <candidateList/>
      <explain>同一形式括号套用。</explain>
      <paraID>6AC5FB02</paraID>
      <start>70</start>
      <end>71</end>
      <status>unmodified</status>
      <modifiedWord/>
      <trackRevisions>false</trackRevisions>
    </reviewItem>
    <reviewItem>
      <errorID>076e7bd5-72b1-4d63-b1ee-5ba079a4a18e</errorID>
      <errorWord>）</errorWord>
      <group>L1_Punc</group>
      <groupName>标点问题</groupName>
      <ability>L2_Punc_CN</ability>
      <abilityName>标点符号检查</abilityName>
      <candidateList/>
      <explain>同一形式括号套用。</explain>
      <paraID>6AC5FB02</paraID>
      <start>73</start>
      <end>74</end>
      <status>unmodified</status>
      <modifiedWord/>
      <trackRevisions>false</trackRevisions>
    </reviewItem>
    <reviewItem>
      <errorID>ce544ff4-55b3-4575-ae79-f4dd693851b0</errorID>
      <errorWord>件和</errorWord>
      <group>L1_Word</group>
      <groupName>字词问题</groupName>
      <ability>L2_Typo</ability>
      <abilityName>字词错误</abilityName>
      <candidateList>
        <item>件</item>
      </candidateList>
      <explain/>
      <paraID> 3CD251C</paraID>
      <start>66</start>
      <end>67</end>
      <status>modified</status>
      <modifiedWord>件</modifiedWord>
      <trackRevisions>false</trackRevisions>
    </reviewItem>
    <reviewItem>
      <errorID>185b0944-5b15-4c02-89e9-799dbba4935c</errorID>
      <errorWord>（</errorWord>
      <group>L1_Punc</group>
      <groupName>标点问题</groupName>
      <ability>L2_Punc_CN</ability>
      <abilityName>标点符号检查</abilityName>
      <candidateList/>
      <explain>同一形式括号套用。</explain>
      <paraID> 3CD251C</paraID>
      <start>70</start>
      <end>71</end>
      <status>unmodified</status>
      <modifiedWord/>
      <trackRevisions>false</trackRevisions>
    </reviewItem>
    <reviewItem>
      <errorID>44a62b55-8f58-4a30-9c52-a08a68607c4f</errorID>
      <errorWord>）</errorWord>
      <group>L1_Punc</group>
      <groupName>标点问题</groupName>
      <ability>L2_Punc_CN</ability>
      <abilityName>标点符号检查</abilityName>
      <candidateList/>
      <explain>同一形式括号套用。</explain>
      <paraID> 3CD251C</paraID>
      <start>73</start>
      <end>74</end>
      <status>unmodified</status>
      <modifiedWord/>
      <trackRevisions>false</trackRevisions>
    </reviewItem>
    <reviewItem>
      <errorID>9fa18ae1-d876-4a7f-9562-dbbc0776fe08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7DE9F72C</paraID>
      <start>0</start>
      <end>2</end>
      <status>unmodified</status>
      <modifiedWord/>
      <trackRevisions>false</trackRevisions>
    </reviewItem>
    <reviewItem>
      <errorID>e351fe6f-8fc6-498f-88bd-f674e03fdbeb</errorID>
      <errorWord>(</errorWord>
      <group>L1_Format</group>
      <groupName>格式问题</groupName>
      <ability>L2_HalfPunc_CN</ability>
      <abilityName>全半角检查</abilityName>
      <candidateList>
        <item>（</item>
      </candidateList>
      <explain>文本全半角错误。</explain>
      <paraID>3514187D</paraID>
      <start>93</start>
      <end>94</end>
      <status>unmodified</status>
      <modifiedWord/>
      <trackRevisions>false</trackRevisions>
    </reviewItem>
    <reviewItem>
      <errorID>3b736fe6-9078-41f8-a3ab-8ec43d9c8dfd</errorID>
      <errorWord>)</errorWord>
      <group>L1_Format</group>
      <groupName>格式问题</groupName>
      <ability>L2_HalfPunc_CN</ability>
      <abilityName>全半角检查</abilityName>
      <candidateList>
        <item>）</item>
      </candidateList>
      <explain>文本全半角错误。</explain>
      <paraID>3514187D</paraID>
      <start>103</start>
      <end>104</end>
      <status>unmodified</status>
      <modifiedWord/>
      <trackRevisions>false</trackRevisions>
    </reviewItem>
    <reviewItem>
      <errorID>274d743d-de03-4609-a0bd-41b867e691d9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70292BF7</paraID>
      <start>0</start>
      <end>2</end>
      <status>unmodified</status>
      <modifiedWord/>
      <trackRevisions>false</trackRevisions>
    </reviewItem>
    <reviewItem>
      <errorID>f7dba5c4-d401-403e-9c96-c3ac85cdd9a3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165E2785</paraID>
      <start>0</start>
      <end>2</end>
      <status>unmodified</status>
      <modifiedWord/>
      <trackRevisions>false</trackRevisions>
    </reviewItem>
    <reviewItem>
      <errorID>c449d1c2-3880-4cbd-b97a-5817f880bf18</errorID>
      <errorWord>》</errorWord>
      <group>L1_Word</group>
      <groupName>字词问题</groupName>
      <ability>L2_Typo</ability>
      <abilityName>字词错误</abilityName>
      <candidateList>
        <item>》和</item>
      </candidateList>
      <explain/>
      <paraID>351ECD18</paraID>
      <start>47</start>
      <end>48</end>
      <status>unmodified</status>
      <modifiedWord/>
      <trackRevisions>false</trackRevisions>
    </reviewItem>
    <reviewItem>
      <errorID>e1120af1-4f61-4547-9720-ef9a7ef8349b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79AED8E6</paraID>
      <start>0</start>
      <end>2</end>
      <status>unmodified</status>
      <modifiedWord/>
      <trackRevisions>false</trackRevisions>
    </reviewItem>
    <reviewItem>
      <errorID>3acdf0bd-9a6e-4edf-a4e4-6ac5e5dd34a1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43C3DED3</paraID>
      <start>56</start>
      <end>57</end>
      <status>unmodified</status>
      <modifiedWord/>
      <trackRevisions>false</trackRevisions>
    </reviewItem>
    <reviewItem>
      <errorID>77a245c5-6069-46dd-a857-a7023c24a736</errorID>
      <errorWord>法律、法规</errorWord>
      <group>L1_Word</group>
      <groupName>字词问题</groupName>
      <ability>L2_Typo</ability>
      <abilityName>字词错误</abilityName>
      <candidateList>
        <item>法律法规</item>
      </candidateList>
      <explain/>
      <paraID>5BB468BF</paraID>
      <start>44</start>
      <end>49</end>
      <status>unmodified</status>
      <modifiedWord/>
      <trackRevisions>false</trackRevisions>
    </reviewItem>
    <reviewItem>
      <errorID>1ddac108-1bfe-4b97-a6b1-41e910711cd5</errorID>
      <errorWord>〔2017〕 141号</errorWord>
      <group>L1_Knowledge</group>
      <groupName>知识性问题</groupName>
      <ability>L2_Knowledge</ability>
      <abilityName>其他知识</abilityName>
      <candidateList>
        <item>〔2017〕141号</item>
      </candidateList>
      <explain>发文字号格式错误。</explain>
      <paraID>6CC1694C</paraID>
      <start>49</start>
      <end>60</end>
      <status>unmodified</status>
      <modifiedWord/>
      <trackRevisions>false</trackRevisions>
    </reviewItem>
    <reviewItem>
      <errorID>a48a85ab-d3d5-4bcc-8fa7-21ebd86a2325</errorID>
      <errorWord>其它</errorWord>
      <group>L1_Word</group>
      <groupName>字词问题</groupName>
      <ability>L2_Alias</ability>
      <abilityName>也作/曾用词</abilityName>
      <candidateList>
        <item>其他</item>
      </candidateList>
      <explain>词汇[其它]为不规范表述或旧称，其规范书面表述为[其他]。</explain>
      <paraID>47B54A3D</paraID>
      <start>8</start>
      <end>10</end>
      <status>unmodified</status>
      <modifiedWord/>
      <trackRevisions>false</trackRevisions>
    </reviewItem>
    <reviewItem>
      <errorID>65d80ccd-3531-41aa-a57c-5d60149786a5</errorID>
      <errorWord>......</errorWord>
      <group>L1_Punc</group>
      <groupName>标点问题</groupName>
      <ability>L2_Punc_CN</ability>
      <abilityName>标点符号检查</abilityName>
      <candidateList>
        <item>……</item>
      </candidateList>
      <explain/>
      <paraID>7582E646</paraID>
      <start>0</start>
      <end>6</end>
      <status>unmodified</status>
      <modifiedWord/>
      <trackRevisions>false</trackRevisions>
    </reviewItem>
    <reviewItem>
      <errorID>1e9e6cdb-6880-4061-9363-ae78754d5f0d</errorID>
      <errorWord>......</errorWord>
      <group>L1_Punc</group>
      <groupName>标点问题</groupName>
      <ability>L2_Punc_CN</ability>
      <abilityName>标点符号检查</abilityName>
      <candidateList>
        <item>……</item>
      </candidateList>
      <explain/>
      <paraID>7543CA00</paraID>
      <start>0</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90A582-2B62-4075-9071-BBDF9D60C073}">
  <ds:schemaRefs/>
</ds:datastoreItem>
</file>

<file path=docProps/app.xml><?xml version="1.0" encoding="utf-8"?>
<Properties xmlns="http://schemas.openxmlformats.org/officeDocument/2006/extended-properties" xmlns:vt="http://schemas.openxmlformats.org/officeDocument/2006/docPropsVTypes">
  <Template>Normal.dotm</Template>
  <Pages>62</Pages>
  <Words>13161</Words>
  <Characters>14139</Characters>
  <TotalTime>17</TotalTime>
  <ScaleCrop>false</ScaleCrop>
  <LinksUpToDate>false</LinksUpToDate>
  <CharactersWithSpaces>14310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2026-06-01T03:49:00Z</dcterms:created>
  <dc:creator>Administrator</dc:creator>
  <cp:lastModifiedBy>瓜瓜乐</cp:lastModifiedBy>
  <dcterms:modified xsi:type="dcterms:W3CDTF">2026-10-27T00:39:35Z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A6DBD6DFABA2456BB56D9BA3908C8E11_13</vt:lpwstr>
  </property>
  <property fmtid="{D5CDD505-2E9C-101B-9397-08002B2CF9AE}" pid="4" name="KSOTemplateDocerSaveRecord">
    <vt:lpwstr>eyJoZGlkIjoiNmNhMjY1MjUzN2ZiNGVjMTFiNzdhZTkyYjcwZTQ2M2EiLCJ1c2VySWQiOiI0NzI1NDY1NjgifQ==</vt:lpwstr>
  </property>
</Properties>
</file>