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3CF84E">
      <w:pPr>
        <w:rPr>
          <w:color w:val="auto"/>
        </w:rPr>
      </w:pPr>
    </w:p>
    <w:p w14:paraId="53DB7CED">
      <w:pPr>
        <w:widowControl/>
        <w:shd w:val="clear" w:color="auto" w:fill="FFFFFF"/>
        <w:spacing w:line="360" w:lineRule="auto"/>
        <w:jc w:val="center"/>
        <w:rPr>
          <w:rFonts w:ascii="宋体" w:hAnsi="宋体"/>
          <w:b/>
          <w:color w:val="auto"/>
          <w:sz w:val="44"/>
          <w:szCs w:val="44"/>
        </w:rPr>
      </w:pPr>
      <w:r>
        <w:rPr>
          <w:rFonts w:hint="eastAsia" w:ascii="宋体" w:hAnsi="宋体"/>
          <w:b/>
          <w:color w:val="auto"/>
          <w:sz w:val="44"/>
          <w:szCs w:val="44"/>
          <w:lang w:val="zh-CN"/>
        </w:rPr>
        <w:t>江苏省太湖流域太湖东片排涝工程</w:t>
      </w:r>
      <w:r>
        <w:rPr>
          <w:rFonts w:hint="eastAsia" w:ascii="宋体" w:hAnsi="宋体"/>
          <w:b/>
          <w:color w:val="auto"/>
          <w:sz w:val="44"/>
          <w:szCs w:val="44"/>
        </w:rPr>
        <w:t>一期</w:t>
      </w:r>
    </w:p>
    <w:p w14:paraId="27F9C48E">
      <w:pPr>
        <w:widowControl/>
        <w:shd w:val="clear" w:color="auto" w:fill="FFFFFF"/>
        <w:spacing w:line="360" w:lineRule="auto"/>
        <w:jc w:val="center"/>
        <w:rPr>
          <w:rFonts w:ascii="宋体" w:hAnsi="宋体"/>
          <w:b/>
          <w:color w:val="auto"/>
          <w:kern w:val="0"/>
          <w:sz w:val="36"/>
          <w:szCs w:val="36"/>
        </w:rPr>
      </w:pPr>
      <w:r>
        <w:rPr>
          <w:rFonts w:hint="eastAsia" w:ascii="宋体" w:hAnsi="宋体"/>
          <w:b/>
          <w:color w:val="auto"/>
          <w:sz w:val="44"/>
          <w:szCs w:val="44"/>
        </w:rPr>
        <w:t>（浏河江边枢纽工程）</w:t>
      </w:r>
      <w:r>
        <w:rPr>
          <w:rFonts w:hint="eastAsia" w:ascii="宋体" w:hAnsi="宋体"/>
          <w:b/>
          <w:color w:val="auto"/>
          <w:sz w:val="44"/>
          <w:szCs w:val="44"/>
          <w:lang w:val="zh-CN"/>
        </w:rPr>
        <w:t>初步设计报告咨询评估</w:t>
      </w:r>
    </w:p>
    <w:p w14:paraId="694DC738">
      <w:pPr>
        <w:widowControl/>
        <w:spacing w:line="360" w:lineRule="auto"/>
        <w:rPr>
          <w:rFonts w:ascii="宋体" w:hAnsi="宋体"/>
          <w:b/>
          <w:color w:val="auto"/>
          <w:kern w:val="0"/>
          <w:sz w:val="72"/>
          <w:szCs w:val="72"/>
        </w:rPr>
      </w:pPr>
    </w:p>
    <w:p w14:paraId="0F30C123">
      <w:pPr>
        <w:widowControl/>
        <w:spacing w:line="360" w:lineRule="auto"/>
        <w:jc w:val="center"/>
        <w:rPr>
          <w:rFonts w:ascii="宋体" w:hAnsi="宋体"/>
          <w:b/>
          <w:color w:val="auto"/>
          <w:kern w:val="0"/>
          <w:sz w:val="96"/>
          <w:szCs w:val="96"/>
        </w:rPr>
      </w:pPr>
      <w:bookmarkStart w:id="29" w:name="_GoBack"/>
      <w:bookmarkEnd w:id="29"/>
      <w:r>
        <w:rPr>
          <w:rFonts w:hint="eastAsia" w:ascii="宋体" w:hAnsi="宋体"/>
          <w:b/>
          <w:color w:val="auto"/>
          <w:kern w:val="0"/>
          <w:sz w:val="96"/>
          <w:szCs w:val="96"/>
        </w:rPr>
        <w:t>招 标 文 件</w:t>
      </w:r>
    </w:p>
    <w:p w14:paraId="1894B1D3">
      <w:pPr>
        <w:widowControl/>
        <w:spacing w:before="120" w:beforeLines="50" w:line="360" w:lineRule="auto"/>
        <w:jc w:val="center"/>
        <w:rPr>
          <w:rFonts w:ascii="华文中宋" w:hAnsi="华文中宋" w:eastAsia="华文中宋"/>
          <w:b/>
          <w:i/>
          <w:color w:val="auto"/>
          <w:kern w:val="0"/>
          <w:sz w:val="28"/>
          <w:szCs w:val="28"/>
        </w:rPr>
      </w:pPr>
      <w:r>
        <w:rPr>
          <w:rFonts w:hint="eastAsia" w:ascii="华文中宋" w:hAnsi="华文中宋" w:eastAsia="华文中宋"/>
          <w:b/>
          <w:color w:val="auto"/>
          <w:kern w:val="0"/>
          <w:sz w:val="28"/>
          <w:szCs w:val="28"/>
        </w:rPr>
        <w:t>项目编号：JSZC-320000-HYGS-G2026-0030</w:t>
      </w:r>
    </w:p>
    <w:p w14:paraId="42B30F1C">
      <w:pPr>
        <w:widowControl/>
        <w:spacing w:line="360" w:lineRule="auto"/>
        <w:jc w:val="center"/>
        <w:rPr>
          <w:rFonts w:ascii="宋体" w:hAnsi="宋体"/>
          <w:b/>
          <w:color w:val="auto"/>
          <w:kern w:val="0"/>
          <w:sz w:val="36"/>
          <w:szCs w:val="36"/>
        </w:rPr>
      </w:pPr>
    </w:p>
    <w:p w14:paraId="55DE81EB">
      <w:pPr>
        <w:widowControl/>
        <w:shd w:val="clear" w:color="auto" w:fill="FFFFFF"/>
        <w:spacing w:line="360" w:lineRule="auto"/>
        <w:rPr>
          <w:rFonts w:ascii="宋体" w:hAnsi="宋体"/>
          <w:b/>
          <w:color w:val="auto"/>
          <w:kern w:val="0"/>
          <w:sz w:val="44"/>
          <w:szCs w:val="44"/>
        </w:rPr>
      </w:pPr>
    </w:p>
    <w:p w14:paraId="0CDCF1EF">
      <w:pPr>
        <w:widowControl/>
        <w:shd w:val="clear" w:color="auto" w:fill="FFFFFF"/>
        <w:spacing w:line="360" w:lineRule="auto"/>
        <w:rPr>
          <w:rFonts w:ascii="宋体" w:hAnsi="宋体"/>
          <w:b/>
          <w:color w:val="auto"/>
          <w:kern w:val="0"/>
          <w:sz w:val="44"/>
          <w:szCs w:val="44"/>
        </w:rPr>
      </w:pPr>
    </w:p>
    <w:p w14:paraId="7B7E540D">
      <w:pPr>
        <w:widowControl/>
        <w:shd w:val="clear" w:color="auto" w:fill="FFFFFF"/>
        <w:spacing w:line="360" w:lineRule="auto"/>
        <w:rPr>
          <w:rFonts w:ascii="宋体" w:hAnsi="宋体"/>
          <w:b/>
          <w:color w:val="auto"/>
          <w:kern w:val="0"/>
          <w:sz w:val="44"/>
          <w:szCs w:val="44"/>
        </w:rPr>
      </w:pPr>
    </w:p>
    <w:p w14:paraId="4B9100B9">
      <w:pPr>
        <w:widowControl/>
        <w:spacing w:line="360" w:lineRule="auto"/>
        <w:jc w:val="center"/>
        <w:rPr>
          <w:rFonts w:ascii="宋体" w:hAnsi="宋体"/>
          <w:b/>
          <w:color w:val="auto"/>
          <w:kern w:val="0"/>
          <w:sz w:val="36"/>
          <w:szCs w:val="36"/>
        </w:rPr>
      </w:pPr>
    </w:p>
    <w:p w14:paraId="55E880A7">
      <w:pPr>
        <w:pStyle w:val="197"/>
        <w:spacing w:before="62"/>
        <w:ind w:firstLine="643"/>
        <w:jc w:val="center"/>
        <w:rPr>
          <w:rFonts w:ascii="宋体" w:hAnsi="宋体" w:cs="Arial"/>
          <w:b/>
          <w:color w:val="auto"/>
          <w:sz w:val="32"/>
          <w:szCs w:val="28"/>
        </w:rPr>
      </w:pPr>
      <w:r>
        <w:rPr>
          <w:rFonts w:ascii="宋体" w:hAnsi="宋体" w:cs="Arial"/>
          <w:b/>
          <w:color w:val="auto"/>
          <w:sz w:val="32"/>
          <w:szCs w:val="28"/>
        </w:rPr>
        <w:t>采购人：</w:t>
      </w:r>
      <w:r>
        <w:rPr>
          <w:rFonts w:hint="eastAsia" w:ascii="宋体" w:hAnsi="宋体" w:cs="Arial"/>
          <w:b/>
          <w:color w:val="auto"/>
          <w:sz w:val="32"/>
          <w:szCs w:val="28"/>
        </w:rPr>
        <w:t>江苏省水利工程建设局</w:t>
      </w:r>
    </w:p>
    <w:p w14:paraId="276E94DC">
      <w:pPr>
        <w:pStyle w:val="197"/>
        <w:spacing w:before="62"/>
        <w:ind w:firstLine="643"/>
        <w:jc w:val="center"/>
        <w:rPr>
          <w:rFonts w:ascii="宋体" w:hAnsi="宋体" w:cs="Arial"/>
          <w:b/>
          <w:color w:val="auto"/>
          <w:sz w:val="32"/>
          <w:szCs w:val="28"/>
        </w:rPr>
      </w:pPr>
      <w:r>
        <w:rPr>
          <w:rFonts w:ascii="宋体" w:hAnsi="宋体" w:cs="Arial"/>
          <w:b/>
          <w:color w:val="auto"/>
          <w:sz w:val="32"/>
          <w:szCs w:val="28"/>
        </w:rPr>
        <w:t>采购代理机构：</w:t>
      </w:r>
      <w:r>
        <w:rPr>
          <w:rFonts w:hint="eastAsia" w:ascii="宋体" w:hAnsi="宋体" w:cs="Arial"/>
          <w:b/>
          <w:color w:val="auto"/>
          <w:sz w:val="32"/>
          <w:szCs w:val="28"/>
        </w:rPr>
        <w:t>江苏省鸿源招标代理股份有限公司</w:t>
      </w:r>
    </w:p>
    <w:p w14:paraId="2D28B112">
      <w:pPr>
        <w:jc w:val="center"/>
        <w:rPr>
          <w:rFonts w:ascii="宋体" w:hAnsi="宋体" w:cs="Arial"/>
          <w:b/>
          <w:color w:val="auto"/>
          <w:kern w:val="0"/>
          <w:sz w:val="32"/>
          <w:szCs w:val="28"/>
        </w:rPr>
      </w:pPr>
      <w:r>
        <w:rPr>
          <w:rFonts w:hint="eastAsia" w:ascii="宋体" w:hAnsi="宋体" w:cs="Arial"/>
          <w:b/>
          <w:color w:val="auto"/>
          <w:kern w:val="0"/>
          <w:sz w:val="32"/>
          <w:szCs w:val="28"/>
        </w:rPr>
        <w:t>二○二六年十月</w:t>
      </w:r>
    </w:p>
    <w:p w14:paraId="65A85EBA">
      <w:pPr>
        <w:widowControl/>
        <w:shd w:val="clear" w:color="auto" w:fill="FFFFFF"/>
        <w:spacing w:line="360" w:lineRule="auto"/>
        <w:jc w:val="center"/>
        <w:rPr>
          <w:rFonts w:ascii="宋体" w:hAnsi="宋体"/>
          <w:b/>
          <w:color w:val="auto"/>
          <w:kern w:val="0"/>
          <w:sz w:val="36"/>
          <w:szCs w:val="36"/>
        </w:rPr>
      </w:pPr>
      <w:r>
        <w:rPr>
          <w:rFonts w:ascii="宋体" w:hAnsi="宋体"/>
          <w:b/>
          <w:color w:val="auto"/>
          <w:kern w:val="0"/>
          <w:sz w:val="36"/>
          <w:szCs w:val="36"/>
        </w:rPr>
        <w:br w:type="page"/>
      </w:r>
    </w:p>
    <w:p w14:paraId="406E4163">
      <w:pPr>
        <w:pStyle w:val="158"/>
        <w:jc w:val="center"/>
        <w:rPr>
          <w:rFonts w:ascii="宋体" w:hAnsi="宋体"/>
          <w:color w:val="auto"/>
          <w:sz w:val="36"/>
          <w:szCs w:val="36"/>
        </w:rPr>
      </w:pPr>
      <w:r>
        <w:rPr>
          <w:rFonts w:hint="eastAsia" w:ascii="宋体" w:hAnsi="宋体"/>
          <w:color w:val="auto"/>
          <w:sz w:val="36"/>
          <w:szCs w:val="36"/>
          <w:lang w:val="zh-CN"/>
        </w:rPr>
        <w:t>目  录</w:t>
      </w:r>
    </w:p>
    <w:p w14:paraId="16B8680B">
      <w:pPr>
        <w:pStyle w:val="31"/>
        <w:tabs>
          <w:tab w:val="right" w:leader="dot" w:pos="8296"/>
        </w:tabs>
        <w:rPr>
          <w:rFonts w:ascii="宋体" w:hAnsi="宋体"/>
          <w:color w:val="auto"/>
          <w:sz w:val="28"/>
          <w:szCs w:val="28"/>
        </w:rPr>
      </w:pPr>
    </w:p>
    <w:p w14:paraId="44F51EF7">
      <w:pPr>
        <w:pStyle w:val="31"/>
        <w:tabs>
          <w:tab w:val="right" w:leader="dot" w:pos="9060"/>
        </w:tabs>
        <w:spacing w:line="360" w:lineRule="auto"/>
        <w:rPr>
          <w:rFonts w:ascii="Calibri" w:hAnsi="Calibri"/>
          <w:color w:val="auto"/>
          <w:sz w:val="28"/>
          <w:szCs w:val="28"/>
        </w:rPr>
      </w:pPr>
      <w:r>
        <w:rPr>
          <w:rFonts w:hint="eastAsia" w:ascii="宋体" w:hAnsi="宋体" w:cs="宋体"/>
          <w:color w:val="auto"/>
          <w:sz w:val="44"/>
          <w:szCs w:val="28"/>
        </w:rPr>
        <w:fldChar w:fldCharType="begin"/>
      </w:r>
      <w:r>
        <w:rPr>
          <w:rFonts w:hint="eastAsia" w:ascii="宋体" w:hAnsi="宋体" w:cs="宋体"/>
          <w:color w:val="auto"/>
          <w:sz w:val="44"/>
          <w:szCs w:val="28"/>
        </w:rPr>
        <w:instrText xml:space="preserve">TOC \o "1-1" \h \u </w:instrText>
      </w:r>
      <w:r>
        <w:rPr>
          <w:rFonts w:hint="eastAsia" w:ascii="宋体" w:hAnsi="宋体" w:cs="宋体"/>
          <w:color w:val="auto"/>
          <w:sz w:val="44"/>
          <w:szCs w:val="28"/>
        </w:rPr>
        <w:fldChar w:fldCharType="separate"/>
      </w:r>
      <w:r>
        <w:rPr>
          <w:color w:val="auto"/>
        </w:rPr>
        <w:fldChar w:fldCharType="begin"/>
      </w:r>
      <w:r>
        <w:rPr>
          <w:color w:val="auto"/>
        </w:rPr>
        <w:instrText xml:space="preserve"> HYPERLINK \l "_Toc18507365" </w:instrText>
      </w:r>
      <w:r>
        <w:rPr>
          <w:color w:val="auto"/>
        </w:rPr>
        <w:fldChar w:fldCharType="separate"/>
      </w:r>
      <w:r>
        <w:rPr>
          <w:rStyle w:val="52"/>
          <w:rFonts w:hint="eastAsia"/>
          <w:color w:val="auto"/>
          <w:kern w:val="0"/>
          <w:sz w:val="28"/>
          <w:szCs w:val="28"/>
        </w:rPr>
        <w:t xml:space="preserve">第一章 </w:t>
      </w:r>
      <w:r>
        <w:rPr>
          <w:rStyle w:val="52"/>
          <w:rFonts w:hint="eastAsia"/>
          <w:color w:val="auto"/>
          <w:sz w:val="28"/>
          <w:szCs w:val="28"/>
        </w:rPr>
        <w:t>招标公告</w:t>
      </w:r>
      <w:r>
        <w:rPr>
          <w:color w:val="auto"/>
          <w:sz w:val="28"/>
          <w:szCs w:val="28"/>
        </w:rPr>
        <w:tab/>
      </w:r>
      <w:r>
        <w:rPr>
          <w:color w:val="auto"/>
          <w:sz w:val="28"/>
          <w:szCs w:val="28"/>
        </w:rPr>
        <w:fldChar w:fldCharType="begin"/>
      </w:r>
      <w:r>
        <w:rPr>
          <w:color w:val="auto"/>
          <w:sz w:val="28"/>
          <w:szCs w:val="28"/>
        </w:rPr>
        <w:instrText xml:space="preserve"> PAGEREF _Toc18507365 \h </w:instrText>
      </w:r>
      <w:r>
        <w:rPr>
          <w:color w:val="auto"/>
          <w:sz w:val="28"/>
          <w:szCs w:val="28"/>
        </w:rPr>
        <w:fldChar w:fldCharType="separate"/>
      </w:r>
      <w:r>
        <w:rPr>
          <w:color w:val="auto"/>
          <w:sz w:val="28"/>
          <w:szCs w:val="28"/>
        </w:rPr>
        <w:t>1</w:t>
      </w:r>
      <w:r>
        <w:rPr>
          <w:color w:val="auto"/>
          <w:sz w:val="28"/>
          <w:szCs w:val="28"/>
        </w:rPr>
        <w:fldChar w:fldCharType="end"/>
      </w:r>
      <w:r>
        <w:rPr>
          <w:color w:val="auto"/>
          <w:sz w:val="28"/>
          <w:szCs w:val="28"/>
        </w:rPr>
        <w:fldChar w:fldCharType="end"/>
      </w:r>
    </w:p>
    <w:p w14:paraId="61056EE3">
      <w:pPr>
        <w:pStyle w:val="31"/>
        <w:tabs>
          <w:tab w:val="right" w:leader="dot" w:pos="9060"/>
        </w:tabs>
        <w:spacing w:line="360" w:lineRule="auto"/>
        <w:rPr>
          <w:rFonts w:ascii="Calibri" w:hAnsi="Calibri"/>
          <w:color w:val="auto"/>
          <w:sz w:val="28"/>
          <w:szCs w:val="28"/>
        </w:rPr>
      </w:pPr>
      <w:r>
        <w:rPr>
          <w:color w:val="auto"/>
        </w:rPr>
        <w:fldChar w:fldCharType="begin"/>
      </w:r>
      <w:r>
        <w:rPr>
          <w:color w:val="auto"/>
        </w:rPr>
        <w:instrText xml:space="preserve"> HYPERLINK \l "_Toc18507366" </w:instrText>
      </w:r>
      <w:r>
        <w:rPr>
          <w:color w:val="auto"/>
        </w:rPr>
        <w:fldChar w:fldCharType="separate"/>
      </w:r>
      <w:r>
        <w:rPr>
          <w:rStyle w:val="52"/>
          <w:rFonts w:hint="eastAsia"/>
          <w:color w:val="auto"/>
          <w:sz w:val="28"/>
          <w:szCs w:val="28"/>
        </w:rPr>
        <w:t>第二章</w:t>
      </w:r>
      <w:r>
        <w:rPr>
          <w:rStyle w:val="52"/>
          <w:color w:val="auto"/>
          <w:sz w:val="28"/>
          <w:szCs w:val="28"/>
        </w:rPr>
        <w:t xml:space="preserve"> </w:t>
      </w:r>
      <w:r>
        <w:rPr>
          <w:rStyle w:val="52"/>
          <w:rFonts w:hint="eastAsia"/>
          <w:color w:val="auto"/>
          <w:sz w:val="28"/>
          <w:szCs w:val="28"/>
        </w:rPr>
        <w:t>投标人须知</w:t>
      </w:r>
      <w:r>
        <w:rPr>
          <w:color w:val="auto"/>
          <w:sz w:val="28"/>
          <w:szCs w:val="28"/>
        </w:rPr>
        <w:tab/>
      </w:r>
      <w:r>
        <w:rPr>
          <w:rFonts w:hint="eastAsia"/>
          <w:color w:val="auto"/>
          <w:sz w:val="28"/>
          <w:szCs w:val="28"/>
        </w:rPr>
        <w:t>4</w:t>
      </w:r>
      <w:r>
        <w:rPr>
          <w:rFonts w:hint="eastAsia"/>
          <w:color w:val="auto"/>
          <w:sz w:val="28"/>
          <w:szCs w:val="28"/>
        </w:rPr>
        <w:fldChar w:fldCharType="end"/>
      </w:r>
    </w:p>
    <w:p w14:paraId="53481288">
      <w:pPr>
        <w:pStyle w:val="31"/>
        <w:tabs>
          <w:tab w:val="right" w:leader="dot" w:pos="9060"/>
        </w:tabs>
        <w:spacing w:line="360" w:lineRule="auto"/>
        <w:rPr>
          <w:rFonts w:ascii="Calibri" w:hAnsi="Calibri"/>
          <w:color w:val="auto"/>
          <w:sz w:val="28"/>
          <w:szCs w:val="28"/>
        </w:rPr>
      </w:pPr>
      <w:r>
        <w:rPr>
          <w:color w:val="auto"/>
        </w:rPr>
        <w:fldChar w:fldCharType="begin"/>
      </w:r>
      <w:r>
        <w:rPr>
          <w:color w:val="auto"/>
        </w:rPr>
        <w:instrText xml:space="preserve"> HYPERLINK \l "_Toc18507367" </w:instrText>
      </w:r>
      <w:r>
        <w:rPr>
          <w:color w:val="auto"/>
        </w:rPr>
        <w:fldChar w:fldCharType="separate"/>
      </w:r>
      <w:r>
        <w:rPr>
          <w:rStyle w:val="52"/>
          <w:rFonts w:hint="eastAsia"/>
          <w:color w:val="auto"/>
          <w:kern w:val="0"/>
          <w:sz w:val="28"/>
          <w:szCs w:val="28"/>
        </w:rPr>
        <w:t>第三章</w:t>
      </w:r>
      <w:r>
        <w:rPr>
          <w:rStyle w:val="52"/>
          <w:color w:val="auto"/>
          <w:kern w:val="0"/>
          <w:sz w:val="28"/>
          <w:szCs w:val="28"/>
        </w:rPr>
        <w:t xml:space="preserve"> </w:t>
      </w:r>
      <w:r>
        <w:rPr>
          <w:rStyle w:val="52"/>
          <w:rFonts w:hint="eastAsia"/>
          <w:color w:val="auto"/>
          <w:kern w:val="0"/>
          <w:sz w:val="28"/>
          <w:szCs w:val="28"/>
        </w:rPr>
        <w:t>评标标准</w:t>
      </w:r>
      <w:r>
        <w:rPr>
          <w:color w:val="auto"/>
          <w:sz w:val="28"/>
          <w:szCs w:val="28"/>
        </w:rPr>
        <w:tab/>
      </w:r>
      <w:r>
        <w:rPr>
          <w:rFonts w:hint="eastAsia"/>
          <w:color w:val="auto"/>
          <w:sz w:val="28"/>
          <w:szCs w:val="28"/>
        </w:rPr>
        <w:t>1</w:t>
      </w:r>
      <w:r>
        <w:rPr>
          <w:rFonts w:hint="eastAsia"/>
          <w:color w:val="auto"/>
          <w:sz w:val="28"/>
          <w:szCs w:val="28"/>
        </w:rPr>
        <w:fldChar w:fldCharType="end"/>
      </w:r>
      <w:r>
        <w:rPr>
          <w:rStyle w:val="52"/>
          <w:rFonts w:hint="eastAsia"/>
          <w:color w:val="auto"/>
          <w:sz w:val="28"/>
          <w:szCs w:val="28"/>
        </w:rPr>
        <w:t>8</w:t>
      </w:r>
    </w:p>
    <w:p w14:paraId="781ED1B7">
      <w:pPr>
        <w:pStyle w:val="31"/>
        <w:tabs>
          <w:tab w:val="right" w:leader="dot" w:pos="9060"/>
        </w:tabs>
        <w:spacing w:line="360" w:lineRule="auto"/>
        <w:rPr>
          <w:rFonts w:ascii="Calibri" w:hAnsi="Calibri"/>
          <w:color w:val="auto"/>
          <w:sz w:val="28"/>
          <w:szCs w:val="28"/>
        </w:rPr>
      </w:pPr>
      <w:r>
        <w:rPr>
          <w:color w:val="auto"/>
        </w:rPr>
        <w:fldChar w:fldCharType="begin"/>
      </w:r>
      <w:r>
        <w:rPr>
          <w:color w:val="auto"/>
        </w:rPr>
        <w:instrText xml:space="preserve"> HYPERLINK \l "_Toc18507368" </w:instrText>
      </w:r>
      <w:r>
        <w:rPr>
          <w:color w:val="auto"/>
        </w:rPr>
        <w:fldChar w:fldCharType="separate"/>
      </w:r>
      <w:r>
        <w:rPr>
          <w:rStyle w:val="52"/>
          <w:rFonts w:hint="eastAsia"/>
          <w:color w:val="auto"/>
          <w:kern w:val="0"/>
          <w:sz w:val="28"/>
          <w:szCs w:val="28"/>
        </w:rPr>
        <w:t>第四章</w:t>
      </w:r>
      <w:r>
        <w:rPr>
          <w:rStyle w:val="52"/>
          <w:color w:val="auto"/>
          <w:kern w:val="0"/>
          <w:sz w:val="28"/>
          <w:szCs w:val="28"/>
        </w:rPr>
        <w:t xml:space="preserve"> </w:t>
      </w:r>
      <w:r>
        <w:rPr>
          <w:rStyle w:val="52"/>
          <w:rFonts w:hint="eastAsia"/>
          <w:color w:val="auto"/>
          <w:kern w:val="0"/>
          <w:sz w:val="28"/>
          <w:szCs w:val="28"/>
        </w:rPr>
        <w:t>采购需求</w:t>
      </w:r>
      <w:r>
        <w:rPr>
          <w:color w:val="auto"/>
          <w:sz w:val="28"/>
          <w:szCs w:val="28"/>
        </w:rPr>
        <w:tab/>
      </w:r>
      <w:r>
        <w:rPr>
          <w:color w:val="auto"/>
          <w:sz w:val="28"/>
          <w:szCs w:val="28"/>
        </w:rPr>
        <w:fldChar w:fldCharType="begin"/>
      </w:r>
      <w:r>
        <w:rPr>
          <w:color w:val="auto"/>
          <w:sz w:val="28"/>
          <w:szCs w:val="28"/>
        </w:rPr>
        <w:instrText xml:space="preserve"> PAGEREF _Toc18507368 \h </w:instrText>
      </w:r>
      <w:r>
        <w:rPr>
          <w:color w:val="auto"/>
          <w:sz w:val="28"/>
          <w:szCs w:val="28"/>
        </w:rPr>
        <w:fldChar w:fldCharType="separate"/>
      </w:r>
      <w:r>
        <w:rPr>
          <w:color w:val="auto"/>
          <w:sz w:val="28"/>
          <w:szCs w:val="28"/>
        </w:rPr>
        <w:t>24</w:t>
      </w:r>
      <w:r>
        <w:rPr>
          <w:color w:val="auto"/>
          <w:sz w:val="28"/>
          <w:szCs w:val="28"/>
        </w:rPr>
        <w:fldChar w:fldCharType="end"/>
      </w:r>
      <w:r>
        <w:rPr>
          <w:color w:val="auto"/>
          <w:sz w:val="28"/>
          <w:szCs w:val="28"/>
        </w:rPr>
        <w:fldChar w:fldCharType="end"/>
      </w:r>
    </w:p>
    <w:p w14:paraId="6961271C">
      <w:pPr>
        <w:pStyle w:val="31"/>
        <w:tabs>
          <w:tab w:val="right" w:leader="dot" w:pos="9060"/>
        </w:tabs>
        <w:spacing w:line="360" w:lineRule="auto"/>
        <w:rPr>
          <w:rFonts w:ascii="Calibri" w:hAnsi="Calibri"/>
          <w:color w:val="auto"/>
          <w:sz w:val="28"/>
          <w:szCs w:val="28"/>
        </w:rPr>
      </w:pPr>
      <w:r>
        <w:rPr>
          <w:color w:val="auto"/>
        </w:rPr>
        <w:fldChar w:fldCharType="begin"/>
      </w:r>
      <w:r>
        <w:rPr>
          <w:color w:val="auto"/>
        </w:rPr>
        <w:instrText xml:space="preserve"> HYPERLINK \l "_Toc18507369" </w:instrText>
      </w:r>
      <w:r>
        <w:rPr>
          <w:color w:val="auto"/>
        </w:rPr>
        <w:fldChar w:fldCharType="separate"/>
      </w:r>
      <w:r>
        <w:rPr>
          <w:rStyle w:val="52"/>
          <w:rFonts w:hint="eastAsia"/>
          <w:color w:val="auto"/>
          <w:sz w:val="28"/>
          <w:szCs w:val="28"/>
        </w:rPr>
        <w:t>第五章 合同协议书</w:t>
      </w:r>
      <w:r>
        <w:rPr>
          <w:color w:val="auto"/>
          <w:sz w:val="28"/>
          <w:szCs w:val="28"/>
        </w:rPr>
        <w:tab/>
      </w:r>
      <w:r>
        <w:rPr>
          <w:color w:val="auto"/>
          <w:sz w:val="28"/>
          <w:szCs w:val="28"/>
        </w:rPr>
        <w:fldChar w:fldCharType="begin"/>
      </w:r>
      <w:r>
        <w:rPr>
          <w:color w:val="auto"/>
          <w:sz w:val="28"/>
          <w:szCs w:val="28"/>
        </w:rPr>
        <w:instrText xml:space="preserve"> PAGEREF _Toc18507369 \h </w:instrText>
      </w:r>
      <w:r>
        <w:rPr>
          <w:color w:val="auto"/>
          <w:sz w:val="28"/>
          <w:szCs w:val="28"/>
        </w:rPr>
        <w:fldChar w:fldCharType="separate"/>
      </w:r>
      <w:r>
        <w:rPr>
          <w:color w:val="auto"/>
          <w:sz w:val="28"/>
          <w:szCs w:val="28"/>
        </w:rPr>
        <w:t>26</w:t>
      </w:r>
      <w:r>
        <w:rPr>
          <w:color w:val="auto"/>
          <w:sz w:val="28"/>
          <w:szCs w:val="28"/>
        </w:rPr>
        <w:fldChar w:fldCharType="end"/>
      </w:r>
      <w:r>
        <w:rPr>
          <w:color w:val="auto"/>
          <w:sz w:val="28"/>
          <w:szCs w:val="28"/>
        </w:rPr>
        <w:fldChar w:fldCharType="end"/>
      </w:r>
    </w:p>
    <w:p w14:paraId="1F0EEF90">
      <w:pPr>
        <w:pStyle w:val="31"/>
        <w:tabs>
          <w:tab w:val="right" w:leader="dot" w:pos="9060"/>
        </w:tabs>
        <w:spacing w:line="360" w:lineRule="auto"/>
        <w:rPr>
          <w:rFonts w:ascii="宋体" w:hAnsi="宋体" w:cs="宋体"/>
          <w:color w:val="auto"/>
          <w:sz w:val="44"/>
          <w:szCs w:val="28"/>
        </w:rPr>
      </w:pPr>
      <w:r>
        <w:rPr>
          <w:color w:val="auto"/>
        </w:rPr>
        <w:fldChar w:fldCharType="begin"/>
      </w:r>
      <w:r>
        <w:rPr>
          <w:color w:val="auto"/>
        </w:rPr>
        <w:instrText xml:space="preserve"> HYPERLINK \l "_Toc18507370" </w:instrText>
      </w:r>
      <w:r>
        <w:rPr>
          <w:color w:val="auto"/>
        </w:rPr>
        <w:fldChar w:fldCharType="separate"/>
      </w:r>
      <w:r>
        <w:rPr>
          <w:rStyle w:val="52"/>
          <w:rFonts w:hint="eastAsia"/>
          <w:color w:val="auto"/>
          <w:sz w:val="28"/>
          <w:szCs w:val="28"/>
        </w:rPr>
        <w:t>第六章</w:t>
      </w:r>
      <w:r>
        <w:rPr>
          <w:rStyle w:val="52"/>
          <w:color w:val="auto"/>
          <w:sz w:val="28"/>
          <w:szCs w:val="28"/>
        </w:rPr>
        <w:t xml:space="preserve"> </w:t>
      </w:r>
      <w:bookmarkStart w:id="0" w:name="_Hlt71710186"/>
      <w:r>
        <w:rPr>
          <w:rStyle w:val="52"/>
          <w:rFonts w:hint="eastAsia"/>
          <w:color w:val="auto"/>
          <w:sz w:val="28"/>
          <w:szCs w:val="28"/>
        </w:rPr>
        <w:t>投标文件格式</w:t>
      </w:r>
      <w:r>
        <w:rPr>
          <w:color w:val="auto"/>
          <w:sz w:val="28"/>
          <w:szCs w:val="28"/>
        </w:rPr>
        <w:tab/>
      </w:r>
      <w:bookmarkEnd w:id="0"/>
      <w:r>
        <w:rPr>
          <w:color w:val="auto"/>
          <w:sz w:val="28"/>
          <w:szCs w:val="28"/>
        </w:rPr>
        <w:fldChar w:fldCharType="begin"/>
      </w:r>
      <w:r>
        <w:rPr>
          <w:color w:val="auto"/>
          <w:sz w:val="28"/>
          <w:szCs w:val="28"/>
        </w:rPr>
        <w:instrText xml:space="preserve"> PAGEREF _Toc18507370 \h </w:instrText>
      </w:r>
      <w:r>
        <w:rPr>
          <w:color w:val="auto"/>
          <w:sz w:val="28"/>
          <w:szCs w:val="28"/>
        </w:rPr>
        <w:fldChar w:fldCharType="separate"/>
      </w:r>
      <w:r>
        <w:rPr>
          <w:color w:val="auto"/>
          <w:sz w:val="28"/>
          <w:szCs w:val="28"/>
        </w:rPr>
        <w:t>28</w:t>
      </w:r>
      <w:r>
        <w:rPr>
          <w:color w:val="auto"/>
          <w:sz w:val="28"/>
          <w:szCs w:val="28"/>
        </w:rPr>
        <w:fldChar w:fldCharType="end"/>
      </w:r>
      <w:r>
        <w:rPr>
          <w:color w:val="auto"/>
          <w:sz w:val="28"/>
          <w:szCs w:val="28"/>
        </w:rPr>
        <w:fldChar w:fldCharType="end"/>
      </w:r>
      <w:r>
        <w:rPr>
          <w:rFonts w:hint="eastAsia" w:ascii="宋体" w:hAnsi="宋体" w:cs="宋体"/>
          <w:color w:val="auto"/>
          <w:sz w:val="44"/>
          <w:szCs w:val="28"/>
        </w:rPr>
        <w:fldChar w:fldCharType="end"/>
      </w:r>
    </w:p>
    <w:p w14:paraId="06B6D3D5">
      <w:pPr>
        <w:rPr>
          <w:color w:val="auto"/>
        </w:rPr>
        <w:sectPr>
          <w:pgSz w:w="11912" w:h="16841"/>
          <w:pgMar w:top="1351" w:right="1422" w:bottom="1360" w:left="1418" w:header="0" w:footer="1202" w:gutter="0"/>
          <w:cols w:space="720" w:num="1"/>
        </w:sectPr>
      </w:pPr>
    </w:p>
    <w:p w14:paraId="6D2E40E5">
      <w:pPr>
        <w:pStyle w:val="3"/>
        <w:spacing w:before="120" w:after="120" w:line="360" w:lineRule="auto"/>
        <w:rPr>
          <w:color w:val="auto"/>
          <w:kern w:val="0"/>
          <w:szCs w:val="21"/>
        </w:rPr>
      </w:pPr>
      <w:bookmarkStart w:id="1" w:name="_Toc18507365"/>
      <w:bookmarkStart w:id="2" w:name="_Toc481057143"/>
      <w:r>
        <w:rPr>
          <w:rFonts w:hint="eastAsia"/>
          <w:color w:val="auto"/>
        </w:rPr>
        <w:t xml:space="preserve">  招标公告</w:t>
      </w:r>
      <w:bookmarkEnd w:id="1"/>
      <w:bookmarkEnd w:id="2"/>
      <w:r>
        <w:rPr>
          <w:rFonts w:hint="eastAsia"/>
          <w:color w:val="auto"/>
        </w:rPr>
        <w:t xml:space="preserve"> </w:t>
      </w:r>
    </w:p>
    <w:p w14:paraId="74B44066">
      <w:pPr>
        <w:widowControl/>
        <w:shd w:val="clear" w:color="auto" w:fill="FFFFFF"/>
        <w:spacing w:line="360" w:lineRule="auto"/>
        <w:ind w:firstLine="420"/>
        <w:rPr>
          <w:rFonts w:ascii="宋体" w:hAnsi="宋体"/>
          <w:color w:val="auto"/>
          <w:kern w:val="0"/>
          <w:szCs w:val="21"/>
        </w:rPr>
      </w:pPr>
      <w:r>
        <w:rPr>
          <w:rFonts w:hint="eastAsia"/>
          <w:bCs/>
          <w:color w:val="auto"/>
        </w:rPr>
        <w:t>江苏省太湖流域太湖东片排涝工程一期（浏河江边枢纽工程）初步设计报告咨询评估</w:t>
      </w:r>
      <w:r>
        <w:rPr>
          <w:rFonts w:hint="eastAsia"/>
          <w:color w:val="auto"/>
        </w:rPr>
        <w:t>招标项目的潜在投标人应在</w:t>
      </w:r>
      <w:r>
        <w:rPr>
          <w:rFonts w:hint="eastAsia" w:ascii="宋体" w:hAnsi="宋体" w:cs="宋体"/>
          <w:color w:val="auto"/>
          <w:szCs w:val="21"/>
        </w:rPr>
        <w:t>江苏政府采购“苏采云”系统获取招标文件，</w:t>
      </w:r>
      <w:r>
        <w:rPr>
          <w:rFonts w:hint="eastAsia"/>
          <w:color w:val="auto"/>
        </w:rPr>
        <w:t>并于</w:t>
      </w:r>
      <w:r>
        <w:rPr>
          <w:rFonts w:hint="eastAsia"/>
          <w:color w:val="auto"/>
        </w:rPr>
        <w:t>2026年11月2</w:t>
      </w:r>
      <w:r>
        <w:rPr>
          <w:rFonts w:hint="eastAsia"/>
          <w:color w:val="auto"/>
        </w:rPr>
        <w:t>日9点30分（北京时间）前递交投标文件。</w:t>
      </w:r>
    </w:p>
    <w:p w14:paraId="0232AB38">
      <w:pPr>
        <w:widowControl/>
        <w:shd w:val="clear" w:color="auto" w:fill="FFFFFF"/>
        <w:spacing w:line="360" w:lineRule="auto"/>
        <w:ind w:firstLine="420"/>
        <w:rPr>
          <w:rFonts w:ascii="宋体" w:hAnsi="宋体"/>
          <w:b/>
          <w:color w:val="auto"/>
          <w:kern w:val="0"/>
          <w:szCs w:val="21"/>
        </w:rPr>
      </w:pPr>
      <w:r>
        <w:rPr>
          <w:rFonts w:hint="eastAsia" w:ascii="宋体" w:hAnsi="宋体"/>
          <w:b/>
          <w:color w:val="auto"/>
          <w:kern w:val="0"/>
          <w:szCs w:val="21"/>
        </w:rPr>
        <w:t>一、招标项目名称及编号</w:t>
      </w:r>
    </w:p>
    <w:p w14:paraId="64AD9B0B">
      <w:pPr>
        <w:spacing w:line="360" w:lineRule="auto"/>
        <w:ind w:firstLine="420"/>
        <w:rPr>
          <w:bCs/>
          <w:color w:val="auto"/>
        </w:rPr>
      </w:pPr>
      <w:r>
        <w:rPr>
          <w:rFonts w:hint="eastAsia"/>
          <w:bCs/>
          <w:color w:val="auto"/>
        </w:rPr>
        <w:t>项目编号：JSZC-320000-HYGS-G2026-0030</w:t>
      </w:r>
      <w:r>
        <w:rPr>
          <w:rFonts w:hint="eastAsia"/>
          <w:bCs/>
          <w:color w:val="auto"/>
        </w:rPr>
        <w:t xml:space="preserve"> </w:t>
      </w:r>
    </w:p>
    <w:p w14:paraId="395CA2E0">
      <w:pPr>
        <w:spacing w:line="360" w:lineRule="auto"/>
        <w:ind w:firstLine="420"/>
        <w:rPr>
          <w:bCs/>
          <w:color w:val="auto"/>
        </w:rPr>
      </w:pPr>
      <w:r>
        <w:rPr>
          <w:rFonts w:hint="eastAsia"/>
          <w:bCs/>
          <w:color w:val="auto"/>
        </w:rPr>
        <w:t>项目名称：</w:t>
      </w:r>
      <w:bookmarkStart w:id="3" w:name="OLE_LINK1"/>
      <w:r>
        <w:rPr>
          <w:rFonts w:hint="eastAsia"/>
          <w:bCs/>
          <w:color w:val="auto"/>
        </w:rPr>
        <w:t>江苏省太湖流域太湖东片排涝工程一期（浏河江边枢纽工程）初步设计报告咨询评估。</w:t>
      </w:r>
    </w:p>
    <w:p w14:paraId="4DCF5C93">
      <w:pPr>
        <w:spacing w:line="360" w:lineRule="auto"/>
        <w:ind w:firstLine="420"/>
        <w:rPr>
          <w:bCs/>
          <w:color w:val="auto"/>
        </w:rPr>
      </w:pPr>
      <w:r>
        <w:rPr>
          <w:rFonts w:hint="eastAsia"/>
          <w:bCs/>
          <w:color w:val="auto"/>
        </w:rPr>
        <w:t>预算金额：</w:t>
      </w:r>
      <w:r>
        <w:rPr>
          <w:rFonts w:hint="eastAsia"/>
          <w:bCs/>
          <w:color w:val="auto"/>
        </w:rPr>
        <w:t>228万元</w:t>
      </w:r>
    </w:p>
    <w:p w14:paraId="34BA2767">
      <w:pPr>
        <w:spacing w:line="360" w:lineRule="auto"/>
        <w:ind w:firstLine="420"/>
        <w:rPr>
          <w:bCs/>
          <w:color w:val="auto"/>
        </w:rPr>
      </w:pPr>
      <w:r>
        <w:rPr>
          <w:rFonts w:hint="eastAsia"/>
          <w:b/>
          <w:color w:val="auto"/>
        </w:rPr>
        <w:t>最高限价：228万元</w:t>
      </w:r>
      <w:bookmarkEnd w:id="3"/>
      <w:r>
        <w:rPr>
          <w:rFonts w:hint="eastAsia"/>
          <w:b/>
          <w:color w:val="auto"/>
        </w:rPr>
        <w:t>，</w:t>
      </w:r>
      <w:r>
        <w:rPr>
          <w:rFonts w:hint="eastAsia"/>
          <w:b/>
          <w:color w:val="auto"/>
        </w:rPr>
        <w:t>投标人的投标报价不得超过该限价，否则作无效投标处理。</w:t>
      </w:r>
    </w:p>
    <w:p w14:paraId="2D1F9E01">
      <w:pPr>
        <w:spacing w:line="360" w:lineRule="auto"/>
        <w:ind w:firstLine="420"/>
        <w:rPr>
          <w:rFonts w:ascii="宋体" w:hAnsi="宋体" w:cs="宋体"/>
          <w:bCs/>
          <w:color w:val="auto"/>
          <w:szCs w:val="21"/>
        </w:rPr>
      </w:pPr>
      <w:r>
        <w:rPr>
          <w:rFonts w:hint="eastAsia"/>
          <w:bCs/>
          <w:color w:val="auto"/>
        </w:rPr>
        <w:t>采购需求：</w:t>
      </w:r>
      <w:r>
        <w:rPr>
          <w:rFonts w:hint="eastAsia"/>
          <w:color w:val="auto"/>
        </w:rPr>
        <w:t>江苏省太湖流域太湖东片排涝工程</w:t>
      </w:r>
      <w:r>
        <w:rPr>
          <w:color w:val="auto"/>
        </w:rPr>
        <w:t>可行性研究报告已经省发展改革委批复，</w:t>
      </w:r>
      <w:r>
        <w:rPr>
          <w:color w:val="auto"/>
        </w:rPr>
        <w:t>主要建设内容为</w:t>
      </w:r>
      <w:r>
        <w:rPr>
          <w:rFonts w:hint="eastAsia"/>
          <w:color w:val="auto"/>
        </w:rPr>
        <w:t>：</w:t>
      </w:r>
      <w:r>
        <w:rPr>
          <w:color w:val="auto"/>
        </w:rPr>
        <w:t>改扩建浏河和白茆塘江边枢纽</w:t>
      </w:r>
      <w:r>
        <w:rPr>
          <w:rFonts w:hint="eastAsia"/>
          <w:color w:val="auto"/>
        </w:rPr>
        <w:t>；</w:t>
      </w:r>
      <w:r>
        <w:rPr>
          <w:color w:val="auto"/>
        </w:rPr>
        <w:t>低洼地区排涝泵站(闸站)、圩口闸建设，沟渠整治，圩堤建设等</w:t>
      </w:r>
      <w:r>
        <w:rPr>
          <w:rFonts w:hint="eastAsia"/>
          <w:color w:val="auto"/>
        </w:rPr>
        <w:t>。工程施工安排分为两期，一期工程先行批复实施浏河江边枢纽工程，二期工程批复实施白苇塘江边枢纽、低洼地区治涝工程</w:t>
      </w:r>
      <w:r>
        <w:rPr>
          <w:color w:val="auto"/>
        </w:rPr>
        <w:t>。本次采购需求</w:t>
      </w:r>
      <w:r>
        <w:rPr>
          <w:rFonts w:hint="eastAsia"/>
          <w:color w:val="auto"/>
        </w:rPr>
        <w:t>：</w:t>
      </w:r>
      <w:r>
        <w:rPr>
          <w:color w:val="auto"/>
        </w:rPr>
        <w:t>对</w:t>
      </w:r>
      <w:r>
        <w:rPr>
          <w:rFonts w:hint="eastAsia"/>
          <w:bCs/>
          <w:color w:val="auto"/>
        </w:rPr>
        <w:t>江苏省太湖流域太湖东片排涝工程一期（浏河江边枢纽工程）</w:t>
      </w:r>
      <w:r>
        <w:rPr>
          <w:color w:val="auto"/>
        </w:rPr>
        <w:t>初步设计报告进行咨询评估</w:t>
      </w:r>
      <w:r>
        <w:rPr>
          <w:color w:val="auto"/>
        </w:rPr>
        <w:t>。</w:t>
      </w:r>
      <w:r>
        <w:rPr>
          <w:rFonts w:hint="eastAsia" w:ascii="宋体" w:hAnsi="宋体" w:cs="宋体"/>
          <w:bCs/>
          <w:color w:val="auto"/>
          <w:szCs w:val="21"/>
          <w:lang w:bidi="ar"/>
        </w:rPr>
        <w:t>详见采购文</w:t>
      </w:r>
      <w:r>
        <w:rPr>
          <w:rFonts w:hint="eastAsia" w:ascii="宋体" w:hAnsi="宋体" w:cs="宋体"/>
          <w:bCs/>
          <w:color w:val="auto"/>
          <w:szCs w:val="21"/>
          <w:lang w:bidi="ar"/>
        </w:rPr>
        <w:t>件第四章《采购需求》</w:t>
      </w:r>
      <w:r>
        <w:rPr>
          <w:rFonts w:hint="eastAsia" w:ascii="宋体" w:hAnsi="宋体" w:cs="宋体"/>
          <w:bCs/>
          <w:color w:val="auto"/>
          <w:szCs w:val="21"/>
        </w:rPr>
        <w:t>。</w:t>
      </w:r>
    </w:p>
    <w:p w14:paraId="5967A4E3">
      <w:pPr>
        <w:adjustRightInd w:val="0"/>
        <w:snapToGrid w:val="0"/>
        <w:spacing w:line="360" w:lineRule="auto"/>
        <w:ind w:firstLine="420" w:firstLineChars="200"/>
        <w:rPr>
          <w:color w:val="auto"/>
          <w:szCs w:val="21"/>
        </w:rPr>
      </w:pPr>
      <w:bookmarkStart w:id="4" w:name="OLE_LINK2"/>
      <w:r>
        <w:rPr>
          <w:rFonts w:hint="eastAsia"/>
          <w:bCs/>
          <w:color w:val="auto"/>
        </w:rPr>
        <w:t>合同履行期限：</w:t>
      </w:r>
      <w:bookmarkEnd w:id="4"/>
      <w:r>
        <w:rPr>
          <w:rFonts w:hint="eastAsia"/>
          <w:color w:val="auto"/>
        </w:rPr>
        <w:t>自合同签订之日起，收到采购人提供的《初步设计报告》，13日内提出初步设计报告咨询评估意见送达采购人；技术审查会后且收到《初步设计报告》修订本后，10日内提交正式咨询成果。</w:t>
      </w:r>
    </w:p>
    <w:p w14:paraId="22E853D7">
      <w:pPr>
        <w:spacing w:line="360" w:lineRule="auto"/>
        <w:ind w:firstLine="420"/>
        <w:rPr>
          <w:rFonts w:ascii="宋体" w:hAnsi="宋体"/>
          <w:color w:val="auto"/>
          <w:szCs w:val="21"/>
        </w:rPr>
      </w:pPr>
      <w:r>
        <w:rPr>
          <w:rFonts w:hint="eastAsia" w:ascii="宋体" w:hAnsi="宋体"/>
          <w:color w:val="auto"/>
          <w:szCs w:val="21"/>
        </w:rPr>
        <w:t>本项目</w:t>
      </w:r>
      <w:r>
        <w:rPr>
          <w:rFonts w:hint="eastAsia" w:ascii="宋体" w:hAnsi="宋体"/>
          <w:color w:val="auto"/>
          <w:szCs w:val="21"/>
          <w:u w:val="single"/>
        </w:rPr>
        <w:t>不接受</w:t>
      </w:r>
      <w:r>
        <w:rPr>
          <w:rFonts w:hint="eastAsia" w:ascii="宋体" w:hAnsi="宋体"/>
          <w:color w:val="auto"/>
          <w:szCs w:val="21"/>
        </w:rPr>
        <w:t>联合体投标。</w:t>
      </w:r>
    </w:p>
    <w:p w14:paraId="63ECBB24">
      <w:pPr>
        <w:widowControl/>
        <w:shd w:val="clear" w:color="auto" w:fill="FFFFFF"/>
        <w:spacing w:line="360" w:lineRule="auto"/>
        <w:ind w:firstLine="422" w:firstLineChars="200"/>
        <w:rPr>
          <w:rFonts w:ascii="宋体" w:hAnsi="宋体"/>
          <w:b/>
          <w:color w:val="auto"/>
          <w:kern w:val="0"/>
          <w:szCs w:val="21"/>
        </w:rPr>
      </w:pPr>
      <w:r>
        <w:rPr>
          <w:rFonts w:hint="eastAsia" w:ascii="宋体" w:hAnsi="宋体"/>
          <w:b/>
          <w:color w:val="auto"/>
          <w:kern w:val="0"/>
          <w:szCs w:val="21"/>
        </w:rPr>
        <w:t>二、申请人的资格要求：</w:t>
      </w:r>
    </w:p>
    <w:p w14:paraId="43EF1C83">
      <w:pPr>
        <w:spacing w:line="360" w:lineRule="auto"/>
        <w:ind w:firstLine="420" w:firstLineChars="200"/>
        <w:rPr>
          <w:rFonts w:ascii="宋体" w:hAnsi="宋体"/>
          <w:color w:val="auto"/>
          <w:kern w:val="0"/>
          <w:szCs w:val="21"/>
        </w:rPr>
      </w:pPr>
      <w:r>
        <w:rPr>
          <w:rFonts w:hint="eastAsia" w:ascii="宋体" w:hAnsi="宋体"/>
          <w:color w:val="auto"/>
          <w:kern w:val="0"/>
          <w:szCs w:val="21"/>
        </w:rPr>
        <w:t>（一）满足《中华人民共和国政府采购法》第二十二条规定：</w:t>
      </w:r>
    </w:p>
    <w:p w14:paraId="6F8A2F07">
      <w:pPr>
        <w:spacing w:line="360" w:lineRule="auto"/>
        <w:ind w:firstLine="420" w:firstLineChars="200"/>
        <w:rPr>
          <w:rFonts w:ascii="宋体" w:hAnsi="宋体"/>
          <w:color w:val="auto"/>
          <w:kern w:val="0"/>
          <w:szCs w:val="21"/>
        </w:rPr>
      </w:pPr>
      <w:r>
        <w:rPr>
          <w:rFonts w:hint="eastAsia" w:ascii="宋体" w:hAnsi="宋体"/>
          <w:color w:val="auto"/>
          <w:kern w:val="0"/>
          <w:szCs w:val="21"/>
        </w:rPr>
        <w:t>1.具有独立承担民事责任的能力（提供法人或者其他组织的营业执照等；供应商为自然人的，提供其身份证）；</w:t>
      </w:r>
    </w:p>
    <w:p w14:paraId="3F064784">
      <w:pPr>
        <w:spacing w:line="360" w:lineRule="auto"/>
        <w:ind w:firstLine="420" w:firstLineChars="200"/>
        <w:rPr>
          <w:rFonts w:ascii="宋体" w:hAnsi="宋体"/>
          <w:color w:val="auto"/>
          <w:kern w:val="0"/>
          <w:szCs w:val="21"/>
        </w:rPr>
      </w:pPr>
      <w:r>
        <w:rPr>
          <w:rFonts w:hint="eastAsia" w:ascii="宋体" w:hAnsi="宋体"/>
          <w:color w:val="auto"/>
          <w:kern w:val="0"/>
          <w:szCs w:val="21"/>
        </w:rPr>
        <w:t>2.具有良好的商业信誉和健全的财务会计制度（提供最近的财务报告或会计报表，成立不足一年的无需提供）；</w:t>
      </w:r>
    </w:p>
    <w:p w14:paraId="430F0BE6">
      <w:pPr>
        <w:spacing w:line="360" w:lineRule="auto"/>
        <w:ind w:firstLine="420" w:firstLineChars="200"/>
        <w:rPr>
          <w:rFonts w:ascii="宋体" w:hAnsi="宋体"/>
          <w:color w:val="auto"/>
          <w:kern w:val="0"/>
          <w:szCs w:val="21"/>
        </w:rPr>
      </w:pPr>
      <w:r>
        <w:rPr>
          <w:rFonts w:hint="eastAsia" w:ascii="宋体" w:hAnsi="宋体"/>
          <w:color w:val="auto"/>
          <w:kern w:val="0"/>
          <w:szCs w:val="21"/>
        </w:rPr>
        <w:t>3.具有履行合同所必需的设备和专业技术能力（提供书面声明）；</w:t>
      </w:r>
    </w:p>
    <w:p w14:paraId="20658FA4">
      <w:pPr>
        <w:spacing w:line="360" w:lineRule="auto"/>
        <w:ind w:firstLine="420" w:firstLineChars="200"/>
        <w:rPr>
          <w:rFonts w:ascii="宋体" w:hAnsi="宋体"/>
          <w:color w:val="auto"/>
          <w:kern w:val="0"/>
          <w:szCs w:val="21"/>
        </w:rPr>
      </w:pPr>
      <w:r>
        <w:rPr>
          <w:rFonts w:hint="eastAsia" w:ascii="宋体" w:hAnsi="宋体"/>
          <w:color w:val="auto"/>
          <w:kern w:val="0"/>
          <w:szCs w:val="21"/>
        </w:rPr>
        <w:t>4.有依法缴纳税收和社会保障资金的良好记录（提供参加本次政府采购活动前半年内至少一个月缴税的凭据；并提供缴纳社会保险的凭据（专用收据或社会保险缴纳清单））；</w:t>
      </w:r>
    </w:p>
    <w:p w14:paraId="154FA7D5">
      <w:pPr>
        <w:spacing w:line="360" w:lineRule="auto"/>
        <w:ind w:firstLine="420" w:firstLineChars="200"/>
        <w:rPr>
          <w:rFonts w:ascii="宋体" w:hAnsi="宋体"/>
          <w:color w:val="auto"/>
          <w:kern w:val="0"/>
          <w:szCs w:val="21"/>
        </w:rPr>
      </w:pPr>
      <w:r>
        <w:rPr>
          <w:rFonts w:hint="eastAsia" w:ascii="宋体" w:hAnsi="宋体"/>
          <w:color w:val="auto"/>
          <w:kern w:val="0"/>
          <w:szCs w:val="21"/>
        </w:rPr>
        <w:t>5.参加政府采购活动前三年内，在经营活动中没有重大违法记录（提供书面声明）；</w:t>
      </w:r>
    </w:p>
    <w:p w14:paraId="18D749CF">
      <w:pPr>
        <w:spacing w:line="360" w:lineRule="auto"/>
        <w:ind w:firstLine="420" w:firstLineChars="200"/>
        <w:rPr>
          <w:rFonts w:ascii="宋体" w:hAnsi="宋体"/>
          <w:color w:val="auto"/>
          <w:kern w:val="0"/>
          <w:szCs w:val="21"/>
        </w:rPr>
      </w:pPr>
      <w:r>
        <w:rPr>
          <w:rFonts w:hint="eastAsia" w:ascii="宋体" w:hAnsi="宋体"/>
          <w:color w:val="auto"/>
          <w:kern w:val="0"/>
          <w:szCs w:val="21"/>
        </w:rPr>
        <w:t>6.法律、行政法规规定的其他条件（提供书面声明）。</w:t>
      </w:r>
    </w:p>
    <w:p w14:paraId="5933710A">
      <w:pPr>
        <w:widowControl/>
        <w:shd w:val="clear" w:color="auto" w:fill="FFFFFF"/>
        <w:spacing w:line="360" w:lineRule="auto"/>
        <w:ind w:firstLine="420"/>
        <w:rPr>
          <w:color w:val="auto"/>
          <w:kern w:val="0"/>
          <w:szCs w:val="21"/>
        </w:rPr>
      </w:pPr>
      <w:r>
        <w:rPr>
          <w:rFonts w:hint="eastAsia" w:ascii="宋体" w:hAnsi="宋体"/>
          <w:color w:val="auto"/>
          <w:kern w:val="0"/>
          <w:szCs w:val="21"/>
        </w:rPr>
        <w:t>7.</w:t>
      </w:r>
      <w:r>
        <w:rPr>
          <w:rFonts w:hint="eastAsia"/>
          <w:color w:val="auto"/>
          <w:kern w:val="0"/>
          <w:szCs w:val="21"/>
        </w:rPr>
        <w:t>拒绝下述供应商参加本次采购活动：（1）供应商单位负责人为同一人或者存在直接控股、管理关系的不同供应商，不得参加同一合同项下的政府采购活动。（2）凡为采购项目提供整体设计、规范编制或者项目管理、监理、检测等服务的供应商，不得再参加本项目的采购活动（提供书面声明）。</w:t>
      </w:r>
    </w:p>
    <w:p w14:paraId="12BDF21C">
      <w:pPr>
        <w:widowControl/>
        <w:shd w:val="clear" w:color="auto" w:fill="FFFFFF"/>
        <w:spacing w:line="360" w:lineRule="auto"/>
        <w:ind w:firstLine="420"/>
        <w:rPr>
          <w:color w:val="auto"/>
          <w:kern w:val="0"/>
          <w:szCs w:val="21"/>
        </w:rPr>
      </w:pPr>
      <w:r>
        <w:rPr>
          <w:rFonts w:hint="eastAsia"/>
          <w:color w:val="auto"/>
          <w:kern w:val="0"/>
          <w:szCs w:val="21"/>
        </w:rPr>
        <w:t>8.</w:t>
      </w:r>
      <w:r>
        <w:rPr>
          <w:rFonts w:hint="eastAsia" w:ascii="宋体" w:hAnsi="宋体"/>
          <w:color w:val="auto"/>
          <w:kern w:val="0"/>
          <w:szCs w:val="21"/>
        </w:rPr>
        <w:t>截至采购公告发出当日，被“信用中国”网站（www.creditchina.gov.cn）中列入失信被执行人或重大税收违法案件当事人名单的供应商、被中国政府采购网（www.ccgp.gov.cn）列入政府采购严重违法失信行为记录名单中被财政部门禁止参加政府采购活动的供应商（处罚决定确定的期限和地域范围内），无资格参加本项目的采购活动。</w:t>
      </w:r>
    </w:p>
    <w:p w14:paraId="2FF29E7D">
      <w:pPr>
        <w:spacing w:line="360" w:lineRule="auto"/>
        <w:ind w:firstLine="482"/>
        <w:jc w:val="left"/>
        <w:rPr>
          <w:rFonts w:ascii="宋体" w:hAnsi="宋体"/>
          <w:color w:val="auto"/>
          <w:kern w:val="0"/>
          <w:szCs w:val="21"/>
        </w:rPr>
      </w:pPr>
      <w:r>
        <w:rPr>
          <w:rFonts w:hint="eastAsia" w:ascii="宋体" w:hAnsi="宋体"/>
          <w:color w:val="auto"/>
          <w:kern w:val="0"/>
          <w:szCs w:val="21"/>
        </w:rPr>
        <w:t>（二）落实政府采购政策需满足的资格要求：</w:t>
      </w:r>
    </w:p>
    <w:p w14:paraId="15238599">
      <w:pPr>
        <w:spacing w:line="360" w:lineRule="auto"/>
        <w:ind w:firstLine="482"/>
        <w:jc w:val="left"/>
        <w:rPr>
          <w:rFonts w:ascii="宋体" w:hAnsi="宋体" w:cs="宋体"/>
          <w:color w:val="auto"/>
          <w:szCs w:val="21"/>
        </w:rPr>
      </w:pPr>
      <w:r>
        <w:rPr>
          <w:rFonts w:hint="eastAsia" w:ascii="宋体" w:hAnsi="宋体"/>
          <w:b/>
          <w:bCs/>
          <w:color w:val="auto"/>
          <w:kern w:val="0"/>
          <w:szCs w:val="21"/>
        </w:rPr>
        <w:t>本项目为专门面向中小企业采购的项目，</w:t>
      </w:r>
      <w:r>
        <w:rPr>
          <w:rFonts w:hint="eastAsia" w:ascii="宋体" w:hAnsi="宋体" w:cs="宋体"/>
          <w:b/>
          <w:bCs/>
          <w:color w:val="auto"/>
          <w:szCs w:val="21"/>
        </w:rPr>
        <w:t>残疾人福利性单位、监狱和戒毒企业（简称监狱企业）视同小型、微型企业。供应商须提供中小企业声明函或《残疾人福利性单位声明函》或提供由省级以上监狱管理局、戒毒管理局(含新疆生产建设兵团)出具的属于监狱企业的证明文件，否则属于无效投标。</w:t>
      </w:r>
    </w:p>
    <w:p w14:paraId="7F2082A4">
      <w:pPr>
        <w:spacing w:line="360" w:lineRule="auto"/>
        <w:ind w:firstLine="420" w:firstLineChars="200"/>
        <w:rPr>
          <w:rFonts w:ascii="宋体" w:hAnsi="宋体"/>
          <w:color w:val="auto"/>
          <w:sz w:val="24"/>
        </w:rPr>
      </w:pPr>
      <w:r>
        <w:rPr>
          <w:rFonts w:hint="eastAsia" w:ascii="宋体" w:hAnsi="宋体"/>
          <w:color w:val="auto"/>
          <w:kern w:val="0"/>
          <w:szCs w:val="21"/>
        </w:rPr>
        <w:t>（三）本项目的特定资格要求：</w:t>
      </w:r>
      <w:r>
        <w:rPr>
          <w:rFonts w:hint="eastAsia" w:ascii="宋体" w:hAnsi="宋体"/>
          <w:color w:val="auto"/>
          <w:kern w:val="0"/>
          <w:szCs w:val="21"/>
        </w:rPr>
        <w:t>无</w:t>
      </w:r>
      <w:r>
        <w:rPr>
          <w:rFonts w:hint="eastAsia" w:ascii="宋体" w:hAnsi="宋体"/>
          <w:color w:val="auto"/>
          <w:kern w:val="0"/>
          <w:szCs w:val="21"/>
        </w:rPr>
        <w:t>。</w:t>
      </w:r>
    </w:p>
    <w:p w14:paraId="70FE92C0">
      <w:pPr>
        <w:spacing w:line="360" w:lineRule="auto"/>
        <w:ind w:firstLine="422" w:firstLineChars="200"/>
        <w:rPr>
          <w:rFonts w:ascii="宋体" w:hAnsi="宋体"/>
          <w:b/>
          <w:bCs/>
          <w:color w:val="auto"/>
        </w:rPr>
      </w:pPr>
      <w:r>
        <w:rPr>
          <w:rFonts w:hint="eastAsia" w:ascii="宋体" w:hAnsi="宋体"/>
          <w:b/>
          <w:bCs/>
          <w:color w:val="auto"/>
        </w:rPr>
        <w:t>三、获取招标文件</w:t>
      </w:r>
    </w:p>
    <w:p w14:paraId="225EABEF">
      <w:pPr>
        <w:widowControl/>
        <w:shd w:val="clear" w:color="auto" w:fill="FFFFFF"/>
        <w:spacing w:line="360" w:lineRule="auto"/>
        <w:ind w:firstLine="420" w:firstLineChars="200"/>
        <w:rPr>
          <w:rFonts w:ascii="宋体" w:hAnsi="宋体"/>
          <w:color w:val="auto"/>
          <w:kern w:val="0"/>
          <w:szCs w:val="21"/>
        </w:rPr>
      </w:pPr>
      <w:r>
        <w:rPr>
          <w:rFonts w:hint="eastAsia" w:ascii="宋体" w:hAnsi="宋体"/>
          <w:color w:val="auto"/>
          <w:kern w:val="0"/>
          <w:szCs w:val="21"/>
        </w:rPr>
        <w:t>时间：</w:t>
      </w:r>
      <w:r>
        <w:rPr>
          <w:rFonts w:hint="eastAsia" w:ascii="宋体" w:hAnsi="宋体" w:cs="宋体"/>
          <w:color w:val="auto"/>
          <w:szCs w:val="21"/>
        </w:rPr>
        <w:t>自招标文件公告发布之日起5个工作日</w:t>
      </w:r>
      <w:r>
        <w:rPr>
          <w:rFonts w:hint="eastAsia" w:ascii="宋体" w:hAnsi="宋体"/>
          <w:color w:val="auto"/>
          <w:kern w:val="0"/>
          <w:szCs w:val="21"/>
        </w:rPr>
        <w:t>。</w:t>
      </w:r>
    </w:p>
    <w:p w14:paraId="705EB54A">
      <w:pPr>
        <w:widowControl/>
        <w:adjustRightInd w:val="0"/>
        <w:spacing w:line="360" w:lineRule="auto"/>
        <w:ind w:left="-15" w:right="103" w:firstLine="420"/>
        <w:jc w:val="left"/>
        <w:rPr>
          <w:rFonts w:ascii="宋体" w:hAnsi="宋体" w:cs="宋体"/>
          <w:bCs/>
          <w:color w:val="auto"/>
          <w:kern w:val="0"/>
          <w:szCs w:val="21"/>
          <w:shd w:val="clear" w:color="auto" w:fill="FFFFFF" w:themeFill="background1"/>
        </w:rPr>
      </w:pPr>
      <w:r>
        <w:rPr>
          <w:rFonts w:hint="eastAsia" w:ascii="宋体" w:hAnsi="宋体"/>
          <w:color w:val="auto"/>
          <w:kern w:val="0"/>
          <w:szCs w:val="21"/>
        </w:rPr>
        <w:t>方式：</w:t>
      </w:r>
      <w:r>
        <w:rPr>
          <w:rFonts w:hint="eastAsia" w:ascii="宋体" w:hAnsi="宋体" w:cs="宋体"/>
          <w:color w:val="auto"/>
          <w:szCs w:val="21"/>
        </w:rPr>
        <w:t>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19DAE256">
      <w:pPr>
        <w:widowControl/>
        <w:shd w:val="clear" w:color="auto" w:fill="FFFFFF"/>
        <w:spacing w:line="360" w:lineRule="auto"/>
        <w:ind w:firstLine="420" w:firstLineChars="200"/>
        <w:rPr>
          <w:rFonts w:ascii="宋体" w:hAnsi="宋体"/>
          <w:color w:val="auto"/>
          <w:kern w:val="0"/>
          <w:szCs w:val="21"/>
        </w:rPr>
      </w:pPr>
      <w:r>
        <w:rPr>
          <w:rFonts w:hint="eastAsia" w:ascii="宋体" w:hAnsi="宋体" w:cs="宋体"/>
          <w:bCs/>
          <w:color w:val="auto"/>
          <w:kern w:val="0"/>
          <w:szCs w:val="21"/>
          <w:shd w:val="clear" w:color="auto" w:fill="FFFFFF" w:themeFill="background1"/>
        </w:rPr>
        <w:t>招标文件售价0元。</w:t>
      </w:r>
    </w:p>
    <w:p w14:paraId="5A71E56E">
      <w:pPr>
        <w:spacing w:line="312" w:lineRule="auto"/>
        <w:ind w:firstLine="422" w:firstLineChars="200"/>
        <w:rPr>
          <w:rFonts w:ascii="宋体" w:hAnsi="宋体"/>
          <w:b/>
          <w:bCs/>
          <w:color w:val="auto"/>
        </w:rPr>
      </w:pPr>
      <w:r>
        <w:rPr>
          <w:rFonts w:hint="eastAsia" w:ascii="宋体" w:hAnsi="宋体"/>
          <w:b/>
          <w:bCs/>
          <w:color w:val="auto"/>
        </w:rPr>
        <w:t>四、提交投标文件截止时间、开标时间和地点</w:t>
      </w:r>
    </w:p>
    <w:p w14:paraId="4FC4E2F0">
      <w:pPr>
        <w:widowControl/>
        <w:adjustRightInd w:val="0"/>
        <w:spacing w:line="360" w:lineRule="auto"/>
        <w:ind w:left="-15" w:right="103" w:firstLine="420"/>
        <w:jc w:val="left"/>
        <w:rPr>
          <w:rFonts w:ascii="宋体" w:hAnsi="宋体" w:cs="宋体"/>
          <w:color w:val="auto"/>
          <w:szCs w:val="21"/>
        </w:rPr>
      </w:pPr>
      <w:r>
        <w:rPr>
          <w:rFonts w:hint="eastAsia" w:ascii="宋体" w:hAnsi="宋体" w:cs="宋体"/>
          <w:color w:val="auto"/>
          <w:szCs w:val="21"/>
        </w:rPr>
        <w:t>1.提交投标文件截止时间、开标时间：2026年11月2日9:30（北京时间）</w:t>
      </w:r>
    </w:p>
    <w:p w14:paraId="2C857410">
      <w:pPr>
        <w:widowControl/>
        <w:adjustRightInd w:val="0"/>
        <w:spacing w:line="360" w:lineRule="auto"/>
        <w:ind w:left="-15" w:right="103" w:firstLine="420"/>
        <w:jc w:val="left"/>
        <w:rPr>
          <w:rFonts w:ascii="宋体" w:hAnsi="宋体" w:cs="宋体"/>
          <w:color w:val="auto"/>
          <w:szCs w:val="21"/>
        </w:rPr>
      </w:pPr>
      <w:r>
        <w:rPr>
          <w:rFonts w:hint="eastAsia" w:ascii="宋体" w:hAnsi="宋体" w:cs="宋体"/>
          <w:color w:val="auto"/>
          <w:szCs w:val="21"/>
        </w:rPr>
        <w:t xml:space="preserve">2.地点：江苏政府采购“苏采云”系统网上开标大厅 </w:t>
      </w:r>
    </w:p>
    <w:p w14:paraId="58C55480">
      <w:pPr>
        <w:spacing w:line="312" w:lineRule="auto"/>
        <w:ind w:firstLine="422" w:firstLineChars="200"/>
        <w:rPr>
          <w:rFonts w:ascii="宋体" w:hAnsi="宋体"/>
          <w:b/>
          <w:bCs/>
          <w:color w:val="auto"/>
        </w:rPr>
      </w:pPr>
      <w:r>
        <w:rPr>
          <w:rFonts w:hint="eastAsia" w:ascii="宋体" w:hAnsi="宋体"/>
          <w:b/>
          <w:bCs/>
          <w:color w:val="auto"/>
        </w:rPr>
        <w:t>五、公告期限</w:t>
      </w:r>
    </w:p>
    <w:p w14:paraId="039A2F0B">
      <w:pPr>
        <w:spacing w:line="312" w:lineRule="auto"/>
        <w:ind w:firstLine="420" w:firstLineChars="200"/>
        <w:rPr>
          <w:rFonts w:ascii="宋体" w:hAnsi="宋体"/>
          <w:color w:val="auto"/>
        </w:rPr>
      </w:pPr>
      <w:r>
        <w:rPr>
          <w:rFonts w:hint="eastAsia" w:ascii="宋体" w:hAnsi="宋体"/>
          <w:color w:val="auto"/>
        </w:rPr>
        <w:t>自公告发布之日起5个工作日。</w:t>
      </w:r>
    </w:p>
    <w:p w14:paraId="34F50D29">
      <w:pPr>
        <w:spacing w:line="312" w:lineRule="auto"/>
        <w:ind w:firstLine="422" w:firstLineChars="200"/>
        <w:rPr>
          <w:rFonts w:ascii="宋体" w:hAnsi="宋体"/>
          <w:b/>
          <w:bCs/>
          <w:color w:val="auto"/>
        </w:rPr>
      </w:pPr>
      <w:r>
        <w:rPr>
          <w:rFonts w:hint="eastAsia" w:ascii="宋体" w:hAnsi="宋体"/>
          <w:b/>
          <w:bCs/>
          <w:color w:val="auto"/>
        </w:rPr>
        <w:t>六、其他补充事宜</w:t>
      </w:r>
    </w:p>
    <w:p w14:paraId="64FA03F5">
      <w:pPr>
        <w:spacing w:line="360" w:lineRule="auto"/>
        <w:ind w:firstLine="480"/>
        <w:jc w:val="left"/>
        <w:rPr>
          <w:rFonts w:ascii="宋体" w:hAnsi="宋体" w:cs="宋体"/>
          <w:color w:val="auto"/>
          <w:szCs w:val="21"/>
        </w:rPr>
      </w:pPr>
      <w:r>
        <w:rPr>
          <w:rFonts w:hint="eastAsia" w:ascii="宋体" w:hAnsi="宋体"/>
          <w:color w:val="auto"/>
          <w:kern w:val="0"/>
          <w:szCs w:val="21"/>
        </w:rPr>
        <w:t>1.</w:t>
      </w:r>
      <w:r>
        <w:rPr>
          <w:rFonts w:hint="eastAsia" w:ascii="宋体" w:hAnsi="宋体" w:cs="宋体"/>
          <w:color w:val="auto"/>
          <w:szCs w:val="21"/>
        </w:rPr>
        <w:t>本次采购公告在江苏政府采购网发布,有关本次采购的事项若存在变动或修改，</w:t>
      </w:r>
      <w:r>
        <w:rPr>
          <w:rFonts w:hint="eastAsia" w:ascii="宋体" w:hAnsi="宋体" w:cs="宋体"/>
          <w:b/>
          <w:bCs/>
          <w:color w:val="auto"/>
          <w:szCs w:val="21"/>
        </w:rPr>
        <w:t>敬请及时关注江苏政府采购网发布的关于本项目的信息更正公告</w:t>
      </w:r>
      <w:r>
        <w:rPr>
          <w:rFonts w:hint="eastAsia" w:ascii="宋体" w:hAnsi="宋体" w:cs="宋体"/>
          <w:color w:val="auto"/>
          <w:szCs w:val="21"/>
        </w:rPr>
        <w:t>。</w:t>
      </w:r>
    </w:p>
    <w:p w14:paraId="2F2517BC">
      <w:pPr>
        <w:pStyle w:val="217"/>
        <w:spacing w:line="360" w:lineRule="auto"/>
        <w:ind w:firstLine="480"/>
        <w:jc w:val="left"/>
        <w:rPr>
          <w:rFonts w:ascii="宋体" w:hAnsi="宋体" w:eastAsia="宋体" w:cs="宋体"/>
          <w:color w:val="auto"/>
          <w:sz w:val="21"/>
          <w:szCs w:val="21"/>
        </w:rPr>
      </w:pPr>
      <w:r>
        <w:rPr>
          <w:rFonts w:hint="eastAsia" w:ascii="宋体" w:hAnsi="宋体" w:eastAsia="宋体" w:cs="宋体"/>
          <w:color w:val="auto"/>
          <w:sz w:val="21"/>
          <w:szCs w:val="21"/>
        </w:rPr>
        <w:t>2.供应商通过“苏采云”系统参与政府采购项目，需要办理江苏省政府采购数字证书及电子签章，具体详见“苏采云”系统登录页“新CA办理指南</w:t>
      </w:r>
      <w:r>
        <w:rPr>
          <w:rFonts w:hint="eastAsia" w:asciiTheme="minorEastAsia" w:hAnsiTheme="minorEastAsia" w:eastAsiaTheme="minorEastAsia" w:cstheme="minorEastAsia"/>
          <w:color w:val="auto"/>
          <w:sz w:val="21"/>
          <w:szCs w:val="21"/>
        </w:rPr>
        <w:t>”，</w:t>
      </w:r>
      <w:r>
        <w:rPr>
          <w:rFonts w:hint="eastAsia" w:asciiTheme="minorEastAsia" w:hAnsiTheme="minorEastAsia" w:eastAsiaTheme="minorEastAsia" w:cstheme="minorEastAsia"/>
          <w:bCs/>
          <w:color w:val="auto"/>
          <w:sz w:val="21"/>
          <w:szCs w:val="21"/>
        </w:rPr>
        <w:t>领取CA和办理电子签章(请至南京汉中门大街145号江苏省政务服务中心二期三楼大厅CA办理窗口办理。</w:t>
      </w:r>
      <w:r>
        <w:rPr>
          <w:rFonts w:hint="eastAsia" w:asciiTheme="minorEastAsia" w:hAnsiTheme="minorEastAsia" w:eastAsiaTheme="minorEastAsia" w:cstheme="minorEastAsia"/>
          <w:color w:val="auto"/>
          <w:sz w:val="21"/>
          <w:szCs w:val="21"/>
        </w:rPr>
        <w:t>供</w:t>
      </w:r>
      <w:r>
        <w:rPr>
          <w:rFonts w:hint="eastAsia" w:ascii="宋体" w:hAnsi="宋体" w:eastAsia="宋体" w:cs="宋体"/>
          <w:color w:val="auto"/>
          <w:sz w:val="21"/>
          <w:szCs w:val="21"/>
        </w:rPr>
        <w:t>应商按《苏采云系统供应商操作手册》（以下简称“操作手册”）进行注册，并</w:t>
      </w:r>
      <w:r>
        <w:rPr>
          <w:rFonts w:hint="eastAsia" w:ascii="宋体" w:hAnsi="宋体" w:eastAsia="宋体" w:cs="宋体"/>
          <w:bCs/>
          <w:color w:val="auto"/>
          <w:sz w:val="21"/>
          <w:szCs w:val="21"/>
        </w:rPr>
        <w:t>按《操作手册》要求制作、上传电子投标文件。</w:t>
      </w:r>
      <w:r>
        <w:rPr>
          <w:rFonts w:hint="eastAsia" w:ascii="宋体" w:hAnsi="宋体" w:eastAsia="宋体" w:cs="宋体"/>
          <w:color w:val="auto"/>
          <w:sz w:val="21"/>
          <w:szCs w:val="21"/>
        </w:rPr>
        <w:t>《操作手册》下载地址：</w:t>
      </w:r>
      <w:r>
        <w:rPr>
          <w:color w:val="auto"/>
        </w:rPr>
        <w:fldChar w:fldCharType="begin"/>
      </w:r>
      <w:r>
        <w:rPr>
          <w:color w:val="auto"/>
        </w:rPr>
        <w:instrText xml:space="preserve"> HYPERLINK "http://www.ccgp-jiangsu.gov.cn/jiangsu/zlxz/ee/ee3a4bc5a3454aa2b0d9312230633ce9.html。" </w:instrText>
      </w:r>
      <w:r>
        <w:rPr>
          <w:color w:val="auto"/>
        </w:rPr>
        <w:fldChar w:fldCharType="separate"/>
      </w:r>
      <w:r>
        <w:rPr>
          <w:rStyle w:val="52"/>
          <w:rFonts w:hint="eastAsia" w:ascii="宋体" w:hAnsi="宋体" w:eastAsia="宋体" w:cs="宋体"/>
          <w:color w:val="auto"/>
          <w:sz w:val="21"/>
          <w:szCs w:val="21"/>
          <w:u w:val="none"/>
        </w:rPr>
        <w:t>http://www.ccgp-jiangsu.gov.cn/jiangsu/zlxz/ee/ee3a4bc5a3454aa2b0d9312230633ce9.html。</w:t>
      </w:r>
      <w:r>
        <w:rPr>
          <w:rStyle w:val="52"/>
          <w:rFonts w:hint="eastAsia" w:ascii="宋体" w:hAnsi="宋体" w:eastAsia="宋体" w:cs="宋体"/>
          <w:color w:val="auto"/>
          <w:sz w:val="21"/>
          <w:szCs w:val="21"/>
          <w:u w:val="none"/>
        </w:rPr>
        <w:fldChar w:fldCharType="end"/>
      </w:r>
    </w:p>
    <w:p w14:paraId="0DB7D0D8">
      <w:pPr>
        <w:spacing w:line="360" w:lineRule="auto"/>
        <w:ind w:firstLine="420" w:firstLineChars="200"/>
        <w:rPr>
          <w:rFonts w:ascii="宋体" w:hAnsi="宋体" w:cs="宋体"/>
          <w:color w:val="auto"/>
          <w:szCs w:val="21"/>
        </w:rPr>
      </w:pPr>
      <w:r>
        <w:rPr>
          <w:rFonts w:hint="eastAsia" w:ascii="宋体" w:hAnsi="宋体" w:cs="宋体"/>
          <w:color w:val="auto"/>
          <w:szCs w:val="21"/>
        </w:rPr>
        <w:t>3.“苏采云”南京地区客服热线025-83633744、025-83633743。</w:t>
      </w:r>
    </w:p>
    <w:p w14:paraId="23168D59">
      <w:pPr>
        <w:spacing w:line="360" w:lineRule="auto"/>
        <w:ind w:firstLine="420"/>
        <w:rPr>
          <w:rFonts w:ascii="Microsoft New Tai Lue" w:hAnsi="Microsoft New Tai Lue" w:cs="Microsoft New Tai Lue"/>
          <w:color w:val="auto"/>
          <w:szCs w:val="21"/>
        </w:rPr>
      </w:pPr>
      <w:r>
        <w:rPr>
          <w:rFonts w:hint="eastAsia" w:ascii="宋体" w:hAnsi="宋体" w:cs="宋体"/>
          <w:color w:val="auto"/>
          <w:szCs w:val="21"/>
        </w:rPr>
        <w:t>4.</w:t>
      </w:r>
      <w:r>
        <w:rPr>
          <w:rFonts w:hint="eastAsia" w:ascii="Microsoft New Tai Lue" w:hAnsi="Microsoft New Tai Lue" w:cs="Microsoft New Tai Lue"/>
          <w:color w:val="auto"/>
          <w:szCs w:val="21"/>
        </w:rPr>
        <w:t>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p>
    <w:p w14:paraId="1DC09CD5">
      <w:pPr>
        <w:spacing w:line="360" w:lineRule="auto"/>
        <w:ind w:firstLine="420" w:firstLineChars="200"/>
        <w:rPr>
          <w:color w:val="auto"/>
        </w:rPr>
      </w:pPr>
      <w:r>
        <w:rPr>
          <w:rFonts w:hint="eastAsia" w:ascii="宋体" w:hAnsi="宋体" w:cs="宋体"/>
          <w:color w:val="auto"/>
          <w:szCs w:val="21"/>
        </w:rPr>
        <w:t>5.本项目采购标的所属行业为：其他未列明行业。</w:t>
      </w:r>
    </w:p>
    <w:p w14:paraId="2C02101F">
      <w:pPr>
        <w:spacing w:line="312" w:lineRule="auto"/>
        <w:ind w:firstLine="422" w:firstLineChars="200"/>
        <w:rPr>
          <w:rFonts w:ascii="宋体" w:hAnsi="宋体"/>
          <w:b/>
          <w:bCs/>
          <w:color w:val="auto"/>
        </w:rPr>
      </w:pPr>
      <w:r>
        <w:rPr>
          <w:rFonts w:hint="eastAsia" w:ascii="宋体" w:hAnsi="宋体"/>
          <w:b/>
          <w:bCs/>
          <w:color w:val="auto"/>
        </w:rPr>
        <w:t>七、对本次招标提出询问，请按以下方式联系</w:t>
      </w:r>
    </w:p>
    <w:p w14:paraId="1E5D5FD4">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1.采购人信息</w:t>
      </w:r>
    </w:p>
    <w:p w14:paraId="5004FE9C">
      <w:pPr>
        <w:widowControl/>
        <w:shd w:val="clear" w:color="auto" w:fill="FFFFFF"/>
        <w:spacing w:line="312" w:lineRule="auto"/>
        <w:ind w:firstLine="420" w:firstLineChars="200"/>
        <w:rPr>
          <w:rFonts w:ascii="宋体" w:hAnsi="宋体"/>
          <w:color w:val="auto"/>
          <w:kern w:val="0"/>
          <w:szCs w:val="21"/>
        </w:rPr>
      </w:pPr>
      <w:bookmarkStart w:id="5" w:name="_Toc28359086"/>
      <w:bookmarkStart w:id="6" w:name="_Toc28359009"/>
      <w:r>
        <w:rPr>
          <w:rFonts w:hint="eastAsia" w:ascii="宋体" w:hAnsi="宋体"/>
          <w:color w:val="auto"/>
          <w:kern w:val="0"/>
          <w:szCs w:val="21"/>
        </w:rPr>
        <w:t>名称：江苏省水利工程建设局</w:t>
      </w:r>
    </w:p>
    <w:p w14:paraId="34F05602">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地址：南京市上海路5号江苏水利大厦</w:t>
      </w:r>
    </w:p>
    <w:p w14:paraId="199FCABC">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联系人：李先生</w:t>
      </w:r>
    </w:p>
    <w:p w14:paraId="76E79892">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联系方式：025-86338244</w:t>
      </w:r>
    </w:p>
    <w:p w14:paraId="0E5060BD">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2.采购代理机构信息</w:t>
      </w:r>
      <w:bookmarkEnd w:id="5"/>
      <w:bookmarkEnd w:id="6"/>
    </w:p>
    <w:p w14:paraId="7D4E1E86">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名称：江苏省鸿源招标代理股份有限公司</w:t>
      </w:r>
    </w:p>
    <w:p w14:paraId="1F2CC4BB">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地址：南京市建邺区嘉陵江东街</w:t>
      </w:r>
      <w:r>
        <w:rPr>
          <w:rFonts w:ascii="宋体" w:hAnsi="宋体"/>
          <w:color w:val="auto"/>
          <w:kern w:val="0"/>
          <w:szCs w:val="21"/>
        </w:rPr>
        <w:t>18号1号楼6楼</w:t>
      </w:r>
    </w:p>
    <w:p w14:paraId="15731EB1">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联系人：戴春霞 王珊珊 沈醉云</w:t>
      </w:r>
    </w:p>
    <w:p w14:paraId="7FC17E0A">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联系方式：</w:t>
      </w:r>
      <w:r>
        <w:rPr>
          <w:rFonts w:ascii="宋体" w:hAnsi="宋体"/>
          <w:color w:val="auto"/>
          <w:kern w:val="0"/>
          <w:szCs w:val="21"/>
        </w:rPr>
        <w:t xml:space="preserve"> 025-86338384、86338794</w:t>
      </w:r>
    </w:p>
    <w:p w14:paraId="0D188B88">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3.项目联系方式</w:t>
      </w:r>
    </w:p>
    <w:p w14:paraId="056DB80D">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项目联系人：王珊珊 沈醉云</w:t>
      </w:r>
    </w:p>
    <w:p w14:paraId="221CD333">
      <w:pPr>
        <w:widowControl/>
        <w:shd w:val="clear" w:color="auto" w:fill="FFFFFF"/>
        <w:spacing w:line="312" w:lineRule="auto"/>
        <w:ind w:firstLine="420" w:firstLineChars="200"/>
        <w:rPr>
          <w:rFonts w:ascii="宋体" w:hAnsi="宋体"/>
          <w:color w:val="auto"/>
          <w:kern w:val="0"/>
          <w:szCs w:val="21"/>
        </w:rPr>
      </w:pPr>
      <w:r>
        <w:rPr>
          <w:rFonts w:hint="eastAsia" w:ascii="宋体" w:hAnsi="宋体"/>
          <w:color w:val="auto"/>
          <w:kern w:val="0"/>
          <w:szCs w:val="21"/>
        </w:rPr>
        <w:t>电话：</w:t>
      </w:r>
      <w:r>
        <w:rPr>
          <w:rFonts w:ascii="宋体" w:hAnsi="宋体"/>
          <w:color w:val="auto"/>
          <w:kern w:val="0"/>
          <w:szCs w:val="21"/>
        </w:rPr>
        <w:t>025-86338794</w:t>
      </w:r>
    </w:p>
    <w:p w14:paraId="789BF98F">
      <w:pPr>
        <w:widowControl/>
        <w:shd w:val="clear" w:color="auto" w:fill="FFFFFF"/>
        <w:spacing w:line="312" w:lineRule="auto"/>
        <w:ind w:firstLine="420" w:firstLineChars="200"/>
        <w:rPr>
          <w:rFonts w:ascii="宋体" w:hAnsi="宋体"/>
          <w:color w:val="auto"/>
          <w:kern w:val="0"/>
          <w:szCs w:val="21"/>
        </w:rPr>
      </w:pPr>
    </w:p>
    <w:p w14:paraId="439E2633">
      <w:pPr>
        <w:widowControl/>
        <w:shd w:val="clear" w:color="auto" w:fill="FFFFFF"/>
        <w:spacing w:line="312" w:lineRule="auto"/>
        <w:ind w:firstLine="420" w:firstLineChars="200"/>
        <w:rPr>
          <w:rFonts w:ascii="宋体" w:hAnsi="宋体"/>
          <w:color w:val="auto"/>
          <w:kern w:val="0"/>
          <w:szCs w:val="21"/>
        </w:rPr>
      </w:pPr>
      <w:r>
        <w:rPr>
          <w:rFonts w:ascii="宋体" w:hAnsi="宋体"/>
          <w:color w:val="auto"/>
          <w:kern w:val="0"/>
          <w:szCs w:val="21"/>
        </w:rPr>
        <w:br w:type="page"/>
      </w:r>
    </w:p>
    <w:p w14:paraId="2187ABCA">
      <w:pPr>
        <w:pStyle w:val="3"/>
        <w:numPr>
          <w:ilvl w:val="0"/>
          <w:numId w:val="0"/>
        </w:numPr>
        <w:spacing w:before="120" w:after="120" w:line="360" w:lineRule="auto"/>
        <w:rPr>
          <w:rFonts w:ascii="宋体" w:hAnsi="宋体"/>
          <w:color w:val="auto"/>
          <w:kern w:val="0"/>
          <w:szCs w:val="21"/>
        </w:rPr>
      </w:pPr>
      <w:bookmarkStart w:id="7" w:name="_Toc18507366"/>
      <w:r>
        <w:rPr>
          <w:rFonts w:hint="eastAsia"/>
          <w:color w:val="auto"/>
        </w:rPr>
        <w:t>第二章</w:t>
      </w:r>
      <w:bookmarkStart w:id="8" w:name="_Toc452625218"/>
      <w:r>
        <w:rPr>
          <w:rFonts w:hint="eastAsia"/>
          <w:color w:val="auto"/>
        </w:rPr>
        <w:t xml:space="preserve"> 投标人须知</w:t>
      </w:r>
      <w:bookmarkEnd w:id="7"/>
      <w:bookmarkEnd w:id="8"/>
    </w:p>
    <w:p w14:paraId="794BEE30">
      <w:pPr>
        <w:pStyle w:val="218"/>
        <w:rPr>
          <w:color w:val="auto"/>
        </w:rPr>
      </w:pPr>
      <w:bookmarkStart w:id="9" w:name="_Toc13205"/>
      <w:r>
        <w:rPr>
          <w:color w:val="auto"/>
        </w:rPr>
        <w:t>投标人须知前附表</w:t>
      </w:r>
      <w:bookmarkEnd w:id="9"/>
      <w:r>
        <w:rPr>
          <w:rFonts w:hint="eastAsia"/>
          <w:color w:val="auto"/>
        </w:rPr>
        <w:t xml:space="preserve">  </w:t>
      </w:r>
    </w:p>
    <w:p w14:paraId="4F8C240A">
      <w:pPr>
        <w:spacing w:line="500" w:lineRule="exact"/>
        <w:rPr>
          <w:rFonts w:ascii="Microsoft New Tai Lue" w:hAnsi="Microsoft New Tai Lue" w:cs="Microsoft New Tai Lue"/>
          <w:color w:val="auto"/>
        </w:rPr>
      </w:pPr>
      <w:r>
        <w:rPr>
          <w:rFonts w:ascii="Microsoft New Tai Lue" w:hAnsi="Microsoft New Tai Lue" w:cs="Microsoft New Tai Lue"/>
          <w:color w:val="auto"/>
        </w:rPr>
        <w:t>本</w:t>
      </w:r>
      <w:r>
        <w:rPr>
          <w:rFonts w:hint="eastAsia" w:ascii="Microsoft New Tai Lue" w:hAnsi="Microsoft New Tai Lue" w:cs="Microsoft New Tai Lue"/>
          <w:color w:val="auto"/>
        </w:rPr>
        <w:t>表</w:t>
      </w:r>
      <w:r>
        <w:rPr>
          <w:rFonts w:ascii="Microsoft New Tai Lue" w:hAnsi="Microsoft New Tai Lue" w:cs="Microsoft New Tai Lue"/>
          <w:color w:val="auto"/>
        </w:rPr>
        <w:t>是对《投标人须知》正文的具体补充和修改，如有</w:t>
      </w:r>
      <w:r>
        <w:rPr>
          <w:rFonts w:hint="eastAsia" w:ascii="Microsoft New Tai Lue" w:hAnsi="Microsoft New Tai Lue" w:cs="Microsoft New Tai Lue"/>
          <w:color w:val="auto"/>
        </w:rPr>
        <w:t>不一致的地方</w:t>
      </w:r>
      <w:r>
        <w:rPr>
          <w:rFonts w:ascii="Microsoft New Tai Lue" w:hAnsi="Microsoft New Tai Lue" w:cs="Microsoft New Tai Lue"/>
          <w:color w:val="auto"/>
        </w:rPr>
        <w:t>，以《</w:t>
      </w:r>
      <w:r>
        <w:rPr>
          <w:color w:val="auto"/>
        </w:rPr>
        <w:t>投标人须知前附表</w:t>
      </w:r>
      <w:r>
        <w:rPr>
          <w:rFonts w:ascii="Microsoft New Tai Lue" w:hAnsi="Microsoft New Tai Lue" w:cs="Microsoft New Tai Lue"/>
          <w:color w:val="auto"/>
        </w:rPr>
        <w:t>》为准。</w:t>
      </w:r>
    </w:p>
    <w:tbl>
      <w:tblPr>
        <w:tblStyle w:val="44"/>
        <w:tblW w:w="94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9"/>
        <w:gridCol w:w="2413"/>
        <w:gridCol w:w="6096"/>
      </w:tblGrid>
      <w:tr w14:paraId="744C9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919" w:type="dxa"/>
            <w:vAlign w:val="center"/>
          </w:tcPr>
          <w:p w14:paraId="20C5B42F">
            <w:pPr>
              <w:pStyle w:val="219"/>
              <w:spacing w:line="360" w:lineRule="auto"/>
              <w:jc w:val="center"/>
              <w:rPr>
                <w:rFonts w:ascii="Microsoft New Tai Lue" w:hAnsi="Microsoft New Tai Lue" w:cs="Microsoft New Tai Lue"/>
                <w:b/>
                <w:color w:val="auto"/>
                <w:sz w:val="21"/>
              </w:rPr>
            </w:pPr>
            <w:r>
              <w:rPr>
                <w:rFonts w:hint="eastAsia" w:ascii="Microsoft New Tai Lue" w:hAnsi="Microsoft New Tai Lue" w:cs="Microsoft New Tai Lue"/>
                <w:b/>
                <w:color w:val="auto"/>
                <w:sz w:val="21"/>
              </w:rPr>
              <w:t>序号</w:t>
            </w:r>
          </w:p>
        </w:tc>
        <w:tc>
          <w:tcPr>
            <w:tcW w:w="2413" w:type="dxa"/>
            <w:vAlign w:val="center"/>
          </w:tcPr>
          <w:p w14:paraId="63EDA619">
            <w:pPr>
              <w:pStyle w:val="219"/>
              <w:spacing w:line="360" w:lineRule="auto"/>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条款名称</w:t>
            </w:r>
          </w:p>
        </w:tc>
        <w:tc>
          <w:tcPr>
            <w:tcW w:w="6096" w:type="dxa"/>
            <w:vAlign w:val="center"/>
          </w:tcPr>
          <w:p w14:paraId="518D62A4">
            <w:pPr>
              <w:pStyle w:val="219"/>
              <w:spacing w:line="360" w:lineRule="auto"/>
              <w:jc w:val="center"/>
              <w:rPr>
                <w:rFonts w:ascii="Microsoft New Tai Lue" w:hAnsi="Microsoft New Tai Lue" w:cs="Microsoft New Tai Lue"/>
                <w:b/>
                <w:color w:val="auto"/>
                <w:sz w:val="21"/>
              </w:rPr>
            </w:pPr>
            <w:r>
              <w:rPr>
                <w:rFonts w:ascii="Microsoft New Tai Lue" w:hAnsi="Microsoft New Tai Lue" w:cs="Microsoft New Tai Lue"/>
                <w:b/>
                <w:color w:val="auto"/>
                <w:sz w:val="21"/>
              </w:rPr>
              <w:t>编列内容规定</w:t>
            </w:r>
          </w:p>
        </w:tc>
      </w:tr>
      <w:tr w14:paraId="4154A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64A0BE44">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w:t>
            </w:r>
          </w:p>
        </w:tc>
        <w:tc>
          <w:tcPr>
            <w:tcW w:w="2413" w:type="dxa"/>
            <w:vAlign w:val="center"/>
          </w:tcPr>
          <w:p w14:paraId="621E674F">
            <w:pPr>
              <w:pStyle w:val="219"/>
              <w:spacing w:line="360" w:lineRule="auto"/>
              <w:jc w:val="left"/>
              <w:rPr>
                <w:rFonts w:hAnsi="宋体" w:cs="Microsoft New Tai Lue"/>
                <w:color w:val="auto"/>
                <w:sz w:val="21"/>
              </w:rPr>
            </w:pPr>
            <w:r>
              <w:rPr>
                <w:rFonts w:hint="eastAsia" w:hAnsi="宋体" w:cs="宋体"/>
                <w:color w:val="auto"/>
              </w:rPr>
              <w:t>项目名称</w:t>
            </w:r>
          </w:p>
        </w:tc>
        <w:tc>
          <w:tcPr>
            <w:tcW w:w="6096" w:type="dxa"/>
            <w:vAlign w:val="center"/>
          </w:tcPr>
          <w:p w14:paraId="23940E7B">
            <w:pPr>
              <w:spacing w:line="360" w:lineRule="auto"/>
              <w:rPr>
                <w:rFonts w:cs="Microsoft New Tai Lue"/>
                <w:color w:val="auto"/>
                <w:szCs w:val="21"/>
              </w:rPr>
            </w:pPr>
            <w:r>
              <w:rPr>
                <w:rFonts w:hint="eastAsia" w:cs="Microsoft New Tai Lue"/>
                <w:color w:val="auto"/>
                <w:szCs w:val="21"/>
              </w:rPr>
              <w:t>江苏省太湖流域太湖东片排涝工程一期（浏河江边枢纽工程）初步设计报告咨询评估</w:t>
            </w:r>
          </w:p>
        </w:tc>
      </w:tr>
      <w:tr w14:paraId="70D73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7" w:hRule="atLeast"/>
          <w:jc w:val="center"/>
        </w:trPr>
        <w:tc>
          <w:tcPr>
            <w:tcW w:w="919" w:type="dxa"/>
            <w:vAlign w:val="center"/>
          </w:tcPr>
          <w:p w14:paraId="1FEA0CFB">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2</w:t>
            </w:r>
          </w:p>
        </w:tc>
        <w:tc>
          <w:tcPr>
            <w:tcW w:w="2413" w:type="dxa"/>
            <w:vAlign w:val="center"/>
          </w:tcPr>
          <w:p w14:paraId="3931501B">
            <w:pPr>
              <w:pStyle w:val="219"/>
              <w:spacing w:line="360" w:lineRule="auto"/>
              <w:jc w:val="left"/>
              <w:rPr>
                <w:rFonts w:hAnsi="宋体" w:cs="Microsoft New Tai Lue"/>
                <w:color w:val="auto"/>
                <w:sz w:val="21"/>
              </w:rPr>
            </w:pPr>
            <w:r>
              <w:rPr>
                <w:rFonts w:hAnsi="宋体" w:cs="Microsoft New Tai Lue"/>
                <w:color w:val="auto"/>
                <w:sz w:val="21"/>
              </w:rPr>
              <w:t>采购人</w:t>
            </w:r>
          </w:p>
        </w:tc>
        <w:tc>
          <w:tcPr>
            <w:tcW w:w="6096" w:type="dxa"/>
            <w:vAlign w:val="center"/>
          </w:tcPr>
          <w:p w14:paraId="1DEFE29F">
            <w:pPr>
              <w:spacing w:line="360" w:lineRule="auto"/>
              <w:rPr>
                <w:rFonts w:ascii="宋体" w:hAnsi="宋体" w:cs="宋体"/>
                <w:color w:val="auto"/>
                <w:szCs w:val="21"/>
              </w:rPr>
            </w:pPr>
            <w:r>
              <w:rPr>
                <w:rFonts w:hint="eastAsia" w:ascii="宋体" w:hAnsi="宋体" w:cs="宋体"/>
                <w:color w:val="auto"/>
                <w:szCs w:val="21"/>
              </w:rPr>
              <w:t>名称：</w:t>
            </w:r>
            <w:r>
              <w:rPr>
                <w:rFonts w:hint="eastAsia" w:ascii="宋体" w:hAnsi="宋体"/>
                <w:color w:val="auto"/>
                <w:kern w:val="0"/>
                <w:szCs w:val="21"/>
              </w:rPr>
              <w:t>江苏省水利工程建设局</w:t>
            </w:r>
          </w:p>
          <w:p w14:paraId="6D129915">
            <w:pPr>
              <w:widowControl/>
              <w:shd w:val="clear" w:color="auto" w:fill="FFFFFF"/>
              <w:spacing w:line="360" w:lineRule="auto"/>
              <w:rPr>
                <w:rFonts w:ascii="宋体" w:hAnsi="宋体"/>
                <w:color w:val="auto"/>
                <w:kern w:val="0"/>
                <w:szCs w:val="21"/>
              </w:rPr>
            </w:pPr>
            <w:r>
              <w:rPr>
                <w:rFonts w:hint="eastAsia" w:ascii="宋体" w:hAnsi="宋体"/>
                <w:color w:val="auto"/>
                <w:kern w:val="0"/>
                <w:szCs w:val="21"/>
              </w:rPr>
              <w:t>联系人：李先生</w:t>
            </w:r>
          </w:p>
          <w:p w14:paraId="695255DC">
            <w:pPr>
              <w:widowControl/>
              <w:shd w:val="clear" w:color="auto" w:fill="FFFFFF"/>
              <w:spacing w:line="360" w:lineRule="auto"/>
              <w:rPr>
                <w:color w:val="auto"/>
                <w:szCs w:val="21"/>
              </w:rPr>
            </w:pPr>
            <w:r>
              <w:rPr>
                <w:rFonts w:hint="eastAsia" w:ascii="宋体" w:hAnsi="宋体"/>
                <w:color w:val="auto"/>
                <w:kern w:val="0"/>
                <w:szCs w:val="21"/>
              </w:rPr>
              <w:t>联系方式：</w:t>
            </w:r>
            <w:r>
              <w:rPr>
                <w:rFonts w:hint="eastAsia" w:ascii="宋体" w:hAnsi="宋体"/>
                <w:color w:val="auto"/>
                <w:kern w:val="0"/>
                <w:szCs w:val="21"/>
              </w:rPr>
              <w:t>025-86338244</w:t>
            </w:r>
            <w:r>
              <w:rPr>
                <w:rFonts w:hint="eastAsia" w:ascii="宋体" w:hAnsi="宋体" w:cs="宋体"/>
                <w:color w:val="auto"/>
                <w:szCs w:val="21"/>
              </w:rPr>
              <w:t xml:space="preserve"> </w:t>
            </w:r>
          </w:p>
        </w:tc>
      </w:tr>
      <w:tr w14:paraId="5923D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6" w:hRule="atLeast"/>
          <w:jc w:val="center"/>
        </w:trPr>
        <w:tc>
          <w:tcPr>
            <w:tcW w:w="919" w:type="dxa"/>
            <w:vAlign w:val="center"/>
          </w:tcPr>
          <w:p w14:paraId="55F3EE61">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3</w:t>
            </w:r>
          </w:p>
        </w:tc>
        <w:tc>
          <w:tcPr>
            <w:tcW w:w="2413" w:type="dxa"/>
            <w:vAlign w:val="center"/>
          </w:tcPr>
          <w:p w14:paraId="75569756">
            <w:pPr>
              <w:pStyle w:val="219"/>
              <w:spacing w:line="360" w:lineRule="auto"/>
              <w:jc w:val="left"/>
              <w:rPr>
                <w:rFonts w:hAnsi="宋体" w:cs="Microsoft New Tai Lue"/>
                <w:color w:val="auto"/>
                <w:sz w:val="21"/>
              </w:rPr>
            </w:pPr>
            <w:r>
              <w:rPr>
                <w:rFonts w:hAnsi="宋体" w:cs="Microsoft New Tai Lue"/>
                <w:color w:val="auto"/>
                <w:sz w:val="21"/>
              </w:rPr>
              <w:t>采购代理机构</w:t>
            </w:r>
          </w:p>
        </w:tc>
        <w:tc>
          <w:tcPr>
            <w:tcW w:w="6096" w:type="dxa"/>
            <w:vAlign w:val="center"/>
          </w:tcPr>
          <w:p w14:paraId="60621581">
            <w:pPr>
              <w:tabs>
                <w:tab w:val="left" w:pos="482"/>
              </w:tabs>
              <w:spacing w:line="360" w:lineRule="auto"/>
              <w:rPr>
                <w:rFonts w:ascii="宋体" w:hAnsi="宋体" w:cs="宋体"/>
                <w:color w:val="auto"/>
                <w:szCs w:val="21"/>
              </w:rPr>
            </w:pPr>
            <w:r>
              <w:rPr>
                <w:rFonts w:hint="eastAsia" w:ascii="宋体" w:hAnsi="宋体" w:cs="宋体"/>
                <w:bCs/>
                <w:color w:val="auto"/>
                <w:szCs w:val="21"/>
              </w:rPr>
              <w:t>名称：</w:t>
            </w:r>
            <w:r>
              <w:rPr>
                <w:rFonts w:hint="eastAsia" w:ascii="宋体" w:hAnsi="宋体"/>
                <w:color w:val="auto"/>
                <w:kern w:val="0"/>
                <w:szCs w:val="21"/>
              </w:rPr>
              <w:t>江苏省鸿源招标代理股份有限公司</w:t>
            </w:r>
          </w:p>
          <w:p w14:paraId="3A54FEDD">
            <w:pPr>
              <w:widowControl/>
              <w:shd w:val="clear" w:color="auto" w:fill="FFFFFF"/>
              <w:spacing w:line="360" w:lineRule="auto"/>
              <w:rPr>
                <w:rFonts w:ascii="宋体" w:hAnsi="宋体"/>
                <w:color w:val="auto"/>
                <w:kern w:val="0"/>
                <w:szCs w:val="21"/>
              </w:rPr>
            </w:pPr>
            <w:r>
              <w:rPr>
                <w:rFonts w:hint="eastAsia" w:ascii="宋体" w:hAnsi="宋体"/>
                <w:color w:val="auto"/>
                <w:kern w:val="0"/>
                <w:szCs w:val="21"/>
              </w:rPr>
              <w:t>项目联系人：王珊珊 沈醉云</w:t>
            </w:r>
          </w:p>
          <w:p w14:paraId="401F182B">
            <w:pPr>
              <w:widowControl/>
              <w:shd w:val="clear" w:color="auto" w:fill="FFFFFF"/>
              <w:spacing w:line="360" w:lineRule="auto"/>
              <w:rPr>
                <w:rFonts w:cs="Microsoft New Tai Lue"/>
                <w:color w:val="auto"/>
                <w:szCs w:val="21"/>
              </w:rPr>
            </w:pPr>
            <w:r>
              <w:rPr>
                <w:rFonts w:hint="eastAsia" w:ascii="宋体" w:hAnsi="宋体"/>
                <w:color w:val="auto"/>
                <w:kern w:val="0"/>
                <w:szCs w:val="21"/>
              </w:rPr>
              <w:t>电话：</w:t>
            </w:r>
            <w:r>
              <w:rPr>
                <w:rFonts w:ascii="宋体" w:hAnsi="宋体"/>
                <w:color w:val="auto"/>
                <w:kern w:val="0"/>
                <w:szCs w:val="21"/>
              </w:rPr>
              <w:t>025-86338794</w:t>
            </w:r>
          </w:p>
        </w:tc>
      </w:tr>
      <w:tr w14:paraId="5A12D9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9" w:type="dxa"/>
            <w:vAlign w:val="center"/>
          </w:tcPr>
          <w:p w14:paraId="28CEC4E1">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4</w:t>
            </w:r>
          </w:p>
        </w:tc>
        <w:tc>
          <w:tcPr>
            <w:tcW w:w="2413" w:type="dxa"/>
            <w:vAlign w:val="center"/>
          </w:tcPr>
          <w:p w14:paraId="4E3AE040">
            <w:pPr>
              <w:pStyle w:val="219"/>
              <w:spacing w:line="360" w:lineRule="auto"/>
              <w:jc w:val="left"/>
              <w:rPr>
                <w:rFonts w:hAnsi="宋体" w:cs="Microsoft New Tai Lue"/>
                <w:color w:val="auto"/>
                <w:sz w:val="21"/>
              </w:rPr>
            </w:pPr>
            <w:r>
              <w:rPr>
                <w:rFonts w:hAnsi="宋体" w:cs="Microsoft New Tai Lue"/>
                <w:color w:val="auto"/>
                <w:sz w:val="21"/>
              </w:rPr>
              <w:t>本项目执行的政府采购政策</w:t>
            </w:r>
          </w:p>
        </w:tc>
        <w:tc>
          <w:tcPr>
            <w:tcW w:w="6096" w:type="dxa"/>
            <w:vAlign w:val="center"/>
          </w:tcPr>
          <w:p w14:paraId="6863C6C1">
            <w:pPr>
              <w:spacing w:line="360" w:lineRule="auto"/>
              <w:jc w:val="left"/>
              <w:rPr>
                <w:rFonts w:ascii="宋体" w:hAnsi="宋体" w:cs="Microsoft New Tai Lue"/>
                <w:bCs/>
                <w:color w:val="auto"/>
                <w:szCs w:val="21"/>
              </w:rPr>
            </w:pPr>
            <w:r>
              <w:rPr>
                <w:rFonts w:ascii="宋体" w:hAnsi="宋体" w:cs="Microsoft New Tai Lue"/>
                <w:bCs/>
                <w:color w:val="auto"/>
                <w:szCs w:val="21"/>
              </w:rPr>
              <w:t>详见</w:t>
            </w:r>
            <w:r>
              <w:rPr>
                <w:rFonts w:hint="eastAsia" w:ascii="宋体" w:hAnsi="宋体" w:cs="Microsoft New Tai Lue"/>
                <w:bCs/>
                <w:color w:val="auto"/>
                <w:szCs w:val="21"/>
              </w:rPr>
              <w:t>“投标人须知第3条”</w:t>
            </w:r>
          </w:p>
        </w:tc>
      </w:tr>
      <w:tr w14:paraId="01AF9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9" w:type="dxa"/>
            <w:vAlign w:val="center"/>
          </w:tcPr>
          <w:p w14:paraId="08F44522">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5</w:t>
            </w:r>
          </w:p>
        </w:tc>
        <w:tc>
          <w:tcPr>
            <w:tcW w:w="2413" w:type="dxa"/>
            <w:vAlign w:val="center"/>
          </w:tcPr>
          <w:p w14:paraId="46C6A066">
            <w:pPr>
              <w:spacing w:line="360" w:lineRule="auto"/>
              <w:rPr>
                <w:rFonts w:ascii="宋体" w:hAnsi="宋体" w:cs="Microsoft New Tai Lue"/>
                <w:bCs/>
                <w:color w:val="auto"/>
                <w:szCs w:val="21"/>
              </w:rPr>
            </w:pPr>
            <w:r>
              <w:rPr>
                <w:rFonts w:ascii="宋体" w:hAnsi="宋体" w:cs="Microsoft New Tai Lue"/>
                <w:bCs/>
                <w:color w:val="auto"/>
                <w:szCs w:val="21"/>
              </w:rPr>
              <w:t>现场考察</w:t>
            </w:r>
          </w:p>
        </w:tc>
        <w:tc>
          <w:tcPr>
            <w:tcW w:w="6096" w:type="dxa"/>
            <w:vAlign w:val="center"/>
          </w:tcPr>
          <w:p w14:paraId="21601D49">
            <w:pPr>
              <w:spacing w:line="360" w:lineRule="auto"/>
              <w:rPr>
                <w:rFonts w:ascii="宋体" w:hAnsi="宋体" w:cs="Microsoft New Tai Lue"/>
                <w:bCs/>
                <w:color w:val="auto"/>
                <w:szCs w:val="21"/>
              </w:rPr>
            </w:pPr>
            <w:r>
              <w:rPr>
                <w:rFonts w:hint="eastAsia" w:ascii="Segoe UI Symbol" w:hAnsi="Segoe UI Symbol" w:cs="Segoe UI Symbol"/>
                <w:bCs/>
                <w:color w:val="auto"/>
                <w:szCs w:val="21"/>
              </w:rPr>
              <w:t>不组织</w:t>
            </w:r>
          </w:p>
        </w:tc>
      </w:tr>
      <w:tr w14:paraId="04810F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9" w:type="dxa"/>
            <w:vAlign w:val="center"/>
          </w:tcPr>
          <w:p w14:paraId="50F63232">
            <w:pPr>
              <w:pStyle w:val="219"/>
              <w:spacing w:line="360" w:lineRule="auto"/>
              <w:jc w:val="center"/>
              <w:rPr>
                <w:rFonts w:ascii="Microsoft New Tai Lue" w:hAnsi="Microsoft New Tai Lue" w:cs="Microsoft New Tai Lue"/>
                <w:color w:val="auto"/>
                <w:sz w:val="21"/>
              </w:rPr>
            </w:pPr>
            <w:r>
              <w:rPr>
                <w:rFonts w:ascii="Microsoft New Tai Lue" w:hAnsi="Microsoft New Tai Lue" w:cs="Microsoft New Tai Lue"/>
                <w:color w:val="auto"/>
                <w:sz w:val="21"/>
              </w:rPr>
              <w:t>6</w:t>
            </w:r>
          </w:p>
        </w:tc>
        <w:tc>
          <w:tcPr>
            <w:tcW w:w="2413" w:type="dxa"/>
            <w:vAlign w:val="center"/>
          </w:tcPr>
          <w:p w14:paraId="1DDC6F32">
            <w:pPr>
              <w:pStyle w:val="219"/>
              <w:spacing w:line="360" w:lineRule="auto"/>
              <w:jc w:val="left"/>
              <w:rPr>
                <w:rFonts w:hAnsi="宋体" w:cs="Microsoft New Tai Lue"/>
                <w:color w:val="auto"/>
                <w:sz w:val="21"/>
              </w:rPr>
            </w:pPr>
            <w:r>
              <w:rPr>
                <w:rFonts w:hint="eastAsia" w:hAnsi="宋体" w:cs="Microsoft New Tai Lue"/>
                <w:color w:val="auto"/>
                <w:sz w:val="21"/>
              </w:rPr>
              <w:t>开标</w:t>
            </w:r>
            <w:r>
              <w:rPr>
                <w:rFonts w:hAnsi="宋体" w:cs="Microsoft New Tai Lue"/>
                <w:color w:val="auto"/>
                <w:sz w:val="21"/>
              </w:rPr>
              <w:t>前答疑会</w:t>
            </w:r>
          </w:p>
        </w:tc>
        <w:tc>
          <w:tcPr>
            <w:tcW w:w="6096" w:type="dxa"/>
            <w:vAlign w:val="center"/>
          </w:tcPr>
          <w:p w14:paraId="47D614EE">
            <w:pPr>
              <w:spacing w:line="360" w:lineRule="auto"/>
              <w:rPr>
                <w:rFonts w:ascii="宋体" w:hAnsi="宋体" w:cs="Segoe UI Symbol"/>
                <w:bCs/>
                <w:color w:val="auto"/>
                <w:szCs w:val="21"/>
              </w:rPr>
            </w:pPr>
            <w:r>
              <w:rPr>
                <w:rFonts w:hint="eastAsia" w:ascii="宋体" w:hAnsi="宋体" w:cs="Segoe UI Symbol"/>
                <w:bCs/>
                <w:color w:val="auto"/>
                <w:szCs w:val="21"/>
              </w:rPr>
              <w:t>不召开</w:t>
            </w:r>
          </w:p>
        </w:tc>
      </w:tr>
      <w:tr w14:paraId="3D3253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9" w:type="dxa"/>
            <w:vAlign w:val="center"/>
          </w:tcPr>
          <w:p w14:paraId="192AB173">
            <w:pPr>
              <w:pStyle w:val="219"/>
              <w:spacing w:line="360" w:lineRule="auto"/>
              <w:jc w:val="center"/>
              <w:rPr>
                <w:rFonts w:ascii="Microsoft New Tai Lue" w:hAnsi="Microsoft New Tai Lue" w:cs="Microsoft New Tai Lue"/>
                <w:color w:val="auto"/>
                <w:sz w:val="21"/>
              </w:rPr>
            </w:pPr>
            <w:r>
              <w:rPr>
                <w:rFonts w:ascii="Microsoft New Tai Lue" w:hAnsi="Microsoft New Tai Lue" w:cs="Microsoft New Tai Lue"/>
                <w:color w:val="auto"/>
                <w:sz w:val="21"/>
              </w:rPr>
              <w:t>7</w:t>
            </w:r>
          </w:p>
        </w:tc>
        <w:tc>
          <w:tcPr>
            <w:tcW w:w="2413" w:type="dxa"/>
            <w:vAlign w:val="center"/>
          </w:tcPr>
          <w:p w14:paraId="2C98CDDD">
            <w:pPr>
              <w:pStyle w:val="219"/>
              <w:spacing w:line="360" w:lineRule="auto"/>
              <w:jc w:val="left"/>
              <w:rPr>
                <w:rFonts w:hAnsi="宋体" w:cs="Microsoft New Tai Lue"/>
                <w:color w:val="auto"/>
                <w:sz w:val="21"/>
              </w:rPr>
            </w:pPr>
            <w:r>
              <w:rPr>
                <w:rFonts w:hAnsi="宋体" w:cs="Microsoft New Tai Lue"/>
                <w:color w:val="auto"/>
                <w:sz w:val="21"/>
              </w:rPr>
              <w:t>联合体投标</w:t>
            </w:r>
          </w:p>
        </w:tc>
        <w:tc>
          <w:tcPr>
            <w:tcW w:w="6096" w:type="dxa"/>
            <w:vAlign w:val="center"/>
          </w:tcPr>
          <w:p w14:paraId="4C90A7BA">
            <w:pPr>
              <w:spacing w:line="360" w:lineRule="auto"/>
              <w:rPr>
                <w:rFonts w:ascii="宋体" w:hAnsi="宋体" w:cs="Microsoft New Tai Lue"/>
                <w:color w:val="auto"/>
                <w:szCs w:val="21"/>
              </w:rPr>
            </w:pPr>
            <w:r>
              <w:rPr>
                <w:rFonts w:hint="eastAsia" w:ascii="Segoe UI Symbol" w:hAnsi="Segoe UI Symbol" w:cs="Segoe UI Symbol"/>
                <w:bCs/>
                <w:color w:val="auto"/>
                <w:szCs w:val="21"/>
              </w:rPr>
              <w:t>不接受</w:t>
            </w:r>
          </w:p>
        </w:tc>
      </w:tr>
      <w:tr w14:paraId="01003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919" w:type="dxa"/>
            <w:vAlign w:val="center"/>
          </w:tcPr>
          <w:p w14:paraId="2C636C6D">
            <w:pPr>
              <w:pStyle w:val="219"/>
              <w:spacing w:line="360" w:lineRule="auto"/>
              <w:jc w:val="center"/>
              <w:rPr>
                <w:rFonts w:ascii="Microsoft New Tai Lue" w:hAnsi="Microsoft New Tai Lue" w:cs="Microsoft New Tai Lue"/>
                <w:color w:val="auto"/>
                <w:sz w:val="21"/>
              </w:rPr>
            </w:pPr>
            <w:r>
              <w:rPr>
                <w:rFonts w:ascii="Microsoft New Tai Lue" w:hAnsi="Microsoft New Tai Lue" w:cs="Microsoft New Tai Lue"/>
                <w:color w:val="auto"/>
                <w:sz w:val="21"/>
              </w:rPr>
              <w:t>8</w:t>
            </w:r>
          </w:p>
        </w:tc>
        <w:tc>
          <w:tcPr>
            <w:tcW w:w="2413" w:type="dxa"/>
            <w:vAlign w:val="center"/>
          </w:tcPr>
          <w:p w14:paraId="127E9ECC">
            <w:pPr>
              <w:pStyle w:val="219"/>
              <w:spacing w:line="360" w:lineRule="auto"/>
              <w:jc w:val="left"/>
              <w:rPr>
                <w:rFonts w:hAnsi="宋体" w:cs="Microsoft New Tai Lue"/>
                <w:color w:val="auto"/>
                <w:sz w:val="21"/>
              </w:rPr>
            </w:pPr>
            <w:r>
              <w:rPr>
                <w:rFonts w:hAnsi="宋体" w:cs="Microsoft New Tai Lue"/>
                <w:color w:val="auto"/>
                <w:sz w:val="21"/>
              </w:rPr>
              <w:t>分包</w:t>
            </w:r>
          </w:p>
        </w:tc>
        <w:tc>
          <w:tcPr>
            <w:tcW w:w="6096" w:type="dxa"/>
            <w:vAlign w:val="center"/>
          </w:tcPr>
          <w:p w14:paraId="1383F345">
            <w:pPr>
              <w:spacing w:line="360" w:lineRule="auto"/>
              <w:rPr>
                <w:rFonts w:ascii="宋体" w:hAnsi="宋体" w:cs="Segoe UI Symbol"/>
                <w:bCs/>
                <w:color w:val="auto"/>
                <w:szCs w:val="21"/>
              </w:rPr>
            </w:pPr>
            <w:r>
              <w:rPr>
                <w:rFonts w:hint="eastAsia" w:ascii="宋体" w:hAnsi="宋体"/>
                <w:color w:val="auto"/>
                <w:szCs w:val="21"/>
              </w:rPr>
              <w:t>不允许</w:t>
            </w:r>
          </w:p>
        </w:tc>
      </w:tr>
      <w:tr w14:paraId="3AAB9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5E521FDD">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9</w:t>
            </w:r>
          </w:p>
        </w:tc>
        <w:tc>
          <w:tcPr>
            <w:tcW w:w="2413" w:type="dxa"/>
            <w:vAlign w:val="center"/>
          </w:tcPr>
          <w:p w14:paraId="7D8AA7D7">
            <w:pPr>
              <w:pStyle w:val="219"/>
              <w:spacing w:line="360" w:lineRule="auto"/>
              <w:jc w:val="left"/>
              <w:rPr>
                <w:rFonts w:hAnsi="宋体" w:cs="Microsoft New Tai Lue"/>
                <w:color w:val="auto"/>
                <w:sz w:val="21"/>
              </w:rPr>
            </w:pPr>
            <w:r>
              <w:rPr>
                <w:rFonts w:hAnsi="宋体" w:cs="Microsoft New Tai Lue"/>
                <w:color w:val="auto"/>
                <w:sz w:val="21"/>
              </w:rPr>
              <w:t>投标报价</w:t>
            </w:r>
          </w:p>
        </w:tc>
        <w:tc>
          <w:tcPr>
            <w:tcW w:w="6096" w:type="dxa"/>
            <w:vAlign w:val="center"/>
          </w:tcPr>
          <w:p w14:paraId="161DDB01">
            <w:pPr>
              <w:pStyle w:val="219"/>
              <w:spacing w:line="360" w:lineRule="auto"/>
              <w:rPr>
                <w:rFonts w:hAnsi="宋体" w:cs="Microsoft New Tai Lue"/>
                <w:bCs/>
                <w:color w:val="auto"/>
                <w:sz w:val="21"/>
              </w:rPr>
            </w:pPr>
            <w:r>
              <w:rPr>
                <w:rFonts w:hint="eastAsia" w:hAnsi="宋体" w:cs="Microsoft New Tai Lue"/>
                <w:bCs/>
                <w:color w:val="auto"/>
                <w:sz w:val="21"/>
              </w:rPr>
              <w:t>投标报价的其他要求：无</w:t>
            </w:r>
          </w:p>
        </w:tc>
      </w:tr>
      <w:tr w14:paraId="702622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0D3972DC">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10</w:t>
            </w:r>
          </w:p>
        </w:tc>
        <w:tc>
          <w:tcPr>
            <w:tcW w:w="2413" w:type="dxa"/>
            <w:vAlign w:val="center"/>
          </w:tcPr>
          <w:p w14:paraId="01AF3281">
            <w:pPr>
              <w:pStyle w:val="219"/>
              <w:spacing w:line="360" w:lineRule="auto"/>
              <w:jc w:val="left"/>
              <w:rPr>
                <w:rFonts w:hAnsi="宋体" w:cs="Microsoft New Tai Lue"/>
                <w:color w:val="auto"/>
                <w:sz w:val="21"/>
              </w:rPr>
            </w:pPr>
            <w:r>
              <w:rPr>
                <w:rFonts w:hAnsi="宋体" w:cs="Microsoft New Tai Lue"/>
                <w:color w:val="auto"/>
                <w:sz w:val="21"/>
              </w:rPr>
              <w:t>投标有效期</w:t>
            </w:r>
          </w:p>
        </w:tc>
        <w:tc>
          <w:tcPr>
            <w:tcW w:w="6096" w:type="dxa"/>
            <w:vAlign w:val="center"/>
          </w:tcPr>
          <w:p w14:paraId="344B045D">
            <w:pPr>
              <w:pStyle w:val="219"/>
              <w:spacing w:line="360" w:lineRule="auto"/>
              <w:rPr>
                <w:rFonts w:hAnsi="宋体" w:cs="Microsoft New Tai Lue"/>
                <w:bCs/>
                <w:color w:val="auto"/>
                <w:sz w:val="21"/>
              </w:rPr>
            </w:pPr>
            <w:r>
              <w:rPr>
                <w:rFonts w:hint="eastAsia" w:hAnsi="宋体" w:cs="Microsoft New Tai Lue"/>
                <w:bCs/>
                <w:color w:val="auto"/>
                <w:sz w:val="21"/>
              </w:rPr>
              <w:t>自提交投标文件的截止之日起</w:t>
            </w:r>
            <w:r>
              <w:rPr>
                <w:rFonts w:hAnsi="宋体" w:cs="Microsoft New Tai Lue"/>
                <w:bCs/>
                <w:color w:val="auto"/>
                <w:sz w:val="21"/>
              </w:rPr>
              <w:t>90日历天</w:t>
            </w:r>
          </w:p>
        </w:tc>
      </w:tr>
      <w:tr w14:paraId="191CD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19" w:type="dxa"/>
            <w:vAlign w:val="center"/>
          </w:tcPr>
          <w:p w14:paraId="55765838">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11</w:t>
            </w:r>
          </w:p>
        </w:tc>
        <w:tc>
          <w:tcPr>
            <w:tcW w:w="2413" w:type="dxa"/>
            <w:vAlign w:val="center"/>
          </w:tcPr>
          <w:p w14:paraId="0B0C71E9">
            <w:pPr>
              <w:pStyle w:val="219"/>
              <w:spacing w:line="360" w:lineRule="auto"/>
              <w:jc w:val="left"/>
              <w:rPr>
                <w:rFonts w:hAnsi="宋体" w:cs="Microsoft New Tai Lue"/>
                <w:color w:val="auto"/>
                <w:sz w:val="21"/>
              </w:rPr>
            </w:pPr>
            <w:r>
              <w:rPr>
                <w:rFonts w:hAnsi="宋体" w:cs="Microsoft New Tai Lue"/>
                <w:color w:val="auto"/>
                <w:sz w:val="21"/>
              </w:rPr>
              <w:t>投标保证金</w:t>
            </w:r>
          </w:p>
        </w:tc>
        <w:tc>
          <w:tcPr>
            <w:tcW w:w="6096" w:type="dxa"/>
            <w:vAlign w:val="center"/>
          </w:tcPr>
          <w:p w14:paraId="55732F15">
            <w:pPr>
              <w:spacing w:line="360" w:lineRule="auto"/>
              <w:rPr>
                <w:rFonts w:ascii="宋体" w:hAnsi="宋体" w:cs="Microsoft New Tai Lue"/>
                <w:bCs/>
                <w:color w:val="auto"/>
                <w:szCs w:val="21"/>
              </w:rPr>
            </w:pPr>
            <w:r>
              <w:rPr>
                <w:rFonts w:hint="eastAsia" w:ascii="宋体" w:hAnsi="宋体" w:cs="Microsoft New Tai Lue"/>
                <w:bCs/>
                <w:color w:val="auto"/>
                <w:szCs w:val="21"/>
              </w:rPr>
              <w:t>不需要</w:t>
            </w:r>
          </w:p>
        </w:tc>
      </w:tr>
      <w:tr w14:paraId="07D5E1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8" w:hRule="atLeast"/>
          <w:jc w:val="center"/>
        </w:trPr>
        <w:tc>
          <w:tcPr>
            <w:tcW w:w="919" w:type="dxa"/>
            <w:vAlign w:val="center"/>
          </w:tcPr>
          <w:p w14:paraId="48FA9E68">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12</w:t>
            </w:r>
          </w:p>
        </w:tc>
        <w:tc>
          <w:tcPr>
            <w:tcW w:w="2413" w:type="dxa"/>
            <w:vAlign w:val="center"/>
          </w:tcPr>
          <w:p w14:paraId="471D70C4">
            <w:pPr>
              <w:pStyle w:val="219"/>
              <w:spacing w:line="360" w:lineRule="auto"/>
              <w:jc w:val="left"/>
              <w:rPr>
                <w:rFonts w:hAnsi="宋体" w:cs="Microsoft New Tai Lue"/>
                <w:color w:val="auto"/>
                <w:sz w:val="21"/>
              </w:rPr>
            </w:pPr>
            <w:r>
              <w:rPr>
                <w:rFonts w:hint="eastAsia" w:hAnsi="宋体" w:cs="Microsoft New Tai Lue"/>
                <w:color w:val="auto"/>
                <w:sz w:val="21"/>
              </w:rPr>
              <w:t>履约</w:t>
            </w:r>
            <w:r>
              <w:rPr>
                <w:rFonts w:hAnsi="宋体" w:cs="Microsoft New Tai Lue"/>
                <w:color w:val="auto"/>
                <w:sz w:val="21"/>
              </w:rPr>
              <w:t>保证金</w:t>
            </w:r>
          </w:p>
        </w:tc>
        <w:tc>
          <w:tcPr>
            <w:tcW w:w="6096" w:type="dxa"/>
            <w:vAlign w:val="center"/>
          </w:tcPr>
          <w:p w14:paraId="7A77EFDF">
            <w:pPr>
              <w:spacing w:line="360" w:lineRule="auto"/>
              <w:rPr>
                <w:rFonts w:hAnsi="宋体" w:cs="Microsoft New Tai Lue"/>
                <w:bCs/>
                <w:color w:val="auto"/>
              </w:rPr>
            </w:pPr>
            <w:r>
              <w:rPr>
                <w:rFonts w:hint="eastAsia" w:ascii="宋体" w:hAnsi="宋体" w:cs="Microsoft New Tai Lue"/>
                <w:bCs/>
                <w:color w:val="auto"/>
                <w:szCs w:val="21"/>
              </w:rPr>
              <w:t>10%</w:t>
            </w:r>
          </w:p>
        </w:tc>
      </w:tr>
      <w:tr w14:paraId="767613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00BA7D36">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13</w:t>
            </w:r>
          </w:p>
        </w:tc>
        <w:tc>
          <w:tcPr>
            <w:tcW w:w="2413" w:type="dxa"/>
            <w:vAlign w:val="center"/>
          </w:tcPr>
          <w:p w14:paraId="4258612E">
            <w:pPr>
              <w:pStyle w:val="219"/>
              <w:spacing w:line="360" w:lineRule="auto"/>
              <w:jc w:val="left"/>
              <w:rPr>
                <w:rFonts w:hAnsi="宋体" w:cs="Microsoft New Tai Lue"/>
                <w:color w:val="auto"/>
                <w:sz w:val="21"/>
              </w:rPr>
            </w:pPr>
            <w:r>
              <w:rPr>
                <w:rFonts w:hAnsi="宋体" w:cs="Microsoft New Tai Lue"/>
                <w:color w:val="auto"/>
                <w:sz w:val="21"/>
              </w:rPr>
              <w:t>投标文件</w:t>
            </w:r>
            <w:r>
              <w:rPr>
                <w:rFonts w:hint="eastAsia" w:hAnsi="宋体" w:cs="Microsoft New Tai Lue"/>
                <w:color w:val="auto"/>
                <w:sz w:val="21"/>
              </w:rPr>
              <w:t>的</w:t>
            </w:r>
            <w:r>
              <w:rPr>
                <w:rFonts w:hAnsi="宋体" w:cs="Microsoft New Tai Lue"/>
                <w:color w:val="auto"/>
                <w:sz w:val="21"/>
              </w:rPr>
              <w:t>密封</w:t>
            </w:r>
            <w:r>
              <w:rPr>
                <w:rFonts w:hint="eastAsia" w:hAnsi="宋体" w:cs="Microsoft New Tai Lue"/>
                <w:color w:val="auto"/>
                <w:sz w:val="21"/>
              </w:rPr>
              <w:t>和</w:t>
            </w:r>
            <w:r>
              <w:rPr>
                <w:rFonts w:hAnsi="宋体" w:cs="Microsoft New Tai Lue"/>
                <w:color w:val="auto"/>
                <w:sz w:val="21"/>
              </w:rPr>
              <w:t>标记</w:t>
            </w:r>
          </w:p>
        </w:tc>
        <w:tc>
          <w:tcPr>
            <w:tcW w:w="6096" w:type="dxa"/>
            <w:vAlign w:val="center"/>
          </w:tcPr>
          <w:p w14:paraId="5F4518F0">
            <w:pPr>
              <w:pStyle w:val="219"/>
              <w:spacing w:line="360" w:lineRule="auto"/>
              <w:rPr>
                <w:rFonts w:hAnsi="宋体" w:cs="Microsoft New Tai Lue"/>
                <w:bCs/>
                <w:color w:val="auto"/>
              </w:rPr>
            </w:pPr>
            <w:r>
              <w:rPr>
                <w:rFonts w:hint="eastAsia" w:hAnsi="宋体" w:cs="Microsoft New Tai Lue"/>
                <w:b/>
                <w:color w:val="auto"/>
                <w:sz w:val="21"/>
              </w:rPr>
              <w:t>投标人应当按照《操作手册》规定，在招标公告规定的投标截止时间前制作并上传电子投标文件。</w:t>
            </w:r>
            <w:r>
              <w:rPr>
                <w:rFonts w:hint="eastAsia" w:hAnsi="宋体" w:cs="Microsoft New Tai Lue"/>
                <w:b/>
                <w:color w:val="auto"/>
                <w:sz w:val="21"/>
                <w:lang w:val="zh-CN"/>
              </w:rPr>
              <w:t>招标代理机构拒绝接收提交</w:t>
            </w:r>
            <w:r>
              <w:rPr>
                <w:rFonts w:hint="eastAsia" w:hAnsi="宋体" w:cs="Microsoft New Tai Lue"/>
                <w:b/>
                <w:color w:val="auto"/>
                <w:sz w:val="21"/>
              </w:rPr>
              <w:t>投标</w:t>
            </w:r>
            <w:r>
              <w:rPr>
                <w:rFonts w:hint="eastAsia" w:hAnsi="宋体" w:cs="Microsoft New Tai Lue"/>
                <w:b/>
                <w:color w:val="auto"/>
                <w:sz w:val="21"/>
                <w:lang w:val="zh-CN"/>
              </w:rPr>
              <w:t>文件截止时间后上传的任何电子</w:t>
            </w:r>
            <w:r>
              <w:rPr>
                <w:rFonts w:hint="eastAsia" w:hAnsi="宋体" w:cs="Microsoft New Tai Lue"/>
                <w:b/>
                <w:color w:val="auto"/>
                <w:sz w:val="21"/>
              </w:rPr>
              <w:t>投标</w:t>
            </w:r>
            <w:r>
              <w:rPr>
                <w:rFonts w:hint="eastAsia" w:hAnsi="宋体" w:cs="Microsoft New Tai Lue"/>
                <w:b/>
                <w:color w:val="auto"/>
                <w:sz w:val="21"/>
                <w:lang w:val="zh-CN"/>
              </w:rPr>
              <w:t>文件。</w:t>
            </w:r>
          </w:p>
        </w:tc>
      </w:tr>
      <w:tr w14:paraId="572C23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7" w:hRule="atLeast"/>
          <w:jc w:val="center"/>
        </w:trPr>
        <w:tc>
          <w:tcPr>
            <w:tcW w:w="919" w:type="dxa"/>
            <w:vAlign w:val="center"/>
          </w:tcPr>
          <w:p w14:paraId="24EDF5D4">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14</w:t>
            </w:r>
          </w:p>
        </w:tc>
        <w:tc>
          <w:tcPr>
            <w:tcW w:w="2413" w:type="dxa"/>
            <w:vAlign w:val="center"/>
          </w:tcPr>
          <w:p w14:paraId="47AAC1CB">
            <w:pPr>
              <w:pStyle w:val="219"/>
              <w:spacing w:line="360" w:lineRule="auto"/>
              <w:jc w:val="left"/>
              <w:rPr>
                <w:rFonts w:hAnsi="宋体" w:cs="Microsoft New Tai Lue"/>
                <w:color w:val="auto"/>
                <w:sz w:val="21"/>
              </w:rPr>
            </w:pPr>
            <w:r>
              <w:rPr>
                <w:rFonts w:hAnsi="宋体" w:cs="Microsoft New Tai Lue"/>
                <w:color w:val="auto"/>
                <w:sz w:val="21"/>
              </w:rPr>
              <w:t>提交投标文件的截止时间、地点</w:t>
            </w:r>
          </w:p>
        </w:tc>
        <w:tc>
          <w:tcPr>
            <w:tcW w:w="6096" w:type="dxa"/>
            <w:vAlign w:val="center"/>
          </w:tcPr>
          <w:p w14:paraId="5133DA61">
            <w:pPr>
              <w:pStyle w:val="219"/>
              <w:spacing w:line="360" w:lineRule="auto"/>
              <w:jc w:val="left"/>
              <w:rPr>
                <w:rFonts w:hAnsi="宋体" w:cs="Microsoft New Tai Lue"/>
                <w:b/>
                <w:bCs/>
                <w:color w:val="auto"/>
              </w:rPr>
            </w:pPr>
            <w:r>
              <w:rPr>
                <w:rFonts w:hAnsi="宋体" w:cs="Microsoft New Tai Lue"/>
                <w:color w:val="auto"/>
                <w:sz w:val="21"/>
              </w:rPr>
              <w:t>详见招标文件第一章《</w:t>
            </w:r>
            <w:r>
              <w:rPr>
                <w:rFonts w:hint="eastAsia" w:hAnsi="宋体" w:cs="Microsoft New Tai Lue"/>
                <w:color w:val="auto"/>
                <w:sz w:val="21"/>
              </w:rPr>
              <w:t>招标公告</w:t>
            </w:r>
            <w:r>
              <w:rPr>
                <w:rFonts w:hAnsi="宋体" w:cs="Microsoft New Tai Lue"/>
                <w:color w:val="auto"/>
                <w:sz w:val="21"/>
              </w:rPr>
              <w:t>》</w:t>
            </w:r>
          </w:p>
        </w:tc>
      </w:tr>
      <w:tr w14:paraId="675EA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919" w:type="dxa"/>
            <w:vAlign w:val="center"/>
          </w:tcPr>
          <w:p w14:paraId="0F14454B">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15</w:t>
            </w:r>
          </w:p>
        </w:tc>
        <w:tc>
          <w:tcPr>
            <w:tcW w:w="2413" w:type="dxa"/>
            <w:vAlign w:val="center"/>
          </w:tcPr>
          <w:p w14:paraId="752A06BC">
            <w:pPr>
              <w:pStyle w:val="219"/>
              <w:spacing w:line="360" w:lineRule="auto"/>
              <w:jc w:val="left"/>
              <w:rPr>
                <w:rFonts w:hAnsi="宋体" w:cs="Microsoft New Tai Lue"/>
                <w:color w:val="auto"/>
                <w:sz w:val="21"/>
              </w:rPr>
            </w:pPr>
            <w:r>
              <w:rPr>
                <w:rFonts w:hAnsi="宋体" w:cs="Microsoft New Tai Lue"/>
                <w:color w:val="auto"/>
                <w:sz w:val="21"/>
              </w:rPr>
              <w:t>开标时间、地点</w:t>
            </w:r>
          </w:p>
        </w:tc>
        <w:tc>
          <w:tcPr>
            <w:tcW w:w="6096" w:type="dxa"/>
            <w:vAlign w:val="center"/>
          </w:tcPr>
          <w:p w14:paraId="408DA026">
            <w:pPr>
              <w:pStyle w:val="219"/>
              <w:spacing w:line="360" w:lineRule="auto"/>
              <w:jc w:val="left"/>
              <w:rPr>
                <w:rFonts w:hAnsi="宋体" w:cs="Microsoft New Tai Lue"/>
                <w:color w:val="auto"/>
                <w:sz w:val="21"/>
              </w:rPr>
            </w:pPr>
            <w:r>
              <w:rPr>
                <w:rFonts w:hAnsi="宋体" w:cs="Microsoft New Tai Lue"/>
                <w:color w:val="auto"/>
                <w:sz w:val="21"/>
              </w:rPr>
              <w:t>详见招标文件第一章《</w:t>
            </w:r>
            <w:r>
              <w:rPr>
                <w:rFonts w:hint="eastAsia" w:hAnsi="宋体" w:cs="Microsoft New Tai Lue"/>
                <w:color w:val="auto"/>
                <w:sz w:val="21"/>
              </w:rPr>
              <w:t>招标公告</w:t>
            </w:r>
            <w:r>
              <w:rPr>
                <w:rFonts w:hAnsi="宋体" w:cs="Microsoft New Tai Lue"/>
                <w:color w:val="auto"/>
                <w:sz w:val="21"/>
              </w:rPr>
              <w:t>》</w:t>
            </w:r>
          </w:p>
        </w:tc>
      </w:tr>
      <w:tr w14:paraId="6953F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919" w:type="dxa"/>
            <w:vAlign w:val="center"/>
          </w:tcPr>
          <w:p w14:paraId="775D4975">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16</w:t>
            </w:r>
          </w:p>
        </w:tc>
        <w:tc>
          <w:tcPr>
            <w:tcW w:w="2413" w:type="dxa"/>
            <w:vAlign w:val="center"/>
          </w:tcPr>
          <w:p w14:paraId="406D6C22">
            <w:pPr>
              <w:pStyle w:val="219"/>
              <w:spacing w:line="360" w:lineRule="auto"/>
              <w:jc w:val="left"/>
              <w:rPr>
                <w:rFonts w:hAnsi="宋体" w:cs="Microsoft New Tai Lue"/>
                <w:color w:val="auto"/>
                <w:sz w:val="21"/>
              </w:rPr>
            </w:pPr>
            <w:r>
              <w:rPr>
                <w:rFonts w:hAnsi="宋体" w:cs="Microsoft New Tai Lue"/>
                <w:color w:val="auto"/>
                <w:sz w:val="21"/>
              </w:rPr>
              <w:t>评标委员会</w:t>
            </w:r>
          </w:p>
        </w:tc>
        <w:tc>
          <w:tcPr>
            <w:tcW w:w="6096" w:type="dxa"/>
            <w:vAlign w:val="center"/>
          </w:tcPr>
          <w:p w14:paraId="1C7C4455">
            <w:pPr>
              <w:pStyle w:val="219"/>
              <w:spacing w:line="360" w:lineRule="auto"/>
              <w:rPr>
                <w:rFonts w:hAnsi="宋体" w:cs="Microsoft New Tai Lue"/>
                <w:color w:val="auto"/>
                <w:sz w:val="21"/>
              </w:rPr>
            </w:pPr>
            <w:r>
              <w:rPr>
                <w:rFonts w:hint="eastAsia" w:hAnsi="宋体" w:cs="Microsoft New Tai Lue"/>
                <w:bCs/>
                <w:color w:val="auto"/>
                <w:sz w:val="21"/>
              </w:rPr>
              <w:t>5人及以上单数</w:t>
            </w:r>
            <w:r>
              <w:rPr>
                <w:rFonts w:hAnsi="宋体" w:cs="Microsoft New Tai Lue"/>
                <w:bCs/>
                <w:color w:val="auto"/>
                <w:sz w:val="21"/>
              </w:rPr>
              <w:t>。</w:t>
            </w:r>
          </w:p>
        </w:tc>
      </w:tr>
      <w:tr w14:paraId="06C21F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6" w:hRule="atLeast"/>
          <w:jc w:val="center"/>
        </w:trPr>
        <w:tc>
          <w:tcPr>
            <w:tcW w:w="919" w:type="dxa"/>
            <w:vAlign w:val="center"/>
          </w:tcPr>
          <w:p w14:paraId="13DCCF76">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17</w:t>
            </w:r>
          </w:p>
        </w:tc>
        <w:tc>
          <w:tcPr>
            <w:tcW w:w="2413" w:type="dxa"/>
            <w:vAlign w:val="center"/>
          </w:tcPr>
          <w:p w14:paraId="5C9C6C7B">
            <w:pPr>
              <w:pStyle w:val="219"/>
              <w:spacing w:line="360" w:lineRule="auto"/>
              <w:jc w:val="left"/>
              <w:rPr>
                <w:rFonts w:hAnsi="宋体" w:cs="Microsoft New Tai Lue"/>
                <w:color w:val="auto"/>
                <w:sz w:val="21"/>
              </w:rPr>
            </w:pPr>
            <w:r>
              <w:rPr>
                <w:rFonts w:hAnsi="宋体" w:cs="Microsoft New Tai Lue"/>
                <w:color w:val="auto"/>
                <w:sz w:val="21"/>
              </w:rPr>
              <w:t>核心产品</w:t>
            </w:r>
            <w:r>
              <w:rPr>
                <w:rFonts w:hAnsi="宋体" w:cs="Microsoft New Tai Lue"/>
                <w:color w:val="auto"/>
                <w:sz w:val="21"/>
              </w:rPr>
              <w:tab/>
            </w:r>
          </w:p>
        </w:tc>
        <w:tc>
          <w:tcPr>
            <w:tcW w:w="6096" w:type="dxa"/>
            <w:vAlign w:val="center"/>
          </w:tcPr>
          <w:p w14:paraId="2616D3CA">
            <w:pPr>
              <w:pStyle w:val="219"/>
              <w:spacing w:line="360" w:lineRule="auto"/>
              <w:rPr>
                <w:rFonts w:hAnsi="宋体" w:cs="Microsoft New Tai Lue"/>
                <w:bCs/>
                <w:color w:val="auto"/>
                <w:sz w:val="21"/>
              </w:rPr>
            </w:pPr>
            <w:r>
              <w:rPr>
                <w:rFonts w:hint="eastAsia" w:ascii="Segoe UI Symbol" w:hAnsi="Segoe UI Symbol" w:cs="Segoe UI Symbol"/>
                <w:bCs/>
                <w:color w:val="auto"/>
                <w:sz w:val="21"/>
              </w:rPr>
              <w:t>服务类项目，本项目不涉及核心产品。</w:t>
            </w:r>
          </w:p>
        </w:tc>
      </w:tr>
      <w:tr w14:paraId="5B3D2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16D9F058">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18</w:t>
            </w:r>
          </w:p>
        </w:tc>
        <w:tc>
          <w:tcPr>
            <w:tcW w:w="2413" w:type="dxa"/>
            <w:vAlign w:val="center"/>
          </w:tcPr>
          <w:p w14:paraId="261DE1E8">
            <w:pPr>
              <w:pStyle w:val="219"/>
              <w:spacing w:line="360" w:lineRule="auto"/>
              <w:jc w:val="left"/>
              <w:rPr>
                <w:rFonts w:hAnsi="宋体" w:cs="Microsoft New Tai Lue"/>
                <w:color w:val="auto"/>
                <w:sz w:val="21"/>
              </w:rPr>
            </w:pPr>
            <w:r>
              <w:rPr>
                <w:rFonts w:hint="eastAsia" w:hAnsi="宋体" w:cs="Microsoft New Tai Lue"/>
                <w:bCs/>
                <w:color w:val="auto"/>
                <w:sz w:val="21"/>
              </w:rPr>
              <w:t>确定中标单位</w:t>
            </w:r>
          </w:p>
        </w:tc>
        <w:tc>
          <w:tcPr>
            <w:tcW w:w="6096" w:type="dxa"/>
            <w:vAlign w:val="center"/>
          </w:tcPr>
          <w:p w14:paraId="1BCED164">
            <w:pPr>
              <w:spacing w:line="360" w:lineRule="auto"/>
              <w:rPr>
                <w:rFonts w:ascii="宋体" w:hAnsi="宋体" w:cs="Microsoft New Tai Lue"/>
                <w:bCs/>
                <w:color w:val="auto"/>
                <w:szCs w:val="21"/>
              </w:rPr>
            </w:pPr>
            <w:r>
              <w:rPr>
                <w:rFonts w:hint="eastAsia" w:ascii="宋体" w:hAnsi="宋体" w:cs="Microsoft New Tai Lue"/>
                <w:bCs/>
                <w:color w:val="auto"/>
                <w:szCs w:val="21"/>
              </w:rPr>
              <w:t>1</w:t>
            </w:r>
            <w:r>
              <w:rPr>
                <w:rFonts w:ascii="宋体" w:hAnsi="宋体" w:cs="Microsoft New Tai Lue"/>
                <w:bCs/>
                <w:color w:val="auto"/>
                <w:szCs w:val="21"/>
              </w:rPr>
              <w:t>.</w:t>
            </w:r>
            <w:r>
              <w:rPr>
                <w:rFonts w:hint="eastAsia" w:ascii="宋体" w:hAnsi="宋体" w:cs="Microsoft New Tai Lue"/>
                <w:bCs/>
                <w:color w:val="auto"/>
                <w:szCs w:val="21"/>
              </w:rPr>
              <w:t>评委会根据本采购文件规定评分办法与评分标准综合打分，并确定排名第一的中标候选人为中标人。</w:t>
            </w:r>
          </w:p>
          <w:p w14:paraId="26623338">
            <w:pPr>
              <w:spacing w:line="360" w:lineRule="auto"/>
              <w:jc w:val="left"/>
              <w:rPr>
                <w:rFonts w:hAnsi="宋体" w:cs="Microsoft New Tai Lue"/>
                <w:bCs/>
                <w:color w:val="auto"/>
              </w:rPr>
            </w:pPr>
            <w:r>
              <w:rPr>
                <w:rFonts w:hint="eastAsia" w:ascii="宋体" w:hAnsi="宋体" w:cs="Microsoft New Tai Lue"/>
                <w:bCs/>
                <w:color w:val="auto"/>
                <w:szCs w:val="21"/>
              </w:rPr>
              <w:t>2.中标供应商因不可抗力或者自身原因不能履行采购合同的，采购人可以与排位在中标供应商之后第一位的中标候选供应商签订采购合同，以此类推；采购人也可以重新开展采购活动。</w:t>
            </w:r>
          </w:p>
        </w:tc>
      </w:tr>
      <w:tr w14:paraId="39DD6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478DF74E">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19</w:t>
            </w:r>
          </w:p>
        </w:tc>
        <w:tc>
          <w:tcPr>
            <w:tcW w:w="2413" w:type="dxa"/>
            <w:vAlign w:val="center"/>
          </w:tcPr>
          <w:p w14:paraId="14B1E5DA">
            <w:pPr>
              <w:spacing w:line="360" w:lineRule="auto"/>
              <w:ind w:left="-533" w:firstLine="533"/>
              <w:jc w:val="left"/>
              <w:rPr>
                <w:rFonts w:ascii="宋体" w:hAnsi="宋体"/>
                <w:color w:val="auto"/>
                <w:szCs w:val="21"/>
              </w:rPr>
            </w:pPr>
            <w:r>
              <w:rPr>
                <w:rFonts w:ascii="宋体" w:hAnsi="宋体"/>
                <w:color w:val="auto"/>
                <w:szCs w:val="21"/>
              </w:rPr>
              <w:t>供应商对采购文件的</w:t>
            </w:r>
          </w:p>
          <w:p w14:paraId="25FEBBCE">
            <w:pPr>
              <w:pStyle w:val="219"/>
              <w:spacing w:line="360" w:lineRule="auto"/>
              <w:jc w:val="left"/>
              <w:rPr>
                <w:rFonts w:hAnsi="宋体" w:cs="Microsoft New Tai Lue"/>
                <w:color w:val="auto"/>
                <w:sz w:val="21"/>
              </w:rPr>
            </w:pPr>
            <w:r>
              <w:rPr>
                <w:rFonts w:hAnsi="宋体"/>
                <w:color w:val="auto"/>
                <w:sz w:val="21"/>
              </w:rPr>
              <w:t>询问</w:t>
            </w:r>
          </w:p>
        </w:tc>
        <w:tc>
          <w:tcPr>
            <w:tcW w:w="6096" w:type="dxa"/>
            <w:vAlign w:val="center"/>
          </w:tcPr>
          <w:p w14:paraId="25EA208A">
            <w:pPr>
              <w:pStyle w:val="221"/>
              <w:spacing w:line="360" w:lineRule="auto"/>
              <w:rPr>
                <w:rFonts w:hAnsi="宋体"/>
                <w:color w:val="auto"/>
              </w:rPr>
            </w:pPr>
            <w:r>
              <w:rPr>
                <w:rFonts w:hAnsi="宋体"/>
                <w:bCs/>
                <w:color w:val="auto"/>
              </w:rPr>
              <w:t>时间：</w:t>
            </w:r>
            <w:r>
              <w:rPr>
                <w:rFonts w:hint="eastAsia" w:hAnsi="宋体"/>
                <w:color w:val="auto"/>
              </w:rPr>
              <w:t>202</w:t>
            </w:r>
            <w:r>
              <w:rPr>
                <w:rFonts w:hAnsi="宋体"/>
                <w:color w:val="auto"/>
              </w:rPr>
              <w:t>6年</w:t>
            </w:r>
            <w:r>
              <w:rPr>
                <w:rFonts w:hint="eastAsia" w:hAnsi="宋体"/>
                <w:color w:val="auto"/>
              </w:rPr>
              <w:t>10</w:t>
            </w:r>
            <w:r>
              <w:rPr>
                <w:rFonts w:hAnsi="宋体"/>
                <w:color w:val="auto"/>
              </w:rPr>
              <w:t>月</w:t>
            </w:r>
            <w:r>
              <w:rPr>
                <w:rFonts w:hint="eastAsia" w:hAnsi="宋体"/>
                <w:color w:val="auto"/>
              </w:rPr>
              <w:t xml:space="preserve"> </w:t>
            </w:r>
            <w:r>
              <w:rPr>
                <w:rFonts w:hAnsi="宋体"/>
                <w:color w:val="auto"/>
              </w:rPr>
              <w:t>日1</w:t>
            </w:r>
            <w:r>
              <w:rPr>
                <w:rFonts w:hint="eastAsia" w:hAnsi="宋体"/>
                <w:color w:val="auto"/>
              </w:rPr>
              <w:t>7</w:t>
            </w:r>
            <w:r>
              <w:rPr>
                <w:rFonts w:hAnsi="宋体"/>
                <w:color w:val="auto"/>
              </w:rPr>
              <w:t>:00</w:t>
            </w:r>
            <w:r>
              <w:rPr>
                <w:rFonts w:hint="eastAsia" w:hAnsi="宋体"/>
                <w:color w:val="auto"/>
              </w:rPr>
              <w:t>前</w:t>
            </w:r>
          </w:p>
          <w:p w14:paraId="4F136BCB">
            <w:pPr>
              <w:pStyle w:val="221"/>
              <w:spacing w:line="360" w:lineRule="auto"/>
              <w:rPr>
                <w:rFonts w:hAnsi="宋体" w:cs="Microsoft New Tai Lue"/>
                <w:bCs/>
                <w:color w:val="auto"/>
              </w:rPr>
            </w:pPr>
            <w:r>
              <w:rPr>
                <w:rFonts w:hAnsi="宋体"/>
                <w:bCs/>
                <w:color w:val="auto"/>
              </w:rPr>
              <w:t>形式：以书面形式（盖章扫描件及WPS兼容格式文件发至</w:t>
            </w:r>
            <w:r>
              <w:rPr>
                <w:rFonts w:hint="eastAsia" w:hAnsi="宋体"/>
                <w:bCs/>
                <w:color w:val="auto"/>
                <w:u w:val="single"/>
              </w:rPr>
              <w:t>328265586@qq.com</w:t>
            </w:r>
            <w:r>
              <w:rPr>
                <w:rFonts w:hAnsi="宋体"/>
                <w:bCs/>
                <w:color w:val="auto"/>
              </w:rPr>
              <w:t>邮箱）通知</w:t>
            </w:r>
            <w:r>
              <w:rPr>
                <w:rFonts w:hint="eastAsia" w:hAnsi="宋体" w:cs="Microsoft New Tai Lue"/>
                <w:bCs/>
                <w:color w:val="auto"/>
              </w:rPr>
              <w:t>采购代理机构</w:t>
            </w:r>
            <w:r>
              <w:rPr>
                <w:rFonts w:hAnsi="宋体"/>
                <w:bCs/>
                <w:color w:val="auto"/>
              </w:rPr>
              <w:t>。</w:t>
            </w:r>
          </w:p>
        </w:tc>
      </w:tr>
      <w:tr w14:paraId="2C2BB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7" w:hRule="atLeast"/>
          <w:jc w:val="center"/>
        </w:trPr>
        <w:tc>
          <w:tcPr>
            <w:tcW w:w="919" w:type="dxa"/>
            <w:vAlign w:val="center"/>
          </w:tcPr>
          <w:p w14:paraId="206111BB">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20</w:t>
            </w:r>
          </w:p>
        </w:tc>
        <w:tc>
          <w:tcPr>
            <w:tcW w:w="2413" w:type="dxa"/>
            <w:vAlign w:val="center"/>
          </w:tcPr>
          <w:p w14:paraId="063325C3">
            <w:pPr>
              <w:spacing w:line="360" w:lineRule="auto"/>
              <w:ind w:left="-533" w:firstLine="533"/>
              <w:jc w:val="left"/>
              <w:rPr>
                <w:rFonts w:ascii="宋体" w:hAnsi="宋体"/>
                <w:color w:val="auto"/>
                <w:szCs w:val="21"/>
              </w:rPr>
            </w:pPr>
            <w:r>
              <w:rPr>
                <w:rFonts w:hint="eastAsia" w:ascii="宋体" w:hAnsi="宋体"/>
                <w:color w:val="auto"/>
                <w:szCs w:val="21"/>
              </w:rPr>
              <w:t>供应商</w:t>
            </w:r>
            <w:r>
              <w:rPr>
                <w:rFonts w:ascii="宋体" w:hAnsi="宋体"/>
                <w:color w:val="auto"/>
                <w:szCs w:val="21"/>
              </w:rPr>
              <w:t>对采购文件提出</w:t>
            </w:r>
            <w:r>
              <w:rPr>
                <w:rFonts w:hint="eastAsia" w:ascii="宋体" w:hAnsi="宋体"/>
                <w:color w:val="auto"/>
                <w:szCs w:val="21"/>
              </w:rPr>
              <w:t>的</w:t>
            </w:r>
          </w:p>
          <w:p w14:paraId="4D47B324">
            <w:pPr>
              <w:spacing w:line="360" w:lineRule="auto"/>
              <w:ind w:left="-533" w:firstLine="533"/>
              <w:jc w:val="left"/>
              <w:rPr>
                <w:rFonts w:hAnsi="宋体" w:cs="Microsoft New Tai Lue"/>
                <w:bCs/>
                <w:color w:val="auto"/>
              </w:rPr>
            </w:pPr>
            <w:r>
              <w:rPr>
                <w:rFonts w:ascii="宋体" w:hAnsi="宋体"/>
                <w:color w:val="auto"/>
                <w:szCs w:val="21"/>
              </w:rPr>
              <w:t>质疑</w:t>
            </w:r>
          </w:p>
        </w:tc>
        <w:tc>
          <w:tcPr>
            <w:tcW w:w="6096" w:type="dxa"/>
            <w:vAlign w:val="center"/>
          </w:tcPr>
          <w:p w14:paraId="12334E32">
            <w:pPr>
              <w:pStyle w:val="221"/>
              <w:spacing w:line="360" w:lineRule="auto"/>
              <w:rPr>
                <w:rFonts w:hAnsi="宋体" w:cs="Microsoft New Tai Lue"/>
                <w:bCs/>
                <w:color w:val="auto"/>
              </w:rPr>
            </w:pPr>
            <w:r>
              <w:rPr>
                <w:rFonts w:hAnsi="宋体"/>
                <w:bCs/>
                <w:color w:val="auto"/>
              </w:rPr>
              <w:t>时间：</w:t>
            </w:r>
            <w:r>
              <w:rPr>
                <w:rFonts w:hint="eastAsia" w:hAnsi="宋体"/>
                <w:color w:val="auto"/>
              </w:rPr>
              <w:t>202</w:t>
            </w:r>
            <w:r>
              <w:rPr>
                <w:rFonts w:hAnsi="宋体"/>
                <w:color w:val="auto"/>
              </w:rPr>
              <w:t>6年</w:t>
            </w:r>
            <w:r>
              <w:rPr>
                <w:rFonts w:hint="eastAsia" w:hAnsi="宋体"/>
                <w:color w:val="auto"/>
              </w:rPr>
              <w:t>10</w:t>
            </w:r>
            <w:r>
              <w:rPr>
                <w:rFonts w:hAnsi="宋体"/>
                <w:color w:val="auto"/>
              </w:rPr>
              <w:t>月</w:t>
            </w:r>
            <w:r>
              <w:rPr>
                <w:rFonts w:hint="eastAsia" w:hAnsi="宋体"/>
                <w:color w:val="auto"/>
              </w:rPr>
              <w:t xml:space="preserve"> </w:t>
            </w:r>
            <w:r>
              <w:rPr>
                <w:rFonts w:hAnsi="宋体"/>
                <w:color w:val="auto"/>
              </w:rPr>
              <w:t>日1</w:t>
            </w:r>
            <w:r>
              <w:rPr>
                <w:rFonts w:hint="eastAsia" w:hAnsi="宋体"/>
                <w:color w:val="auto"/>
              </w:rPr>
              <w:t>7</w:t>
            </w:r>
            <w:r>
              <w:rPr>
                <w:rFonts w:hAnsi="宋体"/>
                <w:color w:val="auto"/>
              </w:rPr>
              <w:t>:00</w:t>
            </w:r>
            <w:r>
              <w:rPr>
                <w:rFonts w:hint="eastAsia" w:hAnsi="宋体"/>
                <w:color w:val="auto"/>
              </w:rPr>
              <w:t>前</w:t>
            </w:r>
          </w:p>
          <w:p w14:paraId="38EFD960">
            <w:pPr>
              <w:pStyle w:val="221"/>
              <w:spacing w:line="360" w:lineRule="auto"/>
              <w:rPr>
                <w:rFonts w:hAnsi="宋体" w:cs="Microsoft New Tai Lue"/>
                <w:bCs/>
                <w:color w:val="auto"/>
              </w:rPr>
            </w:pPr>
            <w:r>
              <w:rPr>
                <w:rFonts w:hint="eastAsia" w:hAnsi="宋体" w:cs="Microsoft New Tai Lue"/>
                <w:bCs/>
                <w:color w:val="auto"/>
              </w:rPr>
              <w:t>形式：以书面形式通知采购代理机构。如采用邮件形式（盖章扫描件及WPS兼容格式文件发至</w:t>
            </w:r>
            <w:r>
              <w:rPr>
                <w:rFonts w:hint="eastAsia" w:hAnsi="宋体"/>
                <w:bCs/>
                <w:color w:val="auto"/>
                <w:u w:val="single"/>
              </w:rPr>
              <w:t>328265586@qq.com</w:t>
            </w:r>
            <w:r>
              <w:rPr>
                <w:rFonts w:hint="eastAsia" w:hAnsi="宋体" w:cs="Microsoft New Tai Lue"/>
                <w:bCs/>
                <w:color w:val="auto"/>
              </w:rPr>
              <w:t>邮箱）通知，采购代理机构和采购人将以书面形式通知所有获取招标文件的潜在供应商。</w:t>
            </w:r>
          </w:p>
        </w:tc>
      </w:tr>
      <w:tr w14:paraId="65D6B5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919" w:type="dxa"/>
            <w:vAlign w:val="center"/>
          </w:tcPr>
          <w:p w14:paraId="3F777574">
            <w:pPr>
              <w:pStyle w:val="219"/>
              <w:spacing w:line="360" w:lineRule="auto"/>
              <w:jc w:val="center"/>
              <w:rPr>
                <w:rFonts w:ascii="Microsoft New Tai Lue" w:hAnsi="Microsoft New Tai Lue" w:cs="Microsoft New Tai Lue"/>
                <w:color w:val="auto"/>
                <w:sz w:val="21"/>
              </w:rPr>
            </w:pPr>
            <w:r>
              <w:rPr>
                <w:rFonts w:hint="eastAsia" w:ascii="Microsoft New Tai Lue" w:hAnsi="Microsoft New Tai Lue" w:cs="Microsoft New Tai Lue"/>
                <w:color w:val="auto"/>
                <w:sz w:val="21"/>
              </w:rPr>
              <w:t>21</w:t>
            </w:r>
          </w:p>
        </w:tc>
        <w:tc>
          <w:tcPr>
            <w:tcW w:w="2413" w:type="dxa"/>
            <w:vAlign w:val="center"/>
          </w:tcPr>
          <w:p w14:paraId="3C177CE8">
            <w:pPr>
              <w:pStyle w:val="219"/>
              <w:spacing w:line="360" w:lineRule="auto"/>
              <w:jc w:val="left"/>
              <w:rPr>
                <w:rFonts w:hAnsi="宋体" w:cs="Microsoft New Tai Lue"/>
                <w:color w:val="auto"/>
                <w:sz w:val="21"/>
              </w:rPr>
            </w:pPr>
            <w:r>
              <w:rPr>
                <w:rFonts w:hAnsi="宋体" w:cs="Microsoft New Tai Lue"/>
                <w:color w:val="auto"/>
                <w:sz w:val="21"/>
              </w:rPr>
              <w:t>招标代理服务费</w:t>
            </w:r>
          </w:p>
        </w:tc>
        <w:tc>
          <w:tcPr>
            <w:tcW w:w="6096" w:type="dxa"/>
            <w:vAlign w:val="center"/>
          </w:tcPr>
          <w:p w14:paraId="74AD81BB">
            <w:pPr>
              <w:pStyle w:val="222"/>
              <w:spacing w:line="360" w:lineRule="auto"/>
              <w:rPr>
                <w:rFonts w:cs="Microsoft New Tai Lue"/>
                <w:bCs/>
                <w:color w:val="auto"/>
                <w:sz w:val="21"/>
                <w:lang w:eastAsia="zh-CN"/>
              </w:rPr>
            </w:pPr>
            <w:r>
              <w:rPr>
                <w:rFonts w:hint="eastAsia" w:cs="Microsoft New Tai Lue"/>
                <w:bCs/>
                <w:color w:val="auto"/>
                <w:sz w:val="21"/>
                <w:szCs w:val="21"/>
                <w:lang w:eastAsia="zh-CN"/>
              </w:rPr>
              <w:t>本项目招标代理服务费由采购人支付。</w:t>
            </w:r>
          </w:p>
        </w:tc>
      </w:tr>
    </w:tbl>
    <w:p w14:paraId="26E18198">
      <w:pPr>
        <w:pStyle w:val="218"/>
        <w:spacing w:before="120" w:beforeLines="50" w:after="120" w:afterLines="50"/>
        <w:rPr>
          <w:rFonts w:ascii="Microsoft New Tai Lue" w:hAnsi="Microsoft New Tai Lue" w:cs="Microsoft New Tai Lue"/>
          <w:b/>
          <w:bCs/>
          <w:color w:val="auto"/>
          <w:sz w:val="32"/>
          <w:szCs w:val="32"/>
        </w:rPr>
      </w:pPr>
      <w:r>
        <w:rPr>
          <w:rFonts w:ascii="Microsoft New Tai Lue" w:hAnsi="Microsoft New Tai Lue" w:cs="Microsoft New Tai Lue"/>
          <w:color w:val="auto"/>
        </w:rPr>
        <w:br w:type="page" w:clear="all"/>
      </w:r>
      <w:bookmarkStart w:id="10" w:name="_Toc8419"/>
      <w:r>
        <w:rPr>
          <w:rFonts w:ascii="Microsoft New Tai Lue" w:hAnsi="Microsoft New Tai Lue" w:cs="Microsoft New Tai Lue"/>
          <w:b/>
          <w:bCs/>
          <w:color w:val="auto"/>
          <w:sz w:val="32"/>
          <w:szCs w:val="32"/>
        </w:rPr>
        <w:t>投标人须知</w:t>
      </w:r>
      <w:bookmarkEnd w:id="10"/>
    </w:p>
    <w:p w14:paraId="2D76220F">
      <w:pPr>
        <w:widowControl/>
        <w:shd w:val="clear" w:color="auto" w:fill="FFFFFF"/>
        <w:spacing w:line="360" w:lineRule="auto"/>
        <w:ind w:firstLine="424" w:firstLineChars="201"/>
        <w:rPr>
          <w:rFonts w:ascii="宋体" w:hAnsi="宋体"/>
          <w:color w:val="auto"/>
          <w:kern w:val="0"/>
          <w:szCs w:val="21"/>
        </w:rPr>
      </w:pPr>
      <w:r>
        <w:rPr>
          <w:rFonts w:hint="eastAsia" w:ascii="宋体" w:hAnsi="宋体"/>
          <w:b/>
          <w:bCs/>
          <w:color w:val="auto"/>
          <w:kern w:val="0"/>
          <w:szCs w:val="21"/>
        </w:rPr>
        <w:t>一、总 则</w:t>
      </w:r>
    </w:p>
    <w:p w14:paraId="299C998F">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1、适用法律</w:t>
      </w:r>
    </w:p>
    <w:p w14:paraId="33425115">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3F11C06">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2、定义</w:t>
      </w:r>
    </w:p>
    <w:p w14:paraId="2B673BF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2.1“采购人”是指依法进行政府采购的国家机关、事业单位、团体组织；</w:t>
      </w:r>
    </w:p>
    <w:p w14:paraId="0A59435F">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w:t>
      </w:r>
      <w:r>
        <w:rPr>
          <w:rFonts w:ascii="宋体" w:hAnsi="宋体"/>
          <w:color w:val="auto"/>
          <w:kern w:val="0"/>
          <w:szCs w:val="21"/>
        </w:rPr>
        <w:t>供应商</w:t>
      </w:r>
      <w:r>
        <w:rPr>
          <w:rFonts w:hint="eastAsia" w:ascii="宋体" w:hAnsi="宋体"/>
          <w:color w:val="auto"/>
          <w:kern w:val="0"/>
          <w:szCs w:val="21"/>
        </w:rPr>
        <w:t>（投标人）”</w:t>
      </w:r>
      <w:r>
        <w:rPr>
          <w:rFonts w:ascii="宋体" w:hAnsi="宋体"/>
          <w:color w:val="auto"/>
          <w:kern w:val="0"/>
          <w:szCs w:val="21"/>
        </w:rPr>
        <w:t>是</w:t>
      </w:r>
      <w:r>
        <w:rPr>
          <w:rFonts w:hint="eastAsia" w:ascii="宋体" w:hAnsi="宋体"/>
          <w:color w:val="auto"/>
          <w:kern w:val="0"/>
          <w:szCs w:val="21"/>
        </w:rPr>
        <w:t>指参加投标竞争，并符合招标文件规定资格条件的法人、其他组织或者自然人；</w:t>
      </w:r>
    </w:p>
    <w:p w14:paraId="385EEB51">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2.3“采购代理机构”</w:t>
      </w:r>
      <w:r>
        <w:rPr>
          <w:rFonts w:ascii="宋体" w:hAnsi="宋体"/>
          <w:color w:val="auto"/>
          <w:kern w:val="0"/>
          <w:szCs w:val="21"/>
        </w:rPr>
        <w:t>是指集中采购机构和集中采购机构以外的采购代理机构</w:t>
      </w:r>
      <w:r>
        <w:rPr>
          <w:rFonts w:hint="eastAsia" w:ascii="宋体" w:hAnsi="宋体"/>
          <w:color w:val="auto"/>
          <w:kern w:val="0"/>
          <w:szCs w:val="21"/>
        </w:rPr>
        <w:t>，</w:t>
      </w:r>
      <w:r>
        <w:rPr>
          <w:rFonts w:ascii="宋体" w:hAnsi="宋体"/>
          <w:color w:val="auto"/>
          <w:kern w:val="0"/>
          <w:szCs w:val="21"/>
        </w:rPr>
        <w:t>集中采购机构以外的采购代理机构，是从事采购代理业务的社会中介机构</w:t>
      </w:r>
      <w:r>
        <w:rPr>
          <w:rFonts w:hint="eastAsia" w:ascii="宋体" w:hAnsi="宋体"/>
          <w:color w:val="auto"/>
          <w:kern w:val="0"/>
          <w:szCs w:val="21"/>
        </w:rPr>
        <w:t>；</w:t>
      </w:r>
    </w:p>
    <w:p w14:paraId="5242E1C4">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2.4“货物和服务”指本招标文件中所述</w:t>
      </w:r>
      <w:r>
        <w:rPr>
          <w:rFonts w:hint="eastAsia" w:ascii="宋体" w:hAnsi="宋体"/>
          <w:bCs/>
          <w:color w:val="auto"/>
          <w:kern w:val="0"/>
          <w:szCs w:val="21"/>
        </w:rPr>
        <w:t>产品</w:t>
      </w:r>
      <w:r>
        <w:rPr>
          <w:rFonts w:hint="eastAsia" w:ascii="宋体" w:hAnsi="宋体"/>
          <w:color w:val="auto"/>
          <w:kern w:val="0"/>
          <w:szCs w:val="21"/>
        </w:rPr>
        <w:t>及相关服务；</w:t>
      </w:r>
    </w:p>
    <w:p w14:paraId="3370A67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2.5“用户或使用单位”是指使用货物，接受服务的单位。</w:t>
      </w:r>
    </w:p>
    <w:p w14:paraId="07FFF957">
      <w:pPr>
        <w:pStyle w:val="197"/>
        <w:ind w:firstLine="386" w:firstLineChars="183"/>
        <w:rPr>
          <w:rFonts w:ascii="宋体" w:hAnsi="宋体"/>
          <w:b/>
          <w:color w:val="auto"/>
          <w:kern w:val="2"/>
          <w:sz w:val="21"/>
          <w:szCs w:val="21"/>
        </w:rPr>
      </w:pPr>
      <w:r>
        <w:rPr>
          <w:rFonts w:hint="eastAsia" w:ascii="宋体" w:hAnsi="宋体"/>
          <w:b/>
          <w:bCs/>
          <w:color w:val="auto"/>
          <w:sz w:val="21"/>
          <w:szCs w:val="21"/>
        </w:rPr>
        <w:t>3、</w:t>
      </w:r>
      <w:r>
        <w:rPr>
          <w:rFonts w:hint="eastAsia" w:ascii="宋体" w:hAnsi="宋体"/>
          <w:b/>
          <w:color w:val="auto"/>
          <w:kern w:val="2"/>
          <w:sz w:val="21"/>
          <w:szCs w:val="21"/>
        </w:rPr>
        <w:t>政府采购政策功能落实（包括但不限于下列具体政策要求）</w:t>
      </w:r>
    </w:p>
    <w:p w14:paraId="65CA69DD">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3.1中小企业政策</w:t>
      </w:r>
    </w:p>
    <w:p w14:paraId="37B4FF2C">
      <w:pPr>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（1）中小企业应当符合《转发财政部工业和信息化部关于印发〈政府</w:t>
      </w:r>
      <w:r>
        <w:rPr>
          <w:rFonts w:ascii="宋体" w:hAnsi="宋体"/>
          <w:color w:val="auto"/>
          <w:kern w:val="0"/>
          <w:szCs w:val="21"/>
        </w:rPr>
        <w:t>采购促进中小企业发展管理办法</w:t>
      </w:r>
      <w:r>
        <w:rPr>
          <w:rFonts w:hint="eastAsia" w:ascii="宋体" w:hAnsi="宋体"/>
          <w:color w:val="auto"/>
          <w:kern w:val="0"/>
          <w:szCs w:val="21"/>
        </w:rPr>
        <w:t>〉</w:t>
      </w:r>
      <w:r>
        <w:rPr>
          <w:rFonts w:ascii="宋体" w:hAnsi="宋体"/>
          <w:color w:val="auto"/>
          <w:kern w:val="0"/>
          <w:szCs w:val="21"/>
        </w:rPr>
        <w:t>的通知</w:t>
      </w:r>
      <w:r>
        <w:rPr>
          <w:rFonts w:hint="eastAsia" w:ascii="宋体" w:hAnsi="宋体"/>
          <w:color w:val="auto"/>
          <w:kern w:val="0"/>
          <w:szCs w:val="21"/>
        </w:rPr>
        <w:t>》（苏财购〔2021〕34号）、《政府采购促进中小企业发展管理办法》(财库[2020]46号)、《关于政府采购支持监狱企业发展有关问题的通知》（财库〔2014〕68号）第一条或《关于促进残疾人就业政府采购政策的通知》（财库〔2017〕141号）第一条的规定。</w:t>
      </w:r>
    </w:p>
    <w:p w14:paraId="2748C877">
      <w:pPr>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（2）对于专门面向中小企业或小型、微型企业的项目，只面向中小企业或小型、微型企业采购。对于非专门面向中小企业的项目，对小型和微型企业产品的价格给予10%的扣除，用扣除后的价格参与评审。</w:t>
      </w:r>
    </w:p>
    <w:p w14:paraId="15C4295F">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（3）参加政府采购活动的中小企业应当提供《中小企业声明函》、由省级以上监狱管理局戒毒管理局（含新疆生产建设兵团）出具的属于监狱企业的证明文件或《残疾人福利性单位声明函》。</w:t>
      </w:r>
    </w:p>
    <w:p w14:paraId="7F277622">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（4）中小企业依据《政府采购促进中小企业发展暂行办法》（财库〔2011〕181号）规定的政策获取政府采购合同后，小型、微型企业不得分包或转包给大型、中型企业，中型企业不得分包或转包给大型企业。</w:t>
      </w:r>
    </w:p>
    <w:p w14:paraId="46512C2B">
      <w:pPr>
        <w:snapToGrid w:val="0"/>
        <w:spacing w:line="360" w:lineRule="auto"/>
        <w:ind w:firstLine="420" w:firstLineChars="200"/>
        <w:rPr>
          <w:rFonts w:ascii="宋体" w:hAnsi="宋体"/>
          <w:color w:val="auto"/>
          <w:kern w:val="0"/>
          <w:szCs w:val="21"/>
        </w:rPr>
      </w:pPr>
      <w:r>
        <w:rPr>
          <w:rFonts w:ascii="宋体" w:hAnsi="宋体"/>
          <w:color w:val="auto"/>
          <w:kern w:val="0"/>
          <w:szCs w:val="21"/>
        </w:rPr>
        <w:t>3.2节能产品政策</w:t>
      </w:r>
    </w:p>
    <w:p w14:paraId="55AD608C">
      <w:pPr>
        <w:snapToGrid w:val="0"/>
        <w:spacing w:line="360" w:lineRule="auto"/>
        <w:ind w:firstLine="420" w:firstLineChars="200"/>
        <w:rPr>
          <w:rFonts w:ascii="宋体" w:hAnsi="宋体"/>
          <w:color w:val="auto"/>
          <w:kern w:val="0"/>
          <w:szCs w:val="21"/>
        </w:rPr>
      </w:pPr>
      <w:r>
        <w:rPr>
          <w:rFonts w:ascii="宋体" w:hAnsi="宋体"/>
          <w:color w:val="auto"/>
          <w:kern w:val="0"/>
          <w:szCs w:val="21"/>
        </w:rPr>
        <w:t>（1）节能产品是指列入财政部、国家发展和改革委员会制定的节能产品品目政府采购清单，且经过认证的节能产品；</w:t>
      </w:r>
    </w:p>
    <w:p w14:paraId="23373E55">
      <w:pPr>
        <w:snapToGrid w:val="0"/>
        <w:spacing w:line="360" w:lineRule="auto"/>
        <w:ind w:firstLine="420" w:firstLineChars="200"/>
        <w:rPr>
          <w:rFonts w:ascii="宋体" w:hAnsi="宋体"/>
          <w:color w:val="auto"/>
          <w:kern w:val="0"/>
          <w:szCs w:val="21"/>
        </w:rPr>
      </w:pPr>
      <w:r>
        <w:rPr>
          <w:rFonts w:ascii="宋体" w:hAnsi="宋体"/>
          <w:color w:val="auto"/>
          <w:kern w:val="0"/>
          <w:szCs w:val="21"/>
        </w:rPr>
        <w:t>（2）拟采购产品属于节能产品政府采购清单规定必须强制采购的，实行强制采购。</w:t>
      </w:r>
    </w:p>
    <w:p w14:paraId="6BB3E555">
      <w:pPr>
        <w:snapToGrid w:val="0"/>
        <w:spacing w:line="360" w:lineRule="auto"/>
        <w:ind w:firstLine="420" w:firstLineChars="200"/>
        <w:rPr>
          <w:rFonts w:ascii="宋体" w:hAnsi="宋体"/>
          <w:color w:val="auto"/>
          <w:kern w:val="0"/>
          <w:szCs w:val="21"/>
        </w:rPr>
        <w:sectPr>
          <w:pgSz w:w="11912" w:h="16841"/>
          <w:pgMar w:top="1351" w:right="1422" w:bottom="1360" w:left="1418" w:header="0" w:footer="1202" w:gutter="0"/>
          <w:pgNumType w:start="1"/>
          <w:cols w:space="720" w:num="1"/>
        </w:sectPr>
      </w:pPr>
    </w:p>
    <w:p w14:paraId="50DBA03C">
      <w:pPr>
        <w:snapToGrid w:val="0"/>
        <w:spacing w:line="360" w:lineRule="auto"/>
        <w:ind w:firstLine="420" w:firstLineChars="200"/>
        <w:rPr>
          <w:rFonts w:ascii="宋体" w:hAnsi="宋体"/>
          <w:color w:val="auto"/>
          <w:kern w:val="0"/>
          <w:szCs w:val="21"/>
        </w:rPr>
      </w:pPr>
      <w:r>
        <w:rPr>
          <w:rFonts w:ascii="宋体" w:hAnsi="宋体"/>
          <w:color w:val="auto"/>
          <w:kern w:val="0"/>
          <w:szCs w:val="21"/>
        </w:rPr>
        <w:t>（3）拟采购产品属于节能产品政府采购清单规定优先采购的，在技术、服务等指标同等条件下，实行优先采购，优先采购的要求详见第三章说明内容。</w:t>
      </w:r>
    </w:p>
    <w:p w14:paraId="07D8087F">
      <w:pPr>
        <w:snapToGrid w:val="0"/>
        <w:spacing w:line="360" w:lineRule="auto"/>
        <w:ind w:firstLine="420" w:firstLineChars="200"/>
        <w:rPr>
          <w:rFonts w:ascii="宋体" w:hAnsi="宋体"/>
          <w:color w:val="auto"/>
          <w:kern w:val="0"/>
          <w:szCs w:val="21"/>
        </w:rPr>
      </w:pPr>
      <w:r>
        <w:rPr>
          <w:rFonts w:ascii="宋体" w:hAnsi="宋体"/>
          <w:color w:val="auto"/>
          <w:kern w:val="0"/>
          <w:szCs w:val="21"/>
        </w:rPr>
        <w:t>（4）参加政府采购活动的节能产品投标人应当提供有效的节能产品认证证书复印件。</w:t>
      </w:r>
    </w:p>
    <w:p w14:paraId="24AB7D5D">
      <w:pPr>
        <w:snapToGrid w:val="0"/>
        <w:spacing w:line="360" w:lineRule="auto"/>
        <w:ind w:firstLine="420" w:firstLineChars="200"/>
        <w:rPr>
          <w:rFonts w:ascii="宋体" w:hAnsi="宋体"/>
          <w:color w:val="auto"/>
          <w:kern w:val="0"/>
          <w:szCs w:val="21"/>
        </w:rPr>
      </w:pPr>
      <w:r>
        <w:rPr>
          <w:rFonts w:ascii="宋体" w:hAnsi="宋体"/>
          <w:color w:val="auto"/>
          <w:kern w:val="0"/>
          <w:szCs w:val="21"/>
        </w:rPr>
        <w:t>（5）未按要求提供相关材料的，不享受相关政策</w:t>
      </w:r>
      <w:r>
        <w:rPr>
          <w:rFonts w:hint="eastAsia" w:ascii="宋体" w:hAnsi="宋体"/>
          <w:color w:val="auto"/>
          <w:kern w:val="0"/>
          <w:szCs w:val="21"/>
        </w:rPr>
        <w:t>。</w:t>
      </w:r>
    </w:p>
    <w:p w14:paraId="3851D6A6">
      <w:pPr>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3.3</w:t>
      </w:r>
      <w:r>
        <w:rPr>
          <w:rFonts w:ascii="宋体" w:hAnsi="宋体"/>
          <w:color w:val="auto"/>
          <w:kern w:val="0"/>
          <w:szCs w:val="21"/>
        </w:rPr>
        <w:t>环境标志产品政策</w:t>
      </w:r>
    </w:p>
    <w:p w14:paraId="08BC6951">
      <w:pPr>
        <w:snapToGrid w:val="0"/>
        <w:spacing w:line="360" w:lineRule="auto"/>
        <w:ind w:firstLine="420" w:firstLineChars="200"/>
        <w:rPr>
          <w:rFonts w:ascii="宋体" w:hAnsi="宋体"/>
          <w:color w:val="auto"/>
          <w:kern w:val="0"/>
          <w:szCs w:val="21"/>
        </w:rPr>
      </w:pPr>
      <w:r>
        <w:rPr>
          <w:rFonts w:ascii="宋体" w:hAnsi="宋体"/>
          <w:color w:val="auto"/>
          <w:kern w:val="0"/>
          <w:szCs w:val="21"/>
        </w:rPr>
        <w:t>（1）环境标志产品是指列入财政部、生态环境部制定的环境标志产品品目政府采购清单，且经过认证的环境标志产品；</w:t>
      </w:r>
    </w:p>
    <w:p w14:paraId="0C47B084">
      <w:pPr>
        <w:snapToGrid w:val="0"/>
        <w:spacing w:line="360" w:lineRule="auto"/>
        <w:ind w:firstLine="420" w:firstLineChars="200"/>
        <w:rPr>
          <w:rFonts w:ascii="宋体" w:hAnsi="宋体"/>
          <w:color w:val="auto"/>
          <w:kern w:val="0"/>
          <w:szCs w:val="21"/>
        </w:rPr>
      </w:pPr>
      <w:r>
        <w:rPr>
          <w:rFonts w:ascii="宋体" w:hAnsi="宋体"/>
          <w:color w:val="auto"/>
          <w:kern w:val="0"/>
          <w:szCs w:val="21"/>
        </w:rPr>
        <w:t>（2）拟采购产品属于环境标志产品政府采购清单规定优先采购的，在性能、技术、服务等指标同等条件下，实行优先采购，优先采购的要求详见第三章说明内容。</w:t>
      </w:r>
    </w:p>
    <w:p w14:paraId="1F2D95E9">
      <w:pPr>
        <w:snapToGrid w:val="0"/>
        <w:spacing w:line="360" w:lineRule="auto"/>
        <w:ind w:firstLine="420" w:firstLineChars="200"/>
        <w:rPr>
          <w:rFonts w:ascii="宋体" w:hAnsi="宋体"/>
          <w:color w:val="auto"/>
          <w:kern w:val="0"/>
          <w:szCs w:val="21"/>
        </w:rPr>
      </w:pPr>
      <w:r>
        <w:rPr>
          <w:rFonts w:ascii="宋体" w:hAnsi="宋体"/>
          <w:color w:val="auto"/>
          <w:kern w:val="0"/>
          <w:szCs w:val="21"/>
        </w:rPr>
        <w:t>（3）参加政府采购活动的环境标志产品应当提供有效的环境标志产品认证证书复印件。未按要求提供相关材料的，不享受相关政策。</w:t>
      </w:r>
    </w:p>
    <w:p w14:paraId="3C600B92">
      <w:pPr>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3.4</w:t>
      </w:r>
      <w:r>
        <w:rPr>
          <w:rFonts w:ascii="宋体" w:hAnsi="宋体"/>
          <w:color w:val="auto"/>
          <w:kern w:val="0"/>
          <w:szCs w:val="21"/>
        </w:rPr>
        <w:t>信息安全产品政策</w:t>
      </w:r>
    </w:p>
    <w:p w14:paraId="0284C05F">
      <w:pPr>
        <w:snapToGrid w:val="0"/>
        <w:spacing w:line="360" w:lineRule="auto"/>
        <w:ind w:firstLine="420" w:firstLineChars="200"/>
        <w:rPr>
          <w:rFonts w:ascii="宋体" w:hAnsi="宋体"/>
          <w:color w:val="auto"/>
          <w:kern w:val="0"/>
          <w:szCs w:val="21"/>
        </w:rPr>
      </w:pPr>
      <w:r>
        <w:rPr>
          <w:rFonts w:ascii="宋体" w:hAnsi="宋体"/>
          <w:color w:val="auto"/>
          <w:kern w:val="0"/>
          <w:szCs w:val="21"/>
        </w:rPr>
        <w:t>（1）信息安全产品是指列入国家质检总局、国家认监委《信息安全产品强制性认证目录》，并获得强制性产品认证证书的产品；</w:t>
      </w:r>
    </w:p>
    <w:p w14:paraId="151139F1">
      <w:pPr>
        <w:snapToGrid w:val="0"/>
        <w:spacing w:line="360" w:lineRule="auto"/>
        <w:ind w:firstLine="420" w:firstLineChars="200"/>
        <w:rPr>
          <w:rFonts w:ascii="宋体" w:hAnsi="宋体"/>
          <w:color w:val="auto"/>
          <w:kern w:val="0"/>
          <w:szCs w:val="21"/>
        </w:rPr>
      </w:pPr>
      <w:r>
        <w:rPr>
          <w:rFonts w:ascii="宋体" w:hAnsi="宋体"/>
          <w:color w:val="auto"/>
          <w:kern w:val="0"/>
          <w:szCs w:val="21"/>
        </w:rPr>
        <w:t>（2）提供的产品属于信息安全产品的，投标人应当选择经国家认证的信息安全产品投标，并提供由中国信息安全认证中心按国家标准认证颁发的有效认证证书复印件。</w:t>
      </w:r>
    </w:p>
    <w:p w14:paraId="564B0F5E">
      <w:pPr>
        <w:snapToGrid w:val="0"/>
        <w:spacing w:line="360" w:lineRule="auto"/>
        <w:ind w:firstLine="420" w:firstLineChars="200"/>
        <w:rPr>
          <w:rFonts w:ascii="宋体" w:hAnsi="宋体"/>
          <w:color w:val="auto"/>
          <w:kern w:val="0"/>
          <w:szCs w:val="21"/>
        </w:rPr>
      </w:pPr>
      <w:r>
        <w:rPr>
          <w:rFonts w:hint="eastAsia" w:ascii="宋体" w:hAnsi="宋体"/>
          <w:color w:val="auto"/>
          <w:kern w:val="0"/>
          <w:szCs w:val="21"/>
        </w:rPr>
        <w:t>3.5</w:t>
      </w:r>
      <w:r>
        <w:rPr>
          <w:rFonts w:ascii="宋体" w:hAnsi="宋体"/>
          <w:color w:val="auto"/>
          <w:kern w:val="0"/>
          <w:szCs w:val="21"/>
        </w:rPr>
        <w:t xml:space="preserve">进口产品政策 </w:t>
      </w:r>
    </w:p>
    <w:p w14:paraId="3A258A02">
      <w:pPr>
        <w:snapToGrid w:val="0"/>
        <w:spacing w:line="360" w:lineRule="auto"/>
        <w:ind w:firstLine="420" w:firstLineChars="200"/>
        <w:rPr>
          <w:rFonts w:ascii="宋体" w:hAnsi="宋体"/>
          <w:color w:val="auto"/>
          <w:kern w:val="0"/>
          <w:szCs w:val="21"/>
        </w:rPr>
      </w:pPr>
      <w:r>
        <w:rPr>
          <w:rFonts w:ascii="宋体" w:hAnsi="宋体"/>
          <w:color w:val="auto"/>
          <w:kern w:val="0"/>
          <w:szCs w:val="21"/>
        </w:rPr>
        <w:t>（1）除第一章招标公告另有规定外，不允许进口产品参加。进口产品认定依照《财政部关于政府采购进口产品管理有关问题的通知》（财办库〔2008〕248号）的规定。</w:t>
      </w:r>
    </w:p>
    <w:p w14:paraId="297B4192">
      <w:pPr>
        <w:snapToGrid w:val="0"/>
        <w:spacing w:line="360" w:lineRule="auto"/>
        <w:ind w:firstLine="420" w:firstLineChars="200"/>
        <w:rPr>
          <w:rFonts w:ascii="宋体" w:hAnsi="宋体"/>
          <w:color w:val="auto"/>
          <w:kern w:val="0"/>
          <w:szCs w:val="21"/>
        </w:rPr>
      </w:pPr>
      <w:r>
        <w:rPr>
          <w:rFonts w:ascii="宋体" w:hAnsi="宋体"/>
          <w:color w:val="auto"/>
          <w:kern w:val="0"/>
          <w:szCs w:val="21"/>
        </w:rPr>
        <w:t>（2）允许进口产品参加的，满足需求的国内产品可以参加。</w:t>
      </w:r>
    </w:p>
    <w:p w14:paraId="2DE32065">
      <w:pPr>
        <w:snapToGrid w:val="0"/>
        <w:spacing w:line="360" w:lineRule="auto"/>
        <w:ind w:firstLine="420" w:firstLineChars="200"/>
        <w:rPr>
          <w:rFonts w:ascii="宋体" w:hAnsi="宋体"/>
          <w:color w:val="auto"/>
          <w:kern w:val="0"/>
          <w:szCs w:val="21"/>
        </w:rPr>
      </w:pPr>
      <w:r>
        <w:rPr>
          <w:rFonts w:ascii="宋体" w:hAnsi="宋体"/>
          <w:color w:val="auto"/>
          <w:kern w:val="0"/>
          <w:szCs w:val="21"/>
        </w:rPr>
        <w:t>（3）允许进口产品参加的，优先采购向我国企业转让技术、与我国企业签订消化吸收再创新方案的投标人的进口产品。</w:t>
      </w:r>
    </w:p>
    <w:p w14:paraId="35BBD09B">
      <w:pPr>
        <w:snapToGrid w:val="0"/>
        <w:spacing w:line="360" w:lineRule="auto"/>
        <w:ind w:firstLine="420" w:firstLineChars="200"/>
        <w:rPr>
          <w:rFonts w:ascii="宋体" w:hAnsi="宋体"/>
          <w:color w:val="auto"/>
          <w:kern w:val="0"/>
          <w:szCs w:val="21"/>
        </w:rPr>
      </w:pPr>
      <w:r>
        <w:rPr>
          <w:rFonts w:ascii="宋体" w:hAnsi="宋体"/>
          <w:color w:val="auto"/>
          <w:kern w:val="0"/>
          <w:szCs w:val="21"/>
        </w:rPr>
        <w:t>（4）未按要求提供相关材料的，不享受相关政策。</w:t>
      </w:r>
    </w:p>
    <w:p w14:paraId="20A66219">
      <w:pPr>
        <w:snapToGrid w:val="0"/>
        <w:spacing w:line="360" w:lineRule="auto"/>
        <w:ind w:firstLine="420" w:firstLineChars="200"/>
        <w:rPr>
          <w:rFonts w:ascii="宋体" w:hAnsi="宋体"/>
          <w:color w:val="auto"/>
          <w:kern w:val="0"/>
          <w:szCs w:val="21"/>
        </w:rPr>
      </w:pPr>
      <w:r>
        <w:rPr>
          <w:rFonts w:ascii="宋体" w:hAnsi="宋体"/>
          <w:color w:val="auto"/>
          <w:kern w:val="0"/>
          <w:szCs w:val="21"/>
        </w:rPr>
        <w:t xml:space="preserve">（5）本项目不接受进口产品。 </w:t>
      </w:r>
    </w:p>
    <w:p w14:paraId="6648866B">
      <w:pPr>
        <w:snapToGrid w:val="0"/>
        <w:spacing w:line="360" w:lineRule="auto"/>
        <w:ind w:firstLine="420"/>
        <w:rPr>
          <w:rFonts w:ascii="宋体" w:hAnsi="宋体"/>
          <w:color w:val="auto"/>
          <w:kern w:val="0"/>
          <w:szCs w:val="21"/>
        </w:rPr>
      </w:pPr>
      <w:r>
        <w:rPr>
          <w:rFonts w:hint="eastAsia" w:ascii="宋体" w:hAnsi="宋体"/>
          <w:color w:val="auto"/>
          <w:kern w:val="0"/>
          <w:szCs w:val="21"/>
        </w:rPr>
        <w:t>3.6</w:t>
      </w:r>
      <w:r>
        <w:rPr>
          <w:rFonts w:ascii="宋体" w:hAnsi="宋体"/>
          <w:color w:val="auto"/>
          <w:kern w:val="0"/>
          <w:szCs w:val="21"/>
        </w:rPr>
        <w:t>本项目所属行业为其他未列明行业。</w:t>
      </w:r>
    </w:p>
    <w:p w14:paraId="27E959B0">
      <w:pPr>
        <w:widowControl/>
        <w:shd w:val="clear" w:color="auto" w:fill="FFFFFF"/>
        <w:spacing w:line="360" w:lineRule="auto"/>
        <w:ind w:firstLine="412"/>
        <w:rPr>
          <w:rFonts w:ascii="宋体" w:hAnsi="宋体"/>
          <w:color w:val="auto"/>
          <w:kern w:val="0"/>
          <w:szCs w:val="21"/>
        </w:rPr>
      </w:pPr>
      <w:r>
        <w:rPr>
          <w:rFonts w:hint="eastAsia" w:ascii="宋体" w:hAnsi="宋体"/>
          <w:b/>
          <w:bCs/>
          <w:color w:val="auto"/>
          <w:kern w:val="0"/>
          <w:szCs w:val="21"/>
        </w:rPr>
        <w:t>二、招标文件构成</w:t>
      </w:r>
    </w:p>
    <w:p w14:paraId="0BE76290">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4、招标文件组成</w:t>
      </w:r>
    </w:p>
    <w:p w14:paraId="3F13C0D2">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4.1招标文件包括以下主要内容：投标邀请；投标人须知（包括投标文件的密封、签署、盖章要求等）；投标人应当提交的资格、资信证明文件；为落实政府采购政策，采购标的需满足的要求，以及投标人须提供的证明材料；投标文件编制要求、投标报价要求和投标保证金交纳、退还方式以及不予退还投标保证金的情形；采购项目预算金额，设定最高限价的，还应当公开最高限价；采购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投标人信用信息查询渠道及截止时点、信用信息查询记录和证据留存的具体方式、信用信息的使用规则等；省级以上财政部门规定的其他事项。</w:t>
      </w:r>
    </w:p>
    <w:p w14:paraId="7A46BF0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4.2 招标的最小单位是标。招标货物数量及技术要求中未分标的，投标人对要求提供的货物和服务不得部分投标；招标货物数量及技术要求中已经分标的，可以以标为单位投标。</w:t>
      </w:r>
    </w:p>
    <w:p w14:paraId="79714AD9">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4.3 采购代理机构如果要求投标人按照招标文件规定提交备选投标方案的，投标人可以提交备选方案；否则，备选方案将被拒绝。</w:t>
      </w:r>
    </w:p>
    <w:p w14:paraId="2C5A8D0E">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5、招标文件的澄清或者修改</w:t>
      </w:r>
    </w:p>
    <w:p w14:paraId="298B501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5.1</w:t>
      </w:r>
      <w:r>
        <w:rPr>
          <w:rFonts w:ascii="宋体" w:hAnsi="宋体"/>
          <w:color w:val="auto"/>
          <w:kern w:val="0"/>
          <w:szCs w:val="21"/>
        </w:rPr>
        <w:t>采购人或者采购代理机构可以对已发出的招标文件、资格预审文件、投标邀请进行必要的澄清或者修改，但不得改变采购标的和资格条件。澄清或者修改应当在原公告发布媒体上发布澄清公告。澄清或者修改的内容为招标文件、资格预审文件、投标邀请的组成部分。</w:t>
      </w:r>
    </w:p>
    <w:p w14:paraId="5C01B5F6">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AF45BF6">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5.2采购人或者采购代理机构在招标文件要求提交投标文件截止时间三日前，有权决定延长投标截止时间和开标时间，并在原采购信息发布媒体上发布变更公告。</w:t>
      </w:r>
    </w:p>
    <w:p w14:paraId="19D52D19">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三、投标文件的编制</w:t>
      </w:r>
    </w:p>
    <w:p w14:paraId="7A99BE58">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6、投标文件的语言、计量单位、货币和编制</w:t>
      </w:r>
    </w:p>
    <w:p w14:paraId="718EB2D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p>
    <w:p w14:paraId="2211C86F">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6.2投标人所使用的计量单位应为国家法定计量单位。</w:t>
      </w:r>
    </w:p>
    <w:p w14:paraId="3D3325F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6.3投标人应用人民币报价。投标产品如果是进口产品的，应提供人民币与</w:t>
      </w:r>
      <w:r>
        <w:rPr>
          <w:rFonts w:hint="eastAsia" w:ascii="宋体" w:hAnsi="宋体"/>
          <w:b/>
          <w:bCs/>
          <w:color w:val="auto"/>
          <w:kern w:val="0"/>
          <w:szCs w:val="21"/>
        </w:rPr>
        <w:t>外币之间的汇率；报价单位为“元”。</w:t>
      </w:r>
    </w:p>
    <w:p w14:paraId="7A68D46D">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6.4投标文件应字迹清楚、内容齐全、不得涂改。如有修改，修改处须有投标人公章或投标专用章和法定代表人或其授权的投标人代表签字。</w:t>
      </w:r>
    </w:p>
    <w:p w14:paraId="1C38C107">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6.5投标文件应按照招标文件规定的顺序，统一用A4规格幅面打印、装订成册并编制目录，由于编排混乱导致投标文件被误读或查找不到，责任由投标人承担。</w:t>
      </w:r>
    </w:p>
    <w:p w14:paraId="6E3801C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6.6投标人应在投标文件中写清相应的项目编号、项目名称、投标人全称、地址、电话、传真等。</w:t>
      </w:r>
    </w:p>
    <w:p w14:paraId="7CD284E2">
      <w:pPr>
        <w:widowControl/>
        <w:shd w:val="clear" w:color="auto" w:fill="FFFFFF"/>
        <w:spacing w:line="360" w:lineRule="auto"/>
        <w:ind w:firstLine="412"/>
        <w:rPr>
          <w:rFonts w:ascii="宋体" w:hAnsi="宋体"/>
          <w:color w:val="auto"/>
          <w:kern w:val="0"/>
          <w:szCs w:val="21"/>
        </w:rPr>
      </w:pPr>
      <w:r>
        <w:rPr>
          <w:rFonts w:hint="eastAsia" w:ascii="宋体" w:hAnsi="宋体"/>
          <w:bCs/>
          <w:color w:val="auto"/>
          <w:kern w:val="0"/>
          <w:szCs w:val="21"/>
        </w:rPr>
        <w:t>6.7</w:t>
      </w:r>
      <w:r>
        <w:rPr>
          <w:rFonts w:hint="eastAsia" w:ascii="宋体" w:hAnsi="宋体"/>
          <w:color w:val="auto"/>
          <w:kern w:val="0"/>
          <w:szCs w:val="21"/>
        </w:rPr>
        <w:t>投标人根据招标文件载明的标的采购项目实际情况，拟在中标后将中标项目的非主体、非关键性工作交由他人完成的，应当在投标文件中载明。</w:t>
      </w:r>
    </w:p>
    <w:p w14:paraId="6B0EB061">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7、投标文件的组成</w:t>
      </w:r>
    </w:p>
    <w:p w14:paraId="3E2A0BC6">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7.1投标人应当根据招标文件要求编制投标文件，投标文件应对招标文件提出的要求和条件作出实质性响应，并在《商务条款偏离表》和《技术规格偏离表》等处逐条标明满足与否。</w:t>
      </w:r>
    </w:p>
    <w:p w14:paraId="2B6103E5">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7.2 投标文件由商务部分、技术部分、价格部分以及其他部分组成。</w:t>
      </w:r>
    </w:p>
    <w:p w14:paraId="430AB350">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8、投标文件的商务部分</w:t>
      </w:r>
    </w:p>
    <w:p w14:paraId="77698A15">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8.1商务部分是证明投标人有资格参加投标和中标后有能力履行合同的文件，这些文件应能满足招标的要求，包括但不限于下列文件（</w:t>
      </w:r>
      <w:r>
        <w:rPr>
          <w:rFonts w:hint="eastAsia" w:ascii="宋体" w:hAnsi="宋体"/>
          <w:b/>
          <w:color w:val="auto"/>
          <w:kern w:val="0"/>
          <w:szCs w:val="21"/>
        </w:rPr>
        <w:t>（1）-（7）所述材料如提供不全或不满足招标文件的实质性要求，评标委员会有权否决投标人的投标</w:t>
      </w:r>
      <w:r>
        <w:rPr>
          <w:rFonts w:hint="eastAsia" w:ascii="宋体" w:hAnsi="宋体"/>
          <w:color w:val="auto"/>
          <w:kern w:val="0"/>
          <w:szCs w:val="21"/>
        </w:rPr>
        <w:t>）：</w:t>
      </w:r>
    </w:p>
    <w:p w14:paraId="27B6AD3C">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（1）投标函（投标申请及声明）</w:t>
      </w:r>
      <w:r>
        <w:rPr>
          <w:rFonts w:hint="eastAsia" w:ascii="宋体" w:hAnsi="宋体"/>
          <w:bCs/>
          <w:color w:val="auto"/>
          <w:szCs w:val="21"/>
        </w:rPr>
        <w:t>（</w:t>
      </w:r>
      <w:r>
        <w:rPr>
          <w:rFonts w:hint="eastAsia" w:ascii="宋体" w:hAnsi="宋体"/>
          <w:b/>
          <w:bCs/>
          <w:color w:val="auto"/>
          <w:szCs w:val="21"/>
        </w:rPr>
        <w:t>格式见附件</w:t>
      </w:r>
      <w:r>
        <w:rPr>
          <w:rFonts w:hint="eastAsia" w:ascii="宋体" w:hAnsi="宋体"/>
          <w:bCs/>
          <w:color w:val="auto"/>
          <w:szCs w:val="21"/>
        </w:rPr>
        <w:t>）</w:t>
      </w:r>
      <w:r>
        <w:rPr>
          <w:rFonts w:hint="eastAsia" w:ascii="宋体" w:hAnsi="宋体"/>
          <w:color w:val="auto"/>
          <w:kern w:val="0"/>
          <w:szCs w:val="21"/>
        </w:rPr>
        <w:t>；</w:t>
      </w:r>
    </w:p>
    <w:p w14:paraId="6FA48DB8">
      <w:pPr>
        <w:widowControl/>
        <w:shd w:val="clear" w:color="auto" w:fill="FFFFFF"/>
        <w:spacing w:line="360" w:lineRule="auto"/>
        <w:ind w:firstLine="420" w:firstLineChars="200"/>
        <w:jc w:val="left"/>
        <w:rPr>
          <w:rFonts w:ascii="宋体" w:hAnsi="宋体" w:cs="宋体"/>
          <w:color w:val="auto"/>
          <w:kern w:val="0"/>
          <w:szCs w:val="21"/>
        </w:rPr>
      </w:pPr>
      <w:r>
        <w:rPr>
          <w:rFonts w:hint="eastAsia" w:ascii="宋体" w:hAnsi="宋体" w:cs="宋体"/>
          <w:color w:val="auto"/>
          <w:kern w:val="0"/>
          <w:szCs w:val="21"/>
        </w:rPr>
        <w:t>（2）法定代表人授权委托书及委托代理人的身份证明文件的复印件</w:t>
      </w:r>
      <w:r>
        <w:rPr>
          <w:rFonts w:hint="eastAsia" w:ascii="宋体" w:hAnsi="宋体"/>
          <w:bCs/>
          <w:color w:val="auto"/>
          <w:szCs w:val="21"/>
        </w:rPr>
        <w:t>（</w:t>
      </w:r>
      <w:r>
        <w:rPr>
          <w:rFonts w:hint="eastAsia" w:ascii="宋体" w:hAnsi="宋体"/>
          <w:b/>
          <w:bCs/>
          <w:color w:val="auto"/>
          <w:szCs w:val="21"/>
        </w:rPr>
        <w:t>格式见附件</w:t>
      </w:r>
      <w:r>
        <w:rPr>
          <w:rFonts w:hint="eastAsia" w:ascii="宋体" w:hAnsi="宋体"/>
          <w:bCs/>
          <w:color w:val="auto"/>
          <w:szCs w:val="21"/>
        </w:rPr>
        <w:t>）</w:t>
      </w:r>
      <w:r>
        <w:rPr>
          <w:rFonts w:hint="eastAsia" w:ascii="宋体" w:hAnsi="宋体" w:cs="宋体"/>
          <w:color w:val="auto"/>
          <w:kern w:val="0"/>
          <w:szCs w:val="21"/>
        </w:rPr>
        <w:t>；</w:t>
      </w:r>
    </w:p>
    <w:p w14:paraId="2968A7E4">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（3）投标人资格资信证明文件：</w:t>
      </w:r>
    </w:p>
    <w:p w14:paraId="28E744A7">
      <w:pPr>
        <w:pStyle w:val="103"/>
        <w:numPr>
          <w:ilvl w:val="1"/>
          <w:numId w:val="3"/>
        </w:numPr>
        <w:tabs>
          <w:tab w:val="left" w:pos="840"/>
          <w:tab w:val="clear" w:pos="990"/>
        </w:tabs>
        <w:spacing w:line="360" w:lineRule="auto"/>
        <w:ind w:left="0" w:firstLine="367" w:firstLineChars="175"/>
        <w:rPr>
          <w:rFonts w:ascii="宋体" w:hAnsi="宋体"/>
          <w:bCs/>
          <w:color w:val="auto"/>
          <w:szCs w:val="21"/>
        </w:rPr>
      </w:pPr>
      <w:r>
        <w:rPr>
          <w:rFonts w:hint="eastAsia" w:ascii="宋体" w:hAnsi="宋体"/>
          <w:bCs/>
          <w:color w:val="auto"/>
          <w:szCs w:val="21"/>
        </w:rPr>
        <w:t>第一章投标邀请中第三项中</w:t>
      </w:r>
      <w:r>
        <w:rPr>
          <w:rFonts w:hint="eastAsia" w:ascii="宋体" w:hAnsi="宋体"/>
          <w:color w:val="auto"/>
          <w:kern w:val="0"/>
          <w:szCs w:val="21"/>
        </w:rPr>
        <w:t>第一条“</w:t>
      </w:r>
      <w:r>
        <w:rPr>
          <w:rFonts w:hint="eastAsia" w:ascii="宋体" w:hAnsi="宋体"/>
          <w:b/>
          <w:color w:val="auto"/>
          <w:kern w:val="0"/>
          <w:szCs w:val="21"/>
        </w:rPr>
        <w:t>应具备《中华人民共和国政府采购法》、《中华人民共和国政府采购法实施条例》规定的条件</w:t>
      </w:r>
      <w:r>
        <w:rPr>
          <w:rFonts w:hint="eastAsia" w:ascii="宋体" w:hAnsi="宋体"/>
          <w:color w:val="auto"/>
          <w:kern w:val="0"/>
          <w:szCs w:val="21"/>
        </w:rPr>
        <w:t>”</w:t>
      </w:r>
      <w:r>
        <w:rPr>
          <w:rFonts w:hint="eastAsia" w:ascii="宋体" w:hAnsi="宋体"/>
          <w:bCs/>
          <w:color w:val="auto"/>
          <w:szCs w:val="21"/>
        </w:rPr>
        <w:t>的证明文件；</w:t>
      </w:r>
    </w:p>
    <w:p w14:paraId="72C4B074">
      <w:pPr>
        <w:pStyle w:val="103"/>
        <w:numPr>
          <w:ilvl w:val="1"/>
          <w:numId w:val="3"/>
        </w:numPr>
        <w:tabs>
          <w:tab w:val="left" w:pos="840"/>
          <w:tab w:val="clear" w:pos="990"/>
        </w:tabs>
        <w:spacing w:line="360" w:lineRule="auto"/>
        <w:ind w:left="0" w:firstLine="367" w:firstLineChars="175"/>
        <w:rPr>
          <w:rFonts w:ascii="宋体" w:hAnsi="宋体"/>
          <w:bCs/>
          <w:color w:val="auto"/>
          <w:szCs w:val="21"/>
        </w:rPr>
      </w:pPr>
      <w:r>
        <w:rPr>
          <w:rFonts w:hint="eastAsia" w:ascii="宋体" w:hAnsi="宋体"/>
          <w:bCs/>
          <w:color w:val="auto"/>
          <w:szCs w:val="21"/>
        </w:rPr>
        <w:t>第一章投标邀请中第三项第二条“</w:t>
      </w:r>
      <w:r>
        <w:rPr>
          <w:rFonts w:ascii="宋体" w:hAnsi="宋体"/>
          <w:b/>
          <w:color w:val="auto"/>
          <w:kern w:val="0"/>
          <w:szCs w:val="21"/>
        </w:rPr>
        <w:t>（</w:t>
      </w:r>
      <w:r>
        <w:rPr>
          <w:rFonts w:hint="eastAsia" w:ascii="宋体" w:hAnsi="宋体"/>
          <w:b/>
          <w:color w:val="auto"/>
          <w:kern w:val="0"/>
          <w:szCs w:val="21"/>
        </w:rPr>
        <w:t>二</w:t>
      </w:r>
      <w:r>
        <w:rPr>
          <w:rFonts w:ascii="宋体" w:hAnsi="宋体"/>
          <w:b/>
          <w:color w:val="auto"/>
          <w:kern w:val="0"/>
          <w:szCs w:val="21"/>
        </w:rPr>
        <w:t>）</w:t>
      </w:r>
      <w:r>
        <w:rPr>
          <w:rFonts w:hint="eastAsia" w:ascii="宋体" w:hAnsi="宋体"/>
          <w:b/>
          <w:color w:val="auto"/>
          <w:kern w:val="0"/>
          <w:szCs w:val="21"/>
        </w:rPr>
        <w:t>采购人根据采购项目的特殊要求规定的特定条件</w:t>
      </w:r>
      <w:r>
        <w:rPr>
          <w:rFonts w:hint="eastAsia" w:ascii="宋体" w:hAnsi="宋体"/>
          <w:bCs/>
          <w:color w:val="auto"/>
          <w:szCs w:val="21"/>
        </w:rPr>
        <w:t>”的证明文件；</w:t>
      </w:r>
    </w:p>
    <w:p w14:paraId="7244F290">
      <w:pPr>
        <w:pStyle w:val="103"/>
        <w:numPr>
          <w:ilvl w:val="1"/>
          <w:numId w:val="3"/>
        </w:numPr>
        <w:tabs>
          <w:tab w:val="left" w:pos="840"/>
          <w:tab w:val="clear" w:pos="990"/>
        </w:tabs>
        <w:spacing w:line="360" w:lineRule="auto"/>
        <w:ind w:left="0" w:firstLine="367" w:firstLineChars="175"/>
        <w:rPr>
          <w:rFonts w:ascii="宋体" w:hAnsi="宋体"/>
          <w:bCs/>
          <w:color w:val="auto"/>
          <w:szCs w:val="21"/>
        </w:rPr>
      </w:pPr>
      <w:r>
        <w:rPr>
          <w:rFonts w:hint="eastAsia" w:ascii="宋体" w:hAnsi="宋体"/>
          <w:bCs/>
          <w:color w:val="auto"/>
          <w:szCs w:val="21"/>
        </w:rPr>
        <w:t>第一章投标邀请中第三项“</w:t>
      </w:r>
      <w:r>
        <w:rPr>
          <w:rFonts w:hint="eastAsia" w:ascii="宋体" w:hAnsi="宋体"/>
          <w:b/>
          <w:color w:val="auto"/>
          <w:kern w:val="0"/>
          <w:szCs w:val="21"/>
        </w:rPr>
        <w:t>供应商应具备下列资格条件，并提供证明材料(包括但不限于):</w:t>
      </w:r>
      <w:r>
        <w:rPr>
          <w:rFonts w:hint="eastAsia" w:ascii="宋体" w:hAnsi="宋体"/>
          <w:bCs/>
          <w:color w:val="auto"/>
          <w:szCs w:val="21"/>
        </w:rPr>
        <w:t>”</w:t>
      </w:r>
      <w:r>
        <w:rPr>
          <w:rFonts w:ascii="宋体" w:hAnsi="宋体"/>
          <w:bCs/>
          <w:color w:val="auto"/>
          <w:szCs w:val="21"/>
        </w:rPr>
        <w:t xml:space="preserve"> 除上述两条其他要求的证明文件</w:t>
      </w:r>
      <w:r>
        <w:rPr>
          <w:rFonts w:hint="eastAsia" w:ascii="宋体" w:hAnsi="宋体"/>
          <w:bCs/>
          <w:color w:val="auto"/>
          <w:szCs w:val="21"/>
        </w:rPr>
        <w:t>。</w:t>
      </w:r>
    </w:p>
    <w:p w14:paraId="2AF14706">
      <w:pPr>
        <w:widowControl/>
        <w:shd w:val="clear" w:color="auto" w:fill="FFFFFF"/>
        <w:spacing w:line="360" w:lineRule="auto"/>
        <w:ind w:firstLine="420" w:firstLineChars="200"/>
        <w:jc w:val="left"/>
        <w:rPr>
          <w:rFonts w:ascii="宋体" w:hAnsi="宋体"/>
          <w:color w:val="auto"/>
          <w:kern w:val="0"/>
          <w:szCs w:val="21"/>
        </w:rPr>
      </w:pPr>
      <w:r>
        <w:rPr>
          <w:rFonts w:hint="eastAsia" w:ascii="宋体" w:hAnsi="宋体"/>
          <w:color w:val="auto"/>
          <w:kern w:val="0"/>
          <w:szCs w:val="21"/>
        </w:rPr>
        <w:t>（4）开标一览表</w:t>
      </w:r>
      <w:r>
        <w:rPr>
          <w:rFonts w:hint="eastAsia" w:ascii="宋体" w:hAnsi="宋体"/>
          <w:bCs/>
          <w:color w:val="auto"/>
          <w:szCs w:val="21"/>
        </w:rPr>
        <w:t>（</w:t>
      </w:r>
      <w:r>
        <w:rPr>
          <w:rFonts w:hint="eastAsia" w:ascii="宋体" w:hAnsi="宋体"/>
          <w:b/>
          <w:bCs/>
          <w:color w:val="auto"/>
          <w:szCs w:val="21"/>
        </w:rPr>
        <w:t>格式见附件</w:t>
      </w:r>
      <w:r>
        <w:rPr>
          <w:rFonts w:hint="eastAsia" w:ascii="宋体" w:hAnsi="宋体"/>
          <w:bCs/>
          <w:color w:val="auto"/>
          <w:szCs w:val="21"/>
        </w:rPr>
        <w:t>）；</w:t>
      </w:r>
    </w:p>
    <w:p w14:paraId="69A0603D">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（5）投标人缴纳投标保证金凭证；</w:t>
      </w:r>
    </w:p>
    <w:p w14:paraId="1B1197C9">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（6）《商务条款偏离表》；</w:t>
      </w:r>
    </w:p>
    <w:p w14:paraId="18693E1F">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（7）分项报价表（</w:t>
      </w:r>
      <w:r>
        <w:rPr>
          <w:rFonts w:hint="eastAsia" w:ascii="宋体" w:hAnsi="宋体"/>
          <w:b/>
          <w:color w:val="auto"/>
          <w:kern w:val="0"/>
          <w:szCs w:val="21"/>
        </w:rPr>
        <w:t>格式见附件</w:t>
      </w:r>
      <w:r>
        <w:rPr>
          <w:rFonts w:hint="eastAsia" w:ascii="宋体" w:hAnsi="宋体"/>
          <w:color w:val="auto"/>
          <w:kern w:val="0"/>
          <w:szCs w:val="21"/>
        </w:rPr>
        <w:t>）；</w:t>
      </w:r>
    </w:p>
    <w:p w14:paraId="6628F53F">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（8）第三章评标标准中对应的其它所需证明材料（如有自行添加）；</w:t>
      </w:r>
    </w:p>
    <w:p w14:paraId="136225E5">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（9）要求采购人提供的配合（如有自拟并自行添加）；</w:t>
      </w:r>
    </w:p>
    <w:p w14:paraId="284209D5">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（10）其它（投标人认为有必要提供的声明和文件，如有，自行拟定并添加）。</w:t>
      </w:r>
    </w:p>
    <w:p w14:paraId="20C60E79">
      <w:pPr>
        <w:widowControl/>
        <w:shd w:val="clear" w:color="auto" w:fill="FFFFFF"/>
        <w:spacing w:line="360" w:lineRule="auto"/>
        <w:ind w:firstLine="420"/>
        <w:jc w:val="left"/>
        <w:rPr>
          <w:rFonts w:ascii="宋体" w:hAnsi="宋体"/>
          <w:color w:val="auto"/>
          <w:kern w:val="0"/>
          <w:szCs w:val="21"/>
        </w:rPr>
      </w:pPr>
      <w:r>
        <w:rPr>
          <w:rFonts w:hint="eastAsia" w:ascii="宋体" w:hAnsi="宋体"/>
          <w:b/>
          <w:bCs/>
          <w:color w:val="auto"/>
          <w:kern w:val="0"/>
          <w:szCs w:val="21"/>
        </w:rPr>
        <w:t>9、投标文件的技术部分</w:t>
      </w:r>
    </w:p>
    <w:p w14:paraId="4BF31B7A">
      <w:pPr>
        <w:widowControl/>
        <w:adjustRightInd w:val="0"/>
        <w:spacing w:line="360" w:lineRule="auto"/>
        <w:ind w:firstLine="420"/>
        <w:jc w:val="left"/>
        <w:rPr>
          <w:rFonts w:ascii="宋体"/>
          <w:color w:val="auto"/>
          <w:szCs w:val="21"/>
          <w:lang w:val="zh-CN"/>
        </w:rPr>
      </w:pPr>
      <w:r>
        <w:rPr>
          <w:rFonts w:hint="eastAsia" w:ascii="宋体" w:hAnsi="宋体"/>
          <w:color w:val="auto"/>
          <w:szCs w:val="21"/>
          <w:lang w:val="zh-CN"/>
        </w:rPr>
        <w:t>技术部分是证明</w:t>
      </w:r>
      <w:r>
        <w:rPr>
          <w:rFonts w:hint="eastAsia" w:ascii="宋体" w:hAnsi="宋体"/>
          <w:color w:val="auto"/>
          <w:szCs w:val="21"/>
        </w:rPr>
        <w:t>供应商提供的货物和服务是合格的、并符合招标文件要求的证明文件，以及</w:t>
      </w:r>
      <w:r>
        <w:rPr>
          <w:rFonts w:hint="eastAsia" w:ascii="宋体" w:hAnsi="宋体"/>
          <w:color w:val="auto"/>
          <w:szCs w:val="21"/>
          <w:lang w:val="zh-CN"/>
        </w:rPr>
        <w:t>对货物和服务的详细说明，这些文件可以是文字资料、图纸和数据等。提供的货物和服务如与招标文件要求有不符之处，应说明其差别之所在。包括但不限于下</w:t>
      </w:r>
      <w:r>
        <w:rPr>
          <w:rFonts w:hint="eastAsia" w:ascii="宋体"/>
          <w:color w:val="auto"/>
          <w:szCs w:val="21"/>
          <w:lang w:val="zh-CN"/>
        </w:rPr>
        <w:t>列文件</w:t>
      </w:r>
      <w:r>
        <w:rPr>
          <w:rFonts w:hint="eastAsia" w:ascii="宋体" w:hAnsi="宋体"/>
          <w:color w:val="auto"/>
          <w:kern w:val="0"/>
          <w:szCs w:val="21"/>
        </w:rPr>
        <w:t>（</w:t>
      </w:r>
      <w:r>
        <w:rPr>
          <w:rFonts w:hint="eastAsia" w:ascii="宋体" w:hAnsi="宋体"/>
          <w:b/>
          <w:color w:val="auto"/>
          <w:kern w:val="0"/>
          <w:szCs w:val="21"/>
        </w:rPr>
        <w:t>（1）-（4）所述材料如提供不全或不满足招标文件的实质性要求，评标委员会有权否决投标人的投标</w:t>
      </w:r>
      <w:r>
        <w:rPr>
          <w:rFonts w:hint="eastAsia" w:ascii="宋体" w:hAnsi="宋体"/>
          <w:color w:val="auto"/>
          <w:kern w:val="0"/>
          <w:szCs w:val="21"/>
        </w:rPr>
        <w:t>）</w:t>
      </w:r>
      <w:r>
        <w:rPr>
          <w:rFonts w:hint="eastAsia" w:ascii="宋体"/>
          <w:color w:val="auto"/>
          <w:szCs w:val="21"/>
          <w:lang w:val="zh-CN"/>
        </w:rPr>
        <w:t>：</w:t>
      </w:r>
    </w:p>
    <w:p w14:paraId="0F4D8D6E">
      <w:pPr>
        <w:widowControl/>
        <w:adjustRightIn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lang w:val="zh-CN"/>
        </w:rPr>
        <w:t>（1）技术说明或服务方案；</w:t>
      </w:r>
    </w:p>
    <w:p w14:paraId="2ACE635C">
      <w:pPr>
        <w:widowControl/>
        <w:adjustRightIn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lang w:val="zh-CN"/>
        </w:rPr>
        <w:t>（2）《技术条款偏离表》；</w:t>
      </w:r>
    </w:p>
    <w:p w14:paraId="7E9A626B">
      <w:pPr>
        <w:widowControl/>
        <w:adjustRightIn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lang w:val="zh-CN"/>
        </w:rPr>
        <w:t>（3）服务承诺；</w:t>
      </w:r>
    </w:p>
    <w:p w14:paraId="3A93690A">
      <w:pPr>
        <w:widowControl/>
        <w:adjustRightIn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lang w:val="zh-CN"/>
        </w:rPr>
        <w:t>（4）投标人拟投入本项目的设备、人员情况一览表；</w:t>
      </w:r>
    </w:p>
    <w:p w14:paraId="1EDA862E">
      <w:pPr>
        <w:widowControl/>
        <w:adjustRightInd w:val="0"/>
        <w:spacing w:line="360" w:lineRule="auto"/>
        <w:ind w:firstLine="420"/>
        <w:jc w:val="left"/>
        <w:rPr>
          <w:rFonts w:ascii="宋体" w:hAnsi="宋体" w:cs="宋体"/>
          <w:color w:val="auto"/>
          <w:kern w:val="0"/>
          <w:szCs w:val="21"/>
          <w:lang w:val="zh-CN"/>
        </w:rPr>
      </w:pPr>
      <w:r>
        <w:rPr>
          <w:rFonts w:hint="eastAsia" w:ascii="宋体" w:hAnsi="宋体" w:cs="宋体"/>
          <w:color w:val="auto"/>
          <w:kern w:val="0"/>
          <w:szCs w:val="21"/>
          <w:lang w:val="zh-CN"/>
        </w:rPr>
        <w:t>（5）供应商认为需要提供的其他技术资料。</w:t>
      </w:r>
    </w:p>
    <w:p w14:paraId="00D25443">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10、投标文件的价格部分</w:t>
      </w:r>
    </w:p>
    <w:p w14:paraId="3CBD2CBA">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10.1价格部分是对采购标的价格构成的说明，招标文件如无特别说明，每一项货物及服务仅接受一个价格。</w:t>
      </w:r>
    </w:p>
    <w:p w14:paraId="7F359B0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10.2报价应包含本次招标投标的有关的所有费用</w:t>
      </w:r>
      <w:r>
        <w:rPr>
          <w:rFonts w:hint="eastAsia" w:ascii="宋体" w:hAnsi="宋体" w:cs="宋体"/>
          <w:color w:val="auto"/>
          <w:kern w:val="0"/>
          <w:szCs w:val="21"/>
          <w:lang w:val="zh-CN"/>
        </w:rPr>
        <w:t>，以及技术资料、支付给员工的工资和国家强制缴纳的各种社会保障资金</w:t>
      </w:r>
      <w:r>
        <w:rPr>
          <w:rFonts w:hint="eastAsia" w:ascii="宋体" w:hAnsi="宋体"/>
          <w:bCs/>
          <w:color w:val="auto"/>
          <w:szCs w:val="21"/>
        </w:rPr>
        <w:t>，以</w:t>
      </w:r>
      <w:r>
        <w:rPr>
          <w:rFonts w:hint="eastAsia" w:ascii="宋体" w:hAnsi="宋体"/>
          <w:color w:val="auto"/>
          <w:szCs w:val="21"/>
        </w:rPr>
        <w:t>及投标人认为需要的其他费用等</w:t>
      </w:r>
      <w:r>
        <w:rPr>
          <w:rFonts w:hint="eastAsia" w:ascii="宋体" w:hAnsi="宋体"/>
          <w:b/>
          <w:color w:val="auto"/>
          <w:szCs w:val="21"/>
        </w:rPr>
        <w:t>。</w:t>
      </w:r>
    </w:p>
    <w:p w14:paraId="3025EAB1">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10.3投标人的任何错漏、优惠、竞争性报价不得作为减轻责任、减少服务、增加收费、降低质量的理由。</w:t>
      </w:r>
    </w:p>
    <w:p w14:paraId="38FD59A1">
      <w:pPr>
        <w:spacing w:line="360" w:lineRule="auto"/>
        <w:ind w:firstLine="420" w:firstLineChars="200"/>
        <w:rPr>
          <w:rFonts w:ascii="宋体" w:hAnsi="宋体"/>
          <w:color w:val="auto"/>
        </w:rPr>
      </w:pPr>
      <w:r>
        <w:rPr>
          <w:rFonts w:hint="eastAsia" w:ascii="宋体" w:hAnsi="宋体"/>
          <w:color w:val="auto"/>
        </w:rPr>
        <w:t>10.4异常低价问题的处理：</w:t>
      </w:r>
    </w:p>
    <w:p w14:paraId="24367DEB">
      <w:pPr>
        <w:spacing w:line="360" w:lineRule="auto"/>
        <w:ind w:firstLine="420" w:firstLineChars="200"/>
        <w:rPr>
          <w:rFonts w:ascii="宋体" w:hAnsi="宋体"/>
          <w:color w:val="auto"/>
        </w:rPr>
      </w:pPr>
      <w:r>
        <w:rPr>
          <w:rFonts w:hint="eastAsia" w:ascii="宋体" w:hAnsi="宋体"/>
          <w:color w:val="auto"/>
        </w:rPr>
        <w:t>异常低价问题的处理按照《财政部关于推动解决政府采购异常低价问题的通知》（财库〔2026〕2 号）文件执行。</w:t>
      </w:r>
    </w:p>
    <w:p w14:paraId="2BA2D27C">
      <w:pPr>
        <w:spacing w:line="360" w:lineRule="auto"/>
        <w:ind w:firstLine="420" w:firstLineChars="200"/>
        <w:rPr>
          <w:rFonts w:ascii="宋体" w:hAnsi="宋体"/>
          <w:color w:val="auto"/>
        </w:rPr>
      </w:pPr>
      <w:r>
        <w:rPr>
          <w:rFonts w:hint="eastAsia" w:ascii="宋体" w:hAnsi="宋体"/>
          <w:color w:val="auto"/>
        </w:rPr>
        <w:t>评审中出现下列情形之一的，评审委员会应当启动异常低价投标（响应）审查程序：</w:t>
      </w:r>
    </w:p>
    <w:p w14:paraId="2E00AC78">
      <w:pPr>
        <w:spacing w:line="360" w:lineRule="auto"/>
        <w:ind w:firstLine="420" w:firstLineChars="200"/>
        <w:rPr>
          <w:rFonts w:ascii="宋体" w:hAnsi="宋体"/>
          <w:color w:val="auto"/>
        </w:rPr>
      </w:pPr>
      <w:r>
        <w:rPr>
          <w:rFonts w:ascii="宋体" w:hAnsi="宋体"/>
          <w:color w:val="auto"/>
        </w:rPr>
        <w:t>1.</w:t>
      </w:r>
      <w:r>
        <w:rPr>
          <w:rFonts w:hint="eastAsia" w:ascii="宋体" w:hAnsi="宋体"/>
          <w:color w:val="auto"/>
        </w:rPr>
        <w:t>投标（响应）报价低于全部通过符合性审查供应商投标（响应）报价平均值</w:t>
      </w:r>
      <w:r>
        <w:rPr>
          <w:rFonts w:ascii="宋体" w:hAnsi="宋体"/>
          <w:color w:val="auto"/>
        </w:rPr>
        <w:t>50%</w:t>
      </w:r>
      <w:r>
        <w:rPr>
          <w:rFonts w:hint="eastAsia" w:ascii="宋体" w:hAnsi="宋体"/>
          <w:color w:val="auto"/>
        </w:rPr>
        <w:t>的，即投标（响应）报价</w:t>
      </w:r>
      <w:r>
        <w:rPr>
          <w:rFonts w:ascii="宋体" w:hAnsi="宋体"/>
          <w:color w:val="auto"/>
        </w:rPr>
        <w:t>&lt;</w:t>
      </w:r>
      <w:r>
        <w:rPr>
          <w:rFonts w:hint="eastAsia" w:ascii="宋体" w:hAnsi="宋体"/>
          <w:color w:val="auto"/>
        </w:rPr>
        <w:t>全部通过符合性审查供应商投标（响应）报价平均值×</w:t>
      </w:r>
      <w:r>
        <w:rPr>
          <w:rFonts w:ascii="宋体" w:hAnsi="宋体"/>
          <w:color w:val="auto"/>
        </w:rPr>
        <w:t>50%</w:t>
      </w:r>
      <w:r>
        <w:rPr>
          <w:rFonts w:hint="eastAsia" w:ascii="宋体" w:hAnsi="宋体"/>
          <w:color w:val="auto"/>
        </w:rPr>
        <w:t>；</w:t>
      </w:r>
    </w:p>
    <w:p w14:paraId="11EF7763">
      <w:pPr>
        <w:spacing w:line="360" w:lineRule="auto"/>
        <w:ind w:firstLine="420" w:firstLineChars="200"/>
        <w:rPr>
          <w:rFonts w:ascii="宋体" w:hAnsi="宋体"/>
          <w:color w:val="auto"/>
        </w:rPr>
      </w:pPr>
      <w:r>
        <w:rPr>
          <w:rFonts w:ascii="宋体" w:hAnsi="宋体"/>
          <w:color w:val="auto"/>
        </w:rPr>
        <w:t>2.</w:t>
      </w:r>
      <w:r>
        <w:rPr>
          <w:rFonts w:hint="eastAsia" w:ascii="宋体" w:hAnsi="宋体"/>
          <w:color w:val="auto"/>
        </w:rPr>
        <w:t>投标（响应）报价低于通过符合性审查的次低报价供应商投标（响应）报价</w:t>
      </w:r>
      <w:r>
        <w:rPr>
          <w:rFonts w:ascii="宋体" w:hAnsi="宋体"/>
          <w:color w:val="auto"/>
        </w:rPr>
        <w:t>50%</w:t>
      </w:r>
      <w:r>
        <w:rPr>
          <w:rFonts w:hint="eastAsia" w:ascii="宋体" w:hAnsi="宋体"/>
          <w:color w:val="auto"/>
        </w:rPr>
        <w:t>的，即投标（响应）报价</w:t>
      </w:r>
      <w:r>
        <w:rPr>
          <w:rFonts w:ascii="宋体" w:hAnsi="宋体"/>
          <w:color w:val="auto"/>
        </w:rPr>
        <w:t>&lt;</w:t>
      </w:r>
      <w:r>
        <w:rPr>
          <w:rFonts w:hint="eastAsia" w:ascii="宋体" w:hAnsi="宋体"/>
          <w:color w:val="auto"/>
        </w:rPr>
        <w:t>通过符合性审查的次低报价供应商投标（响应）报价×</w:t>
      </w:r>
      <w:r>
        <w:rPr>
          <w:rFonts w:ascii="宋体" w:hAnsi="宋体"/>
          <w:color w:val="auto"/>
        </w:rPr>
        <w:t>50%</w:t>
      </w:r>
      <w:r>
        <w:rPr>
          <w:rFonts w:hint="eastAsia" w:ascii="宋体" w:hAnsi="宋体"/>
          <w:color w:val="auto"/>
        </w:rPr>
        <w:t>；</w:t>
      </w:r>
    </w:p>
    <w:p w14:paraId="3DDBDF9A">
      <w:pPr>
        <w:spacing w:line="360" w:lineRule="auto"/>
        <w:ind w:firstLine="420" w:firstLineChars="200"/>
        <w:rPr>
          <w:rFonts w:ascii="宋体" w:hAnsi="宋体"/>
          <w:color w:val="auto"/>
        </w:rPr>
      </w:pPr>
      <w:r>
        <w:rPr>
          <w:rFonts w:ascii="宋体" w:hAnsi="宋体"/>
          <w:color w:val="auto"/>
        </w:rPr>
        <w:t>3.</w:t>
      </w:r>
      <w:r>
        <w:rPr>
          <w:rFonts w:hint="eastAsia" w:ascii="宋体" w:hAnsi="宋体"/>
          <w:color w:val="auto"/>
        </w:rPr>
        <w:t>投标（响应）报价低于采购项目最高限价</w:t>
      </w:r>
      <w:r>
        <w:rPr>
          <w:rFonts w:ascii="宋体" w:hAnsi="宋体"/>
          <w:color w:val="auto"/>
        </w:rPr>
        <w:t>45%</w:t>
      </w:r>
      <w:r>
        <w:rPr>
          <w:rFonts w:hint="eastAsia" w:ascii="宋体" w:hAnsi="宋体"/>
          <w:color w:val="auto"/>
        </w:rPr>
        <w:t>的，即投标（响应）报价</w:t>
      </w:r>
      <w:r>
        <w:rPr>
          <w:rFonts w:ascii="宋体" w:hAnsi="宋体"/>
          <w:color w:val="auto"/>
        </w:rPr>
        <w:t>&lt;</w:t>
      </w:r>
      <w:r>
        <w:rPr>
          <w:rFonts w:hint="eastAsia" w:ascii="宋体" w:hAnsi="宋体"/>
          <w:color w:val="auto"/>
        </w:rPr>
        <w:t>采购项目最高限价×</w:t>
      </w:r>
      <w:r>
        <w:rPr>
          <w:rFonts w:ascii="宋体" w:hAnsi="宋体"/>
          <w:color w:val="auto"/>
        </w:rPr>
        <w:t>45%</w:t>
      </w:r>
      <w:r>
        <w:rPr>
          <w:rFonts w:hint="eastAsia" w:ascii="宋体" w:hAnsi="宋体"/>
          <w:color w:val="auto"/>
        </w:rPr>
        <w:t>；</w:t>
      </w:r>
    </w:p>
    <w:p w14:paraId="12630834">
      <w:pPr>
        <w:spacing w:line="360" w:lineRule="auto"/>
        <w:ind w:firstLine="420" w:firstLineChars="200"/>
        <w:rPr>
          <w:rFonts w:ascii="宋体" w:hAnsi="宋体"/>
          <w:color w:val="auto"/>
        </w:rPr>
      </w:pPr>
      <w:r>
        <w:rPr>
          <w:rFonts w:ascii="宋体" w:hAnsi="宋体"/>
          <w:color w:val="auto"/>
        </w:rPr>
        <w:t>4.</w:t>
      </w:r>
      <w:r>
        <w:rPr>
          <w:rFonts w:hint="eastAsia" w:ascii="宋体" w:hAnsi="宋体"/>
          <w:color w:val="auto"/>
        </w:rPr>
        <w:t>评审委员会基于专业判断，认为供应商报价过低，有可能影响产品质量或者不能诚信履约的其他情形。</w:t>
      </w:r>
    </w:p>
    <w:p w14:paraId="279752D4">
      <w:pPr>
        <w:spacing w:line="360" w:lineRule="auto"/>
        <w:ind w:firstLine="420" w:firstLineChars="200"/>
        <w:rPr>
          <w:rFonts w:ascii="宋体" w:hAnsi="宋体"/>
          <w:color w:val="auto"/>
        </w:rPr>
      </w:pPr>
      <w:r>
        <w:rPr>
          <w:rFonts w:hint="eastAsia" w:ascii="宋体" w:hAnsi="宋体"/>
          <w:color w:val="auto"/>
        </w:rPr>
        <w:t>评审委员会启动异常低价投标（响应）审查后，属于前述第</w:t>
      </w:r>
      <w:r>
        <w:rPr>
          <w:rFonts w:ascii="宋体" w:hAnsi="宋体"/>
          <w:color w:val="auto"/>
        </w:rPr>
        <w:t>1</w:t>
      </w:r>
      <w:r>
        <w:rPr>
          <w:rFonts w:hint="eastAsia" w:ascii="宋体" w:hAnsi="宋体"/>
          <w:color w:val="auto"/>
        </w:rPr>
        <w:t>项至第</w:t>
      </w:r>
      <w:r>
        <w:rPr>
          <w:rFonts w:ascii="宋体" w:hAnsi="宋体"/>
          <w:color w:val="auto"/>
        </w:rPr>
        <w:t>4</w:t>
      </w:r>
      <w:r>
        <w:rPr>
          <w:rFonts w:hint="eastAsia" w:ascii="宋体" w:hAnsi="宋体"/>
          <w:color w:val="auto"/>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auto"/>
        </w:rPr>
        <w:t>30</w:t>
      </w:r>
      <w:r>
        <w:rPr>
          <w:rFonts w:hint="eastAsia" w:ascii="宋体" w:hAnsi="宋体"/>
          <w:color w:val="auto"/>
        </w:rPr>
        <w:t>分钟。其中，属于第</w:t>
      </w:r>
      <w:r>
        <w:rPr>
          <w:rFonts w:ascii="宋体" w:hAnsi="宋体"/>
          <w:color w:val="auto"/>
        </w:rPr>
        <w:t>3</w:t>
      </w:r>
      <w:r>
        <w:rPr>
          <w:rFonts w:hint="eastAsia" w:ascii="宋体" w:hAnsi="宋体"/>
          <w:color w:val="auto"/>
        </w:rPr>
        <w:t>项情形，供应商已随投标（响应）文件一并提交相关书面说明及必要的证明材料的，在评审现场可不再重复提交。</w:t>
      </w:r>
    </w:p>
    <w:p w14:paraId="203E31EC">
      <w:pPr>
        <w:spacing w:line="360" w:lineRule="auto"/>
        <w:ind w:firstLine="420" w:firstLineChars="200"/>
        <w:rPr>
          <w:rFonts w:ascii="宋体" w:hAnsi="宋体"/>
          <w:color w:val="auto"/>
        </w:rPr>
      </w:pPr>
      <w:r>
        <w:rPr>
          <w:rFonts w:hint="eastAsia" w:ascii="宋体" w:hAnsi="宋体"/>
          <w:color w:val="auto"/>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86DD832">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10.5 投标人应在《开标一览表》、《分项报价》等标明投标货物和服务的单价、总价以及分项报价。投标人系</w:t>
      </w:r>
      <w:r>
        <w:rPr>
          <w:rFonts w:hint="eastAsia" w:ascii="宋体" w:hAnsi="宋体"/>
          <w:b/>
          <w:bCs/>
          <w:color w:val="auto"/>
          <w:kern w:val="0"/>
          <w:szCs w:val="21"/>
        </w:rPr>
        <w:t>小型、微型企业，并提供本企业制造的货物、承担的工程或者服务，</w:t>
      </w:r>
      <w:r>
        <w:rPr>
          <w:rFonts w:hint="eastAsia" w:ascii="宋体" w:hAnsi="宋体"/>
          <w:color w:val="auto"/>
          <w:kern w:val="0"/>
          <w:szCs w:val="21"/>
        </w:rPr>
        <w:t>或者提供其他小型、微型企业制造的货物，须在《开标一览表》、《分项报价》中注明。</w:t>
      </w:r>
    </w:p>
    <w:p w14:paraId="274CC74E">
      <w:pPr>
        <w:widowControl/>
        <w:spacing w:line="360" w:lineRule="auto"/>
        <w:ind w:firstLine="420"/>
        <w:rPr>
          <w:rFonts w:ascii="宋体" w:cs="宋体"/>
          <w:color w:val="auto"/>
          <w:kern w:val="0"/>
          <w:szCs w:val="21"/>
        </w:rPr>
      </w:pPr>
      <w:r>
        <w:rPr>
          <w:rFonts w:hint="eastAsia" w:ascii="宋体" w:hAnsi="宋体"/>
          <w:color w:val="auto"/>
          <w:kern w:val="0"/>
          <w:szCs w:val="21"/>
        </w:rPr>
        <w:t>10.6</w:t>
      </w:r>
      <w:r>
        <w:rPr>
          <w:rFonts w:hint="eastAsia" w:ascii="宋体" w:hAnsi="宋体"/>
          <w:b/>
          <w:bCs/>
          <w:color w:val="auto"/>
          <w:kern w:val="0"/>
          <w:szCs w:val="21"/>
        </w:rPr>
        <w:t>本项目预算为：详见第一章</w:t>
      </w:r>
      <w:r>
        <w:rPr>
          <w:rFonts w:hint="eastAsia" w:ascii="宋体" w:hAnsi="宋体"/>
          <w:bCs/>
          <w:color w:val="auto"/>
          <w:kern w:val="0"/>
          <w:szCs w:val="21"/>
        </w:rPr>
        <w:t>。</w:t>
      </w:r>
    </w:p>
    <w:p w14:paraId="70E67E15">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11、投标文件的其他部分</w:t>
      </w:r>
    </w:p>
    <w:p w14:paraId="1DE9DF38">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11.1 其他部分由投标人根据编制投标文件需要提供的其他相关文件组成。</w:t>
      </w:r>
    </w:p>
    <w:p w14:paraId="33C5EF2A">
      <w:pPr>
        <w:widowControl/>
        <w:shd w:val="clear" w:color="auto" w:fill="FFFFFF"/>
        <w:spacing w:line="360" w:lineRule="auto"/>
        <w:ind w:firstLine="420"/>
        <w:rPr>
          <w:rFonts w:ascii="宋体" w:hAnsi="宋体"/>
          <w:b/>
          <w:bCs/>
          <w:color w:val="auto"/>
          <w:kern w:val="0"/>
          <w:szCs w:val="21"/>
        </w:rPr>
      </w:pPr>
      <w:r>
        <w:rPr>
          <w:rFonts w:hint="eastAsia" w:ascii="宋体" w:hAnsi="宋体"/>
          <w:b/>
          <w:bCs/>
          <w:color w:val="auto"/>
          <w:kern w:val="0"/>
          <w:szCs w:val="21"/>
        </w:rPr>
        <w:t>12、投标保证金</w:t>
      </w:r>
    </w:p>
    <w:p w14:paraId="038EBE5D">
      <w:pPr>
        <w:spacing w:line="360" w:lineRule="auto"/>
        <w:ind w:firstLine="424" w:firstLineChars="202"/>
        <w:rPr>
          <w:rFonts w:ascii="宋体" w:hAnsi="宋体"/>
          <w:b/>
          <w:color w:val="auto"/>
          <w:szCs w:val="21"/>
        </w:rPr>
      </w:pPr>
      <w:r>
        <w:rPr>
          <w:rFonts w:hint="eastAsia" w:ascii="宋体" w:hAnsi="宋体"/>
          <w:b/>
          <w:color w:val="auto"/>
          <w:szCs w:val="21"/>
        </w:rPr>
        <w:t>12.1投标保证金的交纳办法：交纳金额及交纳账号详见招标公告，投标保证金作为投标文件必要组成部分，投标保证金有效期应当与投标有效期一致。</w:t>
      </w:r>
    </w:p>
    <w:p w14:paraId="463824D2">
      <w:pPr>
        <w:spacing w:line="360" w:lineRule="auto"/>
        <w:ind w:firstLine="424" w:firstLineChars="202"/>
        <w:rPr>
          <w:rFonts w:ascii="宋体" w:hAnsi="宋体"/>
          <w:b/>
          <w:bCs/>
          <w:color w:val="auto"/>
          <w:szCs w:val="21"/>
        </w:rPr>
      </w:pPr>
      <w:r>
        <w:rPr>
          <w:rFonts w:hint="eastAsia" w:ascii="宋体" w:hAnsi="宋体"/>
          <w:color w:val="auto"/>
        </w:rPr>
        <w:t>12.2 联合体投标的，以牵头方名义提交投标保证金的，对联合体各方均具有约束力。</w:t>
      </w:r>
    </w:p>
    <w:p w14:paraId="57D3950C">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12.3采购人或者采购代理机构将自</w:t>
      </w:r>
      <w:r>
        <w:rPr>
          <w:color w:val="auto"/>
        </w:rPr>
        <w:fldChar w:fldCharType="begin"/>
      </w:r>
      <w:r>
        <w:rPr>
          <w:color w:val="auto"/>
        </w:rPr>
        <w:instrText xml:space="preserve"> HYPERLINK "http://lilun.caigou2003.com/recijiedu/2539156.html" \t "_blank" </w:instrText>
      </w:r>
      <w:r>
        <w:rPr>
          <w:color w:val="auto"/>
        </w:rPr>
        <w:fldChar w:fldCharType="separate"/>
      </w:r>
      <w:r>
        <w:rPr>
          <w:rFonts w:hint="eastAsia" w:ascii="宋体" w:hAnsi="宋体"/>
          <w:color w:val="auto"/>
          <w:kern w:val="0"/>
          <w:szCs w:val="21"/>
        </w:rPr>
        <w:t>中标通知书</w:t>
      </w:r>
      <w:r>
        <w:rPr>
          <w:rFonts w:hint="eastAsia" w:ascii="宋体" w:hAnsi="宋体"/>
          <w:color w:val="auto"/>
          <w:kern w:val="0"/>
          <w:szCs w:val="21"/>
        </w:rPr>
        <w:fldChar w:fldCharType="end"/>
      </w:r>
      <w:r>
        <w:rPr>
          <w:rFonts w:hint="eastAsia" w:ascii="宋体" w:hAnsi="宋体"/>
          <w:color w:val="auto"/>
          <w:kern w:val="0"/>
          <w:szCs w:val="21"/>
        </w:rPr>
        <w:t>发出之日起</w:t>
      </w:r>
      <w:r>
        <w:rPr>
          <w:rFonts w:ascii="宋体" w:hAnsi="宋体"/>
          <w:color w:val="auto"/>
          <w:kern w:val="0"/>
          <w:szCs w:val="21"/>
        </w:rPr>
        <w:t>5</w:t>
      </w:r>
      <w:r>
        <w:rPr>
          <w:rFonts w:hint="eastAsia" w:ascii="宋体" w:hAnsi="宋体"/>
          <w:color w:val="auto"/>
          <w:kern w:val="0"/>
          <w:szCs w:val="21"/>
        </w:rPr>
        <w:t>个工作日内退还未中标人的投标保证金，自采购合同签订之日起</w:t>
      </w:r>
      <w:r>
        <w:rPr>
          <w:rFonts w:ascii="宋体" w:hAnsi="宋体"/>
          <w:color w:val="auto"/>
          <w:kern w:val="0"/>
          <w:szCs w:val="21"/>
        </w:rPr>
        <w:t>5</w:t>
      </w:r>
      <w:r>
        <w:rPr>
          <w:rFonts w:hint="eastAsia" w:ascii="宋体" w:hAnsi="宋体"/>
          <w:color w:val="auto"/>
          <w:kern w:val="0"/>
          <w:szCs w:val="21"/>
        </w:rPr>
        <w:t>个工作日内退还中标人的投标保证金。未中标供应商应</w:t>
      </w:r>
      <w:r>
        <w:rPr>
          <w:rFonts w:hint="eastAsia" w:ascii="宋体" w:hAnsi="宋体"/>
          <w:b/>
          <w:bCs/>
          <w:color w:val="auto"/>
          <w:kern w:val="0"/>
          <w:szCs w:val="21"/>
        </w:rPr>
        <w:t>主动与投标文件接收人联系办理投标保证金退还事宜，以及办理退还手续，</w:t>
      </w:r>
      <w:r>
        <w:rPr>
          <w:rFonts w:hint="eastAsia" w:ascii="宋体" w:hAnsi="宋体"/>
          <w:color w:val="auto"/>
          <w:kern w:val="0"/>
          <w:szCs w:val="21"/>
        </w:rPr>
        <w:t>由于投标人自身原因未及时办理投标保证金退还的，其责任和由此造成的后果由投标人自行承担。</w:t>
      </w:r>
    </w:p>
    <w:p w14:paraId="27DCB2C4">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12.4 发生下列情况之一的，投标保证金不予退还：</w:t>
      </w:r>
    </w:p>
    <w:p w14:paraId="39962DB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（1）投标有效期内撤回其投标的；</w:t>
      </w:r>
    </w:p>
    <w:p w14:paraId="62A2EFC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（2）中标通知书发出后三十天内，中标供应商未与采购人签订合同的；</w:t>
      </w:r>
    </w:p>
    <w:p w14:paraId="5C2C5B9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（3）提供虚假材料谋取中标的；</w:t>
      </w:r>
    </w:p>
    <w:p w14:paraId="6F6D48B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（4）经查实属于串通投标的等。</w:t>
      </w:r>
    </w:p>
    <w:p w14:paraId="730670AA">
      <w:pPr>
        <w:widowControl/>
        <w:shd w:val="clear" w:color="auto" w:fill="FFFFFF"/>
        <w:spacing w:line="360" w:lineRule="auto"/>
        <w:ind w:firstLine="420"/>
        <w:rPr>
          <w:rFonts w:ascii="宋体" w:hAnsi="宋体"/>
          <w:b/>
          <w:bCs/>
          <w:color w:val="auto"/>
          <w:kern w:val="0"/>
          <w:szCs w:val="21"/>
        </w:rPr>
      </w:pPr>
      <w:r>
        <w:rPr>
          <w:rFonts w:hint="eastAsia" w:ascii="宋体" w:hAnsi="宋体"/>
          <w:b/>
          <w:bCs/>
          <w:color w:val="auto"/>
          <w:kern w:val="0"/>
          <w:szCs w:val="21"/>
        </w:rPr>
        <w:t>13、投标有效期</w:t>
      </w:r>
    </w:p>
    <w:p w14:paraId="5F35810D">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13.1 自开标之日起</w:t>
      </w:r>
      <w:r>
        <w:rPr>
          <w:rFonts w:hint="eastAsia" w:ascii="宋体" w:hAnsi="宋体"/>
          <w:b/>
          <w:color w:val="auto"/>
          <w:kern w:val="0"/>
          <w:szCs w:val="21"/>
        </w:rPr>
        <w:t>90</w:t>
      </w:r>
      <w:r>
        <w:rPr>
          <w:rFonts w:hint="eastAsia" w:ascii="宋体" w:hAnsi="宋体"/>
          <w:color w:val="auto"/>
          <w:kern w:val="0"/>
          <w:szCs w:val="21"/>
        </w:rPr>
        <w:t>天内投标有效</w:t>
      </w:r>
      <w:r>
        <w:rPr>
          <w:rFonts w:hint="eastAsia" w:ascii="宋体" w:hAnsi="宋体"/>
          <w:b/>
          <w:color w:val="auto"/>
        </w:rPr>
        <w:t>，投标有效期从提交投标文件的截止之日起算。投标文件中承诺的投标有效期应当不少于招标文件中载明的投标有效期。</w:t>
      </w:r>
    </w:p>
    <w:p w14:paraId="485398B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13.2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12F93C23">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14、投标文件的制作和签署</w:t>
      </w:r>
    </w:p>
    <w:p w14:paraId="783683E7">
      <w:pPr>
        <w:spacing w:line="500" w:lineRule="exact"/>
        <w:ind w:firstLine="420"/>
        <w:rPr>
          <w:rFonts w:ascii="宋体" w:hAnsi="宋体" w:cs="宋体"/>
          <w:bCs/>
          <w:color w:val="auto"/>
          <w:szCs w:val="21"/>
        </w:rPr>
      </w:pPr>
      <w:r>
        <w:rPr>
          <w:rFonts w:hint="eastAsia" w:ascii="宋体" w:hAnsi="宋体" w:cs="宋体"/>
          <w:bCs/>
          <w:color w:val="auto"/>
          <w:szCs w:val="21"/>
        </w:rPr>
        <w:t>14.1</w:t>
      </w:r>
      <w:r>
        <w:rPr>
          <w:rFonts w:hint="eastAsia" w:ascii="宋体" w:hAnsi="宋体" w:cs="宋体"/>
          <w:color w:val="auto"/>
          <w:szCs w:val="21"/>
        </w:rPr>
        <w:t>投标人应当按照《操作手册》规定，在招标公告规定的投标截止时间前制作并上传电子投标文件。</w:t>
      </w:r>
      <w:r>
        <w:rPr>
          <w:rFonts w:hint="eastAsia" w:ascii="宋体" w:hAnsi="宋体" w:cs="宋体"/>
          <w:color w:val="auto"/>
          <w:szCs w:val="21"/>
          <w:lang w:val="zh-CN"/>
        </w:rPr>
        <w:t>招标代理机构拒绝接收提交</w:t>
      </w:r>
      <w:r>
        <w:rPr>
          <w:rFonts w:hint="eastAsia" w:ascii="宋体" w:hAnsi="宋体" w:cs="宋体"/>
          <w:color w:val="auto"/>
          <w:szCs w:val="21"/>
        </w:rPr>
        <w:t>投标</w:t>
      </w:r>
      <w:r>
        <w:rPr>
          <w:rFonts w:hint="eastAsia" w:ascii="宋体" w:hAnsi="宋体" w:cs="宋体"/>
          <w:color w:val="auto"/>
          <w:szCs w:val="21"/>
          <w:lang w:val="zh-CN"/>
        </w:rPr>
        <w:t>文件截止时间后上传的任何电子</w:t>
      </w:r>
      <w:r>
        <w:rPr>
          <w:rFonts w:hint="eastAsia" w:ascii="宋体" w:hAnsi="宋体" w:cs="宋体"/>
          <w:color w:val="auto"/>
          <w:szCs w:val="21"/>
        </w:rPr>
        <w:t>投标</w:t>
      </w:r>
      <w:r>
        <w:rPr>
          <w:rFonts w:hint="eastAsia" w:ascii="宋体" w:hAnsi="宋体" w:cs="宋体"/>
          <w:color w:val="auto"/>
          <w:szCs w:val="21"/>
          <w:lang w:val="zh-CN"/>
        </w:rPr>
        <w:t>文件。</w:t>
      </w:r>
    </w:p>
    <w:p w14:paraId="3A2E568F">
      <w:pPr>
        <w:spacing w:line="500" w:lineRule="exact"/>
        <w:ind w:firstLine="420"/>
        <w:rPr>
          <w:rFonts w:ascii="宋体" w:hAnsi="宋体" w:cs="宋体"/>
          <w:b/>
          <w:bCs/>
          <w:color w:val="auto"/>
          <w:szCs w:val="21"/>
        </w:rPr>
      </w:pPr>
      <w:r>
        <w:rPr>
          <w:rFonts w:hint="eastAsia" w:ascii="宋体" w:hAnsi="宋体" w:cs="宋体"/>
          <w:bCs/>
          <w:color w:val="auto"/>
          <w:szCs w:val="21"/>
        </w:rPr>
        <w:t>14.2</w:t>
      </w:r>
      <w:r>
        <w:rPr>
          <w:rFonts w:hint="eastAsia" w:ascii="宋体" w:hAnsi="宋体" w:cs="宋体"/>
          <w:b/>
          <w:bCs/>
          <w:color w:val="auto"/>
          <w:szCs w:val="21"/>
        </w:rPr>
        <w:t>投标文件应加盖CA电子公章并由投标人法定代表人（单位负责人）或其授权代表签字或盖章。若为授权代表负责的，须提供法定代表人出具的</w:t>
      </w:r>
      <w:r>
        <w:rPr>
          <w:rFonts w:hint="eastAsia" w:ascii="宋体" w:hAnsi="宋体" w:cs="宋体"/>
          <w:bCs/>
          <w:color w:val="auto"/>
          <w:szCs w:val="21"/>
        </w:rPr>
        <w:t>“</w:t>
      </w:r>
      <w:r>
        <w:rPr>
          <w:rFonts w:hint="eastAsia" w:ascii="宋体" w:hAnsi="宋体" w:cs="宋体"/>
          <w:b/>
          <w:bCs/>
          <w:color w:val="auto"/>
          <w:szCs w:val="21"/>
        </w:rPr>
        <w:t>法定代表人授权书”授权其负责本项目投标。</w:t>
      </w:r>
    </w:p>
    <w:p w14:paraId="48D01AE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14.3投标文件规定盖章的地方，应盖单位公章或电子公章（文件中的单位盖章、印章、公章等处均仅指与投标人名称全称相一致的标准公章），如投标人为自然人可不加盖公章，仅由本人签字）。</w:t>
      </w:r>
    </w:p>
    <w:p w14:paraId="0A7B4A78">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15、投标费用</w:t>
      </w:r>
    </w:p>
    <w:p w14:paraId="32FCE37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15.1 投标人应承担所有与准备和参加投标有关的费用，无论采购结果如何，采购代理机构和采购人在任何情况下均无义务和责任承担这些费用。</w:t>
      </w:r>
    </w:p>
    <w:p w14:paraId="0BFA8826">
      <w:pPr>
        <w:adjustRightInd w:val="0"/>
        <w:snapToGrid w:val="0"/>
        <w:spacing w:line="360" w:lineRule="auto"/>
        <w:ind w:firstLine="420" w:firstLineChars="200"/>
        <w:rPr>
          <w:rFonts w:ascii="宋体" w:hAnsi="宋体"/>
          <w:b/>
          <w:color w:val="auto"/>
          <w:kern w:val="0"/>
          <w:szCs w:val="21"/>
          <w:u w:val="single"/>
        </w:rPr>
      </w:pPr>
      <w:r>
        <w:rPr>
          <w:rFonts w:hint="eastAsia" w:ascii="宋体" w:hAnsi="宋体"/>
          <w:b/>
          <w:color w:val="auto"/>
          <w:kern w:val="0"/>
          <w:szCs w:val="21"/>
        </w:rPr>
        <w:t>15.2 招标代理服务费：</w:t>
      </w:r>
      <w:r>
        <w:rPr>
          <w:rFonts w:hint="eastAsia" w:ascii="宋体" w:hAnsi="宋体"/>
          <w:b/>
          <w:color w:val="auto"/>
          <w:kern w:val="0"/>
          <w:szCs w:val="21"/>
          <w:u w:val="single"/>
        </w:rPr>
        <w:t>本次招标投标人无需考虑招标代理费，由采购人支付。</w:t>
      </w:r>
    </w:p>
    <w:p w14:paraId="566F472D">
      <w:pPr>
        <w:adjustRightInd w:val="0"/>
        <w:snapToGrid w:val="0"/>
        <w:spacing w:line="360" w:lineRule="auto"/>
        <w:ind w:firstLine="420" w:firstLineChars="200"/>
        <w:rPr>
          <w:rFonts w:ascii="宋体" w:hAnsi="宋体"/>
          <w:color w:val="auto"/>
          <w:kern w:val="0"/>
          <w:szCs w:val="21"/>
        </w:rPr>
      </w:pPr>
      <w:r>
        <w:rPr>
          <w:rFonts w:hint="eastAsia" w:ascii="宋体" w:hAnsi="宋体"/>
          <w:b/>
          <w:bCs/>
          <w:color w:val="auto"/>
          <w:kern w:val="0"/>
          <w:szCs w:val="21"/>
        </w:rPr>
        <w:t>四、投标文件的递交</w:t>
      </w:r>
    </w:p>
    <w:p w14:paraId="4DBEB9B3">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16、投标文件的递交</w:t>
      </w:r>
    </w:p>
    <w:p w14:paraId="23F6DE9D">
      <w:pPr>
        <w:spacing w:line="500" w:lineRule="exact"/>
        <w:ind w:firstLine="420"/>
        <w:jc w:val="left"/>
        <w:rPr>
          <w:rFonts w:ascii="宋体" w:hAnsi="宋体" w:cs="宋体"/>
          <w:color w:val="auto"/>
          <w:szCs w:val="21"/>
        </w:rPr>
      </w:pPr>
      <w:r>
        <w:rPr>
          <w:rFonts w:hint="eastAsia" w:ascii="宋体" w:hAnsi="宋体" w:cs="宋体"/>
          <w:color w:val="auto"/>
          <w:szCs w:val="21"/>
        </w:rPr>
        <w:t>投标人应当按照《操作手册》规定，在招标公告规定的投标截止时间前制作并上传电子投标文件。</w:t>
      </w:r>
      <w:r>
        <w:rPr>
          <w:rFonts w:hint="eastAsia" w:ascii="宋体" w:hAnsi="宋体" w:cs="宋体"/>
          <w:color w:val="auto"/>
          <w:szCs w:val="21"/>
          <w:lang w:val="zh-CN"/>
        </w:rPr>
        <w:t>招标代理机构拒绝接收提交</w:t>
      </w:r>
      <w:r>
        <w:rPr>
          <w:rFonts w:hint="eastAsia" w:ascii="宋体" w:hAnsi="宋体" w:cs="宋体"/>
          <w:color w:val="auto"/>
          <w:szCs w:val="21"/>
        </w:rPr>
        <w:t>投标</w:t>
      </w:r>
      <w:r>
        <w:rPr>
          <w:rFonts w:hint="eastAsia" w:ascii="宋体" w:hAnsi="宋体" w:cs="宋体"/>
          <w:color w:val="auto"/>
          <w:szCs w:val="21"/>
          <w:lang w:val="zh-CN"/>
        </w:rPr>
        <w:t>文件截止时间后上传的任何电子</w:t>
      </w:r>
      <w:r>
        <w:rPr>
          <w:rFonts w:hint="eastAsia" w:ascii="宋体" w:hAnsi="宋体" w:cs="宋体"/>
          <w:color w:val="auto"/>
          <w:szCs w:val="21"/>
        </w:rPr>
        <w:t>投标</w:t>
      </w:r>
      <w:r>
        <w:rPr>
          <w:rFonts w:hint="eastAsia" w:ascii="宋体" w:hAnsi="宋体" w:cs="宋体"/>
          <w:color w:val="auto"/>
          <w:szCs w:val="21"/>
          <w:lang w:val="zh-CN"/>
        </w:rPr>
        <w:t>文件。</w:t>
      </w:r>
    </w:p>
    <w:p w14:paraId="69E1D262">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17、投标文件的解密：</w:t>
      </w:r>
    </w:p>
    <w:p w14:paraId="65B444F1">
      <w:pPr>
        <w:spacing w:line="500" w:lineRule="exact"/>
        <w:ind w:firstLine="420"/>
        <w:jc w:val="left"/>
        <w:rPr>
          <w:rFonts w:ascii="宋体" w:hAnsi="宋体" w:cs="宋体"/>
          <w:color w:val="auto"/>
          <w:szCs w:val="21"/>
          <w:lang w:val="zh-CN"/>
        </w:rPr>
      </w:pPr>
      <w:r>
        <w:rPr>
          <w:rFonts w:hint="eastAsia" w:ascii="宋体" w:hAnsi="宋体" w:cs="宋体"/>
          <w:color w:val="auto"/>
          <w:szCs w:val="21"/>
        </w:rPr>
        <w:t>17.1投标人</w:t>
      </w:r>
      <w:r>
        <w:rPr>
          <w:rFonts w:hint="eastAsia" w:ascii="宋体" w:hAnsi="宋体" w:cs="宋体"/>
          <w:color w:val="auto"/>
          <w:szCs w:val="21"/>
          <w:lang w:val="zh-CN"/>
        </w:rPr>
        <w:t>应当按照《操作手册》规定，在“苏采云”系统规定的时间内对</w:t>
      </w:r>
      <w:r>
        <w:rPr>
          <w:rFonts w:hint="eastAsia" w:ascii="宋体" w:hAnsi="宋体" w:cs="宋体"/>
          <w:color w:val="auto"/>
          <w:szCs w:val="21"/>
        </w:rPr>
        <w:t>投标</w:t>
      </w:r>
      <w:r>
        <w:rPr>
          <w:rFonts w:hint="eastAsia" w:ascii="宋体" w:hAnsi="宋体" w:cs="宋体"/>
          <w:color w:val="auto"/>
          <w:szCs w:val="21"/>
          <w:lang w:val="zh-CN"/>
        </w:rPr>
        <w:t>文件进行解密。</w:t>
      </w:r>
    </w:p>
    <w:p w14:paraId="243096EE">
      <w:pPr>
        <w:spacing w:line="500" w:lineRule="exact"/>
        <w:ind w:firstLine="420"/>
        <w:jc w:val="left"/>
        <w:rPr>
          <w:rFonts w:ascii="宋体" w:hAnsi="宋体" w:cs="宋体"/>
          <w:color w:val="auto"/>
          <w:szCs w:val="21"/>
        </w:rPr>
      </w:pPr>
      <w:r>
        <w:rPr>
          <w:rFonts w:hint="eastAsia" w:ascii="宋体" w:hAnsi="宋体" w:cs="宋体"/>
          <w:color w:val="auto"/>
          <w:szCs w:val="21"/>
        </w:rPr>
        <w:t>17.2投标人应充分考虑网络环境、网络带宽等因素可能对投标产生的影响，因供应商网络与电源不稳定、未按操作手册要求配置软硬件、解密锁发生故障或用错、故意不按要求时限内完成解密等自身原因，导致响应文件在规定时间内未能解密、解密失败、中断或解密超时，视为供应商撤销其响应文件，系统内响应文件将被退回。因“苏采云”系统发生故障，导致无法按时完成响应文件解密或开、评标工作无法进行的，可根据实际情况相应延迟解密时间或调整开、评标时间。本项目在限定的解密时间内，只要有一家供应商解密成功，即视为“苏采云”系统运行无故障。</w:t>
      </w:r>
    </w:p>
    <w:p w14:paraId="2F05B542">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18、投标文件的修改和撤回</w:t>
      </w:r>
    </w:p>
    <w:p w14:paraId="4F0B6ED0">
      <w:pPr>
        <w:spacing w:line="500" w:lineRule="exact"/>
        <w:ind w:firstLine="420"/>
        <w:rPr>
          <w:rFonts w:ascii="宋体" w:hAnsi="宋体" w:cs="宋体"/>
          <w:bCs/>
          <w:color w:val="auto"/>
          <w:szCs w:val="21"/>
        </w:rPr>
      </w:pPr>
      <w:r>
        <w:rPr>
          <w:rFonts w:hint="eastAsia" w:ascii="宋体" w:hAnsi="宋体" w:cs="宋体"/>
          <w:bCs/>
          <w:color w:val="auto"/>
          <w:szCs w:val="21"/>
        </w:rPr>
        <w:t>18.1投标人在递交投标文件后，可以修改或撤回其投标文件，但这种修改和撤回，必须在规定的投标截止时间前，以书面形式通知采购方。</w:t>
      </w:r>
    </w:p>
    <w:p w14:paraId="6B82454A">
      <w:pPr>
        <w:spacing w:line="500" w:lineRule="exact"/>
        <w:ind w:firstLine="420"/>
        <w:jc w:val="left"/>
        <w:rPr>
          <w:rFonts w:ascii="宋体" w:hAnsi="宋体" w:cs="宋体"/>
          <w:color w:val="auto"/>
          <w:szCs w:val="21"/>
        </w:rPr>
      </w:pPr>
      <w:r>
        <w:rPr>
          <w:rFonts w:hint="eastAsia" w:ascii="宋体" w:hAnsi="宋体" w:cs="宋体"/>
          <w:bCs/>
          <w:color w:val="auto"/>
          <w:szCs w:val="21"/>
        </w:rPr>
        <w:t>18.2</w:t>
      </w:r>
      <w:r>
        <w:rPr>
          <w:rFonts w:hint="eastAsia" w:ascii="宋体" w:hAnsi="宋体" w:cs="宋体"/>
          <w:color w:val="auto"/>
          <w:szCs w:val="21"/>
        </w:rPr>
        <w:t>投标人对投标文件的补充、修改的内容应当按照采购文件要求签署、盖章，作为投标文件的组成部分。</w:t>
      </w:r>
    </w:p>
    <w:p w14:paraId="013A96C4">
      <w:pPr>
        <w:spacing w:line="500" w:lineRule="exact"/>
        <w:ind w:firstLine="420"/>
        <w:rPr>
          <w:rFonts w:ascii="宋体" w:hAnsi="宋体" w:cs="宋体"/>
          <w:bCs/>
          <w:color w:val="auto"/>
          <w:szCs w:val="21"/>
        </w:rPr>
      </w:pPr>
      <w:r>
        <w:rPr>
          <w:rFonts w:hint="eastAsia" w:ascii="宋体" w:hAnsi="宋体" w:cs="宋体"/>
          <w:bCs/>
          <w:color w:val="auto"/>
          <w:szCs w:val="21"/>
        </w:rPr>
        <w:t>18.3 在投标截止时间之后，投标人不得对其投标文件作任何修改。</w:t>
      </w:r>
    </w:p>
    <w:p w14:paraId="11B75FA7">
      <w:pPr>
        <w:spacing w:line="500" w:lineRule="exact"/>
        <w:ind w:firstLine="420"/>
        <w:rPr>
          <w:rFonts w:ascii="宋体" w:hAnsi="宋体" w:cs="宋体"/>
          <w:bCs/>
          <w:color w:val="auto"/>
          <w:szCs w:val="21"/>
        </w:rPr>
      </w:pPr>
      <w:r>
        <w:rPr>
          <w:rFonts w:hint="eastAsia" w:ascii="宋体" w:hAnsi="宋体" w:cs="宋体"/>
          <w:bCs/>
          <w:color w:val="auto"/>
          <w:szCs w:val="21"/>
        </w:rPr>
        <w:t>18.4 在投标截止时间至采购文件中规定的投标有效期满之间的这段时间内，投标人不得撤回其投标。</w:t>
      </w:r>
    </w:p>
    <w:p w14:paraId="30D3DEA8">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19、诚实信用</w:t>
      </w:r>
    </w:p>
    <w:p w14:paraId="394901B6">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19.1投标人应当遵循公平竞争的原则，不得恶意串通，不得妨碍其他投标人的竞争行为，不得损害采购人或者其他投标人的合法权益。</w:t>
      </w:r>
    </w:p>
    <w:p w14:paraId="1CB70AE8">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19.2在评标过程中发现投标人有上述情形的，评标委员会应当认定其投标无效，并书面报告本级财政部门。</w:t>
      </w:r>
    </w:p>
    <w:p w14:paraId="42C02120">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五、开标、评标与定标</w:t>
      </w:r>
    </w:p>
    <w:p w14:paraId="3F59C718">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20、开标</w:t>
      </w:r>
    </w:p>
    <w:p w14:paraId="34B996C2">
      <w:pPr>
        <w:spacing w:line="500" w:lineRule="exact"/>
        <w:ind w:firstLine="420"/>
        <w:rPr>
          <w:rFonts w:ascii="宋体" w:hAnsi="宋体"/>
          <w:color w:val="auto"/>
          <w:kern w:val="0"/>
          <w:szCs w:val="21"/>
        </w:rPr>
      </w:pPr>
      <w:r>
        <w:rPr>
          <w:rFonts w:hint="eastAsia" w:ascii="宋体" w:hAnsi="宋体"/>
          <w:color w:val="auto"/>
          <w:kern w:val="0"/>
          <w:szCs w:val="21"/>
        </w:rPr>
        <w:t>20.1 采购代理机构将在招标文件确定的时间和地点进行公开开标。投标人按照《操作手册》规定参加开标活动，并在“苏采云”系统规定的时间内对投标文件进行解密。“苏采云”系统公布各投标人名称和投标价格。</w:t>
      </w:r>
    </w:p>
    <w:p w14:paraId="0487806C">
      <w:pPr>
        <w:spacing w:line="500" w:lineRule="exact"/>
        <w:ind w:firstLine="420"/>
        <w:rPr>
          <w:rFonts w:ascii="宋体" w:hAnsi="宋体"/>
          <w:color w:val="auto"/>
          <w:kern w:val="0"/>
          <w:szCs w:val="21"/>
        </w:rPr>
      </w:pPr>
      <w:r>
        <w:rPr>
          <w:rFonts w:hint="eastAsia" w:ascii="宋体" w:hAnsi="宋体"/>
          <w:color w:val="auto"/>
          <w:kern w:val="0"/>
          <w:szCs w:val="21"/>
        </w:rPr>
        <w:t>20.2投标人在开标过程中涉及到的投标文件解密、开标结果确认等工作，应按照《操作手册》规定执行。</w:t>
      </w:r>
    </w:p>
    <w:p w14:paraId="6AE0924F">
      <w:pPr>
        <w:spacing w:line="500" w:lineRule="exact"/>
        <w:ind w:firstLine="420"/>
        <w:rPr>
          <w:rFonts w:ascii="宋体" w:hAnsi="宋体"/>
          <w:color w:val="auto"/>
          <w:kern w:val="0"/>
          <w:szCs w:val="21"/>
        </w:rPr>
      </w:pPr>
      <w:r>
        <w:rPr>
          <w:rFonts w:hint="eastAsia" w:ascii="宋体" w:hAnsi="宋体"/>
          <w:color w:val="auto"/>
          <w:kern w:val="0"/>
          <w:szCs w:val="21"/>
        </w:rPr>
        <w:t>20.3投标人不足3家的，不得开标。</w:t>
      </w:r>
    </w:p>
    <w:p w14:paraId="6CACB1F5">
      <w:pPr>
        <w:spacing w:line="500" w:lineRule="exact"/>
        <w:ind w:firstLine="420"/>
        <w:rPr>
          <w:rFonts w:ascii="宋体" w:hAnsi="宋体"/>
          <w:color w:val="auto"/>
          <w:kern w:val="0"/>
          <w:szCs w:val="21"/>
        </w:rPr>
      </w:pPr>
      <w:r>
        <w:rPr>
          <w:rFonts w:hint="eastAsia" w:ascii="宋体" w:hAnsi="宋体"/>
          <w:color w:val="auto"/>
          <w:kern w:val="0"/>
          <w:szCs w:val="21"/>
        </w:rPr>
        <w:t>20.4投标人如果对开标过程和开标结果有疑义，应当根据《操作手册》规定提出，“苏采云”系统中《开标记录表》公布后5分钟内未提出的，视同认可开标结果。</w:t>
      </w:r>
    </w:p>
    <w:p w14:paraId="3C8EA34E">
      <w:pPr>
        <w:spacing w:line="360" w:lineRule="auto"/>
        <w:ind w:firstLine="420" w:firstLineChars="200"/>
        <w:rPr>
          <w:rFonts w:ascii="宋体" w:hAnsi="宋体"/>
          <w:color w:val="auto"/>
        </w:rPr>
      </w:pPr>
      <w:r>
        <w:rPr>
          <w:rFonts w:hint="eastAsia" w:ascii="宋体" w:hAnsi="宋体"/>
          <w:color w:val="auto"/>
        </w:rPr>
        <w:t>20.5投标人未参加开标的，视同认可开标结果。</w:t>
      </w:r>
    </w:p>
    <w:p w14:paraId="6781B733">
      <w:pPr>
        <w:spacing w:line="360" w:lineRule="auto"/>
        <w:ind w:firstLine="420" w:firstLineChars="200"/>
        <w:rPr>
          <w:rFonts w:ascii="宋体" w:hAnsi="宋体"/>
          <w:color w:val="auto"/>
        </w:rPr>
      </w:pPr>
      <w:r>
        <w:rPr>
          <w:rFonts w:hint="eastAsia" w:ascii="宋体" w:hAnsi="宋体"/>
          <w:color w:val="auto"/>
        </w:rPr>
        <w:t>20.6公开招标数额标准以上的采购项目，投标截止后投标人不足3家或者通过资格审查或符合性审查的投标人不足3家的，除采购任务取消情形外，按照以下方式处理：</w:t>
      </w:r>
    </w:p>
    <w:p w14:paraId="0E49B926">
      <w:pPr>
        <w:spacing w:line="360" w:lineRule="auto"/>
        <w:ind w:firstLine="420" w:firstLineChars="200"/>
        <w:rPr>
          <w:rFonts w:ascii="宋体" w:hAnsi="宋体"/>
          <w:color w:val="auto"/>
        </w:rPr>
      </w:pPr>
      <w:r>
        <w:rPr>
          <w:rFonts w:hint="eastAsia" w:ascii="宋体" w:hAnsi="宋体"/>
          <w:color w:val="auto"/>
        </w:rPr>
        <w:t>（1）招标文件存在不合理条款或者招标程序不符合规定的，采购人、采购代理机构改正后依法重新招标；</w:t>
      </w:r>
    </w:p>
    <w:p w14:paraId="60B8DBD3">
      <w:pPr>
        <w:widowControl/>
        <w:shd w:val="clear" w:color="auto" w:fill="FFFFFF"/>
        <w:spacing w:line="360" w:lineRule="auto"/>
        <w:ind w:firstLine="420"/>
        <w:rPr>
          <w:rFonts w:ascii="宋体" w:hAnsi="宋体"/>
          <w:color w:val="auto"/>
          <w:kern w:val="0"/>
          <w:szCs w:val="21"/>
        </w:rPr>
      </w:pPr>
      <w:r>
        <w:rPr>
          <w:rFonts w:hint="eastAsia" w:ascii="宋体" w:hAnsi="宋体"/>
          <w:color w:val="auto"/>
        </w:rPr>
        <w:t>（2）招标文件没有不合理条款、招标程序符合规定，需要采用其他采购方式采购的，采购人依法报财政部门批准，</w:t>
      </w:r>
      <w:r>
        <w:rPr>
          <w:rFonts w:hint="eastAsia" w:ascii="宋体" w:hAnsi="宋体"/>
          <w:color w:val="auto"/>
          <w:kern w:val="0"/>
          <w:szCs w:val="21"/>
        </w:rPr>
        <w:t>经批准后，可变更为其他采购方式采购。</w:t>
      </w:r>
    </w:p>
    <w:p w14:paraId="0B80CE4B">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21、评标</w:t>
      </w:r>
    </w:p>
    <w:p w14:paraId="79544DA8">
      <w:pPr>
        <w:widowControl/>
        <w:shd w:val="clear" w:color="auto" w:fill="FFFFFF"/>
        <w:spacing w:line="360" w:lineRule="auto"/>
        <w:ind w:firstLine="420"/>
        <w:rPr>
          <w:rFonts w:ascii="宋体" w:hAnsi="宋体"/>
          <w:b/>
          <w:bCs/>
          <w:color w:val="auto"/>
          <w:kern w:val="0"/>
          <w:szCs w:val="21"/>
        </w:rPr>
      </w:pPr>
      <w:r>
        <w:rPr>
          <w:rFonts w:hint="eastAsia" w:ascii="宋体" w:hAnsi="宋体"/>
          <w:b/>
          <w:bCs/>
          <w:color w:val="auto"/>
          <w:kern w:val="0"/>
          <w:szCs w:val="21"/>
        </w:rPr>
        <w:t xml:space="preserve">21.1 </w:t>
      </w:r>
      <w:r>
        <w:rPr>
          <w:rFonts w:hint="eastAsia" w:ascii="宋体" w:hAnsi="宋体"/>
          <w:color w:val="auto"/>
        </w:rPr>
        <w:t>招标人或者招标代理机构和</w:t>
      </w:r>
      <w:r>
        <w:rPr>
          <w:rFonts w:hint="eastAsia" w:ascii="宋体" w:hAnsi="宋体"/>
          <w:b/>
          <w:bCs/>
          <w:color w:val="auto"/>
          <w:kern w:val="0"/>
          <w:szCs w:val="21"/>
        </w:rPr>
        <w:t>评标委员会</w:t>
      </w:r>
    </w:p>
    <w:p w14:paraId="41F2FBD0">
      <w:pPr>
        <w:spacing w:line="480" w:lineRule="exact"/>
        <w:ind w:firstLine="420" w:firstLineChars="200"/>
        <w:rPr>
          <w:rFonts w:ascii="宋体" w:hAnsi="宋体"/>
          <w:color w:val="auto"/>
        </w:rPr>
      </w:pPr>
      <w:r>
        <w:rPr>
          <w:rFonts w:hint="eastAsia" w:ascii="宋体" w:hAnsi="宋体"/>
          <w:b/>
          <w:bCs/>
          <w:color w:val="auto"/>
          <w:kern w:val="0"/>
          <w:szCs w:val="21"/>
        </w:rPr>
        <w:t>21.1.1</w:t>
      </w:r>
      <w:r>
        <w:rPr>
          <w:rFonts w:hint="eastAsia" w:ascii="宋体" w:hAnsi="宋体"/>
          <w:color w:val="auto"/>
        </w:rPr>
        <w:t>招标人或者招标代理机构负责组织评标工作，并履行下列职责：</w:t>
      </w:r>
    </w:p>
    <w:p w14:paraId="68069643">
      <w:pPr>
        <w:spacing w:line="480" w:lineRule="exact"/>
        <w:ind w:firstLine="630" w:firstLineChars="300"/>
        <w:rPr>
          <w:rFonts w:ascii="宋体" w:hAnsi="宋体"/>
          <w:color w:val="auto"/>
        </w:rPr>
      </w:pPr>
      <w:r>
        <w:rPr>
          <w:rFonts w:hint="eastAsia" w:ascii="宋体" w:hAnsi="宋体"/>
          <w:color w:val="auto"/>
        </w:rPr>
        <w:t>（1）核对评审专家身份和招标人代表授权函，对评审专家在政府采购活动中的职责履行情况予以记录，并及时将有关违法违规行为向财政部门报告；</w:t>
      </w:r>
    </w:p>
    <w:p w14:paraId="1019F421">
      <w:pPr>
        <w:spacing w:line="480" w:lineRule="exact"/>
        <w:ind w:firstLine="630" w:firstLineChars="300"/>
        <w:rPr>
          <w:rFonts w:ascii="宋体" w:hAnsi="宋体"/>
          <w:color w:val="auto"/>
        </w:rPr>
      </w:pPr>
      <w:r>
        <w:rPr>
          <w:rFonts w:hint="eastAsia" w:ascii="宋体" w:hAnsi="宋体"/>
          <w:color w:val="auto"/>
        </w:rPr>
        <w:t>（2）宣布评标纪律；</w:t>
      </w:r>
    </w:p>
    <w:p w14:paraId="430AED4C">
      <w:pPr>
        <w:spacing w:line="480" w:lineRule="exact"/>
        <w:ind w:firstLine="630" w:firstLineChars="300"/>
        <w:rPr>
          <w:rFonts w:ascii="宋体" w:hAnsi="宋体"/>
          <w:color w:val="auto"/>
        </w:rPr>
      </w:pPr>
      <w:r>
        <w:rPr>
          <w:rFonts w:hint="eastAsia" w:ascii="宋体" w:hAnsi="宋体"/>
          <w:color w:val="auto"/>
        </w:rPr>
        <w:t>（3）公布投标人名单，告知评审专家应当回避的情形；</w:t>
      </w:r>
    </w:p>
    <w:p w14:paraId="580C7E89">
      <w:pPr>
        <w:spacing w:line="480" w:lineRule="exact"/>
        <w:ind w:firstLine="630" w:firstLineChars="300"/>
        <w:rPr>
          <w:rFonts w:ascii="宋体" w:hAnsi="宋体"/>
          <w:color w:val="auto"/>
        </w:rPr>
      </w:pPr>
      <w:r>
        <w:rPr>
          <w:rFonts w:hint="eastAsia" w:ascii="宋体" w:hAnsi="宋体"/>
          <w:color w:val="auto"/>
        </w:rPr>
        <w:t>（4）组织评标委员会推选评标组长，招标人代表不得担任组长；</w:t>
      </w:r>
    </w:p>
    <w:p w14:paraId="69A968AC">
      <w:pPr>
        <w:spacing w:line="480" w:lineRule="exact"/>
        <w:ind w:firstLine="630" w:firstLineChars="300"/>
        <w:rPr>
          <w:rFonts w:ascii="宋体" w:hAnsi="宋体"/>
          <w:color w:val="auto"/>
        </w:rPr>
      </w:pPr>
      <w:r>
        <w:rPr>
          <w:rFonts w:hint="eastAsia" w:ascii="宋体" w:hAnsi="宋体"/>
          <w:color w:val="auto"/>
        </w:rPr>
        <w:t>（5）在评标期间采取必要的通讯管理措施，保证评标活动不受外界干扰；</w:t>
      </w:r>
    </w:p>
    <w:p w14:paraId="00878FE2">
      <w:pPr>
        <w:spacing w:line="480" w:lineRule="exact"/>
        <w:ind w:firstLine="630" w:firstLineChars="300"/>
        <w:rPr>
          <w:rFonts w:ascii="宋体" w:hAnsi="宋体"/>
          <w:color w:val="auto"/>
        </w:rPr>
      </w:pPr>
      <w:r>
        <w:rPr>
          <w:rFonts w:hint="eastAsia" w:ascii="宋体" w:hAnsi="宋体"/>
          <w:color w:val="auto"/>
        </w:rPr>
        <w:t>（6）根据评标委员会的要求介绍政府采购相关政策法规、招标文件；</w:t>
      </w:r>
    </w:p>
    <w:p w14:paraId="4F035564">
      <w:pPr>
        <w:spacing w:line="480" w:lineRule="exact"/>
        <w:ind w:firstLine="630" w:firstLineChars="300"/>
        <w:rPr>
          <w:rFonts w:ascii="宋体" w:hAnsi="宋体"/>
          <w:color w:val="auto"/>
        </w:rPr>
      </w:pPr>
      <w:r>
        <w:rPr>
          <w:rFonts w:hint="eastAsia" w:ascii="宋体" w:hAnsi="宋体"/>
          <w:color w:val="auto"/>
        </w:rPr>
        <w:t>（7）维护评标秩序，监督评标委员会依照招标文件规定的评标程序、方法和标准进行独立评审，及时制止和纠正招标人代表、评审专家的倾向性言论或者违法违规行为；</w:t>
      </w:r>
    </w:p>
    <w:p w14:paraId="56622D3E">
      <w:pPr>
        <w:spacing w:line="480" w:lineRule="exact"/>
        <w:ind w:firstLine="630" w:firstLineChars="300"/>
        <w:rPr>
          <w:rFonts w:ascii="宋体" w:hAnsi="宋体"/>
          <w:color w:val="auto"/>
        </w:rPr>
      </w:pPr>
      <w:r>
        <w:rPr>
          <w:rFonts w:hint="eastAsia" w:ascii="宋体" w:hAnsi="宋体"/>
          <w:color w:val="auto"/>
        </w:rPr>
        <w:t>（8）核对评标结果，有本办法第六十四条规定情形的，要求评标委员会复核或者书面说明理由，评标委员会拒绝的，应予记录并向本级财政部门报告；</w:t>
      </w:r>
    </w:p>
    <w:p w14:paraId="3E383D28">
      <w:pPr>
        <w:spacing w:line="480" w:lineRule="exact"/>
        <w:ind w:firstLine="630" w:firstLineChars="300"/>
        <w:rPr>
          <w:rFonts w:ascii="宋体" w:hAnsi="宋体"/>
          <w:color w:val="auto"/>
        </w:rPr>
      </w:pPr>
      <w:r>
        <w:rPr>
          <w:rFonts w:hint="eastAsia" w:ascii="宋体" w:hAnsi="宋体"/>
          <w:color w:val="auto"/>
        </w:rPr>
        <w:t>（9）评审工作完成后，按照规定向评审专家支付劳务报酬和异地评审差旅费，不得向评审专家以外的其他人员支付评审劳务报酬；</w:t>
      </w:r>
    </w:p>
    <w:p w14:paraId="7B4C2E1B">
      <w:pPr>
        <w:spacing w:line="480" w:lineRule="exact"/>
        <w:ind w:firstLine="630" w:firstLineChars="300"/>
        <w:rPr>
          <w:rFonts w:ascii="宋体" w:hAnsi="宋体"/>
          <w:color w:val="auto"/>
        </w:rPr>
      </w:pPr>
      <w:r>
        <w:rPr>
          <w:rFonts w:hint="eastAsia" w:ascii="宋体" w:hAnsi="宋体"/>
          <w:color w:val="auto"/>
        </w:rPr>
        <w:t>（10）处理与评标有关的其他事项。</w:t>
      </w:r>
    </w:p>
    <w:p w14:paraId="14085465">
      <w:pPr>
        <w:widowControl/>
        <w:shd w:val="clear" w:color="auto" w:fill="FFFFFF"/>
        <w:spacing w:line="360" w:lineRule="auto"/>
        <w:ind w:firstLine="420"/>
        <w:rPr>
          <w:rFonts w:ascii="宋体" w:hAnsi="宋体"/>
          <w:bCs/>
          <w:color w:val="auto"/>
          <w:kern w:val="0"/>
          <w:szCs w:val="21"/>
        </w:rPr>
      </w:pPr>
      <w:r>
        <w:rPr>
          <w:rFonts w:hint="eastAsia" w:ascii="宋体" w:hAnsi="宋体"/>
          <w:b/>
          <w:bCs/>
          <w:color w:val="auto"/>
          <w:kern w:val="0"/>
          <w:szCs w:val="21"/>
        </w:rPr>
        <w:t>21.1.2</w:t>
      </w:r>
      <w:r>
        <w:rPr>
          <w:rFonts w:hint="eastAsia" w:ascii="宋体" w:hAnsi="宋体"/>
          <w:bCs/>
          <w:color w:val="auto"/>
          <w:kern w:val="0"/>
          <w:szCs w:val="21"/>
        </w:rPr>
        <w:t>评标委员会负责具体评标事务，并独立履行下列职责：</w:t>
      </w:r>
    </w:p>
    <w:p w14:paraId="37970D34">
      <w:pPr>
        <w:widowControl/>
        <w:shd w:val="clear" w:color="auto" w:fill="FFFFFF"/>
        <w:spacing w:line="360" w:lineRule="auto"/>
        <w:ind w:firstLine="420"/>
        <w:rPr>
          <w:rFonts w:ascii="宋体" w:hAnsi="宋体"/>
          <w:bCs/>
          <w:color w:val="auto"/>
          <w:kern w:val="0"/>
          <w:szCs w:val="21"/>
        </w:rPr>
      </w:pPr>
      <w:r>
        <w:rPr>
          <w:rFonts w:hint="eastAsia" w:ascii="宋体" w:hAnsi="宋体"/>
          <w:bCs/>
          <w:color w:val="auto"/>
          <w:kern w:val="0"/>
          <w:szCs w:val="21"/>
        </w:rPr>
        <w:t>（一）审查、评价投标文件是否符合招标文件的商务、技术等实质性要求；</w:t>
      </w:r>
    </w:p>
    <w:p w14:paraId="2DFE4A3B">
      <w:pPr>
        <w:widowControl/>
        <w:shd w:val="clear" w:color="auto" w:fill="FFFFFF"/>
        <w:spacing w:line="360" w:lineRule="auto"/>
        <w:ind w:firstLine="420"/>
        <w:rPr>
          <w:rFonts w:ascii="宋体" w:hAnsi="宋体"/>
          <w:bCs/>
          <w:color w:val="auto"/>
          <w:kern w:val="0"/>
          <w:szCs w:val="21"/>
        </w:rPr>
      </w:pPr>
      <w:r>
        <w:rPr>
          <w:rFonts w:hint="eastAsia" w:ascii="宋体" w:hAnsi="宋体"/>
          <w:bCs/>
          <w:color w:val="auto"/>
          <w:kern w:val="0"/>
          <w:szCs w:val="21"/>
        </w:rPr>
        <w:t>（二）要求投标人对投标文件有关事项作出澄清或者说明；</w:t>
      </w:r>
    </w:p>
    <w:p w14:paraId="66D11770">
      <w:pPr>
        <w:widowControl/>
        <w:shd w:val="clear" w:color="auto" w:fill="FFFFFF"/>
        <w:spacing w:line="360" w:lineRule="auto"/>
        <w:ind w:firstLine="420"/>
        <w:rPr>
          <w:rFonts w:ascii="宋体" w:hAnsi="宋体"/>
          <w:bCs/>
          <w:color w:val="auto"/>
          <w:kern w:val="0"/>
          <w:szCs w:val="21"/>
        </w:rPr>
      </w:pPr>
      <w:r>
        <w:rPr>
          <w:rFonts w:hint="eastAsia" w:ascii="宋体" w:hAnsi="宋体"/>
          <w:bCs/>
          <w:color w:val="auto"/>
          <w:kern w:val="0"/>
          <w:szCs w:val="21"/>
        </w:rPr>
        <w:t>（三）对投标文件进行比较和评价；</w:t>
      </w:r>
    </w:p>
    <w:p w14:paraId="59AFF758">
      <w:pPr>
        <w:widowControl/>
        <w:shd w:val="clear" w:color="auto" w:fill="FFFFFF"/>
        <w:spacing w:line="360" w:lineRule="auto"/>
        <w:ind w:firstLine="420"/>
        <w:rPr>
          <w:rFonts w:ascii="宋体" w:hAnsi="宋体"/>
          <w:bCs/>
          <w:color w:val="auto"/>
          <w:kern w:val="0"/>
          <w:szCs w:val="21"/>
        </w:rPr>
      </w:pPr>
      <w:r>
        <w:rPr>
          <w:rFonts w:hint="eastAsia" w:ascii="宋体" w:hAnsi="宋体"/>
          <w:bCs/>
          <w:color w:val="auto"/>
          <w:kern w:val="0"/>
          <w:szCs w:val="21"/>
        </w:rPr>
        <w:t>（四）确定中标候选人名单，以及根据采购人委托直接确定中标人；</w:t>
      </w:r>
    </w:p>
    <w:p w14:paraId="7D5125FC">
      <w:pPr>
        <w:widowControl/>
        <w:shd w:val="clear" w:color="auto" w:fill="FFFFFF"/>
        <w:spacing w:line="360" w:lineRule="auto"/>
        <w:ind w:firstLine="420"/>
        <w:rPr>
          <w:rFonts w:ascii="宋体" w:hAnsi="宋体"/>
          <w:color w:val="auto"/>
          <w:kern w:val="0"/>
          <w:szCs w:val="21"/>
        </w:rPr>
      </w:pPr>
      <w:r>
        <w:rPr>
          <w:rFonts w:hint="eastAsia" w:ascii="宋体" w:hAnsi="宋体"/>
          <w:bCs/>
          <w:color w:val="auto"/>
          <w:kern w:val="0"/>
          <w:szCs w:val="21"/>
        </w:rPr>
        <w:t>（五）向采购人、采购代理机构或者有关部门报告评标中发现的违法行为。</w:t>
      </w:r>
    </w:p>
    <w:p w14:paraId="57E7367D">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 xml:space="preserve">21.1.3 </w:t>
      </w:r>
      <w:r>
        <w:rPr>
          <w:rFonts w:hint="eastAsia" w:ascii="宋体" w:hAnsi="宋体"/>
          <w:color w:val="auto"/>
          <w:kern w:val="0"/>
          <w:szCs w:val="21"/>
        </w:rPr>
        <w:t>评标委员会由采购人代表和有关技术、经济等方面的专家组成，独立开展评审工作。</w:t>
      </w:r>
    </w:p>
    <w:p w14:paraId="152FA7D3">
      <w:pPr>
        <w:widowControl/>
        <w:shd w:val="clear" w:color="auto" w:fill="FFFFFF"/>
        <w:spacing w:line="360" w:lineRule="auto"/>
        <w:ind w:firstLine="420"/>
        <w:jc w:val="left"/>
        <w:rPr>
          <w:rFonts w:ascii="宋体" w:hAnsi="宋体"/>
          <w:color w:val="auto"/>
          <w:kern w:val="0"/>
          <w:szCs w:val="21"/>
        </w:rPr>
      </w:pPr>
      <w:r>
        <w:rPr>
          <w:rFonts w:hint="eastAsia" w:ascii="宋体" w:hAnsi="宋体"/>
          <w:b/>
          <w:bCs/>
          <w:color w:val="auto"/>
          <w:kern w:val="0"/>
          <w:szCs w:val="21"/>
        </w:rPr>
        <w:t>21.2  评标程序</w:t>
      </w:r>
    </w:p>
    <w:p w14:paraId="56DFBAA1">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 xml:space="preserve">21.2.1 </w:t>
      </w:r>
      <w:r>
        <w:rPr>
          <w:rFonts w:hint="eastAsia" w:ascii="宋体" w:hAnsi="宋体"/>
          <w:b/>
          <w:bCs/>
          <w:color w:val="auto"/>
          <w:kern w:val="0"/>
          <w:szCs w:val="21"/>
        </w:rPr>
        <w:t>投标文件的资格性检查。</w:t>
      </w:r>
      <w:r>
        <w:rPr>
          <w:rFonts w:hint="eastAsia" w:ascii="宋体" w:hAnsi="宋体"/>
          <w:b/>
          <w:color w:val="auto"/>
          <w:kern w:val="0"/>
          <w:szCs w:val="21"/>
        </w:rPr>
        <w:t>公开招标采购项目开标结束后，采购人或者采购代理机构应当依法对投标人的资格进行审查。合格投标人不足</w:t>
      </w:r>
      <w:r>
        <w:rPr>
          <w:rFonts w:ascii="宋体" w:hAnsi="宋体"/>
          <w:b/>
          <w:color w:val="auto"/>
          <w:kern w:val="0"/>
          <w:szCs w:val="21"/>
        </w:rPr>
        <w:t>3</w:t>
      </w:r>
      <w:r>
        <w:rPr>
          <w:rFonts w:hint="eastAsia" w:ascii="宋体" w:hAnsi="宋体"/>
          <w:b/>
          <w:color w:val="auto"/>
          <w:kern w:val="0"/>
          <w:szCs w:val="21"/>
        </w:rPr>
        <w:t>家的，不得评标。</w:t>
      </w:r>
    </w:p>
    <w:p w14:paraId="2CADC6B6">
      <w:pPr>
        <w:spacing w:line="480" w:lineRule="exact"/>
        <w:ind w:firstLine="420" w:firstLineChars="200"/>
        <w:rPr>
          <w:rFonts w:ascii="宋体" w:hAnsi="宋体"/>
          <w:color w:val="auto"/>
        </w:rPr>
      </w:pPr>
      <w:r>
        <w:rPr>
          <w:rFonts w:hint="eastAsia" w:ascii="宋体" w:hAnsi="宋体"/>
          <w:b/>
          <w:bCs/>
          <w:color w:val="auto"/>
          <w:kern w:val="0"/>
          <w:szCs w:val="21"/>
        </w:rPr>
        <w:t>21.2.2投标文件的符合性审查</w:t>
      </w:r>
      <w:r>
        <w:rPr>
          <w:rFonts w:hint="eastAsia" w:ascii="宋体" w:hAnsi="宋体"/>
          <w:color w:val="auto"/>
          <w:kern w:val="0"/>
          <w:szCs w:val="21"/>
        </w:rPr>
        <w:t>。评标委员会对通过资格性检查的投标人的投标文件进行符合性审查，以确定其是否响应招标文件的实质性要求。</w:t>
      </w:r>
      <w:r>
        <w:rPr>
          <w:rFonts w:hint="eastAsia" w:ascii="宋体" w:hAnsi="宋体"/>
          <w:color w:val="auto"/>
        </w:rPr>
        <w:t>实质性响应的投标应该是与招标文件要求的全部条款、条件和规格相符，没有重大偏离或保留的投标。</w:t>
      </w:r>
    </w:p>
    <w:p w14:paraId="21D309FB">
      <w:pPr>
        <w:spacing w:line="460" w:lineRule="exact"/>
        <w:ind w:firstLine="420" w:firstLineChars="200"/>
        <w:rPr>
          <w:rFonts w:ascii="宋体" w:hAnsi="宋体"/>
          <w:bCs/>
          <w:color w:val="auto"/>
        </w:rPr>
      </w:pPr>
      <w:r>
        <w:rPr>
          <w:rFonts w:hint="eastAsia" w:ascii="宋体" w:hAnsi="宋体"/>
          <w:color w:val="auto"/>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ascii="宋体" w:hAnsi="宋体"/>
          <w:bCs/>
          <w:color w:val="auto"/>
        </w:rPr>
        <w:t>评委决定投标文件的响应性只根据投标文件本身的内容，而不寻求外部的证据。</w:t>
      </w:r>
    </w:p>
    <w:p w14:paraId="35F79178">
      <w:pPr>
        <w:widowControl/>
        <w:shd w:val="clear" w:color="auto" w:fill="FFFFFF"/>
        <w:spacing w:line="360" w:lineRule="auto"/>
        <w:ind w:firstLine="420"/>
        <w:rPr>
          <w:rFonts w:ascii="宋体" w:hAnsi="宋体"/>
          <w:b/>
          <w:bCs/>
          <w:color w:val="auto"/>
          <w:kern w:val="0"/>
          <w:szCs w:val="21"/>
        </w:rPr>
      </w:pPr>
      <w:r>
        <w:rPr>
          <w:rFonts w:hint="eastAsia" w:ascii="宋体" w:hAnsi="宋体"/>
          <w:b/>
          <w:bCs/>
          <w:color w:val="auto"/>
          <w:kern w:val="0"/>
          <w:szCs w:val="21"/>
        </w:rPr>
        <w:t>21.2.2.1 实质性要求是指本招标文件中用带星号（“</w:t>
      </w:r>
      <w:r>
        <w:rPr>
          <w:rFonts w:hint="eastAsia" w:ascii="宋体"/>
          <w:b/>
          <w:bCs/>
          <w:color w:val="auto"/>
        </w:rPr>
        <w:t>*</w:t>
      </w:r>
      <w:r>
        <w:rPr>
          <w:rFonts w:hint="eastAsia" w:ascii="宋体" w:hAnsi="宋体"/>
          <w:b/>
          <w:bCs/>
          <w:color w:val="auto"/>
          <w:kern w:val="0"/>
          <w:szCs w:val="21"/>
        </w:rPr>
        <w:t>”）、“必须”或“应（应当）”等其他文字说明的商务和技术要求。</w:t>
      </w:r>
    </w:p>
    <w:p w14:paraId="0FC1464D">
      <w:pPr>
        <w:widowControl/>
        <w:shd w:val="clear" w:color="auto" w:fill="FFFFFF"/>
        <w:spacing w:line="360" w:lineRule="auto"/>
        <w:ind w:firstLine="420"/>
        <w:jc w:val="left"/>
        <w:rPr>
          <w:rFonts w:ascii="宋体" w:hAnsi="宋体"/>
          <w:color w:val="auto"/>
          <w:kern w:val="0"/>
          <w:szCs w:val="21"/>
        </w:rPr>
      </w:pPr>
      <w:r>
        <w:rPr>
          <w:rFonts w:hint="eastAsia" w:ascii="宋体" w:hAnsi="宋体"/>
          <w:b/>
          <w:bCs/>
          <w:color w:val="auto"/>
          <w:kern w:val="0"/>
          <w:szCs w:val="21"/>
        </w:rPr>
        <w:t>21.2.2.2</w:t>
      </w:r>
      <w:r>
        <w:rPr>
          <w:rFonts w:hint="eastAsia" w:ascii="宋体" w:hAnsi="宋体"/>
          <w:color w:val="auto"/>
          <w:kern w:val="0"/>
          <w:szCs w:val="21"/>
        </w:rPr>
        <w:t>投标文件有下列情况之一的，按照无效投标处理：</w:t>
      </w:r>
    </w:p>
    <w:p w14:paraId="08297C11">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（1）未按投标邀请规定的数额和办法交纳投标保证金的；</w:t>
      </w:r>
    </w:p>
    <w:p w14:paraId="038E2F26">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（2）未按照招标文件规定要求密封、签署、盖章的</w:t>
      </w:r>
      <w:r>
        <w:rPr>
          <w:rFonts w:hint="eastAsia" w:ascii="宋体" w:hAnsi="宋体"/>
          <w:b/>
          <w:bCs/>
          <w:color w:val="auto"/>
          <w:kern w:val="0"/>
          <w:szCs w:val="21"/>
        </w:rPr>
        <w:t>；</w:t>
      </w:r>
    </w:p>
    <w:p w14:paraId="2ECF4013">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（3）不具备招标文件中规定资格要求的；</w:t>
      </w:r>
    </w:p>
    <w:p w14:paraId="23826E11">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（4）报价超过招标文件中规定的预算金额或者最高限价的；</w:t>
      </w:r>
    </w:p>
    <w:p w14:paraId="7CFB78C1">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（5）投标文件含有采购人不能接受的附加条件的；</w:t>
      </w:r>
    </w:p>
    <w:p w14:paraId="447DE34A">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（6）不同投标人的投标文件由同一单位或者个人编制；</w:t>
      </w:r>
    </w:p>
    <w:p w14:paraId="2229EFEE">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（7）不同投标人委托同一单位或者个人办理投标事宜；</w:t>
      </w:r>
    </w:p>
    <w:p w14:paraId="6B1B3F56">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（8）不同投标人的投标文件载明的项目管理成员或者联系人员为同一人；</w:t>
      </w:r>
    </w:p>
    <w:p w14:paraId="5DA99169">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（9）不同投标人的投标文件异常一致或者投标报价呈规律性差异；</w:t>
      </w:r>
    </w:p>
    <w:p w14:paraId="06FB5AEC">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（10）不同投标人的投标文件相互混装；</w:t>
      </w:r>
    </w:p>
    <w:p w14:paraId="5EFCF432">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（11）不同投标人的投标保证金从同一单位或者个人的账户转出；</w:t>
      </w:r>
    </w:p>
    <w:p w14:paraId="4F1EDF5D">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（12）服务承诺和付款条件未响应招标要求的；</w:t>
      </w:r>
    </w:p>
    <w:p w14:paraId="704633D5">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（13）提供虚假材料的（包括营业执照、财务报表、资格证明文件等）；</w:t>
      </w:r>
    </w:p>
    <w:p w14:paraId="54829B01">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14）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38D39C50">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（15）投标文件内容不全或不符合招标文件中规定的其它实质性要求的；</w:t>
      </w:r>
    </w:p>
    <w:p w14:paraId="5073735D">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（16）法律、法规和招标文件规定的其他无效情形。</w:t>
      </w:r>
    </w:p>
    <w:p w14:paraId="4C718C50">
      <w:pPr>
        <w:widowControl/>
        <w:shd w:val="clear" w:color="auto" w:fill="FFFFFF"/>
        <w:spacing w:line="360" w:lineRule="auto"/>
        <w:ind w:firstLine="420"/>
        <w:jc w:val="left"/>
        <w:rPr>
          <w:rFonts w:ascii="宋体" w:hAnsi="宋体"/>
          <w:b/>
          <w:color w:val="auto"/>
          <w:kern w:val="0"/>
          <w:szCs w:val="21"/>
        </w:rPr>
      </w:pPr>
      <w:r>
        <w:rPr>
          <w:rFonts w:hint="eastAsia" w:ascii="宋体" w:hAnsi="宋体"/>
          <w:b/>
          <w:color w:val="auto"/>
          <w:kern w:val="0"/>
          <w:szCs w:val="21"/>
        </w:rPr>
        <w:t>21.2.2.3</w:t>
      </w:r>
      <w:r>
        <w:rPr>
          <w:rFonts w:hint="eastAsia" w:ascii="宋体" w:hAnsi="宋体"/>
          <w:color w:val="auto"/>
          <w:kern w:val="0"/>
          <w:szCs w:val="21"/>
        </w:rPr>
        <w:t>有下列情形之一的予以废标：</w:t>
      </w:r>
    </w:p>
    <w:p w14:paraId="229301DF">
      <w:pPr>
        <w:widowControl/>
        <w:shd w:val="clear" w:color="auto" w:fill="FFFFFF"/>
        <w:spacing w:line="360" w:lineRule="auto"/>
        <w:ind w:firstLine="420"/>
        <w:rPr>
          <w:rFonts w:ascii="宋体"/>
          <w:color w:val="auto"/>
          <w:kern w:val="0"/>
          <w:szCs w:val="21"/>
        </w:rPr>
      </w:pPr>
      <w:r>
        <w:rPr>
          <w:rFonts w:hint="eastAsia" w:ascii="宋体" w:hAnsi="宋体"/>
          <w:color w:val="auto"/>
          <w:kern w:val="0"/>
          <w:szCs w:val="21"/>
        </w:rPr>
        <w:t>（</w:t>
      </w:r>
      <w:r>
        <w:rPr>
          <w:rFonts w:ascii="宋体" w:hAnsi="宋体"/>
          <w:color w:val="auto"/>
          <w:kern w:val="0"/>
          <w:szCs w:val="21"/>
        </w:rPr>
        <w:t>1</w:t>
      </w:r>
      <w:r>
        <w:rPr>
          <w:rFonts w:hint="eastAsia" w:ascii="宋体" w:hAnsi="宋体"/>
          <w:color w:val="auto"/>
          <w:kern w:val="0"/>
          <w:szCs w:val="21"/>
        </w:rPr>
        <w:t>）符合专业条件的供应商或者对招标文件作实质性响应的供应商不足三家的；</w:t>
      </w:r>
    </w:p>
    <w:p w14:paraId="71BB28BE">
      <w:pPr>
        <w:widowControl/>
        <w:shd w:val="clear" w:color="auto" w:fill="FFFFFF"/>
        <w:spacing w:line="360" w:lineRule="auto"/>
        <w:ind w:firstLine="420"/>
        <w:rPr>
          <w:rFonts w:ascii="宋体"/>
          <w:color w:val="auto"/>
          <w:kern w:val="0"/>
          <w:szCs w:val="21"/>
        </w:rPr>
      </w:pPr>
      <w:r>
        <w:rPr>
          <w:rFonts w:hint="eastAsia" w:ascii="宋体" w:hAnsi="宋体"/>
          <w:color w:val="auto"/>
          <w:kern w:val="0"/>
          <w:szCs w:val="21"/>
        </w:rPr>
        <w:t>（</w:t>
      </w:r>
      <w:r>
        <w:rPr>
          <w:rFonts w:ascii="宋体" w:hAnsi="宋体"/>
          <w:color w:val="auto"/>
          <w:kern w:val="0"/>
          <w:szCs w:val="21"/>
        </w:rPr>
        <w:t>2</w:t>
      </w:r>
      <w:r>
        <w:rPr>
          <w:rFonts w:hint="eastAsia" w:ascii="宋体" w:hAnsi="宋体"/>
          <w:color w:val="auto"/>
          <w:kern w:val="0"/>
          <w:szCs w:val="21"/>
        </w:rPr>
        <w:t>）出现影响采购公正的违法、违规行为的；</w:t>
      </w:r>
    </w:p>
    <w:p w14:paraId="699BA8C0">
      <w:pPr>
        <w:widowControl/>
        <w:shd w:val="clear" w:color="auto" w:fill="FFFFFF"/>
        <w:spacing w:line="360" w:lineRule="auto"/>
        <w:ind w:firstLine="420"/>
        <w:rPr>
          <w:rFonts w:ascii="宋体"/>
          <w:color w:val="auto"/>
          <w:kern w:val="0"/>
          <w:szCs w:val="21"/>
        </w:rPr>
      </w:pPr>
      <w:r>
        <w:rPr>
          <w:rFonts w:hint="eastAsia" w:ascii="宋体" w:hAnsi="宋体"/>
          <w:color w:val="auto"/>
          <w:kern w:val="0"/>
          <w:szCs w:val="21"/>
        </w:rPr>
        <w:t>（</w:t>
      </w:r>
      <w:r>
        <w:rPr>
          <w:rFonts w:ascii="宋体" w:hAnsi="宋体"/>
          <w:color w:val="auto"/>
          <w:kern w:val="0"/>
          <w:szCs w:val="21"/>
        </w:rPr>
        <w:t>3</w:t>
      </w:r>
      <w:r>
        <w:rPr>
          <w:rFonts w:hint="eastAsia" w:ascii="宋体" w:hAnsi="宋体"/>
          <w:color w:val="auto"/>
          <w:kern w:val="0"/>
          <w:szCs w:val="21"/>
        </w:rPr>
        <w:t>）投标人的报价均超过了采购预算，采购人不能支付的；</w:t>
      </w:r>
    </w:p>
    <w:p w14:paraId="55DE8342">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w:t>
      </w:r>
      <w:r>
        <w:rPr>
          <w:rFonts w:ascii="宋体" w:hAnsi="宋体"/>
          <w:color w:val="auto"/>
          <w:kern w:val="0"/>
          <w:szCs w:val="21"/>
        </w:rPr>
        <w:t>4</w:t>
      </w:r>
      <w:r>
        <w:rPr>
          <w:rFonts w:hint="eastAsia" w:ascii="宋体" w:hAnsi="宋体"/>
          <w:color w:val="auto"/>
          <w:kern w:val="0"/>
          <w:szCs w:val="21"/>
        </w:rPr>
        <w:t>）因重大变故，采购任务取消的。</w:t>
      </w:r>
    </w:p>
    <w:p w14:paraId="004DD2E2">
      <w:pPr>
        <w:widowControl/>
        <w:shd w:val="clear" w:color="auto" w:fill="FFFFFF"/>
        <w:spacing w:line="360" w:lineRule="auto"/>
        <w:ind w:firstLine="420"/>
        <w:jc w:val="left"/>
        <w:rPr>
          <w:rFonts w:ascii="宋体"/>
          <w:color w:val="auto"/>
          <w:kern w:val="0"/>
          <w:szCs w:val="21"/>
        </w:rPr>
      </w:pPr>
      <w:r>
        <w:rPr>
          <w:rFonts w:hint="eastAsia" w:ascii="宋体" w:hAnsi="宋体"/>
          <w:color w:val="auto"/>
          <w:kern w:val="0"/>
          <w:szCs w:val="21"/>
        </w:rPr>
        <w:t>在评标期间，出现符合资格性检查的供应商或者对招标文件作出实质性响应的供应商不足三家情形的，比照</w:t>
      </w:r>
      <w:r>
        <w:rPr>
          <w:rFonts w:ascii="宋体" w:hAnsi="宋体"/>
          <w:b/>
          <w:bCs/>
          <w:color w:val="auto"/>
          <w:kern w:val="0"/>
          <w:szCs w:val="21"/>
        </w:rPr>
        <w:t>2</w:t>
      </w:r>
      <w:r>
        <w:rPr>
          <w:rFonts w:hint="eastAsia" w:ascii="宋体" w:hAnsi="宋体"/>
          <w:b/>
          <w:bCs/>
          <w:color w:val="auto"/>
          <w:kern w:val="0"/>
          <w:szCs w:val="21"/>
        </w:rPr>
        <w:t>0</w:t>
      </w:r>
      <w:r>
        <w:rPr>
          <w:rFonts w:ascii="宋体" w:hAnsi="宋体"/>
          <w:b/>
          <w:bCs/>
          <w:color w:val="auto"/>
          <w:kern w:val="0"/>
          <w:szCs w:val="21"/>
        </w:rPr>
        <w:t>.6</w:t>
      </w:r>
      <w:r>
        <w:rPr>
          <w:rFonts w:hint="eastAsia" w:ascii="宋体" w:hAnsi="宋体"/>
          <w:color w:val="auto"/>
          <w:kern w:val="0"/>
          <w:szCs w:val="21"/>
        </w:rPr>
        <w:t>款执行。</w:t>
      </w:r>
    </w:p>
    <w:p w14:paraId="2304E800">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21.2.3</w:t>
      </w:r>
      <w:r>
        <w:rPr>
          <w:rFonts w:hint="eastAsia" w:ascii="宋体" w:hAnsi="宋体"/>
          <w:b/>
          <w:bCs/>
          <w:color w:val="auto"/>
          <w:kern w:val="0"/>
          <w:szCs w:val="21"/>
        </w:rPr>
        <w:t>澄清有关问题</w:t>
      </w:r>
      <w:r>
        <w:rPr>
          <w:rFonts w:hint="eastAsia" w:ascii="宋体" w:hAnsi="宋体"/>
          <w:color w:val="auto"/>
          <w:kern w:val="0"/>
          <w:szCs w:val="21"/>
        </w:rPr>
        <w:t>。</w:t>
      </w:r>
    </w:p>
    <w:p w14:paraId="4932D346">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21.2.3.1对于投标文件中含义不明确、同类问题表述不一致或者有明显文字和计算错误的内容，评标委员会应当以书面形式要求投标人作出必要的澄清、说明或者补正。</w:t>
      </w:r>
    </w:p>
    <w:p w14:paraId="522419CB">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21.2.3.2投标人的澄清、说明或者补正应当采用书面形式，并加盖公章，或者由法定代表人或其授权代表签字。投标人的澄清、说明或者补正不得超出投标文件的范围或者改变投标文件的实质性内容。</w:t>
      </w:r>
    </w:p>
    <w:p w14:paraId="600F40BB">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21.2.3.3投标文件报价出现前后不一致的，除招标文件另有规定外，按照下列规定修正：</w:t>
      </w:r>
    </w:p>
    <w:p w14:paraId="4D1A3E88">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(1) 投标文件中开标一览表（报价表）内容与投标文件中相应内容不一致的，以开标一览表（报价表）为准；</w:t>
      </w:r>
    </w:p>
    <w:p w14:paraId="5AB9679C">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(2)大写金额和小写金额不一致的，以大写金额为准；</w:t>
      </w:r>
    </w:p>
    <w:p w14:paraId="4153D71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(3)单价金额小数点或者百分比有明显错位的，以开标一览表的总价为准，并修改单价；</w:t>
      </w:r>
    </w:p>
    <w:p w14:paraId="315AD8A4">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(4)总价金额与按单价汇总金额不一致的，以单价金额计算结果为准。</w:t>
      </w:r>
    </w:p>
    <w:p w14:paraId="7EDECB17">
      <w:pPr>
        <w:widowControl/>
        <w:shd w:val="clear" w:color="auto" w:fill="FFFFFF"/>
        <w:spacing w:line="360" w:lineRule="auto"/>
        <w:ind w:firstLine="420"/>
        <w:rPr>
          <w:rFonts w:ascii="宋体" w:hAnsi="宋体"/>
          <w:b/>
          <w:color w:val="auto"/>
          <w:kern w:val="0"/>
          <w:szCs w:val="21"/>
        </w:rPr>
      </w:pPr>
      <w:r>
        <w:rPr>
          <w:rFonts w:hint="eastAsia" w:ascii="宋体" w:hAnsi="宋体"/>
          <w:color w:val="auto"/>
          <w:kern w:val="0"/>
          <w:szCs w:val="21"/>
        </w:rPr>
        <w:t>同时出现两种以上不一致的，按照前款规定的顺序修正。</w:t>
      </w:r>
      <w:r>
        <w:rPr>
          <w:rFonts w:hint="eastAsia" w:ascii="宋体" w:hAnsi="宋体"/>
          <w:b/>
          <w:color w:val="auto"/>
          <w:kern w:val="0"/>
          <w:szCs w:val="21"/>
        </w:rPr>
        <w:t>修正后的报价按照前款规定经投标人确认后产生约束力，投标人不确认的，其投标无效。</w:t>
      </w:r>
    </w:p>
    <w:p w14:paraId="6F50A2BC">
      <w:pPr>
        <w:widowControl/>
        <w:spacing w:line="500" w:lineRule="exact"/>
        <w:rPr>
          <w:rFonts w:ascii="宋体" w:hAnsi="宋体"/>
          <w:b/>
          <w:color w:val="auto"/>
          <w:sz w:val="22"/>
          <w:szCs w:val="22"/>
        </w:rPr>
      </w:pPr>
      <w:r>
        <w:rPr>
          <w:rFonts w:hint="eastAsia" w:ascii="宋体" w:hAnsi="宋体"/>
          <w:color w:val="auto"/>
          <w:kern w:val="0"/>
          <w:szCs w:val="21"/>
        </w:rPr>
        <w:t>21.2.3.4</w:t>
      </w:r>
      <w:r>
        <w:rPr>
          <w:rFonts w:hint="eastAsia" w:ascii="宋体" w:hAnsi="宋体"/>
          <w:b/>
          <w:color w:val="auto"/>
          <w:sz w:val="22"/>
          <w:szCs w:val="22"/>
        </w:rPr>
        <w:t>政府采购异常低价审查</w:t>
      </w:r>
    </w:p>
    <w:p w14:paraId="0DD3A056">
      <w:pPr>
        <w:spacing w:line="500" w:lineRule="exact"/>
        <w:ind w:firstLine="442"/>
        <w:rPr>
          <w:rFonts w:ascii="宋体" w:hAnsi="宋体" w:cs="宋体"/>
          <w:b/>
          <w:color w:val="auto"/>
          <w:sz w:val="22"/>
          <w:szCs w:val="22"/>
        </w:rPr>
      </w:pPr>
      <w:r>
        <w:rPr>
          <w:rFonts w:hint="eastAsia" w:ascii="宋体" w:hAnsi="宋体" w:cs="宋体"/>
          <w:b/>
          <w:color w:val="auto"/>
          <w:sz w:val="22"/>
          <w:szCs w:val="22"/>
        </w:rPr>
        <w:t xml:space="preserve">（一）政府采购评审中出现下列情形之一的，评审委员会启动异常低价投标（响应）审查程序： </w:t>
      </w:r>
    </w:p>
    <w:p w14:paraId="4E2F09A4">
      <w:pPr>
        <w:spacing w:line="500" w:lineRule="exact"/>
        <w:ind w:firstLine="442"/>
        <w:rPr>
          <w:rFonts w:ascii="宋体" w:hAnsi="宋体" w:cs="宋体"/>
          <w:b/>
          <w:color w:val="auto"/>
          <w:sz w:val="22"/>
          <w:szCs w:val="22"/>
        </w:rPr>
      </w:pPr>
      <w:r>
        <w:rPr>
          <w:rFonts w:hint="eastAsia" w:ascii="宋体" w:hAnsi="宋体" w:cs="宋体"/>
          <w:b/>
          <w:color w:val="auto"/>
          <w:sz w:val="22"/>
          <w:szCs w:val="22"/>
        </w:rPr>
        <w:t xml:space="preserve">1.投标（响应）报价低于全部通过符合性审查供应商投标（响应）报价平均值50%的，即投标（响应）报价&lt;全部通过符合性审查供应商投标（响应）报价平均值×50%； </w:t>
      </w:r>
    </w:p>
    <w:p w14:paraId="49BB7F06">
      <w:pPr>
        <w:spacing w:line="500" w:lineRule="exact"/>
        <w:ind w:firstLine="442"/>
        <w:rPr>
          <w:rFonts w:ascii="宋体" w:hAnsi="宋体" w:cs="宋体"/>
          <w:b/>
          <w:color w:val="auto"/>
          <w:sz w:val="22"/>
          <w:szCs w:val="22"/>
        </w:rPr>
      </w:pPr>
      <w:r>
        <w:rPr>
          <w:rFonts w:hint="eastAsia" w:ascii="宋体" w:hAnsi="宋体" w:cs="宋体"/>
          <w:b/>
          <w:color w:val="auto"/>
          <w:sz w:val="22"/>
          <w:szCs w:val="22"/>
        </w:rPr>
        <w:t xml:space="preserve">2.投标（响应）报价低于通过符合性审查的次低报价供应商投标（响应）报价50%的，即投标（响应）报价&lt;通过符合性审查的次低报价供应商投标（响应）报价×50%； </w:t>
      </w:r>
    </w:p>
    <w:p w14:paraId="292B5E21">
      <w:pPr>
        <w:spacing w:line="500" w:lineRule="exact"/>
        <w:ind w:firstLine="442"/>
        <w:rPr>
          <w:rFonts w:ascii="宋体" w:hAnsi="宋体" w:cs="宋体"/>
          <w:b/>
          <w:color w:val="auto"/>
          <w:sz w:val="22"/>
          <w:szCs w:val="22"/>
        </w:rPr>
      </w:pPr>
      <w:r>
        <w:rPr>
          <w:rFonts w:hint="eastAsia" w:ascii="宋体" w:hAnsi="宋体" w:cs="宋体"/>
          <w:b/>
          <w:color w:val="auto"/>
          <w:sz w:val="22"/>
          <w:szCs w:val="22"/>
        </w:rPr>
        <w:t xml:space="preserve">3.投标（响应）报价低于采购项目最高限价45%的，即投标（响应）报价&lt;采购项目最高限价×45%； </w:t>
      </w:r>
    </w:p>
    <w:p w14:paraId="0EA4830F">
      <w:pPr>
        <w:spacing w:line="500" w:lineRule="exact"/>
        <w:ind w:firstLine="442"/>
        <w:rPr>
          <w:rFonts w:ascii="宋体" w:hAnsi="宋体" w:cs="宋体"/>
          <w:b/>
          <w:color w:val="auto"/>
          <w:sz w:val="22"/>
          <w:szCs w:val="22"/>
        </w:rPr>
      </w:pPr>
      <w:r>
        <w:rPr>
          <w:rFonts w:hint="eastAsia" w:ascii="宋体" w:hAnsi="宋体" w:cs="宋体"/>
          <w:b/>
          <w:color w:val="auto"/>
          <w:sz w:val="22"/>
          <w:szCs w:val="22"/>
        </w:rPr>
        <w:t xml:space="preserve">4.评审委员会基于专业判断，认为供应商报价过低，有可能影响产品质量或者不能诚信履约的其他情形。 </w:t>
      </w:r>
    </w:p>
    <w:p w14:paraId="72F486D5">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采购人可以结合具体项目实际情况，提高上述第1项至第3项中启动异常低价投标（响应）审查的数值标准，</w:t>
      </w:r>
      <w:r>
        <w:rPr>
          <w:rFonts w:hint="eastAsia" w:ascii="宋体" w:hAnsi="宋体" w:cs="宋体"/>
          <w:b/>
          <w:color w:val="auto"/>
          <w:sz w:val="22"/>
          <w:szCs w:val="22"/>
        </w:rPr>
        <w:t>但是最高不得超过65%。</w:t>
      </w:r>
      <w:r>
        <w:rPr>
          <w:rFonts w:hint="eastAsia" w:ascii="宋体" w:hAnsi="宋体" w:cs="宋体"/>
          <w:bCs/>
          <w:color w:val="auto"/>
          <w:sz w:val="22"/>
          <w:szCs w:val="22"/>
        </w:rPr>
        <w:t xml:space="preserve"> </w:t>
      </w:r>
    </w:p>
    <w:p w14:paraId="37D26DEC">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 xml:space="preserve">相关法律法规对供应商报价有规定的，从其规定。 </w:t>
      </w:r>
    </w:p>
    <w:p w14:paraId="470D5CCD">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 xml:space="preserve">（二）评审委员会启动异常低价投标（响应）审查后，属于前述第1项至第4项情形的，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2C04C5E">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19FDC50C">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4EE5DE4C">
      <w:pPr>
        <w:spacing w:line="500" w:lineRule="exact"/>
        <w:ind w:firstLine="440"/>
        <w:rPr>
          <w:rFonts w:ascii="宋体" w:hAnsi="宋体" w:cs="宋体"/>
          <w:bCs/>
          <w:color w:val="auto"/>
          <w:sz w:val="22"/>
          <w:szCs w:val="22"/>
        </w:rPr>
      </w:pPr>
      <w:r>
        <w:rPr>
          <w:rFonts w:hint="eastAsia" w:ascii="宋体" w:hAnsi="宋体" w:cs="宋体"/>
          <w:bCs/>
          <w:color w:val="auto"/>
          <w:sz w:val="22"/>
          <w:szCs w:val="22"/>
        </w:rPr>
        <w:t>异常低价投标（响应）审查的启动原因、审查意见和审查结果应当在评审报告中记录，并随供应商提供的相关书面说明及证明材料，以及评审委员会有关互联网浏览、查询历史一并归档。</w:t>
      </w:r>
    </w:p>
    <w:p w14:paraId="22278D63">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21.2.4</w:t>
      </w:r>
      <w:r>
        <w:rPr>
          <w:rFonts w:hint="eastAsia" w:ascii="宋体" w:hAnsi="宋体"/>
          <w:b/>
          <w:bCs/>
          <w:color w:val="auto"/>
          <w:kern w:val="0"/>
          <w:szCs w:val="21"/>
        </w:rPr>
        <w:t>比较与评价。</w:t>
      </w:r>
      <w:r>
        <w:rPr>
          <w:rFonts w:hint="eastAsia" w:ascii="宋体" w:hAnsi="宋体"/>
          <w:color w:val="auto"/>
          <w:kern w:val="0"/>
          <w:szCs w:val="21"/>
        </w:rPr>
        <w:t>评标委员会应当按照招标文件中规定的评标方法和标准，对符合性审查合格的投标文件进行商务和技术评估，综合比较与评价。</w:t>
      </w:r>
    </w:p>
    <w:p w14:paraId="27EC684F">
      <w:pPr>
        <w:widowControl/>
        <w:shd w:val="clear" w:color="auto" w:fill="FFFFFF"/>
        <w:spacing w:line="360" w:lineRule="auto"/>
        <w:ind w:firstLine="420"/>
        <w:jc w:val="left"/>
        <w:rPr>
          <w:rFonts w:ascii="宋体" w:hAnsi="宋体"/>
          <w:color w:val="auto"/>
        </w:rPr>
      </w:pPr>
      <w:r>
        <w:rPr>
          <w:rFonts w:hint="eastAsia" w:ascii="宋体" w:hAnsi="宋体"/>
          <w:color w:val="auto"/>
          <w:kern w:val="0"/>
          <w:szCs w:val="21"/>
        </w:rPr>
        <w:t>21.2.5</w:t>
      </w:r>
      <w:r>
        <w:rPr>
          <w:rFonts w:hint="eastAsia" w:ascii="宋体" w:hAnsi="宋体"/>
          <w:color w:val="auto"/>
        </w:rPr>
        <w:t>相同品牌产品的投标</w:t>
      </w:r>
    </w:p>
    <w:p w14:paraId="4904A842">
      <w:pPr>
        <w:spacing w:line="460" w:lineRule="exact"/>
        <w:ind w:firstLine="420" w:firstLineChars="200"/>
        <w:rPr>
          <w:rFonts w:ascii="宋体" w:hAnsi="宋体"/>
          <w:bCs/>
          <w:color w:val="auto"/>
        </w:rPr>
      </w:pPr>
      <w:r>
        <w:rPr>
          <w:rFonts w:hint="eastAsia" w:ascii="宋体" w:hAnsi="宋体"/>
          <w:bCs/>
          <w:color w:val="auto"/>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DC75DA7">
      <w:pPr>
        <w:spacing w:line="460" w:lineRule="exact"/>
        <w:ind w:firstLine="420" w:firstLineChars="200"/>
        <w:rPr>
          <w:rFonts w:ascii="宋体" w:hAnsi="宋体"/>
          <w:bCs/>
          <w:color w:val="auto"/>
        </w:rPr>
      </w:pPr>
      <w:r>
        <w:rPr>
          <w:rFonts w:hint="eastAsia" w:ascii="宋体" w:hAnsi="宋体"/>
          <w:bCs/>
          <w:color w:val="auto"/>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B830EA1">
      <w:pPr>
        <w:spacing w:line="460" w:lineRule="exact"/>
        <w:ind w:firstLine="420" w:firstLineChars="200"/>
        <w:rPr>
          <w:rFonts w:ascii="宋体" w:hAnsi="宋体"/>
          <w:bCs/>
          <w:color w:val="auto"/>
        </w:rPr>
      </w:pPr>
      <w:r>
        <w:rPr>
          <w:rFonts w:hint="eastAsia" w:ascii="宋体" w:hAnsi="宋体"/>
          <w:bCs/>
          <w:color w:val="auto"/>
        </w:rPr>
        <w:t>非单一产品采购项目，采购人应当根据采购项目技术构成、产品价格比重等合理确定核心产品，并在招标文件中载明。多家投标人提供的核心产品品牌相同的，按前两款规定处理。</w:t>
      </w:r>
    </w:p>
    <w:p w14:paraId="3CDBB0F3">
      <w:pPr>
        <w:widowControl/>
        <w:shd w:val="clear" w:color="auto" w:fill="FFFFFF"/>
        <w:spacing w:line="360" w:lineRule="auto"/>
        <w:ind w:firstLine="420"/>
        <w:jc w:val="left"/>
        <w:rPr>
          <w:rFonts w:ascii="宋体" w:hAnsi="宋体"/>
          <w:color w:val="auto"/>
          <w:kern w:val="0"/>
          <w:szCs w:val="21"/>
        </w:rPr>
      </w:pPr>
      <w:r>
        <w:rPr>
          <w:rFonts w:hint="eastAsia" w:ascii="宋体" w:hAnsi="宋体"/>
          <w:b/>
          <w:bCs/>
          <w:color w:val="auto"/>
          <w:kern w:val="0"/>
          <w:szCs w:val="21"/>
        </w:rPr>
        <w:t>21.3 评标方法和标准</w:t>
      </w:r>
    </w:p>
    <w:p w14:paraId="7B521852">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21.3.1评标方法分为最低评标价法和综合评分法。本次招标的评标方法和标准，详见本招标文件第三章。</w:t>
      </w:r>
    </w:p>
    <w:p w14:paraId="01225ACF">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21.3.2最低评标价法，是指投标文件满足招标文件全部实质性要求，且投标报价最低的投标人为中标候选人的评标方法。</w:t>
      </w:r>
    </w:p>
    <w:p w14:paraId="50FD19B5">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采用最低评标价法评标时，除了算术修正和落实政府采购政策需进行的价格扣除外，不对投标人的投标价格进行任何调整。</w:t>
      </w:r>
    </w:p>
    <w:p w14:paraId="40099870">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21.3.3综合评分法，是指投标文件满足招标文件全部实质性要求，且按照评审因素的量化指标评审得分最高的投标人为中标候选人的评标方法。</w:t>
      </w:r>
    </w:p>
    <w:p w14:paraId="45085237">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评审因素，包括价格、技术、商务等。</w:t>
      </w:r>
    </w:p>
    <w:p w14:paraId="6D267149">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评标时，评标委员会各成员应当独立对每个投标人的投标文件进行评价，并汇总每个投标人的得分。</w:t>
      </w:r>
    </w:p>
    <w:p w14:paraId="10CF45C6">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价格分采用低价优先法计算，即满足招标文件要求且投标价格最低的投标报价为评标基准价，其价格分为满分。</w:t>
      </w:r>
    </w:p>
    <w:p w14:paraId="3B1BDFF7">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评标总得分＝F1×A1＋F2×A2＋……＋Fn×An</w:t>
      </w:r>
    </w:p>
    <w:p w14:paraId="0D894DBC">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F1、F2……Fn分别为各项评审因素的得分；</w:t>
      </w:r>
    </w:p>
    <w:p w14:paraId="19D2025A">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A1、A2、……An 分别为各项评审因素所占的权重(A1＋A2＋……＋An＝1)。</w:t>
      </w:r>
    </w:p>
    <w:p w14:paraId="327B98ED">
      <w:pPr>
        <w:widowControl/>
        <w:shd w:val="clear" w:color="auto" w:fill="FFFFFF"/>
        <w:spacing w:line="360" w:lineRule="auto"/>
        <w:ind w:firstLine="420"/>
        <w:jc w:val="left"/>
        <w:rPr>
          <w:rFonts w:ascii="宋体"/>
          <w:color w:val="auto"/>
          <w:kern w:val="0"/>
          <w:szCs w:val="21"/>
        </w:rPr>
      </w:pPr>
      <w:r>
        <w:rPr>
          <w:rFonts w:hint="eastAsia" w:ascii="宋体"/>
          <w:color w:val="auto"/>
          <w:kern w:val="0"/>
          <w:szCs w:val="21"/>
        </w:rPr>
        <w:t>因落实政府采购政策进行价格调整的，以调整后的价格计算评标基准价和投标报价。</w:t>
      </w:r>
    </w:p>
    <w:p w14:paraId="28374DAB">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22、确定中标供应商</w:t>
      </w:r>
    </w:p>
    <w:p w14:paraId="61CF701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 xml:space="preserve">22.1 </w:t>
      </w:r>
      <w:r>
        <w:rPr>
          <w:rFonts w:ascii="宋体" w:hAnsi="宋体"/>
          <w:color w:val="auto"/>
          <w:kern w:val="0"/>
          <w:szCs w:val="21"/>
        </w:rPr>
        <w:t>采用最低评标价法的，评标结果按投标报价由低到高顺序排列。投标报价相同的并列。投标文件满足招标文件全部实质性要求且投标报价最低的投标人为排名第一的中标候选人。</w:t>
      </w:r>
    </w:p>
    <w:p w14:paraId="70B29C7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4ACB9BEB">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22.3 中标人确定后，在省级以上财政部门指定的媒体上公告中标结果，中标公告期为1个工作日，公告的同时向中标供应商发出中标通知书。</w:t>
      </w:r>
    </w:p>
    <w:p w14:paraId="628A84E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22.4 中标通知书对采购人和中标供应商具有同等法律效力。</w:t>
      </w:r>
    </w:p>
    <w:p w14:paraId="10BA7B52">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22.5 中标通知书发出后，采购人或中标供应商拒绝签订合同的，拒绝签订合同的一方应至少向另一方支付与投标保证金相等的补偿金，以及为招标、投标所发生的有关费用和双方商定的其他补偿。</w:t>
      </w:r>
    </w:p>
    <w:p w14:paraId="74C935C6">
      <w:pPr>
        <w:widowControl/>
        <w:shd w:val="clear" w:color="auto" w:fill="FFFFFF"/>
        <w:spacing w:line="360" w:lineRule="auto"/>
        <w:ind w:firstLine="420"/>
        <w:rPr>
          <w:rFonts w:ascii="宋体" w:hAnsi="宋体"/>
          <w:b/>
          <w:color w:val="auto"/>
          <w:kern w:val="0"/>
          <w:szCs w:val="21"/>
        </w:rPr>
      </w:pPr>
      <w:r>
        <w:rPr>
          <w:rFonts w:hint="eastAsia" w:ascii="宋体" w:hAnsi="宋体"/>
          <w:b/>
          <w:color w:val="auto"/>
          <w:kern w:val="0"/>
          <w:szCs w:val="21"/>
        </w:rPr>
        <w:t>22.6 中标通知书发出后，中标供应商无正当理由不与采购人签订合同的，投标保证金不予退还；情节严重的，由财政部门将其列入不良行为记录名单，在一至三年内禁止参加政府采购活动，并予以通报。</w:t>
      </w:r>
    </w:p>
    <w:p w14:paraId="11F31DF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22.7 所有投标文件不论中标与否，均不退回。</w:t>
      </w:r>
    </w:p>
    <w:p w14:paraId="0136AEDC">
      <w:pPr>
        <w:widowControl/>
        <w:shd w:val="clear" w:color="auto" w:fill="FFFFFF"/>
        <w:spacing w:line="360" w:lineRule="auto"/>
        <w:ind w:firstLine="412"/>
        <w:rPr>
          <w:rFonts w:ascii="宋体" w:hAnsi="宋体"/>
          <w:color w:val="auto"/>
          <w:kern w:val="0"/>
          <w:szCs w:val="21"/>
        </w:rPr>
      </w:pPr>
      <w:r>
        <w:rPr>
          <w:rFonts w:hint="eastAsia" w:ascii="宋体" w:hAnsi="宋体"/>
          <w:b/>
          <w:bCs/>
          <w:color w:val="auto"/>
          <w:kern w:val="0"/>
          <w:szCs w:val="21"/>
        </w:rPr>
        <w:t>23、编写评标报告</w:t>
      </w:r>
    </w:p>
    <w:p w14:paraId="5296C1AD">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23.1评标委员会根据全体评标成员签字的原始评标记录和评标结果编写评标报告。</w:t>
      </w:r>
    </w:p>
    <w:p w14:paraId="252197A3">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24、评标过程的保密性</w:t>
      </w:r>
    </w:p>
    <w:p w14:paraId="0C10D5DF">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24.1 采购人和采购代理机构将采取必要措施，保证评标在严格保密的情况下进行。</w:t>
      </w:r>
    </w:p>
    <w:p w14:paraId="12AD4822">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24.2 任何单位和个人不得非法干预、影响评标办法的确定，以及评标过程和结果。</w:t>
      </w:r>
    </w:p>
    <w:p w14:paraId="3702BE93">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24.3 凡是与审查、澄清、评价和比较投标的有关资料等，均不向投标人及与评标无关的其他人员透露。</w:t>
      </w:r>
    </w:p>
    <w:p w14:paraId="73F42DAA">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六、签订合同</w:t>
      </w:r>
    </w:p>
    <w:p w14:paraId="4D78E4E4">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25、签订合同</w:t>
      </w:r>
    </w:p>
    <w:p w14:paraId="4CB42929">
      <w:pPr>
        <w:widowControl/>
        <w:shd w:val="clear" w:color="auto" w:fill="FFFFFF"/>
        <w:spacing w:line="360" w:lineRule="auto"/>
        <w:ind w:firstLine="420"/>
        <w:rPr>
          <w:b/>
          <w:color w:val="auto"/>
          <w:szCs w:val="21"/>
        </w:rPr>
      </w:pPr>
      <w:r>
        <w:rPr>
          <w:rFonts w:ascii="宋体" w:hAnsi="宋体"/>
          <w:color w:val="auto"/>
          <w:kern w:val="0"/>
          <w:szCs w:val="21"/>
        </w:rPr>
        <w:t>25.1采购人与中标人应当自中标通知书发出之日起30</w:t>
      </w:r>
      <w:r>
        <w:rPr>
          <w:rFonts w:hint="eastAsia" w:ascii="宋体" w:hAnsi="宋体"/>
          <w:color w:val="auto"/>
          <w:kern w:val="0"/>
          <w:szCs w:val="21"/>
        </w:rPr>
        <w:t>日内，按照招标文件和中标人投标文件的规定，签订书面合同。所签订的合同不得对招标文件确定的事项和中标人投标文件作实质性修改。</w:t>
      </w:r>
      <w:r>
        <w:rPr>
          <w:rFonts w:hint="eastAsia"/>
          <w:b/>
          <w:color w:val="auto"/>
          <w:szCs w:val="21"/>
        </w:rPr>
        <w:t>在合同签订前，</w:t>
      </w:r>
      <w:r>
        <w:rPr>
          <w:rStyle w:val="215"/>
          <w:rFonts w:hint="eastAsia"/>
          <w:b/>
          <w:bCs/>
          <w:color w:val="auto"/>
          <w:szCs w:val="21"/>
        </w:rPr>
        <w:t>须向采购人交纳履约保证金（金额为合同总价的</w:t>
      </w:r>
      <w:r>
        <w:rPr>
          <w:rStyle w:val="215"/>
          <w:b/>
          <w:bCs/>
          <w:color w:val="auto"/>
          <w:szCs w:val="21"/>
        </w:rPr>
        <w:t>10%</w:t>
      </w:r>
      <w:r>
        <w:rPr>
          <w:rStyle w:val="215"/>
          <w:rFonts w:hint="eastAsia"/>
          <w:b/>
          <w:bCs/>
          <w:color w:val="auto"/>
          <w:szCs w:val="21"/>
        </w:rPr>
        <w:t>，保证金形式为：银行保函、银行汇票、网上银行汇款、转账、专业担保公司担保、综合保险的保证担保）</w:t>
      </w:r>
      <w:r>
        <w:rPr>
          <w:rStyle w:val="215"/>
          <w:rFonts w:hint="eastAsia"/>
          <w:color w:val="auto"/>
          <w:szCs w:val="21"/>
        </w:rPr>
        <w:t>。</w:t>
      </w:r>
    </w:p>
    <w:p w14:paraId="3C29AF4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25.2采购人不得向中标人提出任何不合理的要求作为签订合同的条件。</w:t>
      </w:r>
    </w:p>
    <w:p w14:paraId="27818AC0">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25.3</w:t>
      </w:r>
      <w:r>
        <w:rPr>
          <w:rFonts w:ascii="宋体" w:hAnsi="宋体"/>
          <w:color w:val="auto"/>
          <w:kern w:val="0"/>
          <w:szCs w:val="21"/>
        </w:rPr>
        <w:t>中标</w:t>
      </w:r>
      <w:r>
        <w:rPr>
          <w:rFonts w:hint="eastAsia" w:ascii="宋体" w:hAnsi="宋体"/>
          <w:color w:val="auto"/>
          <w:kern w:val="0"/>
          <w:szCs w:val="21"/>
        </w:rPr>
        <w:t>人</w:t>
      </w:r>
      <w:r>
        <w:rPr>
          <w:rFonts w:ascii="宋体" w:hAnsi="宋体"/>
          <w:color w:val="auto"/>
          <w:kern w:val="0"/>
          <w:szCs w:val="21"/>
        </w:rPr>
        <w:t>拒绝与采购人签订合同的，采购人可以按照评审报告推荐的中标或者成交候选人名单排序，确定下一候选人为中标或者成交供应商，也可以重新开展政府采购活动。</w:t>
      </w:r>
    </w:p>
    <w:p w14:paraId="44B9E737">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 xml:space="preserve">25.4 </w:t>
      </w:r>
      <w:r>
        <w:rPr>
          <w:rFonts w:ascii="宋体" w:hAnsi="宋体"/>
          <w:color w:val="auto"/>
          <w:kern w:val="0"/>
          <w:szCs w:val="21"/>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A051044">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25.5 采购人与中标人应当根据合同的约定依法履行合同义务。</w:t>
      </w:r>
    </w:p>
    <w:p w14:paraId="40BC7F9E">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七、质疑和投诉</w:t>
      </w:r>
    </w:p>
    <w:p w14:paraId="1E1D2178">
      <w:pPr>
        <w:widowControl/>
        <w:shd w:val="clear" w:color="auto" w:fill="FFFFFF"/>
        <w:spacing w:line="360" w:lineRule="auto"/>
        <w:ind w:firstLine="420"/>
        <w:rPr>
          <w:rFonts w:ascii="宋体" w:hAnsi="宋体"/>
          <w:color w:val="auto"/>
          <w:kern w:val="0"/>
          <w:szCs w:val="21"/>
        </w:rPr>
      </w:pPr>
      <w:r>
        <w:rPr>
          <w:rFonts w:hint="eastAsia" w:ascii="宋体" w:hAnsi="宋体"/>
          <w:b/>
          <w:bCs/>
          <w:color w:val="auto"/>
          <w:kern w:val="0"/>
          <w:szCs w:val="21"/>
        </w:rPr>
        <w:t>26、质疑</w:t>
      </w:r>
    </w:p>
    <w:p w14:paraId="65A9DBDB">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26.1供应商对招标活动事项有疑问的，可以向采购代理机构提出询问，采购代理机构将依法作出答复，但答复的内容不涉及商业秘密</w:t>
      </w:r>
      <w:r>
        <w:rPr>
          <w:rFonts w:hint="eastAsia" w:ascii="宋体" w:hAnsi="宋体"/>
          <w:b/>
          <w:bCs/>
          <w:color w:val="auto"/>
          <w:kern w:val="0"/>
          <w:szCs w:val="21"/>
        </w:rPr>
        <w:t>。</w:t>
      </w:r>
    </w:p>
    <w:p w14:paraId="6453498D">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26.2</w:t>
      </w:r>
      <w:r>
        <w:rPr>
          <w:rFonts w:ascii="宋体" w:hAnsi="宋体"/>
          <w:color w:val="auto"/>
          <w:kern w:val="0"/>
          <w:szCs w:val="21"/>
        </w:rPr>
        <w:t>提出质疑的供应商应当是参与所质疑项目采购活动的供应商。潜在供应商已依法获取其可质疑的采购文件的，可以对该文件提出质疑。</w:t>
      </w:r>
    </w:p>
    <w:p w14:paraId="5C61A019">
      <w:pPr>
        <w:widowControl/>
        <w:shd w:val="clear" w:color="auto" w:fill="FFFFFF"/>
        <w:spacing w:line="360" w:lineRule="auto"/>
        <w:ind w:firstLine="420"/>
        <w:rPr>
          <w:rFonts w:ascii="宋体" w:hAnsi="宋体"/>
          <w:color w:val="auto"/>
          <w:kern w:val="0"/>
          <w:szCs w:val="21"/>
        </w:rPr>
      </w:pPr>
      <w:r>
        <w:rPr>
          <w:rFonts w:hint="eastAsia"/>
          <w:color w:val="auto"/>
          <w:szCs w:val="21"/>
        </w:rPr>
        <w:t>以联合体形式参加政府采购活动的，其质疑应当由组成联合体的所有供应商共同提出。</w:t>
      </w:r>
    </w:p>
    <w:p w14:paraId="7F5CF36A">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26.3供应商认为采购文件、采购过程和中标结果使自己的合法权益受到损害的，可以在知道或者应知其权益受到损害之日起七个工作日内，将质疑文件原件送达采购人或采购代理机构。</w:t>
      </w:r>
    </w:p>
    <w:p w14:paraId="1F910747">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供应商应知其权益受到损害之日，是指：对采购文件提出质疑的，应当在获取采购文件或者采购文件公告期限届满之日起7个工作日内提出</w:t>
      </w:r>
      <w:r>
        <w:rPr>
          <w:rFonts w:hint="eastAsia" w:ascii="宋体" w:hAnsi="宋体"/>
          <w:color w:val="auto"/>
          <w:kern w:val="0"/>
          <w:szCs w:val="21"/>
        </w:rPr>
        <w:t>；</w:t>
      </w:r>
      <w:r>
        <w:rPr>
          <w:rFonts w:ascii="宋体" w:hAnsi="宋体"/>
          <w:color w:val="auto"/>
          <w:kern w:val="0"/>
          <w:szCs w:val="21"/>
        </w:rPr>
        <w:t>对采购过程提出质疑的，为各采购程序环节结束之日；对中标或者成交结果提出质疑的，为中标或者成交结果公告期限届满之日。</w:t>
      </w:r>
    </w:p>
    <w:p w14:paraId="410E6032">
      <w:pPr>
        <w:widowControl/>
        <w:shd w:val="clear" w:color="auto" w:fill="FFFFFF"/>
        <w:spacing w:line="360" w:lineRule="auto"/>
        <w:ind w:firstLine="420"/>
        <w:rPr>
          <w:rFonts w:ascii="宋体" w:hAnsi="宋体"/>
          <w:color w:val="auto"/>
          <w:kern w:val="0"/>
          <w:szCs w:val="21"/>
        </w:rPr>
      </w:pPr>
      <w:r>
        <w:rPr>
          <w:rFonts w:hint="eastAsia" w:ascii="宋体" w:hAnsi="宋体"/>
          <w:color w:val="auto"/>
        </w:rPr>
        <w:t>供应商必须在法定质疑期内一次性提出针对同一采购程序环节的质疑。</w:t>
      </w:r>
    </w:p>
    <w:p w14:paraId="4392BC57">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 xml:space="preserve">26.4 </w:t>
      </w:r>
      <w:r>
        <w:rPr>
          <w:rFonts w:ascii="宋体" w:hAnsi="宋体"/>
          <w:color w:val="auto"/>
          <w:kern w:val="0"/>
          <w:szCs w:val="21"/>
        </w:rPr>
        <w:t>供应商提出质疑应当提交质疑函和必要的证明材料。质疑函应当包括下列内容：</w:t>
      </w:r>
    </w:p>
    <w:p w14:paraId="16E128B6">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（一）供应商的姓名或者名称、地址、邮编、联系人及联系电话；</w:t>
      </w:r>
    </w:p>
    <w:p w14:paraId="1C5B1BC8">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（二）质疑项目的名称、编号；</w:t>
      </w:r>
    </w:p>
    <w:p w14:paraId="2513B0AD">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（三）具体、明确的质疑事项和与质疑事项相关的请求</w:t>
      </w:r>
      <w:r>
        <w:rPr>
          <w:rFonts w:hint="eastAsia" w:ascii="宋体" w:hAnsi="宋体"/>
          <w:color w:val="auto"/>
          <w:kern w:val="0"/>
          <w:szCs w:val="21"/>
        </w:rPr>
        <w:t>（具体条款）</w:t>
      </w:r>
      <w:r>
        <w:rPr>
          <w:rFonts w:ascii="宋体" w:hAnsi="宋体"/>
          <w:color w:val="auto"/>
          <w:kern w:val="0"/>
          <w:szCs w:val="21"/>
        </w:rPr>
        <w:t>；</w:t>
      </w:r>
    </w:p>
    <w:p w14:paraId="241295DD">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（四）事实依据</w:t>
      </w:r>
      <w:r>
        <w:rPr>
          <w:rFonts w:hint="eastAsia" w:ascii="宋体" w:hAnsi="宋体"/>
          <w:color w:val="auto"/>
          <w:kern w:val="0"/>
          <w:szCs w:val="21"/>
        </w:rPr>
        <w:t>（具体条款）</w:t>
      </w:r>
      <w:r>
        <w:rPr>
          <w:rFonts w:ascii="宋体" w:hAnsi="宋体"/>
          <w:color w:val="auto"/>
          <w:kern w:val="0"/>
          <w:szCs w:val="21"/>
        </w:rPr>
        <w:t>；</w:t>
      </w:r>
    </w:p>
    <w:p w14:paraId="420B77A0">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（五）必要的法律依据</w:t>
      </w:r>
      <w:r>
        <w:rPr>
          <w:rFonts w:hint="eastAsia" w:ascii="宋体" w:hAnsi="宋体"/>
          <w:color w:val="auto"/>
          <w:kern w:val="0"/>
          <w:szCs w:val="21"/>
        </w:rPr>
        <w:t>（具体条款）</w:t>
      </w:r>
      <w:r>
        <w:rPr>
          <w:rFonts w:ascii="宋体" w:hAnsi="宋体"/>
          <w:color w:val="auto"/>
          <w:kern w:val="0"/>
          <w:szCs w:val="21"/>
        </w:rPr>
        <w:t>；</w:t>
      </w:r>
    </w:p>
    <w:p w14:paraId="023C859E">
      <w:pPr>
        <w:widowControl/>
        <w:shd w:val="clear" w:color="auto" w:fill="FFFFFF"/>
        <w:spacing w:line="360" w:lineRule="auto"/>
        <w:ind w:firstLine="420"/>
        <w:rPr>
          <w:rFonts w:ascii="宋体" w:hAnsi="宋体"/>
          <w:color w:val="auto"/>
          <w:kern w:val="0"/>
          <w:szCs w:val="21"/>
        </w:rPr>
      </w:pPr>
      <w:r>
        <w:rPr>
          <w:rFonts w:ascii="宋体" w:hAnsi="宋体"/>
          <w:color w:val="auto"/>
          <w:kern w:val="0"/>
          <w:szCs w:val="21"/>
        </w:rPr>
        <w:t>　　（六）提出质疑的日期。</w:t>
      </w:r>
    </w:p>
    <w:p w14:paraId="33050DD3">
      <w:pPr>
        <w:widowControl/>
        <w:shd w:val="clear" w:color="auto" w:fill="FFFFFF"/>
        <w:spacing w:line="360" w:lineRule="auto"/>
        <w:ind w:firstLine="420"/>
        <w:rPr>
          <w:color w:val="auto"/>
          <w:szCs w:val="21"/>
        </w:rPr>
      </w:pPr>
      <w:r>
        <w:rPr>
          <w:color w:val="auto"/>
          <w:szCs w:val="21"/>
        </w:rPr>
        <w:t>供应商为自然人的，应当由本人签字；供应商为法人或者其他组织的，应当由法定代表人、主要负责人，或者其授权代表签字或者盖章，并加盖公章。</w:t>
      </w:r>
      <w:r>
        <w:rPr>
          <w:rFonts w:hint="eastAsia"/>
          <w:color w:val="auto"/>
          <w:szCs w:val="21"/>
        </w:rPr>
        <w:t>代理人提出质疑和投诉，应当提交供应商签署的授权委托书。</w:t>
      </w:r>
      <w:r>
        <w:rPr>
          <w:color w:val="auto"/>
          <w:szCs w:val="21"/>
        </w:rPr>
        <w:t>其授权委托书应当载明代理人的姓名或者名称、代理事项、具体权限、期限和相关事项。</w:t>
      </w:r>
    </w:p>
    <w:p w14:paraId="06F5ABDB">
      <w:pPr>
        <w:widowControl/>
        <w:shd w:val="clear" w:color="auto" w:fill="FFFFFF"/>
        <w:spacing w:line="360" w:lineRule="auto"/>
        <w:ind w:firstLine="420"/>
        <w:rPr>
          <w:color w:val="auto"/>
          <w:szCs w:val="21"/>
        </w:rPr>
      </w:pPr>
      <w:r>
        <w:rPr>
          <w:rFonts w:hint="eastAsia"/>
          <w:color w:val="auto"/>
          <w:szCs w:val="21"/>
        </w:rPr>
        <w:t>质疑函应当使用中文。相关当事人提供外文书证或者外国语视听资料的，应当附有中文译本，由翻译机构盖章或者翻译人员签名。</w:t>
      </w:r>
    </w:p>
    <w:p w14:paraId="7A083BAE">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26.5质疑函应当现场提交至采购代理机构联系人处，提交时应出示有效身份证明。未按上述要求提交质疑函的，质疑不予受理。</w:t>
      </w:r>
    </w:p>
    <w:p w14:paraId="4C626A1C">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0C89B8D7">
      <w:pPr>
        <w:widowControl/>
        <w:shd w:val="clear" w:color="auto" w:fill="FFFFFF"/>
        <w:spacing w:line="360" w:lineRule="auto"/>
        <w:ind w:firstLine="420"/>
        <w:rPr>
          <w:rFonts w:ascii="宋体" w:hAnsi="宋体"/>
          <w:color w:val="auto"/>
          <w:kern w:val="0"/>
          <w:szCs w:val="21"/>
        </w:rPr>
      </w:pPr>
      <w:r>
        <w:rPr>
          <w:rFonts w:hint="eastAsia" w:ascii="宋体" w:hAnsi="宋体"/>
          <w:color w:val="auto"/>
          <w:kern w:val="0"/>
          <w:szCs w:val="21"/>
        </w:rPr>
        <w:t>26.7采购代理机构在收到投标人的书面质疑后将及时组织调查核实，在</w:t>
      </w:r>
      <w:r>
        <w:rPr>
          <w:rFonts w:hint="eastAsia" w:ascii="宋体" w:hAnsi="宋体"/>
          <w:b/>
          <w:bCs/>
          <w:color w:val="auto"/>
          <w:kern w:val="0"/>
          <w:szCs w:val="21"/>
        </w:rPr>
        <w:t>七个工作日内</w:t>
      </w:r>
      <w:r>
        <w:rPr>
          <w:rFonts w:hint="eastAsia" w:ascii="宋体" w:hAnsi="宋体"/>
          <w:color w:val="auto"/>
          <w:kern w:val="0"/>
          <w:szCs w:val="21"/>
        </w:rPr>
        <w:t>作出答复，并以书面或在网站公告形式通知质疑投标人和其他有关投标人，答复的内容不涉及商业秘密。</w:t>
      </w:r>
    </w:p>
    <w:p w14:paraId="09300FAA">
      <w:pPr>
        <w:widowControl/>
        <w:shd w:val="clear" w:color="auto" w:fill="FFFFFF"/>
        <w:spacing w:line="420" w:lineRule="exact"/>
        <w:ind w:firstLine="420"/>
        <w:rPr>
          <w:rFonts w:ascii="宋体" w:hAnsi="宋体"/>
          <w:color w:val="auto"/>
          <w:kern w:val="0"/>
          <w:szCs w:val="21"/>
        </w:rPr>
      </w:pPr>
      <w:r>
        <w:rPr>
          <w:rFonts w:hint="eastAsia" w:ascii="宋体" w:hAnsi="宋体"/>
          <w:b/>
          <w:bCs/>
          <w:color w:val="auto"/>
          <w:kern w:val="0"/>
          <w:szCs w:val="21"/>
        </w:rPr>
        <w:t>27、投诉</w:t>
      </w:r>
    </w:p>
    <w:p w14:paraId="00CD74CE">
      <w:pPr>
        <w:spacing w:line="420" w:lineRule="exact"/>
        <w:ind w:firstLine="420" w:firstLineChars="200"/>
        <w:rPr>
          <w:rFonts w:ascii="宋体" w:hAnsi="宋体"/>
          <w:color w:val="auto"/>
        </w:rPr>
      </w:pPr>
      <w:r>
        <w:rPr>
          <w:rFonts w:hint="eastAsia" w:ascii="宋体" w:hAnsi="宋体"/>
          <w:color w:val="auto"/>
        </w:rPr>
        <w:t>27.1质疑供应商对采购代理机构的答复不满意或者采购代理机构未在规定的时间内作出答复的，可以在答复期满后十五个工作日内向同级政府采购监督管理部门投诉。</w:t>
      </w:r>
    </w:p>
    <w:p w14:paraId="1A956F43">
      <w:pPr>
        <w:spacing w:line="420" w:lineRule="exact"/>
        <w:ind w:firstLine="420" w:firstLineChars="200"/>
        <w:rPr>
          <w:rFonts w:ascii="宋体" w:hAnsi="宋体"/>
          <w:color w:val="auto"/>
        </w:rPr>
      </w:pPr>
      <w:r>
        <w:rPr>
          <w:rFonts w:hint="eastAsia" w:ascii="宋体" w:hAnsi="宋体"/>
          <w:color w:val="auto"/>
          <w:szCs w:val="21"/>
        </w:rPr>
        <w:t>27.2供应商投诉应当有明确的请求和必要的证明材料。供应商投诉的事项不得超出已质疑事项的范围。</w:t>
      </w:r>
    </w:p>
    <w:p w14:paraId="193F5418">
      <w:pPr>
        <w:spacing w:line="420" w:lineRule="exact"/>
        <w:ind w:firstLine="420" w:firstLineChars="200"/>
        <w:rPr>
          <w:rFonts w:ascii="宋体" w:hAnsi="宋体"/>
          <w:color w:val="auto"/>
        </w:rPr>
      </w:pPr>
      <w:r>
        <w:rPr>
          <w:rFonts w:hint="eastAsia" w:ascii="宋体" w:hAnsi="宋体"/>
          <w:color w:val="auto"/>
          <w:szCs w:val="21"/>
        </w:rPr>
        <w:t>27.3</w:t>
      </w:r>
      <w:r>
        <w:rPr>
          <w:rFonts w:ascii="宋体" w:hAnsi="宋体"/>
          <w:color w:val="auto"/>
          <w:szCs w:val="21"/>
        </w:rPr>
        <w:t>投诉人对政府采购监督管理部门的投诉处理决定不服或者政府采购监督管理部门逾期未作处理的，可以依法申请行政复议或者向人民法院提起行政诉讼。</w:t>
      </w:r>
    </w:p>
    <w:p w14:paraId="63FF253D">
      <w:pPr>
        <w:spacing w:line="420" w:lineRule="exact"/>
        <w:ind w:firstLine="420" w:firstLineChars="200"/>
        <w:rPr>
          <w:rFonts w:ascii="宋体" w:hAnsi="宋体"/>
          <w:color w:val="auto"/>
          <w:szCs w:val="21"/>
        </w:rPr>
      </w:pPr>
      <w:r>
        <w:rPr>
          <w:rFonts w:hint="eastAsia" w:ascii="宋体" w:hAnsi="宋体"/>
          <w:color w:val="auto"/>
        </w:rPr>
        <w:t>27.4 投诉人有下列行为之一的，属于严重失信行为，</w:t>
      </w:r>
      <w:r>
        <w:rPr>
          <w:rFonts w:hint="eastAsia" w:ascii="宋体" w:hAnsi="宋体"/>
          <w:color w:val="auto"/>
          <w:szCs w:val="21"/>
        </w:rPr>
        <w:t>由财政部门列入不良行为记录名单，禁止其一至三年内参加政府采购活动。</w:t>
      </w:r>
    </w:p>
    <w:p w14:paraId="40014E90">
      <w:pPr>
        <w:spacing w:line="420" w:lineRule="exact"/>
        <w:ind w:firstLine="420" w:firstLineChars="200"/>
        <w:rPr>
          <w:rFonts w:ascii="宋体" w:hAnsi="宋体"/>
          <w:color w:val="auto"/>
        </w:rPr>
      </w:pPr>
      <w:r>
        <w:rPr>
          <w:rFonts w:hint="eastAsia" w:ascii="宋体" w:hAnsi="宋体"/>
          <w:color w:val="auto"/>
        </w:rPr>
        <w:t>（1）投诉人在全国范围12个月内三次以上投诉查无实据的；</w:t>
      </w:r>
    </w:p>
    <w:p w14:paraId="6366FBED">
      <w:pPr>
        <w:spacing w:line="420" w:lineRule="exact"/>
        <w:ind w:firstLine="420" w:firstLineChars="200"/>
        <w:rPr>
          <w:rFonts w:ascii="宋体" w:hAnsi="宋体"/>
          <w:color w:val="auto"/>
        </w:rPr>
      </w:pPr>
      <w:r>
        <w:rPr>
          <w:rFonts w:hint="eastAsia" w:ascii="宋体" w:hAnsi="宋体"/>
          <w:color w:val="auto"/>
        </w:rPr>
        <w:t>（2）采用捏造事实、提供虚假材料或者以非法手段取得证明材料等方式进行虚假、恶意投诉。</w:t>
      </w:r>
    </w:p>
    <w:p w14:paraId="5C167BA7">
      <w:pPr>
        <w:spacing w:line="420" w:lineRule="exact"/>
        <w:ind w:firstLine="420" w:firstLineChars="200"/>
        <w:rPr>
          <w:rFonts w:ascii="宋体" w:hAnsi="宋体"/>
          <w:color w:val="auto"/>
        </w:rPr>
      </w:pPr>
      <w:r>
        <w:rPr>
          <w:rFonts w:hint="eastAsia" w:ascii="宋体" w:hAnsi="宋体"/>
          <w:color w:val="auto"/>
        </w:rPr>
        <w:t>证据来源的合法性存在明显疑问，投诉人无法证明其取得方式合法的，视为以非法手段取得证明材料。</w:t>
      </w:r>
    </w:p>
    <w:p w14:paraId="71A148F2">
      <w:pPr>
        <w:pStyle w:val="2"/>
        <w:rPr>
          <w:color w:val="auto"/>
        </w:rPr>
      </w:pPr>
      <w:r>
        <w:rPr>
          <w:color w:val="auto"/>
        </w:rPr>
        <w:br w:type="page"/>
      </w:r>
    </w:p>
    <w:p w14:paraId="3D4BB9FA">
      <w:pPr>
        <w:pStyle w:val="3"/>
        <w:numPr>
          <w:ilvl w:val="0"/>
          <w:numId w:val="0"/>
        </w:numPr>
        <w:spacing w:before="120" w:after="120"/>
        <w:rPr>
          <w:color w:val="auto"/>
          <w:kern w:val="0"/>
        </w:rPr>
      </w:pPr>
      <w:bookmarkStart w:id="11" w:name="_Toc18507367"/>
      <w:bookmarkStart w:id="12" w:name="_Toc481057145"/>
      <w:r>
        <w:rPr>
          <w:rFonts w:hint="eastAsia"/>
          <w:color w:val="auto"/>
          <w:kern w:val="0"/>
        </w:rPr>
        <w:t>第三章  评标标准</w:t>
      </w:r>
      <w:bookmarkEnd w:id="11"/>
    </w:p>
    <w:bookmarkEnd w:id="12"/>
    <w:p w14:paraId="14F85AFE">
      <w:pPr>
        <w:spacing w:line="360" w:lineRule="auto"/>
        <w:ind w:firstLine="482"/>
        <w:outlineLvl w:val="1"/>
        <w:rPr>
          <w:rFonts w:ascii="仿宋_GB2312"/>
          <w:b/>
          <w:color w:val="auto"/>
          <w:kern w:val="44"/>
          <w:sz w:val="24"/>
          <w:szCs w:val="28"/>
        </w:rPr>
      </w:pPr>
      <w:bookmarkStart w:id="13" w:name="_Toc518305475"/>
      <w:r>
        <w:rPr>
          <w:rFonts w:hint="eastAsia" w:ascii="仿宋_GB2312"/>
          <w:b/>
          <w:color w:val="auto"/>
          <w:kern w:val="44"/>
          <w:sz w:val="24"/>
          <w:szCs w:val="28"/>
        </w:rPr>
        <w:t>一、评标方法与定标原则</w:t>
      </w:r>
      <w:bookmarkEnd w:id="13"/>
    </w:p>
    <w:p w14:paraId="67D31D73">
      <w:pPr>
        <w:spacing w:line="360" w:lineRule="auto"/>
        <w:ind w:firstLine="420" w:firstLineChars="200"/>
        <w:rPr>
          <w:rFonts w:ascii="宋体" w:hAnsi="宋体"/>
          <w:color w:val="auto"/>
          <w:szCs w:val="21"/>
        </w:rPr>
      </w:pPr>
      <w:r>
        <w:rPr>
          <w:rFonts w:hint="eastAsia" w:ascii="宋体" w:hAnsi="宋体"/>
          <w:color w:val="auto"/>
          <w:szCs w:val="21"/>
        </w:rPr>
        <w:t>评委会将对确定为实质性响应招标文件要求的投标文件进行评价和比较，评标采用综合评分法。按评审后得分由高到低顺序排列。得分相同的，按投标报价由低到高顺序排列。得分且投标报价相同的，按技术指标优劣顺序排列。</w:t>
      </w:r>
    </w:p>
    <w:p w14:paraId="2CFE3A5E">
      <w:pPr>
        <w:spacing w:line="360" w:lineRule="auto"/>
        <w:ind w:firstLine="482"/>
        <w:outlineLvl w:val="1"/>
        <w:rPr>
          <w:rFonts w:ascii="仿宋_GB2312"/>
          <w:b/>
          <w:color w:val="auto"/>
          <w:kern w:val="44"/>
          <w:sz w:val="24"/>
          <w:szCs w:val="28"/>
        </w:rPr>
      </w:pPr>
      <w:bookmarkStart w:id="14" w:name="_Toc449017025"/>
      <w:bookmarkStart w:id="15" w:name="_Toc449016389"/>
      <w:bookmarkStart w:id="16" w:name="_Toc518305477"/>
      <w:r>
        <w:rPr>
          <w:rFonts w:hint="eastAsia" w:ascii="仿宋_GB2312"/>
          <w:b/>
          <w:color w:val="auto"/>
          <w:kern w:val="44"/>
          <w:sz w:val="24"/>
          <w:szCs w:val="28"/>
        </w:rPr>
        <w:t>二、评标标准</w:t>
      </w:r>
      <w:bookmarkEnd w:id="14"/>
      <w:bookmarkEnd w:id="15"/>
      <w:bookmarkEnd w:id="16"/>
    </w:p>
    <w:p w14:paraId="288ED447">
      <w:pPr>
        <w:spacing w:line="360" w:lineRule="auto"/>
        <w:ind w:firstLine="420" w:firstLineChars="200"/>
        <w:rPr>
          <w:rFonts w:ascii="宋体" w:hAnsi="宋体"/>
          <w:color w:val="auto"/>
          <w:szCs w:val="21"/>
        </w:rPr>
      </w:pPr>
      <w:r>
        <w:rPr>
          <w:rFonts w:hint="eastAsia" w:ascii="宋体" w:hAnsi="宋体"/>
          <w:color w:val="auto"/>
          <w:szCs w:val="21"/>
        </w:rPr>
        <w:t>评委会将对确定为实质性响应招标文件要求的投标文件进行评价和比较，本项目</w:t>
      </w:r>
      <w:r>
        <w:rPr>
          <w:rFonts w:ascii="宋体" w:hAnsi="宋体"/>
          <w:color w:val="auto"/>
          <w:szCs w:val="21"/>
        </w:rPr>
        <w:t>采用</w:t>
      </w:r>
      <w:r>
        <w:rPr>
          <w:rFonts w:hint="eastAsia" w:ascii="宋体" w:hAnsi="宋体"/>
          <w:b/>
          <w:color w:val="auto"/>
          <w:szCs w:val="21"/>
          <w:u w:val="single"/>
        </w:rPr>
        <w:t>综合评分法</w:t>
      </w:r>
      <w:r>
        <w:rPr>
          <w:rFonts w:ascii="宋体" w:hAnsi="宋体"/>
          <w:color w:val="auto"/>
          <w:szCs w:val="21"/>
        </w:rPr>
        <w:t>确定中标候选人。评标委员会将按下列评分具体办法和标准进行打分</w:t>
      </w:r>
      <w:r>
        <w:rPr>
          <w:rFonts w:hint="eastAsia" w:ascii="宋体" w:hAnsi="宋体"/>
          <w:color w:val="auto"/>
          <w:szCs w:val="21"/>
        </w:rPr>
        <w:t>（小数点保留2位）</w:t>
      </w:r>
      <w:r>
        <w:rPr>
          <w:rFonts w:ascii="宋体" w:hAnsi="宋体"/>
          <w:color w:val="auto"/>
          <w:szCs w:val="21"/>
        </w:rPr>
        <w:t>，总分值为100分。</w:t>
      </w:r>
    </w:p>
    <w:p w14:paraId="73DFBD3C">
      <w:pPr>
        <w:snapToGrid w:val="0"/>
        <w:spacing w:line="360" w:lineRule="auto"/>
        <w:ind w:right="-386"/>
        <w:jc w:val="center"/>
        <w:rPr>
          <w:b/>
          <w:color w:val="auto"/>
          <w:szCs w:val="21"/>
        </w:rPr>
      </w:pPr>
      <w:bookmarkStart w:id="17" w:name="OLE_LINK5"/>
      <w:r>
        <w:rPr>
          <w:b/>
          <w:color w:val="auto"/>
          <w:szCs w:val="21"/>
        </w:rPr>
        <w:t>评分</w:t>
      </w:r>
      <w:bookmarkEnd w:id="17"/>
      <w:r>
        <w:rPr>
          <w:b/>
          <w:color w:val="auto"/>
          <w:szCs w:val="21"/>
        </w:rPr>
        <w:t>标准与实施细则</w:t>
      </w:r>
    </w:p>
    <w:tbl>
      <w:tblPr>
        <w:tblStyle w:val="44"/>
        <w:tblW w:w="0" w:type="auto"/>
        <w:jc w:val="center"/>
        <w:tblLayout w:type="fixed"/>
        <w:tblCellMar>
          <w:top w:w="0" w:type="dxa"/>
          <w:left w:w="108" w:type="dxa"/>
          <w:bottom w:w="0" w:type="dxa"/>
          <w:right w:w="108" w:type="dxa"/>
        </w:tblCellMar>
      </w:tblPr>
      <w:tblGrid>
        <w:gridCol w:w="788"/>
        <w:gridCol w:w="1712"/>
        <w:gridCol w:w="992"/>
        <w:gridCol w:w="5474"/>
      </w:tblGrid>
      <w:tr w14:paraId="3D8D4CE3">
        <w:trPr>
          <w:trHeight w:val="449" w:hRule="atLeast"/>
          <w:tblHeader/>
          <w:jc w:val="center"/>
        </w:trPr>
        <w:tc>
          <w:tcPr>
            <w:tcW w:w="788" w:type="dxa"/>
            <w:tcBorders>
              <w:top w:val="single" w:color="auto" w:sz="4" w:space="0"/>
              <w:left w:val="single" w:color="auto" w:sz="4" w:space="0"/>
              <w:bottom w:val="single" w:color="auto" w:sz="4" w:space="0"/>
              <w:right w:val="single" w:color="auto" w:sz="4" w:space="0"/>
            </w:tcBorders>
            <w:vAlign w:val="center"/>
          </w:tcPr>
          <w:p w14:paraId="35CF16FC">
            <w:pPr>
              <w:widowControl/>
              <w:jc w:val="center"/>
              <w:rPr>
                <w:b/>
                <w:color w:val="auto"/>
                <w:kern w:val="0"/>
                <w:szCs w:val="21"/>
              </w:rPr>
            </w:pPr>
            <w:bookmarkStart w:id="18" w:name="_Hlk214613685"/>
            <w:r>
              <w:rPr>
                <w:b/>
                <w:color w:val="auto"/>
                <w:kern w:val="0"/>
                <w:szCs w:val="21"/>
              </w:rPr>
              <w:t>序号</w:t>
            </w:r>
          </w:p>
        </w:tc>
        <w:tc>
          <w:tcPr>
            <w:tcW w:w="1712" w:type="dxa"/>
            <w:tcBorders>
              <w:top w:val="single" w:color="auto" w:sz="4" w:space="0"/>
              <w:left w:val="single" w:color="auto" w:sz="4" w:space="0"/>
              <w:bottom w:val="single" w:color="auto" w:sz="4" w:space="0"/>
              <w:right w:val="single" w:color="auto" w:sz="4" w:space="0"/>
            </w:tcBorders>
            <w:vAlign w:val="center"/>
          </w:tcPr>
          <w:p w14:paraId="53DDFB8C">
            <w:pPr>
              <w:jc w:val="center"/>
              <w:rPr>
                <w:b/>
                <w:color w:val="auto"/>
                <w:kern w:val="0"/>
                <w:szCs w:val="21"/>
              </w:rPr>
            </w:pPr>
            <w:r>
              <w:rPr>
                <w:b/>
                <w:color w:val="auto"/>
                <w:kern w:val="0"/>
                <w:szCs w:val="21"/>
              </w:rPr>
              <w:t>评审项目</w:t>
            </w:r>
          </w:p>
        </w:tc>
        <w:tc>
          <w:tcPr>
            <w:tcW w:w="992" w:type="dxa"/>
            <w:tcBorders>
              <w:top w:val="single" w:color="auto" w:sz="4" w:space="0"/>
              <w:left w:val="nil"/>
              <w:bottom w:val="single" w:color="auto" w:sz="4" w:space="0"/>
              <w:right w:val="single" w:color="auto" w:sz="4" w:space="0"/>
            </w:tcBorders>
            <w:vAlign w:val="center"/>
          </w:tcPr>
          <w:p w14:paraId="1B20704C">
            <w:pPr>
              <w:widowControl/>
              <w:jc w:val="center"/>
              <w:rPr>
                <w:b/>
                <w:color w:val="auto"/>
                <w:kern w:val="0"/>
                <w:szCs w:val="21"/>
              </w:rPr>
            </w:pPr>
            <w:r>
              <w:rPr>
                <w:b/>
                <w:color w:val="auto"/>
                <w:kern w:val="0"/>
                <w:szCs w:val="21"/>
              </w:rPr>
              <w:t>分值</w:t>
            </w:r>
          </w:p>
        </w:tc>
        <w:tc>
          <w:tcPr>
            <w:tcW w:w="5474" w:type="dxa"/>
            <w:tcBorders>
              <w:top w:val="single" w:color="auto" w:sz="4" w:space="0"/>
              <w:left w:val="nil"/>
              <w:bottom w:val="single" w:color="auto" w:sz="4" w:space="0"/>
              <w:right w:val="single" w:color="auto" w:sz="4" w:space="0"/>
            </w:tcBorders>
            <w:vAlign w:val="center"/>
          </w:tcPr>
          <w:p w14:paraId="664AF7DD">
            <w:pPr>
              <w:widowControl/>
              <w:jc w:val="center"/>
              <w:rPr>
                <w:b/>
                <w:color w:val="auto"/>
                <w:kern w:val="0"/>
                <w:szCs w:val="21"/>
              </w:rPr>
            </w:pPr>
            <w:r>
              <w:rPr>
                <w:b/>
                <w:color w:val="auto"/>
                <w:kern w:val="0"/>
                <w:szCs w:val="21"/>
              </w:rPr>
              <w:t>评分细则</w:t>
            </w:r>
          </w:p>
        </w:tc>
      </w:tr>
      <w:tr w14:paraId="2CC7A78F">
        <w:tblPrEx>
          <w:tblCellMar>
            <w:top w:w="0" w:type="dxa"/>
            <w:left w:w="108" w:type="dxa"/>
            <w:bottom w:w="0" w:type="dxa"/>
            <w:right w:w="108" w:type="dxa"/>
          </w:tblCellMar>
        </w:tblPrEx>
        <w:trPr>
          <w:trHeight w:val="475" w:hRule="atLeast"/>
          <w:jc w:val="center"/>
        </w:trPr>
        <w:tc>
          <w:tcPr>
            <w:tcW w:w="788" w:type="dxa"/>
            <w:tcBorders>
              <w:top w:val="nil"/>
              <w:left w:val="single" w:color="auto" w:sz="4" w:space="0"/>
              <w:bottom w:val="single" w:color="auto" w:sz="4" w:space="0"/>
              <w:right w:val="single" w:color="auto" w:sz="4" w:space="0"/>
            </w:tcBorders>
            <w:vAlign w:val="center"/>
          </w:tcPr>
          <w:p w14:paraId="40A877DC">
            <w:pPr>
              <w:widowControl/>
              <w:jc w:val="center"/>
              <w:rPr>
                <w:b/>
                <w:color w:val="auto"/>
                <w:kern w:val="0"/>
                <w:szCs w:val="21"/>
              </w:rPr>
            </w:pPr>
            <w:r>
              <w:rPr>
                <w:rFonts w:hint="eastAsia"/>
                <w:b/>
                <w:color w:val="auto"/>
                <w:kern w:val="0"/>
                <w:szCs w:val="21"/>
              </w:rPr>
              <w:t>一</w:t>
            </w:r>
          </w:p>
        </w:tc>
        <w:tc>
          <w:tcPr>
            <w:tcW w:w="1712" w:type="dxa"/>
            <w:tcBorders>
              <w:top w:val="nil"/>
              <w:left w:val="single" w:color="auto" w:sz="4" w:space="0"/>
              <w:bottom w:val="single" w:color="auto" w:sz="4" w:space="0"/>
              <w:right w:val="single" w:color="auto" w:sz="4" w:space="0"/>
            </w:tcBorders>
            <w:vAlign w:val="center"/>
          </w:tcPr>
          <w:p w14:paraId="3F2507F7">
            <w:pPr>
              <w:jc w:val="center"/>
              <w:rPr>
                <w:b/>
                <w:color w:val="auto"/>
                <w:kern w:val="0"/>
                <w:szCs w:val="21"/>
              </w:rPr>
            </w:pPr>
            <w:r>
              <w:rPr>
                <w:rFonts w:hint="eastAsia"/>
                <w:b/>
                <w:color w:val="auto"/>
                <w:kern w:val="0"/>
                <w:szCs w:val="21"/>
              </w:rPr>
              <w:t>投标报价</w:t>
            </w:r>
          </w:p>
        </w:tc>
        <w:tc>
          <w:tcPr>
            <w:tcW w:w="992" w:type="dxa"/>
            <w:tcBorders>
              <w:top w:val="nil"/>
              <w:left w:val="nil"/>
              <w:bottom w:val="single" w:color="auto" w:sz="4" w:space="0"/>
              <w:right w:val="single" w:color="auto" w:sz="4" w:space="0"/>
            </w:tcBorders>
            <w:vAlign w:val="center"/>
          </w:tcPr>
          <w:p w14:paraId="7A30CC0C">
            <w:pPr>
              <w:widowControl/>
              <w:jc w:val="center"/>
              <w:rPr>
                <w:b/>
                <w:color w:val="auto"/>
                <w:kern w:val="0"/>
                <w:szCs w:val="21"/>
              </w:rPr>
            </w:pPr>
            <w:r>
              <w:rPr>
                <w:rFonts w:hint="eastAsia"/>
                <w:color w:val="auto"/>
                <w:kern w:val="0"/>
                <w:szCs w:val="21"/>
              </w:rPr>
              <w:t>10分</w:t>
            </w:r>
          </w:p>
        </w:tc>
        <w:tc>
          <w:tcPr>
            <w:tcW w:w="5474" w:type="dxa"/>
            <w:tcBorders>
              <w:top w:val="nil"/>
              <w:left w:val="nil"/>
              <w:bottom w:val="single" w:color="auto" w:sz="4" w:space="0"/>
              <w:right w:val="single" w:color="auto" w:sz="4" w:space="0"/>
            </w:tcBorders>
            <w:vAlign w:val="center"/>
          </w:tcPr>
          <w:p w14:paraId="0AA0C553">
            <w:pPr>
              <w:widowControl/>
              <w:jc w:val="center"/>
              <w:rPr>
                <w:b/>
                <w:color w:val="auto"/>
                <w:kern w:val="0"/>
                <w:szCs w:val="21"/>
              </w:rPr>
            </w:pPr>
          </w:p>
        </w:tc>
      </w:tr>
      <w:tr w14:paraId="1E9EBB93">
        <w:tblPrEx>
          <w:tblCellMar>
            <w:top w:w="0" w:type="dxa"/>
            <w:left w:w="108" w:type="dxa"/>
            <w:bottom w:w="0" w:type="dxa"/>
            <w:right w:w="108" w:type="dxa"/>
          </w:tblCellMar>
        </w:tblPrEx>
        <w:trPr>
          <w:trHeight w:val="851" w:hRule="atLeast"/>
          <w:jc w:val="center"/>
        </w:trPr>
        <w:tc>
          <w:tcPr>
            <w:tcW w:w="788" w:type="dxa"/>
            <w:tcBorders>
              <w:top w:val="nil"/>
              <w:left w:val="single" w:color="auto" w:sz="4" w:space="0"/>
              <w:bottom w:val="single" w:color="auto" w:sz="4" w:space="0"/>
              <w:right w:val="single" w:color="auto" w:sz="4" w:space="0"/>
            </w:tcBorders>
            <w:vAlign w:val="center"/>
          </w:tcPr>
          <w:p w14:paraId="39BDB4A2">
            <w:pPr>
              <w:widowControl/>
              <w:jc w:val="center"/>
              <w:rPr>
                <w:color w:val="auto"/>
                <w:kern w:val="0"/>
                <w:szCs w:val="21"/>
              </w:rPr>
            </w:pPr>
            <w:r>
              <w:rPr>
                <w:color w:val="auto"/>
                <w:kern w:val="0"/>
                <w:szCs w:val="21"/>
              </w:rPr>
              <w:t>1</w:t>
            </w:r>
          </w:p>
        </w:tc>
        <w:tc>
          <w:tcPr>
            <w:tcW w:w="1712" w:type="dxa"/>
            <w:tcBorders>
              <w:top w:val="nil"/>
              <w:left w:val="single" w:color="auto" w:sz="4" w:space="0"/>
              <w:bottom w:val="single" w:color="auto" w:sz="4" w:space="0"/>
              <w:right w:val="single" w:color="auto" w:sz="4" w:space="0"/>
            </w:tcBorders>
            <w:vAlign w:val="center"/>
          </w:tcPr>
          <w:p w14:paraId="65B8033C">
            <w:pPr>
              <w:jc w:val="center"/>
              <w:rPr>
                <w:color w:val="auto"/>
                <w:kern w:val="0"/>
                <w:szCs w:val="21"/>
              </w:rPr>
            </w:pPr>
            <w:r>
              <w:rPr>
                <w:rFonts w:hint="eastAsia"/>
                <w:color w:val="auto"/>
                <w:kern w:val="0"/>
                <w:szCs w:val="21"/>
              </w:rPr>
              <w:t>报价得分</w:t>
            </w:r>
          </w:p>
        </w:tc>
        <w:tc>
          <w:tcPr>
            <w:tcW w:w="992" w:type="dxa"/>
            <w:tcBorders>
              <w:top w:val="nil"/>
              <w:left w:val="nil"/>
              <w:bottom w:val="single" w:color="auto" w:sz="4" w:space="0"/>
              <w:right w:val="single" w:color="auto" w:sz="4" w:space="0"/>
            </w:tcBorders>
            <w:vAlign w:val="center"/>
          </w:tcPr>
          <w:p w14:paraId="23EC809D">
            <w:pPr>
              <w:widowControl/>
              <w:jc w:val="center"/>
              <w:rPr>
                <w:color w:val="auto"/>
                <w:kern w:val="0"/>
                <w:szCs w:val="21"/>
              </w:rPr>
            </w:pPr>
            <w:r>
              <w:rPr>
                <w:rFonts w:hint="eastAsia"/>
                <w:color w:val="auto"/>
                <w:kern w:val="0"/>
                <w:szCs w:val="21"/>
              </w:rPr>
              <w:t>10</w:t>
            </w:r>
            <w:r>
              <w:rPr>
                <w:color w:val="auto"/>
                <w:kern w:val="0"/>
                <w:szCs w:val="21"/>
              </w:rPr>
              <w:t>分</w:t>
            </w:r>
          </w:p>
        </w:tc>
        <w:tc>
          <w:tcPr>
            <w:tcW w:w="5474" w:type="dxa"/>
            <w:tcBorders>
              <w:top w:val="nil"/>
              <w:left w:val="nil"/>
              <w:bottom w:val="single" w:color="auto" w:sz="4" w:space="0"/>
              <w:right w:val="single" w:color="auto" w:sz="4" w:space="0"/>
            </w:tcBorders>
            <w:vAlign w:val="center"/>
          </w:tcPr>
          <w:p w14:paraId="508E016E">
            <w:pPr>
              <w:autoSpaceDE w:val="0"/>
              <w:autoSpaceDN w:val="0"/>
              <w:adjustRightInd w:val="0"/>
              <w:spacing w:line="360" w:lineRule="exact"/>
              <w:ind w:firstLine="420" w:firstLineChars="200"/>
              <w:rPr>
                <w:rFonts w:ascii="宋体" w:hAnsi="宋体"/>
                <w:b/>
                <w:color w:val="auto"/>
                <w:kern w:val="0"/>
              </w:rPr>
            </w:pPr>
            <w:r>
              <w:rPr>
                <w:rFonts w:hint="eastAsia" w:ascii="宋体" w:hAnsi="宋体"/>
                <w:b/>
                <w:color w:val="auto"/>
                <w:kern w:val="0"/>
              </w:rPr>
              <w:t>本项目属于专门面向中小企业采购的项目，不再执行价格评审优惠的扶持政策。</w:t>
            </w:r>
          </w:p>
          <w:p w14:paraId="6F0AD83B">
            <w:pPr>
              <w:autoSpaceDE w:val="0"/>
              <w:autoSpaceDN w:val="0"/>
              <w:adjustRightInd w:val="0"/>
              <w:spacing w:line="360" w:lineRule="exact"/>
              <w:ind w:firstLine="420" w:firstLineChars="200"/>
              <w:rPr>
                <w:rFonts w:ascii="宋体" w:hAnsi="宋体"/>
                <w:color w:val="auto"/>
                <w:kern w:val="0"/>
              </w:rPr>
            </w:pPr>
            <w:r>
              <w:rPr>
                <w:rFonts w:hint="eastAsia" w:ascii="宋体" w:hAnsi="宋体"/>
                <w:color w:val="auto"/>
                <w:kern w:val="0"/>
              </w:rPr>
              <w:t>价格分采用低价优先法计算，以满足招标文件</w:t>
            </w:r>
            <w:r>
              <w:rPr>
                <w:rFonts w:ascii="宋体" w:hAnsi="宋体"/>
                <w:color w:val="auto"/>
                <w:kern w:val="0"/>
              </w:rPr>
              <w:t>实质性</w:t>
            </w:r>
            <w:r>
              <w:rPr>
                <w:rFonts w:hint="eastAsia" w:ascii="宋体" w:hAnsi="宋体"/>
                <w:color w:val="auto"/>
                <w:kern w:val="0"/>
              </w:rPr>
              <w:t>要求且投标价格最低的投标有效报价为评标基准价，其价格分为满分，即10分。其他有效投标</w:t>
            </w:r>
            <w:r>
              <w:rPr>
                <w:rFonts w:ascii="宋体" w:hAnsi="宋体"/>
                <w:color w:val="auto"/>
                <w:kern w:val="0"/>
              </w:rPr>
              <w:t>报价</w:t>
            </w:r>
            <w:r>
              <w:rPr>
                <w:rFonts w:hint="eastAsia" w:ascii="宋体" w:hAnsi="宋体"/>
                <w:color w:val="auto"/>
                <w:kern w:val="0"/>
              </w:rPr>
              <w:t>分统一按照下列公式计算：</w:t>
            </w:r>
          </w:p>
          <w:p w14:paraId="64C9729C">
            <w:pPr>
              <w:autoSpaceDE w:val="0"/>
              <w:autoSpaceDN w:val="0"/>
              <w:adjustRightInd w:val="0"/>
              <w:spacing w:line="360" w:lineRule="exact"/>
              <w:ind w:firstLine="420" w:firstLineChars="200"/>
              <w:rPr>
                <w:color w:val="auto"/>
                <w:kern w:val="0"/>
                <w:szCs w:val="21"/>
              </w:rPr>
            </w:pPr>
            <w:r>
              <w:rPr>
                <w:rFonts w:hint="eastAsia" w:ascii="宋体" w:hAnsi="宋体"/>
                <w:color w:val="auto"/>
                <w:kern w:val="0"/>
              </w:rPr>
              <w:t>投标报价得分＝（评标基准价/投标报价）×10</w:t>
            </w:r>
          </w:p>
          <w:p w14:paraId="3EE8EAED">
            <w:pPr>
              <w:autoSpaceDE w:val="0"/>
              <w:autoSpaceDN w:val="0"/>
              <w:adjustRightInd w:val="0"/>
              <w:spacing w:line="360" w:lineRule="exact"/>
              <w:ind w:firstLine="420" w:firstLineChars="200"/>
              <w:rPr>
                <w:rFonts w:ascii="宋体" w:hAnsi="宋体"/>
                <w:color w:val="auto"/>
                <w:kern w:val="0"/>
              </w:rPr>
            </w:pPr>
            <w:r>
              <w:rPr>
                <w:rFonts w:hint="eastAsia"/>
                <w:color w:val="auto"/>
                <w:szCs w:val="21"/>
              </w:rPr>
              <w:t>得分</w:t>
            </w:r>
            <w:r>
              <w:rPr>
                <w:color w:val="auto"/>
                <w:szCs w:val="21"/>
              </w:rPr>
              <w:t>保留两位</w:t>
            </w:r>
            <w:r>
              <w:rPr>
                <w:rFonts w:hint="eastAsia"/>
                <w:color w:val="auto"/>
                <w:szCs w:val="21"/>
              </w:rPr>
              <w:t>小数</w:t>
            </w:r>
            <w:r>
              <w:rPr>
                <w:rFonts w:hint="eastAsia"/>
                <w:color w:val="auto"/>
                <w:kern w:val="0"/>
                <w:szCs w:val="21"/>
              </w:rPr>
              <w:t>。</w:t>
            </w:r>
          </w:p>
        </w:tc>
      </w:tr>
      <w:tr w14:paraId="0BF39E54">
        <w:tblPrEx>
          <w:tblCellMar>
            <w:top w:w="0" w:type="dxa"/>
            <w:left w:w="108" w:type="dxa"/>
            <w:bottom w:w="0" w:type="dxa"/>
            <w:right w:w="108" w:type="dxa"/>
          </w:tblCellMar>
        </w:tblPrEx>
        <w:trPr>
          <w:trHeight w:val="339" w:hRule="atLeast"/>
          <w:jc w:val="center"/>
        </w:trPr>
        <w:tc>
          <w:tcPr>
            <w:tcW w:w="788" w:type="dxa"/>
            <w:tcBorders>
              <w:top w:val="nil"/>
              <w:left w:val="single" w:color="auto" w:sz="4" w:space="0"/>
              <w:bottom w:val="single" w:color="auto" w:sz="4" w:space="0"/>
              <w:right w:val="single" w:color="auto" w:sz="4" w:space="0"/>
            </w:tcBorders>
            <w:vAlign w:val="center"/>
          </w:tcPr>
          <w:p w14:paraId="1669A461">
            <w:pPr>
              <w:widowControl/>
              <w:jc w:val="center"/>
              <w:rPr>
                <w:b/>
                <w:color w:val="auto"/>
                <w:kern w:val="0"/>
                <w:szCs w:val="21"/>
              </w:rPr>
            </w:pPr>
            <w:r>
              <w:rPr>
                <w:rFonts w:hint="eastAsia"/>
                <w:b/>
                <w:color w:val="auto"/>
                <w:kern w:val="0"/>
                <w:szCs w:val="21"/>
              </w:rPr>
              <w:t>二</w:t>
            </w:r>
          </w:p>
        </w:tc>
        <w:tc>
          <w:tcPr>
            <w:tcW w:w="1712" w:type="dxa"/>
            <w:tcBorders>
              <w:top w:val="nil"/>
              <w:left w:val="single" w:color="auto" w:sz="4" w:space="0"/>
              <w:bottom w:val="single" w:color="auto" w:sz="4" w:space="0"/>
              <w:right w:val="single" w:color="auto" w:sz="4" w:space="0"/>
            </w:tcBorders>
            <w:vAlign w:val="center"/>
          </w:tcPr>
          <w:p w14:paraId="30B3B372">
            <w:pPr>
              <w:jc w:val="center"/>
              <w:rPr>
                <w:b/>
                <w:color w:val="auto"/>
                <w:kern w:val="0"/>
                <w:szCs w:val="21"/>
              </w:rPr>
            </w:pPr>
            <w:r>
              <w:rPr>
                <w:rFonts w:hint="eastAsia"/>
                <w:b/>
                <w:color w:val="auto"/>
                <w:kern w:val="0"/>
                <w:szCs w:val="21"/>
              </w:rPr>
              <w:t>服务方案</w:t>
            </w:r>
          </w:p>
        </w:tc>
        <w:tc>
          <w:tcPr>
            <w:tcW w:w="992" w:type="dxa"/>
            <w:tcBorders>
              <w:top w:val="nil"/>
              <w:left w:val="nil"/>
              <w:bottom w:val="single" w:color="auto" w:sz="4" w:space="0"/>
              <w:right w:val="single" w:color="auto" w:sz="4" w:space="0"/>
            </w:tcBorders>
            <w:vAlign w:val="center"/>
          </w:tcPr>
          <w:p w14:paraId="6AD13F26">
            <w:pPr>
              <w:widowControl/>
              <w:jc w:val="center"/>
              <w:rPr>
                <w:color w:val="auto"/>
                <w:kern w:val="0"/>
                <w:szCs w:val="21"/>
              </w:rPr>
            </w:pPr>
            <w:r>
              <w:rPr>
                <w:rFonts w:hint="eastAsia"/>
                <w:color w:val="auto"/>
                <w:kern w:val="0"/>
                <w:szCs w:val="21"/>
              </w:rPr>
              <w:t>43分</w:t>
            </w:r>
          </w:p>
        </w:tc>
        <w:tc>
          <w:tcPr>
            <w:tcW w:w="5474" w:type="dxa"/>
            <w:tcBorders>
              <w:top w:val="nil"/>
              <w:left w:val="nil"/>
              <w:bottom w:val="single" w:color="auto" w:sz="4" w:space="0"/>
              <w:right w:val="single" w:color="auto" w:sz="4" w:space="0"/>
            </w:tcBorders>
            <w:vAlign w:val="center"/>
          </w:tcPr>
          <w:p w14:paraId="76E084B5">
            <w:pPr>
              <w:widowControl/>
              <w:jc w:val="center"/>
              <w:rPr>
                <w:color w:val="auto"/>
                <w:kern w:val="0"/>
                <w:szCs w:val="21"/>
              </w:rPr>
            </w:pPr>
          </w:p>
        </w:tc>
      </w:tr>
      <w:tr w14:paraId="79D5A6FD">
        <w:tblPrEx>
          <w:tblCellMar>
            <w:top w:w="0" w:type="dxa"/>
            <w:left w:w="108" w:type="dxa"/>
            <w:bottom w:w="0" w:type="dxa"/>
            <w:right w:w="108" w:type="dxa"/>
          </w:tblCellMar>
        </w:tblPrEx>
        <w:trPr>
          <w:trHeight w:val="474" w:hRule="atLeast"/>
          <w:jc w:val="center"/>
        </w:trPr>
        <w:tc>
          <w:tcPr>
            <w:tcW w:w="788" w:type="dxa"/>
            <w:tcBorders>
              <w:top w:val="nil"/>
              <w:left w:val="single" w:color="auto" w:sz="4" w:space="0"/>
              <w:bottom w:val="single" w:color="auto" w:sz="4" w:space="0"/>
              <w:right w:val="single" w:color="auto" w:sz="4" w:space="0"/>
            </w:tcBorders>
            <w:vAlign w:val="center"/>
          </w:tcPr>
          <w:p w14:paraId="7B3DC678">
            <w:pPr>
              <w:widowControl/>
              <w:jc w:val="center"/>
              <w:rPr>
                <w:color w:val="auto"/>
                <w:kern w:val="0"/>
                <w:szCs w:val="21"/>
              </w:rPr>
            </w:pPr>
            <w:r>
              <w:rPr>
                <w:rFonts w:hint="eastAsia"/>
                <w:color w:val="auto"/>
                <w:kern w:val="0"/>
                <w:szCs w:val="21"/>
              </w:rPr>
              <w:t>2.1</w:t>
            </w:r>
          </w:p>
        </w:tc>
        <w:tc>
          <w:tcPr>
            <w:tcW w:w="1712" w:type="dxa"/>
            <w:tcBorders>
              <w:top w:val="nil"/>
              <w:left w:val="single" w:color="auto" w:sz="4" w:space="0"/>
              <w:bottom w:val="single" w:color="auto" w:sz="4" w:space="0"/>
              <w:right w:val="single" w:color="auto" w:sz="4" w:space="0"/>
            </w:tcBorders>
            <w:vAlign w:val="center"/>
          </w:tcPr>
          <w:p w14:paraId="6E24AA72">
            <w:pPr>
              <w:snapToGrid w:val="0"/>
              <w:spacing w:line="320" w:lineRule="exact"/>
              <w:jc w:val="left"/>
              <w:textAlignment w:val="baseline"/>
              <w:rPr>
                <w:color w:val="auto"/>
                <w:kern w:val="0"/>
                <w:szCs w:val="21"/>
              </w:rPr>
            </w:pPr>
            <w:r>
              <w:rPr>
                <w:rFonts w:hint="eastAsia" w:hAnsi="宋体"/>
                <w:color w:val="auto"/>
                <w:szCs w:val="21"/>
              </w:rPr>
              <w:t>对</w:t>
            </w:r>
            <w:r>
              <w:rPr>
                <w:rFonts w:hAnsi="宋体"/>
                <w:color w:val="auto"/>
                <w:szCs w:val="21"/>
              </w:rPr>
              <w:t>项目</w:t>
            </w:r>
            <w:r>
              <w:rPr>
                <w:rFonts w:hint="eastAsia" w:hAnsi="宋体"/>
                <w:color w:val="auto"/>
                <w:szCs w:val="21"/>
              </w:rPr>
              <w:t>的理解、关键性技术问题的对策措施</w:t>
            </w:r>
          </w:p>
        </w:tc>
        <w:tc>
          <w:tcPr>
            <w:tcW w:w="992" w:type="dxa"/>
            <w:tcBorders>
              <w:top w:val="nil"/>
              <w:left w:val="nil"/>
              <w:bottom w:val="single" w:color="auto" w:sz="4" w:space="0"/>
              <w:right w:val="single" w:color="auto" w:sz="4" w:space="0"/>
            </w:tcBorders>
            <w:vAlign w:val="center"/>
          </w:tcPr>
          <w:p w14:paraId="7639ABE4">
            <w:pPr>
              <w:widowControl/>
              <w:jc w:val="center"/>
              <w:rPr>
                <w:color w:val="auto"/>
                <w:kern w:val="0"/>
                <w:szCs w:val="21"/>
              </w:rPr>
            </w:pPr>
            <w:r>
              <w:rPr>
                <w:rFonts w:hint="eastAsia"/>
                <w:color w:val="auto"/>
                <w:kern w:val="0"/>
                <w:szCs w:val="21"/>
              </w:rPr>
              <w:t>15分</w:t>
            </w:r>
          </w:p>
        </w:tc>
        <w:tc>
          <w:tcPr>
            <w:tcW w:w="5474" w:type="dxa"/>
            <w:tcBorders>
              <w:top w:val="nil"/>
              <w:left w:val="nil"/>
              <w:bottom w:val="single" w:color="auto" w:sz="4" w:space="0"/>
              <w:right w:val="single" w:color="auto" w:sz="4" w:space="0"/>
            </w:tcBorders>
            <w:vAlign w:val="center"/>
          </w:tcPr>
          <w:p w14:paraId="5718B9F8">
            <w:pPr>
              <w:rPr>
                <w:color w:val="auto"/>
              </w:rPr>
            </w:pPr>
            <w:r>
              <w:rPr>
                <w:rFonts w:hint="eastAsia"/>
                <w:color w:val="auto"/>
              </w:rPr>
              <w:t>根据投标人对本项目的特点、难点、重点阐述是否全面，分析是否合理；关键技术问题有无解决方案，其对策和措施是否到位；有无合理化建议等进行评分。</w:t>
            </w:r>
          </w:p>
          <w:p w14:paraId="1540E5EC">
            <w:pPr>
              <w:rPr>
                <w:color w:val="auto"/>
              </w:rPr>
            </w:pPr>
            <w:r>
              <w:rPr>
                <w:rFonts w:hint="eastAsia"/>
                <w:color w:val="auto"/>
              </w:rPr>
              <w:t>阐述全面，分析合理，措施到位，建议合理得15分；</w:t>
            </w:r>
          </w:p>
          <w:p w14:paraId="656AAF4F">
            <w:pPr>
              <w:rPr>
                <w:color w:val="auto"/>
              </w:rPr>
            </w:pPr>
            <w:r>
              <w:rPr>
                <w:rFonts w:hint="eastAsia"/>
                <w:color w:val="auto"/>
              </w:rPr>
              <w:t>阐述较全面，分析较合理，措施较到位，建议较为合理得12分；</w:t>
            </w:r>
          </w:p>
          <w:p w14:paraId="417AC02B">
            <w:pPr>
              <w:rPr>
                <w:color w:val="auto"/>
              </w:rPr>
            </w:pPr>
            <w:r>
              <w:rPr>
                <w:rFonts w:hint="eastAsia"/>
                <w:color w:val="auto"/>
              </w:rPr>
              <w:t>阐述基本全面，分析基本合理，有一定措施和建议得9分；</w:t>
            </w:r>
          </w:p>
          <w:p w14:paraId="05ECEC2F">
            <w:pPr>
              <w:rPr>
                <w:color w:val="auto"/>
              </w:rPr>
            </w:pPr>
            <w:r>
              <w:rPr>
                <w:rFonts w:hint="eastAsia"/>
                <w:color w:val="auto"/>
              </w:rPr>
              <w:t>阐述分析一般，措施和建议较少得6分；</w:t>
            </w:r>
          </w:p>
          <w:p w14:paraId="56A9543D">
            <w:pPr>
              <w:widowControl/>
              <w:jc w:val="left"/>
              <w:rPr>
                <w:rFonts w:ascii="宋体" w:hAnsi="宋体"/>
                <w:bCs/>
                <w:snapToGrid w:val="0"/>
                <w:color w:val="auto"/>
                <w:szCs w:val="21"/>
              </w:rPr>
            </w:pPr>
            <w:r>
              <w:rPr>
                <w:rFonts w:hint="eastAsia"/>
                <w:color w:val="auto"/>
              </w:rPr>
              <w:t>无相关内容不得分。</w:t>
            </w:r>
          </w:p>
        </w:tc>
      </w:tr>
      <w:tr w14:paraId="0DB5CEE2">
        <w:tblPrEx>
          <w:tblCellMar>
            <w:top w:w="0" w:type="dxa"/>
            <w:left w:w="108" w:type="dxa"/>
            <w:bottom w:w="0" w:type="dxa"/>
            <w:right w:w="108" w:type="dxa"/>
          </w:tblCellMar>
        </w:tblPrEx>
        <w:trPr>
          <w:trHeight w:val="474" w:hRule="atLeast"/>
          <w:jc w:val="center"/>
        </w:trPr>
        <w:tc>
          <w:tcPr>
            <w:tcW w:w="788" w:type="dxa"/>
            <w:tcBorders>
              <w:top w:val="nil"/>
              <w:left w:val="single" w:color="auto" w:sz="4" w:space="0"/>
              <w:bottom w:val="single" w:color="auto" w:sz="4" w:space="0"/>
              <w:right w:val="single" w:color="auto" w:sz="4" w:space="0"/>
            </w:tcBorders>
            <w:vAlign w:val="center"/>
          </w:tcPr>
          <w:p w14:paraId="4E3E0CAE">
            <w:pPr>
              <w:widowControl/>
              <w:jc w:val="center"/>
              <w:rPr>
                <w:color w:val="auto"/>
                <w:kern w:val="0"/>
                <w:szCs w:val="21"/>
              </w:rPr>
            </w:pPr>
            <w:r>
              <w:rPr>
                <w:rFonts w:hint="eastAsia"/>
                <w:color w:val="auto"/>
                <w:kern w:val="0"/>
                <w:szCs w:val="21"/>
              </w:rPr>
              <w:t>2.2</w:t>
            </w:r>
          </w:p>
        </w:tc>
        <w:tc>
          <w:tcPr>
            <w:tcW w:w="1712" w:type="dxa"/>
            <w:tcBorders>
              <w:top w:val="nil"/>
              <w:left w:val="single" w:color="auto" w:sz="4" w:space="0"/>
              <w:bottom w:val="single" w:color="auto" w:sz="4" w:space="0"/>
              <w:right w:val="single" w:color="auto" w:sz="4" w:space="0"/>
            </w:tcBorders>
            <w:vAlign w:val="center"/>
          </w:tcPr>
          <w:p w14:paraId="483BBDC2">
            <w:pPr>
              <w:jc w:val="center"/>
              <w:rPr>
                <w:rFonts w:hAnsi="宋体"/>
                <w:color w:val="auto"/>
                <w:szCs w:val="21"/>
              </w:rPr>
            </w:pPr>
            <w:r>
              <w:rPr>
                <w:rFonts w:hint="eastAsia" w:hAnsi="宋体"/>
                <w:color w:val="auto"/>
                <w:szCs w:val="21"/>
              </w:rPr>
              <w:t>技术方案</w:t>
            </w:r>
          </w:p>
        </w:tc>
        <w:tc>
          <w:tcPr>
            <w:tcW w:w="992" w:type="dxa"/>
            <w:tcBorders>
              <w:top w:val="nil"/>
              <w:left w:val="nil"/>
              <w:bottom w:val="single" w:color="auto" w:sz="4" w:space="0"/>
              <w:right w:val="single" w:color="auto" w:sz="4" w:space="0"/>
            </w:tcBorders>
            <w:vAlign w:val="center"/>
          </w:tcPr>
          <w:p w14:paraId="36A1CE29">
            <w:pPr>
              <w:widowControl/>
              <w:jc w:val="center"/>
              <w:rPr>
                <w:color w:val="auto"/>
                <w:kern w:val="0"/>
                <w:szCs w:val="21"/>
              </w:rPr>
            </w:pPr>
            <w:r>
              <w:rPr>
                <w:rFonts w:hint="eastAsia"/>
                <w:color w:val="auto"/>
                <w:kern w:val="0"/>
                <w:szCs w:val="21"/>
              </w:rPr>
              <w:t>15分</w:t>
            </w:r>
          </w:p>
        </w:tc>
        <w:tc>
          <w:tcPr>
            <w:tcW w:w="5474" w:type="dxa"/>
            <w:tcBorders>
              <w:top w:val="nil"/>
              <w:left w:val="nil"/>
              <w:bottom w:val="single" w:color="auto" w:sz="4" w:space="0"/>
              <w:right w:val="single" w:color="auto" w:sz="4" w:space="0"/>
            </w:tcBorders>
            <w:vAlign w:val="center"/>
          </w:tcPr>
          <w:p w14:paraId="5A23DF29">
            <w:pPr>
              <w:rPr>
                <w:color w:val="auto"/>
              </w:rPr>
            </w:pPr>
            <w:r>
              <w:rPr>
                <w:rFonts w:hint="eastAsia"/>
                <w:color w:val="auto"/>
              </w:rPr>
              <w:t>根据投标人的技术方案条理是否清晰、内容是否全面，现状和存在问题的阐述是否准确，技术措施是否科学和具有可操作性进行评分。</w:t>
            </w:r>
          </w:p>
          <w:p w14:paraId="128DAC7B">
            <w:pPr>
              <w:rPr>
                <w:color w:val="auto"/>
              </w:rPr>
            </w:pPr>
            <w:r>
              <w:rPr>
                <w:rFonts w:hint="eastAsia"/>
                <w:color w:val="auto"/>
              </w:rPr>
              <w:t>方案条理清晰，内容全面，需求阐述明确，技术措施科学具有可操作性得15分；</w:t>
            </w:r>
          </w:p>
          <w:p w14:paraId="1C35A8DE">
            <w:pPr>
              <w:rPr>
                <w:color w:val="auto"/>
              </w:rPr>
            </w:pPr>
            <w:r>
              <w:rPr>
                <w:rFonts w:hint="eastAsia"/>
                <w:color w:val="auto"/>
              </w:rPr>
              <w:t>方案条理较清晰，内容较全面，需求阐述较明确，技术措施较科学得12分；</w:t>
            </w:r>
          </w:p>
          <w:p w14:paraId="58C5615F">
            <w:pPr>
              <w:rPr>
                <w:color w:val="auto"/>
              </w:rPr>
            </w:pPr>
            <w:r>
              <w:rPr>
                <w:rFonts w:hint="eastAsia"/>
                <w:color w:val="auto"/>
              </w:rPr>
              <w:t>方案条理基本清晰，内容基本全面，需求阐述基本明确，技术措施有一定可操作性得9分；</w:t>
            </w:r>
          </w:p>
          <w:p w14:paraId="1F70D41B">
            <w:pPr>
              <w:rPr>
                <w:color w:val="auto"/>
              </w:rPr>
            </w:pPr>
            <w:r>
              <w:rPr>
                <w:rFonts w:hint="eastAsia"/>
                <w:color w:val="auto"/>
              </w:rPr>
              <w:t>方案条理不够清晰，内容不够全面，需求阐述不够明确，技术措施可操作性不强得6分；</w:t>
            </w:r>
          </w:p>
          <w:p w14:paraId="7DC9227C">
            <w:pPr>
              <w:rPr>
                <w:color w:val="auto"/>
              </w:rPr>
            </w:pPr>
            <w:r>
              <w:rPr>
                <w:rFonts w:hint="eastAsia"/>
                <w:color w:val="auto"/>
              </w:rPr>
              <w:t>无相关内容不得分。</w:t>
            </w:r>
          </w:p>
        </w:tc>
      </w:tr>
      <w:tr w14:paraId="70EC4FA2">
        <w:tblPrEx>
          <w:tblCellMar>
            <w:top w:w="0" w:type="dxa"/>
            <w:left w:w="108" w:type="dxa"/>
            <w:bottom w:w="0" w:type="dxa"/>
            <w:right w:w="108" w:type="dxa"/>
          </w:tblCellMar>
        </w:tblPrEx>
        <w:trPr>
          <w:trHeight w:val="447" w:hRule="atLeast"/>
          <w:jc w:val="center"/>
        </w:trPr>
        <w:tc>
          <w:tcPr>
            <w:tcW w:w="788" w:type="dxa"/>
            <w:tcBorders>
              <w:top w:val="nil"/>
              <w:left w:val="single" w:color="auto" w:sz="4" w:space="0"/>
              <w:bottom w:val="single" w:color="auto" w:sz="4" w:space="0"/>
              <w:right w:val="single" w:color="auto" w:sz="4" w:space="0"/>
            </w:tcBorders>
            <w:vAlign w:val="center"/>
          </w:tcPr>
          <w:p w14:paraId="77F80B02">
            <w:pPr>
              <w:widowControl/>
              <w:jc w:val="center"/>
              <w:rPr>
                <w:color w:val="auto"/>
                <w:kern w:val="0"/>
                <w:szCs w:val="21"/>
              </w:rPr>
            </w:pPr>
            <w:r>
              <w:rPr>
                <w:rFonts w:hint="eastAsia"/>
                <w:color w:val="auto"/>
                <w:kern w:val="0"/>
                <w:szCs w:val="21"/>
              </w:rPr>
              <w:t>2.3</w:t>
            </w:r>
          </w:p>
        </w:tc>
        <w:tc>
          <w:tcPr>
            <w:tcW w:w="1712" w:type="dxa"/>
            <w:tcBorders>
              <w:top w:val="nil"/>
              <w:left w:val="single" w:color="auto" w:sz="4" w:space="0"/>
              <w:bottom w:val="single" w:color="auto" w:sz="4" w:space="0"/>
              <w:right w:val="single" w:color="auto" w:sz="4" w:space="0"/>
            </w:tcBorders>
            <w:vAlign w:val="center"/>
          </w:tcPr>
          <w:p w14:paraId="554C0FF6">
            <w:pPr>
              <w:jc w:val="center"/>
              <w:rPr>
                <w:rFonts w:hAnsi="宋体"/>
                <w:color w:val="auto"/>
                <w:szCs w:val="21"/>
              </w:rPr>
            </w:pPr>
            <w:r>
              <w:rPr>
                <w:rFonts w:hint="eastAsia" w:hAnsi="宋体"/>
                <w:color w:val="auto"/>
                <w:szCs w:val="21"/>
              </w:rPr>
              <w:t>质量保证措施</w:t>
            </w:r>
          </w:p>
        </w:tc>
        <w:tc>
          <w:tcPr>
            <w:tcW w:w="992" w:type="dxa"/>
            <w:tcBorders>
              <w:top w:val="nil"/>
              <w:left w:val="nil"/>
              <w:bottom w:val="single" w:color="auto" w:sz="4" w:space="0"/>
              <w:right w:val="single" w:color="auto" w:sz="4" w:space="0"/>
            </w:tcBorders>
            <w:vAlign w:val="center"/>
          </w:tcPr>
          <w:p w14:paraId="7C8479DE">
            <w:pPr>
              <w:widowControl/>
              <w:jc w:val="center"/>
              <w:rPr>
                <w:color w:val="auto"/>
                <w:kern w:val="0"/>
                <w:szCs w:val="21"/>
              </w:rPr>
            </w:pPr>
            <w:r>
              <w:rPr>
                <w:rFonts w:hint="eastAsia"/>
                <w:color w:val="auto"/>
                <w:kern w:val="0"/>
                <w:szCs w:val="21"/>
              </w:rPr>
              <w:t>8分</w:t>
            </w:r>
          </w:p>
        </w:tc>
        <w:tc>
          <w:tcPr>
            <w:tcW w:w="5474" w:type="dxa"/>
            <w:tcBorders>
              <w:top w:val="nil"/>
              <w:left w:val="nil"/>
              <w:bottom w:val="single" w:color="auto" w:sz="4" w:space="0"/>
              <w:right w:val="single" w:color="auto" w:sz="4" w:space="0"/>
            </w:tcBorders>
          </w:tcPr>
          <w:p w14:paraId="76EFD1CE">
            <w:pPr>
              <w:widowControl/>
              <w:jc w:val="left"/>
              <w:rPr>
                <w:rFonts w:ascii="宋体" w:hAnsi="宋体"/>
                <w:bCs/>
                <w:color w:val="auto"/>
                <w:szCs w:val="21"/>
              </w:rPr>
            </w:pPr>
            <w:r>
              <w:rPr>
                <w:rFonts w:hint="eastAsia" w:ascii="宋体" w:hAnsi="宋体"/>
                <w:bCs/>
                <w:color w:val="auto"/>
                <w:szCs w:val="21"/>
              </w:rPr>
              <w:t>针对本项目制定的质量管理措施、制度切实可行，能够提高项目成果质量等进行综合评价：</w:t>
            </w:r>
          </w:p>
          <w:p w14:paraId="6AF3C263">
            <w:pPr>
              <w:widowControl/>
              <w:jc w:val="left"/>
              <w:rPr>
                <w:rFonts w:ascii="宋体" w:hAnsi="宋体"/>
                <w:bCs/>
                <w:color w:val="auto"/>
                <w:szCs w:val="21"/>
              </w:rPr>
            </w:pPr>
            <w:r>
              <w:rPr>
                <w:rFonts w:hint="eastAsia" w:ascii="宋体" w:hAnsi="宋体" w:cs="宋体"/>
                <w:color w:val="auto"/>
                <w:szCs w:val="21"/>
              </w:rPr>
              <w:t>完全满足要求得8分；较好满足要求的得6分；基本满足要求的得4分；与要求偏离较大得1分；无相应内容不得分。</w:t>
            </w:r>
          </w:p>
        </w:tc>
      </w:tr>
      <w:tr w14:paraId="20266E56">
        <w:tblPrEx>
          <w:tblCellMar>
            <w:top w:w="0" w:type="dxa"/>
            <w:left w:w="108" w:type="dxa"/>
            <w:bottom w:w="0" w:type="dxa"/>
            <w:right w:w="108" w:type="dxa"/>
          </w:tblCellMar>
        </w:tblPrEx>
        <w:trPr>
          <w:trHeight w:val="447" w:hRule="atLeast"/>
          <w:jc w:val="center"/>
        </w:trPr>
        <w:tc>
          <w:tcPr>
            <w:tcW w:w="788" w:type="dxa"/>
            <w:tcBorders>
              <w:top w:val="nil"/>
              <w:left w:val="single" w:color="auto" w:sz="4" w:space="0"/>
              <w:bottom w:val="single" w:color="auto" w:sz="4" w:space="0"/>
              <w:right w:val="single" w:color="auto" w:sz="4" w:space="0"/>
            </w:tcBorders>
            <w:vAlign w:val="center"/>
          </w:tcPr>
          <w:p w14:paraId="2A6BB726">
            <w:pPr>
              <w:widowControl/>
              <w:jc w:val="center"/>
              <w:rPr>
                <w:color w:val="auto"/>
                <w:kern w:val="0"/>
                <w:szCs w:val="21"/>
              </w:rPr>
            </w:pPr>
            <w:r>
              <w:rPr>
                <w:rFonts w:hint="eastAsia"/>
                <w:color w:val="auto"/>
                <w:kern w:val="0"/>
                <w:szCs w:val="21"/>
              </w:rPr>
              <w:t>2.4</w:t>
            </w:r>
          </w:p>
        </w:tc>
        <w:tc>
          <w:tcPr>
            <w:tcW w:w="1712" w:type="dxa"/>
            <w:tcBorders>
              <w:top w:val="nil"/>
              <w:left w:val="single" w:color="auto" w:sz="4" w:space="0"/>
              <w:bottom w:val="single" w:color="auto" w:sz="4" w:space="0"/>
              <w:right w:val="single" w:color="auto" w:sz="4" w:space="0"/>
            </w:tcBorders>
            <w:vAlign w:val="center"/>
          </w:tcPr>
          <w:p w14:paraId="402B1F3D">
            <w:pPr>
              <w:jc w:val="center"/>
              <w:rPr>
                <w:rFonts w:hAnsi="宋体"/>
                <w:color w:val="auto"/>
                <w:szCs w:val="21"/>
              </w:rPr>
            </w:pPr>
            <w:r>
              <w:rPr>
                <w:rFonts w:hAnsi="宋体"/>
                <w:color w:val="auto"/>
                <w:szCs w:val="21"/>
              </w:rPr>
              <w:t>进度保证措施</w:t>
            </w:r>
          </w:p>
        </w:tc>
        <w:tc>
          <w:tcPr>
            <w:tcW w:w="992" w:type="dxa"/>
            <w:tcBorders>
              <w:top w:val="nil"/>
              <w:left w:val="nil"/>
              <w:bottom w:val="single" w:color="auto" w:sz="4" w:space="0"/>
              <w:right w:val="single" w:color="auto" w:sz="4" w:space="0"/>
            </w:tcBorders>
            <w:vAlign w:val="center"/>
          </w:tcPr>
          <w:p w14:paraId="5BD34592">
            <w:pPr>
              <w:widowControl/>
              <w:jc w:val="center"/>
              <w:rPr>
                <w:color w:val="auto"/>
                <w:kern w:val="0"/>
                <w:szCs w:val="21"/>
              </w:rPr>
            </w:pPr>
            <w:r>
              <w:rPr>
                <w:rFonts w:hint="eastAsia"/>
                <w:color w:val="auto"/>
                <w:kern w:val="0"/>
                <w:szCs w:val="21"/>
              </w:rPr>
              <w:t>5分</w:t>
            </w:r>
          </w:p>
        </w:tc>
        <w:tc>
          <w:tcPr>
            <w:tcW w:w="5474" w:type="dxa"/>
            <w:tcBorders>
              <w:top w:val="nil"/>
              <w:left w:val="nil"/>
              <w:bottom w:val="single" w:color="auto" w:sz="4" w:space="0"/>
              <w:right w:val="single" w:color="auto" w:sz="4" w:space="0"/>
            </w:tcBorders>
          </w:tcPr>
          <w:p w14:paraId="5F10042A">
            <w:pPr>
              <w:widowControl/>
              <w:jc w:val="left"/>
              <w:rPr>
                <w:rFonts w:ascii="宋体" w:hAnsi="宋体"/>
                <w:bCs/>
                <w:color w:val="auto"/>
                <w:szCs w:val="21"/>
              </w:rPr>
            </w:pPr>
            <w:r>
              <w:rPr>
                <w:rFonts w:hint="eastAsia" w:ascii="宋体" w:hAnsi="宋体"/>
                <w:bCs/>
                <w:color w:val="auto"/>
                <w:szCs w:val="21"/>
              </w:rPr>
              <w:t>进度计划满足招标文件要求，进度保证措施合理、可行进行评价。</w:t>
            </w:r>
          </w:p>
          <w:p w14:paraId="51156E00">
            <w:pPr>
              <w:widowControl/>
              <w:jc w:val="left"/>
              <w:rPr>
                <w:color w:val="auto"/>
                <w:kern w:val="0"/>
                <w:szCs w:val="21"/>
              </w:rPr>
            </w:pPr>
            <w:r>
              <w:rPr>
                <w:rFonts w:hint="eastAsia" w:ascii="宋体" w:hAnsi="宋体" w:cs="宋体"/>
                <w:color w:val="auto"/>
                <w:szCs w:val="21"/>
              </w:rPr>
              <w:t>完全满足要求</w:t>
            </w:r>
            <w:r>
              <w:rPr>
                <w:rFonts w:hint="eastAsia" w:ascii="宋体" w:hAnsi="宋体"/>
                <w:bCs/>
                <w:color w:val="auto"/>
                <w:szCs w:val="21"/>
              </w:rPr>
              <w:t>得5分；较好满足要求的得4分；</w:t>
            </w:r>
            <w:r>
              <w:rPr>
                <w:rFonts w:hint="eastAsia" w:ascii="宋体" w:hAnsi="宋体" w:cs="宋体"/>
                <w:color w:val="auto"/>
                <w:szCs w:val="21"/>
              </w:rPr>
              <w:t>基本满足要求的得3分；</w:t>
            </w:r>
            <w:r>
              <w:rPr>
                <w:rFonts w:hint="eastAsia" w:ascii="宋体" w:hAnsi="宋体"/>
                <w:bCs/>
                <w:color w:val="auto"/>
                <w:szCs w:val="21"/>
              </w:rPr>
              <w:t>与要求偏离较大得1分；无相应内容不得分。</w:t>
            </w:r>
          </w:p>
        </w:tc>
      </w:tr>
      <w:tr w14:paraId="7DF5D0A6">
        <w:tblPrEx>
          <w:tblCellMar>
            <w:top w:w="0" w:type="dxa"/>
            <w:left w:w="108" w:type="dxa"/>
            <w:bottom w:w="0" w:type="dxa"/>
            <w:right w:w="108" w:type="dxa"/>
          </w:tblCellMar>
        </w:tblPrEx>
        <w:trPr>
          <w:trHeight w:val="447" w:hRule="atLeast"/>
          <w:jc w:val="center"/>
        </w:trPr>
        <w:tc>
          <w:tcPr>
            <w:tcW w:w="788" w:type="dxa"/>
            <w:tcBorders>
              <w:top w:val="nil"/>
              <w:left w:val="single" w:color="auto" w:sz="4" w:space="0"/>
              <w:bottom w:val="single" w:color="auto" w:sz="4" w:space="0"/>
              <w:right w:val="single" w:color="auto" w:sz="4" w:space="0"/>
            </w:tcBorders>
            <w:vAlign w:val="center"/>
          </w:tcPr>
          <w:p w14:paraId="631DE045">
            <w:pPr>
              <w:widowControl/>
              <w:jc w:val="center"/>
              <w:rPr>
                <w:color w:val="auto"/>
                <w:kern w:val="0"/>
                <w:szCs w:val="21"/>
              </w:rPr>
            </w:pPr>
            <w:r>
              <w:rPr>
                <w:rFonts w:hint="eastAsia"/>
                <w:color w:val="auto"/>
                <w:kern w:val="0"/>
                <w:szCs w:val="21"/>
              </w:rPr>
              <w:t>三</w:t>
            </w:r>
          </w:p>
        </w:tc>
        <w:tc>
          <w:tcPr>
            <w:tcW w:w="1712" w:type="dxa"/>
            <w:tcBorders>
              <w:top w:val="nil"/>
              <w:left w:val="single" w:color="auto" w:sz="4" w:space="0"/>
              <w:bottom w:val="single" w:color="auto" w:sz="4" w:space="0"/>
              <w:right w:val="single" w:color="auto" w:sz="4" w:space="0"/>
            </w:tcBorders>
            <w:vAlign w:val="center"/>
          </w:tcPr>
          <w:p w14:paraId="2B61E9F0">
            <w:pPr>
              <w:jc w:val="center"/>
              <w:rPr>
                <w:color w:val="auto"/>
                <w:kern w:val="0"/>
                <w:szCs w:val="21"/>
              </w:rPr>
            </w:pPr>
            <w:r>
              <w:rPr>
                <w:rFonts w:hint="eastAsia" w:hAnsi="宋体"/>
                <w:color w:val="auto"/>
                <w:szCs w:val="21"/>
              </w:rPr>
              <w:t>履约能力</w:t>
            </w:r>
          </w:p>
        </w:tc>
        <w:tc>
          <w:tcPr>
            <w:tcW w:w="992" w:type="dxa"/>
            <w:tcBorders>
              <w:top w:val="nil"/>
              <w:left w:val="nil"/>
              <w:bottom w:val="single" w:color="auto" w:sz="4" w:space="0"/>
              <w:right w:val="single" w:color="auto" w:sz="4" w:space="0"/>
            </w:tcBorders>
            <w:vAlign w:val="center"/>
          </w:tcPr>
          <w:p w14:paraId="11BAF400">
            <w:pPr>
              <w:widowControl/>
              <w:jc w:val="center"/>
              <w:rPr>
                <w:color w:val="auto"/>
                <w:kern w:val="0"/>
                <w:szCs w:val="21"/>
              </w:rPr>
            </w:pPr>
            <w:r>
              <w:rPr>
                <w:rFonts w:hint="eastAsia"/>
                <w:color w:val="auto"/>
                <w:kern w:val="0"/>
                <w:szCs w:val="21"/>
              </w:rPr>
              <w:t>47分</w:t>
            </w:r>
          </w:p>
        </w:tc>
        <w:tc>
          <w:tcPr>
            <w:tcW w:w="5474" w:type="dxa"/>
            <w:tcBorders>
              <w:top w:val="nil"/>
              <w:left w:val="nil"/>
              <w:bottom w:val="single" w:color="auto" w:sz="4" w:space="0"/>
              <w:right w:val="single" w:color="auto" w:sz="4" w:space="0"/>
            </w:tcBorders>
            <w:vAlign w:val="center"/>
          </w:tcPr>
          <w:p w14:paraId="4DE05A35">
            <w:pPr>
              <w:widowControl/>
              <w:jc w:val="center"/>
              <w:rPr>
                <w:color w:val="auto"/>
                <w:kern w:val="0"/>
                <w:szCs w:val="21"/>
              </w:rPr>
            </w:pPr>
          </w:p>
        </w:tc>
      </w:tr>
      <w:tr w14:paraId="092D2622">
        <w:tblPrEx>
          <w:tblCellMar>
            <w:top w:w="0" w:type="dxa"/>
            <w:left w:w="108" w:type="dxa"/>
            <w:bottom w:w="0" w:type="dxa"/>
            <w:right w:w="108" w:type="dxa"/>
          </w:tblCellMar>
        </w:tblPrEx>
        <w:trPr>
          <w:trHeight w:val="851" w:hRule="atLeast"/>
          <w:jc w:val="center"/>
        </w:trPr>
        <w:tc>
          <w:tcPr>
            <w:tcW w:w="788" w:type="dxa"/>
            <w:tcBorders>
              <w:top w:val="nil"/>
              <w:left w:val="single" w:color="auto" w:sz="4" w:space="0"/>
              <w:bottom w:val="single" w:color="auto" w:sz="4" w:space="0"/>
              <w:right w:val="single" w:color="auto" w:sz="4" w:space="0"/>
            </w:tcBorders>
            <w:vAlign w:val="center"/>
          </w:tcPr>
          <w:p w14:paraId="7204140C">
            <w:pPr>
              <w:widowControl/>
              <w:jc w:val="center"/>
              <w:rPr>
                <w:color w:val="auto"/>
                <w:kern w:val="0"/>
                <w:szCs w:val="21"/>
              </w:rPr>
            </w:pPr>
            <w:r>
              <w:rPr>
                <w:rFonts w:hint="eastAsia"/>
                <w:color w:val="auto"/>
                <w:kern w:val="0"/>
                <w:szCs w:val="21"/>
              </w:rPr>
              <w:t>3.1</w:t>
            </w:r>
          </w:p>
        </w:tc>
        <w:tc>
          <w:tcPr>
            <w:tcW w:w="1712" w:type="dxa"/>
            <w:tcBorders>
              <w:top w:val="nil"/>
              <w:left w:val="single" w:color="auto" w:sz="4" w:space="0"/>
              <w:bottom w:val="single" w:color="auto" w:sz="4" w:space="0"/>
              <w:right w:val="single" w:color="auto" w:sz="4" w:space="0"/>
            </w:tcBorders>
            <w:vAlign w:val="center"/>
          </w:tcPr>
          <w:p w14:paraId="016A5999">
            <w:pPr>
              <w:jc w:val="center"/>
              <w:rPr>
                <w:color w:val="auto"/>
                <w:kern w:val="0"/>
                <w:szCs w:val="21"/>
              </w:rPr>
            </w:pPr>
            <w:r>
              <w:rPr>
                <w:rFonts w:hint="eastAsia"/>
                <w:color w:val="auto"/>
                <w:kern w:val="0"/>
                <w:szCs w:val="21"/>
              </w:rPr>
              <w:t>企业业绩</w:t>
            </w:r>
          </w:p>
        </w:tc>
        <w:tc>
          <w:tcPr>
            <w:tcW w:w="992" w:type="dxa"/>
            <w:tcBorders>
              <w:top w:val="nil"/>
              <w:left w:val="nil"/>
              <w:bottom w:val="single" w:color="auto" w:sz="4" w:space="0"/>
              <w:right w:val="single" w:color="auto" w:sz="4" w:space="0"/>
            </w:tcBorders>
            <w:vAlign w:val="center"/>
          </w:tcPr>
          <w:p w14:paraId="519C364F">
            <w:pPr>
              <w:widowControl/>
              <w:jc w:val="center"/>
              <w:rPr>
                <w:color w:val="auto"/>
                <w:kern w:val="0"/>
                <w:szCs w:val="21"/>
              </w:rPr>
            </w:pPr>
            <w:r>
              <w:rPr>
                <w:rFonts w:hint="eastAsia"/>
                <w:color w:val="auto"/>
                <w:kern w:val="0"/>
                <w:szCs w:val="21"/>
              </w:rPr>
              <w:t>15分</w:t>
            </w:r>
          </w:p>
        </w:tc>
        <w:tc>
          <w:tcPr>
            <w:tcW w:w="5474" w:type="dxa"/>
            <w:tcBorders>
              <w:top w:val="nil"/>
              <w:left w:val="nil"/>
              <w:bottom w:val="single" w:color="auto" w:sz="4" w:space="0"/>
              <w:right w:val="single" w:color="auto" w:sz="4" w:space="0"/>
            </w:tcBorders>
            <w:vAlign w:val="center"/>
          </w:tcPr>
          <w:p w14:paraId="1BE8C4B7">
            <w:pPr>
              <w:widowControl/>
              <w:jc w:val="left"/>
              <w:rPr>
                <w:color w:val="auto"/>
                <w:kern w:val="0"/>
                <w:szCs w:val="21"/>
              </w:rPr>
            </w:pPr>
            <w:r>
              <w:rPr>
                <w:rFonts w:hint="eastAsia" w:hAnsi="宋体"/>
                <w:color w:val="auto"/>
                <w:szCs w:val="21"/>
              </w:rPr>
              <w:t>企业2021年10月1日(以合同签订时间为准)以来，具有水利工程项目建议书、可行性研究或初步设计报告咨询评估业绩的，每有一项得5分，本项最高得15分。(需提供合同或协议书复印件并加盖公章，否则不得分)</w:t>
            </w:r>
          </w:p>
        </w:tc>
      </w:tr>
      <w:tr w14:paraId="70B79200">
        <w:tblPrEx>
          <w:tblCellMar>
            <w:top w:w="0" w:type="dxa"/>
            <w:left w:w="108" w:type="dxa"/>
            <w:bottom w:w="0" w:type="dxa"/>
            <w:right w:w="108" w:type="dxa"/>
          </w:tblCellMar>
        </w:tblPrEx>
        <w:trPr>
          <w:trHeight w:val="851" w:hRule="atLeast"/>
          <w:jc w:val="center"/>
        </w:trPr>
        <w:tc>
          <w:tcPr>
            <w:tcW w:w="788" w:type="dxa"/>
            <w:tcBorders>
              <w:top w:val="nil"/>
              <w:left w:val="single" w:color="auto" w:sz="4" w:space="0"/>
              <w:bottom w:val="single" w:color="auto" w:sz="4" w:space="0"/>
              <w:right w:val="single" w:color="auto" w:sz="4" w:space="0"/>
            </w:tcBorders>
            <w:vAlign w:val="center"/>
          </w:tcPr>
          <w:p w14:paraId="2C83BA83">
            <w:pPr>
              <w:jc w:val="center"/>
              <w:rPr>
                <w:color w:val="auto"/>
                <w:kern w:val="0"/>
                <w:szCs w:val="21"/>
              </w:rPr>
            </w:pPr>
            <w:r>
              <w:rPr>
                <w:rFonts w:hint="eastAsia"/>
                <w:color w:val="auto"/>
                <w:kern w:val="0"/>
                <w:szCs w:val="21"/>
              </w:rPr>
              <w:t>3.2</w:t>
            </w:r>
          </w:p>
        </w:tc>
        <w:tc>
          <w:tcPr>
            <w:tcW w:w="1712" w:type="dxa"/>
            <w:tcBorders>
              <w:top w:val="nil"/>
              <w:left w:val="single" w:color="auto" w:sz="4" w:space="0"/>
              <w:bottom w:val="single" w:color="auto" w:sz="4" w:space="0"/>
              <w:right w:val="single" w:color="auto" w:sz="4" w:space="0"/>
            </w:tcBorders>
            <w:vAlign w:val="center"/>
          </w:tcPr>
          <w:p w14:paraId="475CE2E5">
            <w:pPr>
              <w:snapToGrid w:val="0"/>
              <w:spacing w:line="320" w:lineRule="exact"/>
              <w:jc w:val="center"/>
              <w:textAlignment w:val="baseline"/>
              <w:rPr>
                <w:color w:val="auto"/>
                <w:kern w:val="0"/>
                <w:szCs w:val="21"/>
              </w:rPr>
            </w:pPr>
            <w:r>
              <w:rPr>
                <w:rFonts w:hint="eastAsia"/>
                <w:color w:val="auto"/>
                <w:kern w:val="0"/>
                <w:szCs w:val="21"/>
              </w:rPr>
              <w:t>项目负责人能力</w:t>
            </w:r>
          </w:p>
        </w:tc>
        <w:tc>
          <w:tcPr>
            <w:tcW w:w="992" w:type="dxa"/>
            <w:tcBorders>
              <w:top w:val="nil"/>
              <w:left w:val="nil"/>
              <w:bottom w:val="single" w:color="auto" w:sz="4" w:space="0"/>
              <w:right w:val="single" w:color="auto" w:sz="4" w:space="0"/>
            </w:tcBorders>
            <w:vAlign w:val="center"/>
          </w:tcPr>
          <w:p w14:paraId="47EC9380">
            <w:pPr>
              <w:jc w:val="center"/>
              <w:rPr>
                <w:color w:val="auto"/>
                <w:kern w:val="0"/>
                <w:szCs w:val="21"/>
              </w:rPr>
            </w:pPr>
            <w:r>
              <w:rPr>
                <w:rFonts w:hint="eastAsia"/>
                <w:color w:val="auto"/>
                <w:kern w:val="0"/>
                <w:szCs w:val="21"/>
              </w:rPr>
              <w:t>11分</w:t>
            </w:r>
          </w:p>
        </w:tc>
        <w:tc>
          <w:tcPr>
            <w:tcW w:w="5474" w:type="dxa"/>
            <w:tcBorders>
              <w:top w:val="nil"/>
              <w:left w:val="nil"/>
              <w:bottom w:val="single" w:color="auto" w:sz="4" w:space="0"/>
              <w:right w:val="single" w:color="auto" w:sz="4" w:space="0"/>
            </w:tcBorders>
            <w:vAlign w:val="center"/>
          </w:tcPr>
          <w:p w14:paraId="61E074F5">
            <w:pPr>
              <w:rPr>
                <w:color w:val="auto"/>
                <w:kern w:val="0"/>
                <w:szCs w:val="21"/>
              </w:rPr>
            </w:pPr>
            <w:r>
              <w:rPr>
                <w:rFonts w:hint="eastAsia"/>
                <w:color w:val="auto"/>
                <w:kern w:val="0"/>
                <w:szCs w:val="21"/>
              </w:rPr>
              <w:t>1.拟任项目负责人具有技术类正高级工程师得5分，技术类高级工程师得2分；</w:t>
            </w:r>
          </w:p>
          <w:p w14:paraId="03DD1EBC">
            <w:pPr>
              <w:rPr>
                <w:color w:val="auto"/>
                <w:kern w:val="0"/>
                <w:szCs w:val="21"/>
              </w:rPr>
            </w:pPr>
            <w:r>
              <w:rPr>
                <w:rFonts w:hint="eastAsia"/>
                <w:color w:val="auto"/>
                <w:kern w:val="0"/>
                <w:szCs w:val="21"/>
              </w:rPr>
              <w:t>2.拟任项目负责人具有水利水电专业注册咨询工程师(投资)证书的得1分；</w:t>
            </w:r>
          </w:p>
          <w:p w14:paraId="2ED97BA2">
            <w:pPr>
              <w:rPr>
                <w:color w:val="auto"/>
                <w:kern w:val="0"/>
                <w:szCs w:val="21"/>
              </w:rPr>
            </w:pPr>
            <w:r>
              <w:rPr>
                <w:rFonts w:hint="eastAsia"/>
                <w:color w:val="auto"/>
                <w:kern w:val="0"/>
                <w:szCs w:val="21"/>
              </w:rPr>
              <w:t>3.拟任项目负责人自2021年10月1日(合同签订时间为准)以来，具有</w:t>
            </w:r>
            <w:r>
              <w:rPr>
                <w:rFonts w:hint="eastAsia" w:hAnsi="宋体"/>
                <w:color w:val="auto"/>
                <w:szCs w:val="21"/>
              </w:rPr>
              <w:t>水利工程</w:t>
            </w:r>
            <w:r>
              <w:rPr>
                <w:rFonts w:hint="eastAsia"/>
                <w:color w:val="auto"/>
                <w:kern w:val="0"/>
                <w:szCs w:val="21"/>
              </w:rPr>
              <w:t>项目</w:t>
            </w:r>
            <w:r>
              <w:rPr>
                <w:rFonts w:hint="eastAsia" w:hAnsi="宋体"/>
                <w:color w:val="auto"/>
                <w:szCs w:val="21"/>
              </w:rPr>
              <w:t>建议书、</w:t>
            </w:r>
            <w:r>
              <w:rPr>
                <w:rFonts w:hint="eastAsia"/>
                <w:color w:val="auto"/>
                <w:kern w:val="0"/>
                <w:szCs w:val="21"/>
              </w:rPr>
              <w:t>可研或初设咨询评估的项目负责人业绩的，得5分。（项目负责人业绩与企业业绩不可兼得，项目负责人业绩优先赋分）</w:t>
            </w:r>
          </w:p>
          <w:p w14:paraId="3F6A3CC1">
            <w:pPr>
              <w:rPr>
                <w:color w:val="auto"/>
                <w:kern w:val="0"/>
                <w:szCs w:val="21"/>
              </w:rPr>
            </w:pPr>
            <w:r>
              <w:rPr>
                <w:rFonts w:hint="eastAsia"/>
                <w:color w:val="auto"/>
                <w:kern w:val="0"/>
                <w:szCs w:val="21"/>
              </w:rPr>
              <w:t>本项最高得11分。</w:t>
            </w:r>
          </w:p>
          <w:p w14:paraId="1641FECB">
            <w:pPr>
              <w:jc w:val="left"/>
              <w:rPr>
                <w:color w:val="auto"/>
                <w:kern w:val="0"/>
                <w:szCs w:val="21"/>
              </w:rPr>
            </w:pPr>
            <w:r>
              <w:rPr>
                <w:rFonts w:hint="eastAsia"/>
                <w:color w:val="auto"/>
                <w:kern w:val="0"/>
                <w:szCs w:val="21"/>
              </w:rPr>
              <w:t>(提供相应证书复印件，合同复印件（如合同无法反映相关评审因素的需提供加盖甲方公章的证明材料），并提供供应商为其缴纳的开标前3个月内任意1个月的社保证明，否则不得分)</w:t>
            </w:r>
          </w:p>
        </w:tc>
      </w:tr>
      <w:tr w14:paraId="33686D77">
        <w:tblPrEx>
          <w:tblCellMar>
            <w:top w:w="0" w:type="dxa"/>
            <w:left w:w="108" w:type="dxa"/>
            <w:bottom w:w="0" w:type="dxa"/>
            <w:right w:w="108" w:type="dxa"/>
          </w:tblCellMar>
        </w:tblPrEx>
        <w:trPr>
          <w:trHeight w:val="3679" w:hRule="atLeast"/>
          <w:jc w:val="center"/>
        </w:trPr>
        <w:tc>
          <w:tcPr>
            <w:tcW w:w="788" w:type="dxa"/>
            <w:tcBorders>
              <w:top w:val="nil"/>
              <w:left w:val="single" w:color="auto" w:sz="4" w:space="0"/>
              <w:bottom w:val="single" w:color="auto" w:sz="4" w:space="0"/>
              <w:right w:val="single" w:color="auto" w:sz="4" w:space="0"/>
            </w:tcBorders>
            <w:vAlign w:val="center"/>
          </w:tcPr>
          <w:p w14:paraId="0E158C23">
            <w:pPr>
              <w:widowControl/>
              <w:jc w:val="center"/>
              <w:rPr>
                <w:color w:val="auto"/>
                <w:kern w:val="0"/>
                <w:szCs w:val="21"/>
              </w:rPr>
            </w:pPr>
            <w:r>
              <w:rPr>
                <w:rFonts w:hint="eastAsia"/>
                <w:color w:val="auto"/>
                <w:kern w:val="0"/>
                <w:szCs w:val="21"/>
              </w:rPr>
              <w:t>3.3</w:t>
            </w:r>
          </w:p>
        </w:tc>
        <w:tc>
          <w:tcPr>
            <w:tcW w:w="1712" w:type="dxa"/>
            <w:tcBorders>
              <w:top w:val="nil"/>
              <w:left w:val="single" w:color="auto" w:sz="4" w:space="0"/>
              <w:bottom w:val="single" w:color="auto" w:sz="4" w:space="0"/>
              <w:right w:val="single" w:color="auto" w:sz="4" w:space="0"/>
            </w:tcBorders>
            <w:vAlign w:val="center"/>
          </w:tcPr>
          <w:p w14:paraId="26CF6258">
            <w:pPr>
              <w:snapToGrid w:val="0"/>
              <w:spacing w:line="320" w:lineRule="exact"/>
              <w:jc w:val="center"/>
              <w:textAlignment w:val="baseline"/>
              <w:rPr>
                <w:color w:val="auto"/>
                <w:kern w:val="0"/>
                <w:szCs w:val="21"/>
              </w:rPr>
            </w:pPr>
            <w:r>
              <w:rPr>
                <w:rFonts w:hint="eastAsia"/>
                <w:color w:val="auto"/>
                <w:kern w:val="0"/>
                <w:szCs w:val="21"/>
              </w:rPr>
              <w:t>项目团队成员能力</w:t>
            </w:r>
            <w:r>
              <w:rPr>
                <w:rFonts w:hint="eastAsia"/>
                <w:color w:val="auto"/>
              </w:rPr>
              <w:t>（不含项目负责人）</w:t>
            </w:r>
          </w:p>
        </w:tc>
        <w:tc>
          <w:tcPr>
            <w:tcW w:w="992" w:type="dxa"/>
            <w:tcBorders>
              <w:top w:val="nil"/>
              <w:left w:val="nil"/>
              <w:bottom w:val="single" w:color="auto" w:sz="4" w:space="0"/>
              <w:right w:val="single" w:color="auto" w:sz="4" w:space="0"/>
            </w:tcBorders>
            <w:vAlign w:val="center"/>
          </w:tcPr>
          <w:p w14:paraId="75436E11">
            <w:pPr>
              <w:widowControl/>
              <w:jc w:val="center"/>
              <w:rPr>
                <w:color w:val="auto"/>
                <w:kern w:val="0"/>
                <w:szCs w:val="21"/>
              </w:rPr>
            </w:pPr>
            <w:r>
              <w:rPr>
                <w:rFonts w:hint="eastAsia"/>
                <w:color w:val="auto"/>
                <w:kern w:val="0"/>
                <w:szCs w:val="21"/>
              </w:rPr>
              <w:t>21分</w:t>
            </w:r>
          </w:p>
        </w:tc>
        <w:tc>
          <w:tcPr>
            <w:tcW w:w="5474" w:type="dxa"/>
            <w:tcBorders>
              <w:top w:val="nil"/>
              <w:left w:val="nil"/>
              <w:bottom w:val="single" w:color="auto" w:sz="4" w:space="0"/>
              <w:right w:val="single" w:color="auto" w:sz="4" w:space="0"/>
            </w:tcBorders>
            <w:vAlign w:val="center"/>
          </w:tcPr>
          <w:p w14:paraId="5E5B5DC2">
            <w:pPr>
              <w:rPr>
                <w:color w:val="auto"/>
                <w:kern w:val="0"/>
                <w:szCs w:val="21"/>
              </w:rPr>
            </w:pPr>
            <w:r>
              <w:rPr>
                <w:rFonts w:hint="eastAsia"/>
                <w:color w:val="auto"/>
                <w:kern w:val="0"/>
                <w:szCs w:val="21"/>
              </w:rPr>
              <w:t>1.人员专业配置（规划、</w:t>
            </w:r>
            <w:r>
              <w:rPr>
                <w:rFonts w:hint="eastAsia" w:ascii="宋体" w:hAnsi="宋体" w:cs="宋体"/>
                <w:color w:val="auto"/>
                <w:szCs w:val="21"/>
              </w:rPr>
              <w:t>水文、地质、水工、机电、金属结构、建设征地与移民安置、水土保持、环境保护、造价</w:t>
            </w:r>
            <w:r>
              <w:rPr>
                <w:rFonts w:hint="eastAsia"/>
                <w:color w:val="auto"/>
                <w:kern w:val="0"/>
                <w:szCs w:val="21"/>
              </w:rPr>
              <w:t>）合理，</w:t>
            </w:r>
            <w:r>
              <w:rPr>
                <w:rFonts w:hint="eastAsia"/>
                <w:color w:val="auto"/>
              </w:rPr>
              <w:t>专业齐全、</w:t>
            </w:r>
            <w:r>
              <w:rPr>
                <w:rFonts w:hint="eastAsia"/>
                <w:color w:val="auto"/>
                <w:kern w:val="0"/>
                <w:szCs w:val="21"/>
              </w:rPr>
              <w:t>数量能够满足咨询工作需要，得10分；其余少一个专业扣1分。（</w:t>
            </w:r>
            <w:r>
              <w:rPr>
                <w:rFonts w:hint="eastAsia"/>
                <w:color w:val="auto"/>
              </w:rPr>
              <w:t>同1人只认1个专业，</w:t>
            </w:r>
            <w:r>
              <w:rPr>
                <w:rFonts w:hint="eastAsia"/>
                <w:color w:val="auto"/>
                <w:kern w:val="0"/>
                <w:szCs w:val="21"/>
              </w:rPr>
              <w:t>应提供学历证书或执业资格证书或职称证书等材料证明从业人员的专业）</w:t>
            </w:r>
          </w:p>
          <w:p w14:paraId="66757874">
            <w:pPr>
              <w:rPr>
                <w:color w:val="auto"/>
                <w:kern w:val="0"/>
                <w:szCs w:val="21"/>
              </w:rPr>
            </w:pPr>
            <w:r>
              <w:rPr>
                <w:rFonts w:hint="eastAsia"/>
                <w:color w:val="auto"/>
                <w:kern w:val="0"/>
                <w:szCs w:val="21"/>
              </w:rPr>
              <w:t>2.项目团队中项目负责人以外的成员具有高级及以上技术职称的，每有1人，得1分，最多得6分；</w:t>
            </w:r>
          </w:p>
          <w:p w14:paraId="090EC080">
            <w:pPr>
              <w:rPr>
                <w:color w:val="auto"/>
                <w:kern w:val="0"/>
                <w:szCs w:val="21"/>
              </w:rPr>
            </w:pPr>
            <w:r>
              <w:rPr>
                <w:rFonts w:hint="eastAsia"/>
                <w:color w:val="auto"/>
                <w:kern w:val="0"/>
                <w:szCs w:val="21"/>
              </w:rPr>
              <w:t>3.具有水利水电工程专业注册咨询工程师(投资)证书的，每有1人，得1分，最多得3分；</w:t>
            </w:r>
          </w:p>
          <w:p w14:paraId="2914E84F">
            <w:pPr>
              <w:rPr>
                <w:color w:val="auto"/>
                <w:kern w:val="0"/>
                <w:szCs w:val="21"/>
              </w:rPr>
            </w:pPr>
            <w:r>
              <w:rPr>
                <w:rFonts w:hint="eastAsia"/>
                <w:color w:val="auto"/>
                <w:kern w:val="0"/>
                <w:szCs w:val="21"/>
              </w:rPr>
              <w:t>4.具有注册造价工程师(或一级注册造价工程师)证书的，每有1人，得1分，最多得2分；</w:t>
            </w:r>
          </w:p>
          <w:p w14:paraId="5F34FE50">
            <w:pPr>
              <w:rPr>
                <w:color w:val="auto"/>
                <w:kern w:val="0"/>
                <w:szCs w:val="21"/>
              </w:rPr>
            </w:pPr>
            <w:r>
              <w:rPr>
                <w:rFonts w:hint="eastAsia"/>
                <w:color w:val="auto"/>
                <w:kern w:val="0"/>
                <w:szCs w:val="21"/>
              </w:rPr>
              <w:t>本项最高得21分。</w:t>
            </w:r>
          </w:p>
          <w:p w14:paraId="35BCBAC2">
            <w:pPr>
              <w:rPr>
                <w:rFonts w:hAnsi="宋体"/>
                <w:color w:val="auto"/>
                <w:szCs w:val="21"/>
              </w:rPr>
            </w:pPr>
            <w:r>
              <w:rPr>
                <w:rFonts w:hint="eastAsia"/>
                <w:color w:val="auto"/>
                <w:kern w:val="0"/>
                <w:szCs w:val="21"/>
              </w:rPr>
              <w:t>(提供证书，并提供供应商为其缴纳的开标前3个月内任意1个月的社保证明，否则不得分)</w:t>
            </w:r>
          </w:p>
        </w:tc>
      </w:tr>
      <w:tr w14:paraId="0D3FD81C">
        <w:tblPrEx>
          <w:tblCellMar>
            <w:top w:w="0" w:type="dxa"/>
            <w:left w:w="108" w:type="dxa"/>
            <w:bottom w:w="0" w:type="dxa"/>
            <w:right w:w="108" w:type="dxa"/>
          </w:tblCellMar>
        </w:tblPrEx>
        <w:trPr>
          <w:trHeight w:val="575" w:hRule="atLeast"/>
          <w:jc w:val="center"/>
        </w:trPr>
        <w:tc>
          <w:tcPr>
            <w:tcW w:w="2500" w:type="dxa"/>
            <w:gridSpan w:val="2"/>
            <w:tcBorders>
              <w:top w:val="nil"/>
              <w:left w:val="single" w:color="auto" w:sz="4" w:space="0"/>
              <w:bottom w:val="single" w:color="auto" w:sz="4" w:space="0"/>
              <w:right w:val="single" w:color="auto" w:sz="4" w:space="0"/>
            </w:tcBorders>
            <w:vAlign w:val="center"/>
          </w:tcPr>
          <w:p w14:paraId="49C64604">
            <w:pPr>
              <w:jc w:val="center"/>
              <w:rPr>
                <w:b/>
                <w:bCs/>
                <w:color w:val="auto"/>
                <w:kern w:val="0"/>
                <w:szCs w:val="21"/>
              </w:rPr>
            </w:pPr>
            <w:r>
              <w:rPr>
                <w:b/>
                <w:bCs/>
                <w:color w:val="auto"/>
                <w:kern w:val="0"/>
                <w:szCs w:val="21"/>
              </w:rPr>
              <w:t>总   计</w:t>
            </w:r>
          </w:p>
        </w:tc>
        <w:tc>
          <w:tcPr>
            <w:tcW w:w="992" w:type="dxa"/>
            <w:tcBorders>
              <w:top w:val="nil"/>
              <w:left w:val="nil"/>
              <w:bottom w:val="single" w:color="auto" w:sz="4" w:space="0"/>
              <w:right w:val="single" w:color="auto" w:sz="4" w:space="0"/>
            </w:tcBorders>
            <w:vAlign w:val="center"/>
          </w:tcPr>
          <w:p w14:paraId="2F4BAB85">
            <w:pPr>
              <w:widowControl/>
              <w:jc w:val="center"/>
              <w:rPr>
                <w:b/>
                <w:bCs/>
                <w:color w:val="auto"/>
                <w:kern w:val="0"/>
                <w:szCs w:val="21"/>
              </w:rPr>
            </w:pPr>
            <w:r>
              <w:rPr>
                <w:rFonts w:hint="eastAsia"/>
                <w:b/>
                <w:bCs/>
                <w:color w:val="auto"/>
                <w:kern w:val="0"/>
                <w:szCs w:val="21"/>
              </w:rPr>
              <w:t>100分</w:t>
            </w:r>
          </w:p>
        </w:tc>
        <w:tc>
          <w:tcPr>
            <w:tcW w:w="5474" w:type="dxa"/>
            <w:tcBorders>
              <w:top w:val="nil"/>
              <w:left w:val="nil"/>
              <w:bottom w:val="single" w:color="auto" w:sz="4" w:space="0"/>
              <w:right w:val="single" w:color="auto" w:sz="4" w:space="0"/>
            </w:tcBorders>
            <w:vAlign w:val="center"/>
          </w:tcPr>
          <w:p w14:paraId="39E4F28E">
            <w:pPr>
              <w:widowControl/>
              <w:jc w:val="center"/>
              <w:rPr>
                <w:b/>
                <w:bCs/>
                <w:color w:val="auto"/>
                <w:kern w:val="0"/>
                <w:szCs w:val="21"/>
              </w:rPr>
            </w:pPr>
          </w:p>
        </w:tc>
      </w:tr>
      <w:bookmarkEnd w:id="18"/>
    </w:tbl>
    <w:p w14:paraId="727C6CE3">
      <w:pPr>
        <w:spacing w:line="360" w:lineRule="auto"/>
        <w:ind w:firstLine="420" w:firstLineChars="200"/>
        <w:rPr>
          <w:rFonts w:ascii="宋体" w:hAnsi="宋体"/>
          <w:b/>
          <w:color w:val="auto"/>
          <w:szCs w:val="21"/>
        </w:rPr>
      </w:pPr>
      <w:r>
        <w:rPr>
          <w:rFonts w:hint="eastAsia" w:ascii="宋体" w:hAnsi="宋体"/>
          <w:b/>
          <w:color w:val="auto"/>
          <w:szCs w:val="21"/>
        </w:rPr>
        <w:t>备注：</w:t>
      </w:r>
    </w:p>
    <w:p w14:paraId="24F92612">
      <w:pPr>
        <w:spacing w:line="420" w:lineRule="exact"/>
        <w:ind w:firstLine="420" w:firstLineChars="200"/>
        <w:rPr>
          <w:rFonts w:ascii="宋体" w:hAnsi="宋体"/>
          <w:b/>
          <w:color w:val="auto"/>
          <w:szCs w:val="21"/>
        </w:rPr>
      </w:pPr>
      <w:r>
        <w:rPr>
          <w:rFonts w:hint="eastAsia" w:ascii="宋体" w:hAnsi="宋体"/>
          <w:b/>
          <w:color w:val="auto"/>
          <w:szCs w:val="21"/>
        </w:rPr>
        <w:t>1.投标单位必须保证全部投标资料的真实性，如有虚假或</w:t>
      </w:r>
      <w:r>
        <w:rPr>
          <w:rFonts w:ascii="宋体" w:hAnsi="宋体"/>
          <w:b/>
          <w:color w:val="auto"/>
          <w:szCs w:val="21"/>
        </w:rPr>
        <w:t>对</w:t>
      </w:r>
      <w:r>
        <w:rPr>
          <w:rFonts w:hint="eastAsia" w:ascii="宋体" w:hAnsi="宋体"/>
          <w:b/>
          <w:color w:val="auto"/>
          <w:szCs w:val="21"/>
        </w:rPr>
        <w:t>招标</w:t>
      </w:r>
      <w:r>
        <w:rPr>
          <w:rFonts w:ascii="宋体" w:hAnsi="宋体"/>
          <w:b/>
          <w:color w:val="auto"/>
          <w:szCs w:val="21"/>
        </w:rPr>
        <w:t>文件所要求说明的情况故意隐瞒或虚报，视为不实质性响应</w:t>
      </w:r>
      <w:r>
        <w:rPr>
          <w:rFonts w:hint="eastAsia" w:ascii="宋体" w:hAnsi="宋体"/>
          <w:b/>
          <w:color w:val="auto"/>
          <w:szCs w:val="21"/>
        </w:rPr>
        <w:t>招标文件</w:t>
      </w:r>
      <w:r>
        <w:rPr>
          <w:rFonts w:ascii="宋体" w:hAnsi="宋体"/>
          <w:b/>
          <w:color w:val="auto"/>
          <w:szCs w:val="21"/>
        </w:rPr>
        <w:t>，为无效投标。已</w:t>
      </w:r>
      <w:r>
        <w:rPr>
          <w:rFonts w:hint="eastAsia" w:ascii="宋体" w:hAnsi="宋体"/>
          <w:b/>
          <w:color w:val="auto"/>
          <w:szCs w:val="21"/>
        </w:rPr>
        <w:t>中标</w:t>
      </w:r>
      <w:r>
        <w:rPr>
          <w:rFonts w:ascii="宋体" w:hAnsi="宋体"/>
          <w:b/>
          <w:color w:val="auto"/>
          <w:szCs w:val="21"/>
        </w:rPr>
        <w:t>的将取消</w:t>
      </w:r>
      <w:r>
        <w:rPr>
          <w:rFonts w:hint="eastAsia" w:ascii="宋体" w:hAnsi="宋体"/>
          <w:b/>
          <w:color w:val="auto"/>
          <w:szCs w:val="21"/>
        </w:rPr>
        <w:t>中标</w:t>
      </w:r>
      <w:r>
        <w:rPr>
          <w:rFonts w:ascii="宋体" w:hAnsi="宋体"/>
          <w:b/>
          <w:color w:val="auto"/>
          <w:szCs w:val="21"/>
        </w:rPr>
        <w:t>资格，并按《中华人民共和国政府采购法》</w:t>
      </w:r>
      <w:r>
        <w:rPr>
          <w:rFonts w:hint="eastAsia" w:ascii="宋体" w:hAnsi="宋体"/>
          <w:b/>
          <w:color w:val="auto"/>
          <w:szCs w:val="21"/>
        </w:rPr>
        <w:t>等法律法规</w:t>
      </w:r>
      <w:r>
        <w:rPr>
          <w:rFonts w:ascii="宋体" w:hAnsi="宋体"/>
          <w:b/>
          <w:color w:val="auto"/>
          <w:szCs w:val="21"/>
        </w:rPr>
        <w:t>处理</w:t>
      </w:r>
      <w:r>
        <w:rPr>
          <w:rFonts w:hint="eastAsia" w:ascii="宋体" w:hAnsi="宋体"/>
          <w:b/>
          <w:color w:val="auto"/>
          <w:szCs w:val="21"/>
        </w:rPr>
        <w:t>。</w:t>
      </w:r>
    </w:p>
    <w:p w14:paraId="1A82F09E">
      <w:pPr>
        <w:spacing w:line="420" w:lineRule="exact"/>
        <w:ind w:firstLine="420" w:firstLineChars="200"/>
        <w:rPr>
          <w:rFonts w:ascii="宋体" w:hAnsi="宋体"/>
          <w:color w:val="auto"/>
          <w:szCs w:val="21"/>
        </w:rPr>
      </w:pPr>
      <w:r>
        <w:rPr>
          <w:rFonts w:hint="eastAsia" w:ascii="宋体" w:hAnsi="宋体"/>
          <w:color w:val="auto"/>
          <w:szCs w:val="21"/>
        </w:rPr>
        <w:t>2.</w:t>
      </w:r>
      <w:r>
        <w:rPr>
          <w:rFonts w:hint="eastAsia" w:ascii="宋体" w:hAnsi="宋体"/>
          <w:color w:val="auto"/>
          <w:kern w:val="0"/>
          <w:szCs w:val="21"/>
        </w:rPr>
        <w:t xml:space="preserve"> 投标人所属行业：</w:t>
      </w:r>
      <w:r>
        <w:rPr>
          <w:rFonts w:hint="eastAsia" w:ascii="宋体" w:hAnsi="宋体"/>
          <w:color w:val="auto"/>
          <w:kern w:val="0"/>
          <w:szCs w:val="21"/>
          <w:u w:val="single"/>
        </w:rPr>
        <w:t>其他未列明行业</w:t>
      </w:r>
      <w:r>
        <w:rPr>
          <w:rFonts w:hint="eastAsia" w:ascii="宋体" w:hAnsi="宋体"/>
          <w:color w:val="auto"/>
          <w:kern w:val="0"/>
          <w:szCs w:val="21"/>
        </w:rPr>
        <w:t>。</w:t>
      </w:r>
    </w:p>
    <w:p w14:paraId="62540A26">
      <w:pPr>
        <w:rPr>
          <w:color w:val="auto"/>
        </w:rPr>
      </w:pPr>
      <w:r>
        <w:rPr>
          <w:color w:val="auto"/>
        </w:rPr>
        <w:br w:type="page"/>
      </w:r>
    </w:p>
    <w:p w14:paraId="4D38ED84">
      <w:pPr>
        <w:pStyle w:val="3"/>
        <w:numPr>
          <w:ilvl w:val="0"/>
          <w:numId w:val="0"/>
        </w:numPr>
        <w:spacing w:before="120" w:after="0" w:line="480" w:lineRule="auto"/>
        <w:rPr>
          <w:color w:val="auto"/>
          <w:kern w:val="0"/>
        </w:rPr>
      </w:pPr>
      <w:bookmarkStart w:id="19" w:name="_Toc18507368"/>
      <w:r>
        <w:rPr>
          <w:rFonts w:hint="eastAsia"/>
          <w:color w:val="auto"/>
          <w:kern w:val="0"/>
        </w:rPr>
        <w:t>第四章 采购需求</w:t>
      </w:r>
      <w:bookmarkEnd w:id="19"/>
      <w:bookmarkStart w:id="20" w:name="_Toc535832598"/>
      <w:bookmarkStart w:id="21" w:name="_Toc193170070"/>
      <w:bookmarkStart w:id="22" w:name="_Toc481057147"/>
    </w:p>
    <w:bookmarkEnd w:id="20"/>
    <w:bookmarkEnd w:id="21"/>
    <w:p w14:paraId="310C36B2">
      <w:pPr>
        <w:pStyle w:val="27"/>
        <w:spacing w:line="360" w:lineRule="auto"/>
        <w:ind w:firstLine="420"/>
        <w:rPr>
          <w:rFonts w:ascii="Times New Roman"/>
          <w:b/>
          <w:color w:val="auto"/>
          <w:kern w:val="2"/>
          <w:sz w:val="21"/>
          <w:szCs w:val="21"/>
        </w:rPr>
      </w:pPr>
      <w:r>
        <w:rPr>
          <w:rFonts w:hint="eastAsia" w:ascii="Times New Roman"/>
          <w:b/>
          <w:color w:val="auto"/>
          <w:kern w:val="2"/>
          <w:sz w:val="21"/>
          <w:szCs w:val="21"/>
        </w:rPr>
        <w:t>一、项目概况</w:t>
      </w:r>
    </w:p>
    <w:p w14:paraId="1FA1B487">
      <w:pPr>
        <w:pStyle w:val="214"/>
        <w:spacing w:line="360" w:lineRule="auto"/>
        <w:rPr>
          <w:rFonts w:hAnsi="宋体" w:cs="宋体"/>
          <w:color w:val="auto"/>
          <w:szCs w:val="21"/>
        </w:rPr>
      </w:pPr>
      <w:r>
        <w:rPr>
          <w:rFonts w:hint="eastAsia" w:ascii="宋体" w:hAnsi="宋体" w:cs="宋体"/>
          <w:bCs/>
          <w:color w:val="auto"/>
          <w:szCs w:val="21"/>
          <w:lang w:bidi="ar"/>
        </w:rPr>
        <w:t>江苏省太湖流域太湖东片排涝工程可行性研究报告已经省发展改革委批复，主要建设内容为：改扩建浏河和白茆塘江边枢纽；低洼地区排涝泵站(闸站)、圩口闸建设，沟渠整治，圩堤建设等。工程施工安排分为两期，一期工程先行批复实施浏河江边枢纽工程，二期工程批复实施白苇塘江边枢纽、低洼地区治涝工程。本次采购需求：对江苏省太湖流域太湖东片排涝工程一期（浏河江边枢纽工程）初步设计报告进行咨询评估。</w:t>
      </w:r>
    </w:p>
    <w:p w14:paraId="7C21A827">
      <w:pPr>
        <w:pStyle w:val="27"/>
        <w:spacing w:line="360" w:lineRule="auto"/>
        <w:ind w:firstLine="420"/>
        <w:rPr>
          <w:rFonts w:ascii="Times New Roman"/>
          <w:b/>
          <w:color w:val="auto"/>
          <w:kern w:val="2"/>
          <w:sz w:val="21"/>
          <w:szCs w:val="21"/>
        </w:rPr>
      </w:pPr>
      <w:r>
        <w:rPr>
          <w:rFonts w:hint="eastAsia" w:ascii="Times New Roman"/>
          <w:b/>
          <w:color w:val="auto"/>
          <w:kern w:val="2"/>
          <w:sz w:val="21"/>
          <w:szCs w:val="21"/>
        </w:rPr>
        <w:t>二、服务要求</w:t>
      </w:r>
    </w:p>
    <w:p w14:paraId="746FE6C9">
      <w:pPr>
        <w:pStyle w:val="214"/>
        <w:spacing w:line="360" w:lineRule="auto"/>
        <w:rPr>
          <w:rFonts w:ascii="宋体" w:hAnsi="宋体" w:cs="宋体"/>
          <w:color w:val="auto"/>
          <w:szCs w:val="21"/>
        </w:rPr>
      </w:pPr>
      <w:r>
        <w:rPr>
          <w:rFonts w:hint="eastAsia" w:ascii="宋体" w:hAnsi="宋体" w:cs="宋体"/>
          <w:color w:val="auto"/>
          <w:szCs w:val="21"/>
        </w:rPr>
        <w:t>1、遵循客观、公开、公正的原则，对《初步设计报告》进行咨询评估，为采购人科学决策提供依据。</w:t>
      </w:r>
    </w:p>
    <w:p w14:paraId="415FA2AB">
      <w:pPr>
        <w:pStyle w:val="214"/>
        <w:spacing w:line="360" w:lineRule="auto"/>
        <w:rPr>
          <w:rFonts w:ascii="宋体" w:hAnsi="宋体" w:cs="宋体"/>
          <w:color w:val="auto"/>
          <w:szCs w:val="21"/>
        </w:rPr>
      </w:pPr>
      <w:r>
        <w:rPr>
          <w:rFonts w:hint="eastAsia" w:ascii="宋体" w:hAnsi="宋体" w:cs="宋体"/>
          <w:color w:val="auto"/>
          <w:szCs w:val="21"/>
        </w:rPr>
        <w:t>2、根据国家及地方环境保护法律、法规、部门规章以及标准、技术规范的规定和要求，</w:t>
      </w:r>
      <w:r>
        <w:rPr>
          <w:rFonts w:hint="eastAsia" w:ascii="宋体" w:hAnsi="宋体" w:cs="宋体"/>
          <w:bCs/>
          <w:color w:val="auto"/>
          <w:szCs w:val="21"/>
          <w:lang w:bidi="ar"/>
        </w:rPr>
        <w:t>按照有关工程咨询评估办法开展咨询评估工作，</w:t>
      </w:r>
    </w:p>
    <w:p w14:paraId="7D8252B7">
      <w:pPr>
        <w:pStyle w:val="214"/>
        <w:spacing w:line="360" w:lineRule="auto"/>
        <w:rPr>
          <w:rFonts w:ascii="宋体" w:hAnsi="宋体" w:cs="宋体"/>
          <w:color w:val="auto"/>
          <w:szCs w:val="21"/>
        </w:rPr>
      </w:pPr>
      <w:r>
        <w:rPr>
          <w:rFonts w:hint="eastAsia" w:ascii="宋体" w:hAnsi="宋体" w:cs="宋体"/>
          <w:color w:val="auto"/>
          <w:szCs w:val="21"/>
        </w:rPr>
        <w:t>3、人员配备：供应商应为本项目配备资深的、并涉及水利水电、工程技术经济专业的专家队伍，具有与本项目内容和规模相适应的技术人员（如</w:t>
      </w:r>
      <w:r>
        <w:rPr>
          <w:rFonts w:hint="eastAsia"/>
          <w:color w:val="auto"/>
          <w:kern w:val="0"/>
          <w:szCs w:val="21"/>
        </w:rPr>
        <w:t>规划、</w:t>
      </w:r>
      <w:r>
        <w:rPr>
          <w:rFonts w:hint="eastAsia" w:ascii="宋体" w:hAnsi="宋体" w:cs="宋体"/>
          <w:color w:val="auto"/>
          <w:szCs w:val="21"/>
        </w:rPr>
        <w:t>水文、地质、水工、机电、金属结构、建设征地与移民安置、水土保持、环境保护、造价等专业）。</w:t>
      </w:r>
    </w:p>
    <w:p w14:paraId="1E8E6656">
      <w:pPr>
        <w:pStyle w:val="214"/>
        <w:spacing w:line="360" w:lineRule="auto"/>
        <w:rPr>
          <w:rFonts w:ascii="宋体" w:hAnsi="宋体" w:cs="宋体"/>
          <w:color w:val="auto"/>
          <w:szCs w:val="21"/>
        </w:rPr>
      </w:pPr>
      <w:r>
        <w:rPr>
          <w:rFonts w:hint="eastAsia" w:ascii="宋体" w:hAnsi="宋体" w:cs="宋体"/>
          <w:color w:val="auto"/>
          <w:szCs w:val="21"/>
        </w:rPr>
        <w:t>参加咨询小组的人员应当熟悉国家和行业发展有关政策法规规划、技术标准规范，小组应当具有一定数量的本专业高级技术职称人员。</w:t>
      </w:r>
    </w:p>
    <w:p w14:paraId="2BE7B830">
      <w:pPr>
        <w:pStyle w:val="214"/>
        <w:spacing w:line="360" w:lineRule="auto"/>
        <w:rPr>
          <w:rFonts w:ascii="宋体" w:hAnsi="宋体" w:cs="宋体"/>
          <w:color w:val="auto"/>
          <w:szCs w:val="21"/>
        </w:rPr>
      </w:pPr>
      <w:r>
        <w:rPr>
          <w:rFonts w:hint="eastAsia" w:ascii="宋体" w:hAnsi="宋体" w:cs="宋体"/>
          <w:color w:val="auto"/>
          <w:szCs w:val="21"/>
        </w:rPr>
        <w:t>4、服务内容：</w:t>
      </w:r>
    </w:p>
    <w:p w14:paraId="1B17CA67">
      <w:pPr>
        <w:pStyle w:val="214"/>
        <w:spacing w:line="360" w:lineRule="auto"/>
        <w:rPr>
          <w:rFonts w:ascii="宋体" w:hAnsi="宋体" w:cs="宋体"/>
          <w:color w:val="auto"/>
          <w:szCs w:val="21"/>
        </w:rPr>
      </w:pPr>
      <w:r>
        <w:rPr>
          <w:rFonts w:hint="eastAsia" w:ascii="宋体" w:hAnsi="宋体" w:cs="宋体"/>
          <w:color w:val="auto"/>
          <w:szCs w:val="21"/>
        </w:rPr>
        <w:t>供应商接受咨询任务后，应当立即制定工作计划，定期反馈工作进度，在规定时限内提交评估报告。</w:t>
      </w:r>
    </w:p>
    <w:p w14:paraId="36EFE3C6">
      <w:pPr>
        <w:pStyle w:val="214"/>
        <w:spacing w:line="360" w:lineRule="auto"/>
        <w:rPr>
          <w:rFonts w:ascii="宋体" w:hAnsi="宋体" w:cs="宋体"/>
          <w:color w:val="auto"/>
          <w:szCs w:val="21"/>
        </w:rPr>
      </w:pPr>
      <w:r>
        <w:rPr>
          <w:rFonts w:hint="eastAsia" w:ascii="宋体" w:hAnsi="宋体" w:cs="宋体"/>
          <w:color w:val="auto"/>
          <w:szCs w:val="21"/>
        </w:rPr>
        <w:t>（1）对《初步设计报告》在工程建设必要性和任务、水文、工程规模、技术方案、工程投资、经济社会效益等方面进行全面综合分析和研究；</w:t>
      </w:r>
    </w:p>
    <w:p w14:paraId="4B926F99">
      <w:pPr>
        <w:pStyle w:val="214"/>
        <w:spacing w:line="360" w:lineRule="auto"/>
        <w:rPr>
          <w:rFonts w:ascii="宋体" w:hAnsi="宋体" w:cs="宋体"/>
          <w:color w:val="auto"/>
          <w:szCs w:val="21"/>
        </w:rPr>
      </w:pPr>
      <w:r>
        <w:rPr>
          <w:rFonts w:hint="eastAsia" w:ascii="宋体" w:hAnsi="宋体" w:cs="宋体"/>
          <w:color w:val="auto"/>
          <w:szCs w:val="21"/>
        </w:rPr>
        <w:t>（2）《初步设计报告》是否按照有关规定编制，内容是否完整，各专业设计深度是否满足相关要求；</w:t>
      </w:r>
    </w:p>
    <w:p w14:paraId="1EEE8145">
      <w:pPr>
        <w:pStyle w:val="214"/>
        <w:spacing w:line="360" w:lineRule="auto"/>
        <w:rPr>
          <w:rFonts w:ascii="宋体" w:hAnsi="宋体" w:cs="宋体"/>
          <w:color w:val="auto"/>
          <w:szCs w:val="21"/>
        </w:rPr>
      </w:pPr>
      <w:r>
        <w:rPr>
          <w:rFonts w:hint="eastAsia" w:ascii="宋体" w:hAnsi="宋体" w:cs="宋体"/>
          <w:color w:val="auto"/>
          <w:szCs w:val="21"/>
        </w:rPr>
        <w:t>（3）《初步设计报告》的范围、内容、规模和标准是否符合批复要求；</w:t>
      </w:r>
    </w:p>
    <w:p w14:paraId="0F782534">
      <w:pPr>
        <w:pStyle w:val="214"/>
        <w:spacing w:line="360" w:lineRule="auto"/>
        <w:rPr>
          <w:rFonts w:ascii="宋体" w:hAnsi="宋体" w:cs="宋体"/>
          <w:color w:val="auto"/>
          <w:szCs w:val="21"/>
        </w:rPr>
      </w:pPr>
      <w:r>
        <w:rPr>
          <w:rFonts w:hint="eastAsia" w:ascii="宋体" w:hAnsi="宋体" w:cs="宋体"/>
          <w:color w:val="auto"/>
          <w:szCs w:val="21"/>
        </w:rPr>
        <w:t>（4）各专业设计是否符合相关标准、规范的要求，采用的方案是否经济、合理、可行；</w:t>
      </w:r>
    </w:p>
    <w:p w14:paraId="2412FD24">
      <w:pPr>
        <w:pStyle w:val="214"/>
        <w:spacing w:line="360" w:lineRule="auto"/>
        <w:rPr>
          <w:rFonts w:ascii="宋体" w:hAnsi="宋体" w:cs="宋体"/>
          <w:color w:val="auto"/>
          <w:szCs w:val="21"/>
        </w:rPr>
      </w:pPr>
      <w:r>
        <w:rPr>
          <w:rFonts w:hint="eastAsia" w:ascii="宋体" w:hAnsi="宋体" w:cs="宋体"/>
          <w:color w:val="auto"/>
          <w:szCs w:val="21"/>
        </w:rPr>
        <w:t>（5）设计概算内容是否完整，编制依据是否合理、准确。</w:t>
      </w:r>
    </w:p>
    <w:p w14:paraId="1519F989">
      <w:pPr>
        <w:pStyle w:val="214"/>
        <w:spacing w:line="360" w:lineRule="auto"/>
        <w:rPr>
          <w:rFonts w:ascii="宋体" w:hAnsi="宋体" w:cs="宋体"/>
          <w:color w:val="auto"/>
          <w:szCs w:val="21"/>
        </w:rPr>
      </w:pPr>
      <w:r>
        <w:rPr>
          <w:rFonts w:hint="eastAsia" w:ascii="宋体" w:hAnsi="宋体" w:cs="宋体"/>
          <w:color w:val="auto"/>
          <w:szCs w:val="21"/>
        </w:rPr>
        <w:t>2、评估成果要求：</w:t>
      </w:r>
    </w:p>
    <w:p w14:paraId="5A4F71C0">
      <w:pPr>
        <w:pStyle w:val="214"/>
        <w:spacing w:line="360" w:lineRule="auto"/>
        <w:rPr>
          <w:rFonts w:ascii="宋体" w:hAnsi="宋体" w:cs="宋体"/>
          <w:color w:val="auto"/>
          <w:szCs w:val="21"/>
        </w:rPr>
      </w:pPr>
      <w:r>
        <w:rPr>
          <w:rFonts w:hint="eastAsia" w:ascii="宋体" w:hAnsi="宋体" w:cs="宋体"/>
          <w:color w:val="auto"/>
          <w:szCs w:val="21"/>
        </w:rPr>
        <w:t>主要包括下列内容：</w:t>
      </w:r>
    </w:p>
    <w:p w14:paraId="50EA5ABB">
      <w:pPr>
        <w:pStyle w:val="214"/>
        <w:spacing w:line="360" w:lineRule="auto"/>
        <w:rPr>
          <w:rFonts w:ascii="宋体" w:hAnsi="宋体" w:cs="宋体"/>
          <w:color w:val="auto"/>
          <w:szCs w:val="21"/>
        </w:rPr>
      </w:pPr>
      <w:r>
        <w:rPr>
          <w:rFonts w:hint="eastAsia" w:ascii="宋体" w:hAnsi="宋体" w:cs="宋体"/>
          <w:color w:val="auto"/>
          <w:szCs w:val="21"/>
        </w:rPr>
        <w:t>（1）项目概况；</w:t>
      </w:r>
    </w:p>
    <w:p w14:paraId="0B453076">
      <w:pPr>
        <w:pStyle w:val="214"/>
        <w:spacing w:line="360" w:lineRule="auto"/>
        <w:rPr>
          <w:rFonts w:ascii="宋体" w:hAnsi="宋体" w:cs="宋体"/>
          <w:color w:val="auto"/>
          <w:szCs w:val="21"/>
        </w:rPr>
      </w:pPr>
      <w:r>
        <w:rPr>
          <w:rFonts w:hint="eastAsia" w:ascii="宋体" w:hAnsi="宋体" w:cs="宋体"/>
          <w:color w:val="auto"/>
          <w:szCs w:val="21"/>
        </w:rPr>
        <w:t>（2）评估、评审依据；</w:t>
      </w:r>
    </w:p>
    <w:p w14:paraId="1E941F77">
      <w:pPr>
        <w:pStyle w:val="214"/>
        <w:spacing w:line="360" w:lineRule="auto"/>
        <w:rPr>
          <w:rFonts w:ascii="宋体" w:hAnsi="宋体" w:cs="宋体"/>
          <w:color w:val="auto"/>
          <w:szCs w:val="21"/>
        </w:rPr>
      </w:pPr>
      <w:r>
        <w:rPr>
          <w:rFonts w:hint="eastAsia" w:ascii="宋体" w:hAnsi="宋体" w:cs="宋体"/>
          <w:color w:val="auto"/>
          <w:szCs w:val="21"/>
        </w:rPr>
        <w:t>（3）评估、评审范围、要求；</w:t>
      </w:r>
    </w:p>
    <w:p w14:paraId="10396A66">
      <w:pPr>
        <w:pStyle w:val="214"/>
        <w:spacing w:line="360" w:lineRule="auto"/>
        <w:rPr>
          <w:rFonts w:ascii="宋体" w:hAnsi="宋体" w:cs="宋体"/>
          <w:color w:val="auto"/>
          <w:szCs w:val="21"/>
        </w:rPr>
      </w:pPr>
      <w:r>
        <w:rPr>
          <w:rFonts w:hint="eastAsia" w:ascii="宋体" w:hAnsi="宋体" w:cs="宋体"/>
          <w:color w:val="auto"/>
          <w:szCs w:val="21"/>
        </w:rPr>
        <w:t>（4）各专业评估、评审意见；</w:t>
      </w:r>
    </w:p>
    <w:p w14:paraId="566E4E39">
      <w:pPr>
        <w:pStyle w:val="214"/>
        <w:spacing w:line="360" w:lineRule="auto"/>
        <w:rPr>
          <w:rFonts w:ascii="宋体" w:hAnsi="宋体" w:cs="宋体"/>
          <w:color w:val="auto"/>
          <w:szCs w:val="21"/>
        </w:rPr>
      </w:pPr>
      <w:r>
        <w:rPr>
          <w:rFonts w:hint="eastAsia" w:ascii="宋体" w:hAnsi="宋体" w:cs="宋体"/>
          <w:color w:val="auto"/>
          <w:szCs w:val="21"/>
        </w:rPr>
        <w:t>（5）项目实施过程中的风险预测和分析；</w:t>
      </w:r>
    </w:p>
    <w:p w14:paraId="17BC225C">
      <w:pPr>
        <w:pStyle w:val="214"/>
        <w:spacing w:line="360" w:lineRule="auto"/>
        <w:rPr>
          <w:rFonts w:ascii="宋体" w:hAnsi="宋体" w:cs="宋体"/>
          <w:color w:val="auto"/>
          <w:szCs w:val="21"/>
        </w:rPr>
      </w:pPr>
      <w:r>
        <w:rPr>
          <w:rFonts w:hint="eastAsia" w:ascii="宋体" w:hAnsi="宋体" w:cs="宋体"/>
          <w:color w:val="auto"/>
          <w:szCs w:val="21"/>
        </w:rPr>
        <w:t>（6）评估、评审结论意见与建议。</w:t>
      </w:r>
    </w:p>
    <w:p w14:paraId="1BB01752">
      <w:pPr>
        <w:pStyle w:val="214"/>
        <w:spacing w:line="360" w:lineRule="auto"/>
        <w:rPr>
          <w:rFonts w:ascii="宋体" w:hAnsi="宋体" w:cs="宋体"/>
          <w:color w:val="auto"/>
          <w:szCs w:val="21"/>
        </w:rPr>
      </w:pPr>
      <w:r>
        <w:rPr>
          <w:rFonts w:hint="eastAsia" w:ascii="宋体" w:hAnsi="宋体" w:cs="宋体"/>
          <w:color w:val="auto"/>
          <w:szCs w:val="21"/>
        </w:rPr>
        <w:t>（7）投资估算或初步设计概算核定表</w:t>
      </w:r>
    </w:p>
    <w:p w14:paraId="394C1A27">
      <w:pPr>
        <w:pStyle w:val="214"/>
        <w:spacing w:line="360" w:lineRule="auto"/>
        <w:rPr>
          <w:rFonts w:ascii="宋体" w:hAnsi="宋体" w:cs="宋体"/>
          <w:color w:val="auto"/>
          <w:szCs w:val="21"/>
        </w:rPr>
      </w:pPr>
      <w:r>
        <w:rPr>
          <w:rFonts w:hint="eastAsia" w:ascii="宋体" w:hAnsi="宋体" w:cs="宋体"/>
          <w:color w:val="auto"/>
          <w:szCs w:val="21"/>
        </w:rPr>
        <w:t>（8）提供满足</w:t>
      </w:r>
      <w:r>
        <w:rPr>
          <w:rFonts w:hint="eastAsia" w:ascii="宋体" w:hAnsi="宋体" w:cs="宋体"/>
          <w:color w:val="auto"/>
          <w:szCs w:val="21"/>
          <w:lang w:val="zh-CN"/>
        </w:rPr>
        <w:t>采购人</w:t>
      </w:r>
      <w:r>
        <w:rPr>
          <w:rFonts w:hint="eastAsia" w:ascii="宋体" w:hAnsi="宋体" w:cs="宋体"/>
          <w:color w:val="auto"/>
          <w:szCs w:val="21"/>
        </w:rPr>
        <w:t>汇报、审查、上报、存档等工作需要的各阶段咨询评估报告套数。</w:t>
      </w:r>
    </w:p>
    <w:p w14:paraId="28CE5DE8">
      <w:pPr>
        <w:pStyle w:val="214"/>
        <w:spacing w:line="360" w:lineRule="auto"/>
        <w:rPr>
          <w:rFonts w:ascii="宋体" w:hAnsi="宋体" w:cs="宋体"/>
          <w:color w:val="auto"/>
          <w:szCs w:val="21"/>
        </w:rPr>
      </w:pPr>
      <w:r>
        <w:rPr>
          <w:rFonts w:hint="eastAsia" w:ascii="宋体" w:hAnsi="宋体" w:cs="宋体"/>
          <w:color w:val="auto"/>
          <w:szCs w:val="21"/>
        </w:rPr>
        <w:t>3、验收标准</w:t>
      </w:r>
    </w:p>
    <w:p w14:paraId="1D835E14">
      <w:pPr>
        <w:pStyle w:val="214"/>
        <w:spacing w:line="360" w:lineRule="auto"/>
        <w:rPr>
          <w:rFonts w:ascii="宋体" w:hAnsi="宋体" w:cs="宋体"/>
          <w:color w:val="auto"/>
          <w:szCs w:val="21"/>
        </w:rPr>
      </w:pPr>
      <w:r>
        <w:rPr>
          <w:rFonts w:hint="eastAsia" w:ascii="宋体" w:hAnsi="宋体" w:cs="宋体"/>
          <w:color w:val="auto"/>
          <w:szCs w:val="21"/>
        </w:rPr>
        <w:t>供应商在规定时间内完成合同约定的各项服务内容，并通过江苏省水利厅组织的审查，提交正式咨询报告。</w:t>
      </w:r>
    </w:p>
    <w:p w14:paraId="650D2386">
      <w:pPr>
        <w:pStyle w:val="214"/>
        <w:spacing w:line="360" w:lineRule="auto"/>
        <w:rPr>
          <w:rFonts w:ascii="宋体" w:hAnsi="宋体" w:cs="宋体"/>
          <w:color w:val="auto"/>
          <w:szCs w:val="21"/>
        </w:rPr>
      </w:pPr>
    </w:p>
    <w:p w14:paraId="7B40420C">
      <w:pPr>
        <w:adjustRightInd w:val="0"/>
        <w:snapToGrid w:val="0"/>
        <w:spacing w:line="360" w:lineRule="auto"/>
        <w:ind w:firstLine="420" w:firstLineChars="200"/>
        <w:rPr>
          <w:bCs/>
          <w:color w:val="auto"/>
        </w:rPr>
      </w:pPr>
    </w:p>
    <w:p w14:paraId="76E22CBD">
      <w:pPr>
        <w:widowControl/>
        <w:shd w:val="clear" w:color="auto" w:fill="FFFFFF"/>
        <w:spacing w:line="360" w:lineRule="auto"/>
        <w:ind w:firstLine="420"/>
        <w:jc w:val="left"/>
        <w:rPr>
          <w:rFonts w:ascii="宋体" w:hAnsi="宋体"/>
          <w:color w:val="auto"/>
          <w:kern w:val="0"/>
          <w:szCs w:val="21"/>
        </w:rPr>
      </w:pPr>
      <w:r>
        <w:rPr>
          <w:rFonts w:ascii="宋体" w:hAnsi="宋体"/>
          <w:color w:val="auto"/>
          <w:kern w:val="0"/>
          <w:szCs w:val="21"/>
        </w:rPr>
        <w:br w:type="page"/>
      </w:r>
    </w:p>
    <w:bookmarkEnd w:id="22"/>
    <w:p w14:paraId="532853DD">
      <w:pPr>
        <w:pStyle w:val="3"/>
        <w:numPr>
          <w:ilvl w:val="0"/>
          <w:numId w:val="4"/>
        </w:numPr>
        <w:spacing w:before="0" w:after="120"/>
        <w:rPr>
          <w:color w:val="auto"/>
        </w:rPr>
      </w:pPr>
      <w:bookmarkStart w:id="23" w:name="_Toc18507369"/>
      <w:r>
        <w:rPr>
          <w:rFonts w:hint="eastAsia"/>
          <w:color w:val="auto"/>
        </w:rPr>
        <w:t>合同协议书</w:t>
      </w:r>
      <w:bookmarkEnd w:id="23"/>
    </w:p>
    <w:p w14:paraId="08BE9AED">
      <w:pPr>
        <w:spacing w:line="440" w:lineRule="exact"/>
        <w:jc w:val="center"/>
        <w:rPr>
          <w:rFonts w:eastAsia="黑体"/>
          <w:color w:val="auto"/>
          <w:sz w:val="28"/>
          <w:szCs w:val="28"/>
        </w:rPr>
      </w:pPr>
      <w:r>
        <w:rPr>
          <w:rFonts w:eastAsia="黑体"/>
          <w:color w:val="auto"/>
          <w:sz w:val="28"/>
          <w:szCs w:val="28"/>
        </w:rPr>
        <w:t>合同协议书</w:t>
      </w:r>
    </w:p>
    <w:p w14:paraId="1438A091">
      <w:pPr>
        <w:spacing w:before="120" w:line="360" w:lineRule="auto"/>
        <w:ind w:left="673" w:leftChars="246" w:hanging="157" w:hangingChars="75"/>
        <w:rPr>
          <w:color w:val="auto"/>
          <w:szCs w:val="21"/>
          <w:u w:val="single"/>
        </w:rPr>
      </w:pPr>
      <w:r>
        <w:rPr>
          <w:color w:val="auto"/>
          <w:szCs w:val="21"/>
        </w:rPr>
        <w:t>合同名称：</w:t>
      </w:r>
      <w:r>
        <w:rPr>
          <w:color w:val="auto"/>
          <w:szCs w:val="21"/>
          <w:u w:val="single"/>
        </w:rPr>
        <w:t xml:space="preserve">                                           </w:t>
      </w:r>
    </w:p>
    <w:p w14:paraId="49413CA0">
      <w:pPr>
        <w:spacing w:before="120" w:after="156" w:afterLines="50" w:line="360" w:lineRule="auto"/>
        <w:ind w:firstLine="525" w:firstLineChars="250"/>
        <w:rPr>
          <w:color w:val="auto"/>
          <w:szCs w:val="21"/>
          <w:u w:val="single"/>
        </w:rPr>
      </w:pPr>
      <w:r>
        <w:rPr>
          <w:color w:val="auto"/>
          <w:szCs w:val="21"/>
        </w:rPr>
        <w:t>合同编号：</w:t>
      </w:r>
      <w:r>
        <w:rPr>
          <w:color w:val="auto"/>
          <w:szCs w:val="21"/>
          <w:u w:val="single"/>
        </w:rPr>
        <w:t xml:space="preserve">                                           </w:t>
      </w:r>
    </w:p>
    <w:p w14:paraId="132958D5">
      <w:pPr>
        <w:adjustRightInd w:val="0"/>
        <w:snapToGrid w:val="0"/>
        <w:spacing w:line="360" w:lineRule="auto"/>
        <w:ind w:firstLine="735" w:firstLineChars="350"/>
        <w:rPr>
          <w:color w:val="auto"/>
        </w:rPr>
      </w:pPr>
      <w:r>
        <w:rPr>
          <w:color w:val="auto"/>
          <w:u w:val="single"/>
        </w:rPr>
        <w:t xml:space="preserve">           </w:t>
      </w:r>
      <w:r>
        <w:rPr>
          <w:color w:val="auto"/>
        </w:rPr>
        <w:t>（以下简称“甲方”）作为一方与</w:t>
      </w:r>
      <w:r>
        <w:rPr>
          <w:color w:val="auto"/>
          <w:u w:val="single"/>
        </w:rPr>
        <w:t xml:space="preserve">      中标人      </w:t>
      </w:r>
      <w:r>
        <w:rPr>
          <w:color w:val="auto"/>
        </w:rPr>
        <w:t>（以下简称“乙方”）作为另一方，于</w:t>
      </w:r>
      <w:r>
        <w:rPr>
          <w:color w:val="auto"/>
          <w:u w:val="single"/>
        </w:rPr>
        <w:t xml:space="preserve">       </w:t>
      </w:r>
      <w:r>
        <w:rPr>
          <w:color w:val="auto"/>
        </w:rPr>
        <w:t>年</w:t>
      </w:r>
      <w:r>
        <w:rPr>
          <w:color w:val="auto"/>
          <w:u w:val="single"/>
        </w:rPr>
        <w:t xml:space="preserve">   </w:t>
      </w:r>
      <w:r>
        <w:rPr>
          <w:color w:val="auto"/>
        </w:rPr>
        <w:t>月</w:t>
      </w:r>
      <w:r>
        <w:rPr>
          <w:color w:val="auto"/>
          <w:u w:val="single"/>
        </w:rPr>
        <w:t xml:space="preserve">   </w:t>
      </w:r>
      <w:r>
        <w:rPr>
          <w:color w:val="auto"/>
        </w:rPr>
        <w:t>日在</w:t>
      </w:r>
      <w:r>
        <w:rPr>
          <w:color w:val="auto"/>
          <w:u w:val="single"/>
        </w:rPr>
        <w:t xml:space="preserve">   地点     </w:t>
      </w:r>
      <w:r>
        <w:rPr>
          <w:color w:val="auto"/>
        </w:rPr>
        <w:t xml:space="preserve">达成本合同。甲方委托乙方完成 </w:t>
      </w:r>
      <w:r>
        <w:rPr>
          <w:color w:val="auto"/>
          <w:u w:val="single"/>
        </w:rPr>
        <w:t xml:space="preserve">    </w:t>
      </w:r>
      <w:r>
        <w:rPr>
          <w:color w:val="auto"/>
        </w:rPr>
        <w:t>（合同编号：</w:t>
      </w:r>
      <w:r>
        <w:rPr>
          <w:color w:val="auto"/>
          <w:u w:val="single"/>
        </w:rPr>
        <w:t xml:space="preserve">       </w:t>
      </w:r>
      <w:r>
        <w:rPr>
          <w:color w:val="auto"/>
        </w:rPr>
        <w:t>）项目，甲方已接受乙方完成上述工作总价为</w:t>
      </w:r>
      <w:r>
        <w:rPr>
          <w:color w:val="auto"/>
          <w:u w:val="single"/>
        </w:rPr>
        <w:t>（合同价格用大写和数字表示）</w:t>
      </w:r>
      <w:r>
        <w:rPr>
          <w:color w:val="auto"/>
        </w:rPr>
        <w:t xml:space="preserve"> （人民币，以下简称为“合同价格”）的投标，并与乙方达成如下协议： </w:t>
      </w:r>
    </w:p>
    <w:p w14:paraId="03E11D2B">
      <w:pPr>
        <w:adjustRightInd w:val="0"/>
        <w:snapToGrid w:val="0"/>
        <w:spacing w:line="360" w:lineRule="auto"/>
        <w:ind w:firstLine="420" w:firstLineChars="200"/>
        <w:rPr>
          <w:color w:val="auto"/>
        </w:rPr>
      </w:pPr>
      <w:r>
        <w:rPr>
          <w:color w:val="auto"/>
        </w:rPr>
        <w:t>1．合同的组成应包括下列文件：</w:t>
      </w:r>
    </w:p>
    <w:p w14:paraId="4EAFC821">
      <w:pPr>
        <w:adjustRightInd w:val="0"/>
        <w:snapToGrid w:val="0"/>
        <w:spacing w:line="360" w:lineRule="auto"/>
        <w:ind w:firstLine="420" w:firstLineChars="200"/>
        <w:rPr>
          <w:color w:val="auto"/>
        </w:rPr>
      </w:pPr>
      <w:r>
        <w:rPr>
          <w:color w:val="auto"/>
        </w:rPr>
        <w:t>（1） 合同书（包括补充协议）</w:t>
      </w:r>
    </w:p>
    <w:p w14:paraId="0B91AD91">
      <w:pPr>
        <w:adjustRightInd w:val="0"/>
        <w:snapToGrid w:val="0"/>
        <w:spacing w:line="360" w:lineRule="auto"/>
        <w:ind w:firstLine="420" w:firstLineChars="200"/>
        <w:rPr>
          <w:color w:val="auto"/>
        </w:rPr>
      </w:pPr>
      <w:r>
        <w:rPr>
          <w:color w:val="auto"/>
        </w:rPr>
        <w:t>（2） 中标通知书</w:t>
      </w:r>
    </w:p>
    <w:p w14:paraId="0DE6177E">
      <w:pPr>
        <w:adjustRightInd w:val="0"/>
        <w:snapToGrid w:val="0"/>
        <w:spacing w:line="360" w:lineRule="auto"/>
        <w:ind w:firstLine="420" w:firstLineChars="200"/>
        <w:rPr>
          <w:color w:val="auto"/>
        </w:rPr>
      </w:pPr>
      <w:r>
        <w:rPr>
          <w:color w:val="auto"/>
        </w:rPr>
        <w:t>（3） 投标报价书</w:t>
      </w:r>
    </w:p>
    <w:p w14:paraId="178840DF">
      <w:pPr>
        <w:adjustRightInd w:val="0"/>
        <w:snapToGrid w:val="0"/>
        <w:spacing w:line="360" w:lineRule="auto"/>
        <w:ind w:firstLine="420" w:firstLineChars="200"/>
        <w:rPr>
          <w:color w:val="auto"/>
        </w:rPr>
      </w:pPr>
      <w:r>
        <w:rPr>
          <w:color w:val="auto"/>
        </w:rPr>
        <w:t>（4） 技术资料、文件</w:t>
      </w:r>
    </w:p>
    <w:p w14:paraId="147C5198">
      <w:pPr>
        <w:adjustRightInd w:val="0"/>
        <w:snapToGrid w:val="0"/>
        <w:spacing w:line="360" w:lineRule="auto"/>
        <w:ind w:firstLine="420" w:firstLineChars="200"/>
        <w:rPr>
          <w:color w:val="auto"/>
        </w:rPr>
      </w:pPr>
      <w:r>
        <w:rPr>
          <w:color w:val="auto"/>
        </w:rPr>
        <w:t>（5） 投标文件</w:t>
      </w:r>
    </w:p>
    <w:p w14:paraId="73F62640">
      <w:pPr>
        <w:adjustRightInd w:val="0"/>
        <w:snapToGrid w:val="0"/>
        <w:spacing w:line="360" w:lineRule="auto"/>
        <w:ind w:firstLine="420" w:firstLineChars="200"/>
        <w:rPr>
          <w:color w:val="auto"/>
        </w:rPr>
      </w:pPr>
      <w:r>
        <w:rPr>
          <w:color w:val="auto"/>
        </w:rPr>
        <w:t>（6） 经双方确认进入合同的其他文件</w:t>
      </w:r>
    </w:p>
    <w:p w14:paraId="0655CA10">
      <w:pPr>
        <w:adjustRightInd w:val="0"/>
        <w:snapToGrid w:val="0"/>
        <w:spacing w:line="360" w:lineRule="auto"/>
        <w:ind w:firstLine="420" w:firstLineChars="200"/>
        <w:rPr>
          <w:color w:val="auto"/>
        </w:rPr>
      </w:pPr>
      <w:r>
        <w:rPr>
          <w:color w:val="auto"/>
        </w:rPr>
        <w:t>以上列出了组成本合同的全部文件，如果合同文件之间存在差异或矛盾，则这些文件的优先权按上面所列顺序为准；如果合同执行过程中双方达成了具有合同效力的其它协议，则协议所涉及内容以达到时间在后者优先。如果图纸与文字有矛盾时则以文字为准。</w:t>
      </w:r>
    </w:p>
    <w:p w14:paraId="16B45338">
      <w:pPr>
        <w:adjustRightInd w:val="0"/>
        <w:snapToGrid w:val="0"/>
        <w:spacing w:line="360" w:lineRule="auto"/>
        <w:ind w:firstLine="480"/>
        <w:rPr>
          <w:color w:val="auto"/>
        </w:rPr>
      </w:pPr>
      <w:r>
        <w:rPr>
          <w:color w:val="auto"/>
        </w:rPr>
        <w:t>2．乙方必须认真组织实施合同项目，保证项目如期完成。甲方将不定期组织检查项目执行情况。</w:t>
      </w:r>
    </w:p>
    <w:p w14:paraId="086639B0">
      <w:pPr>
        <w:adjustRightInd w:val="0"/>
        <w:snapToGrid w:val="0"/>
        <w:spacing w:line="360" w:lineRule="auto"/>
        <w:ind w:firstLine="420" w:firstLineChars="200"/>
        <w:rPr>
          <w:color w:val="auto"/>
        </w:rPr>
      </w:pPr>
      <w:r>
        <w:rPr>
          <w:color w:val="auto"/>
        </w:rPr>
        <w:t>3．在合同执行过程中，乙方如需要修改合同某项条款，需向甲方提出修改内容及理由的申请报告后，经甲方审核同意后，由甲、乙双方共同商定具体修改。</w:t>
      </w:r>
    </w:p>
    <w:p w14:paraId="5B8AB6C5">
      <w:pPr>
        <w:adjustRightInd w:val="0"/>
        <w:snapToGrid w:val="0"/>
        <w:spacing w:line="360" w:lineRule="auto"/>
        <w:ind w:firstLine="420" w:firstLineChars="200"/>
        <w:rPr>
          <w:color w:val="auto"/>
        </w:rPr>
      </w:pPr>
      <w:r>
        <w:rPr>
          <w:color w:val="auto"/>
        </w:rPr>
        <w:t>4．甲方中途无故撤消或不履行合同时，所拨经费不得追回，并承担善后处理所发生的一切费用。乙方因故撤消合同并非因不可抗拒的客观原因（如天灾等）而因主观原因（挪用合同经费等）致使合同无法执行时，应视不同情况，部分或全部退还所拨经费。</w:t>
      </w:r>
    </w:p>
    <w:p w14:paraId="0E86AED3">
      <w:pPr>
        <w:adjustRightInd w:val="0"/>
        <w:snapToGrid w:val="0"/>
        <w:spacing w:line="360" w:lineRule="auto"/>
        <w:ind w:firstLine="420" w:firstLineChars="200"/>
        <w:rPr>
          <w:color w:val="auto"/>
        </w:rPr>
      </w:pPr>
      <w:r>
        <w:rPr>
          <w:color w:val="auto"/>
        </w:rPr>
        <w:t>5．</w:t>
      </w:r>
      <w:r>
        <w:rPr>
          <w:rFonts w:hint="eastAsia"/>
          <w:color w:val="auto"/>
        </w:rPr>
        <w:t>服务期：</w:t>
      </w:r>
      <w:r>
        <w:rPr>
          <w:rFonts w:hint="eastAsia"/>
          <w:color w:val="auto"/>
        </w:rPr>
        <w:t>自合同签订之日起，收到采购人提供的《初步设计报告》，13日内提出初步设计报告咨询评估意见送达采购人；技术审查会后且收到《初步设计报告》修订本后，10日内提交正式咨询成果。</w:t>
      </w:r>
    </w:p>
    <w:p w14:paraId="20476D28">
      <w:pPr>
        <w:adjustRightInd w:val="0"/>
        <w:snapToGrid w:val="0"/>
        <w:spacing w:line="360" w:lineRule="auto"/>
        <w:ind w:firstLine="420" w:firstLineChars="200"/>
        <w:rPr>
          <w:color w:val="auto"/>
        </w:rPr>
      </w:pPr>
      <w:r>
        <w:rPr>
          <w:color w:val="auto"/>
        </w:rPr>
        <w:t>6．本合同一经签订，甲、乙双方应负合同条款的法律责任。在执行过程中，若发生争议、纠纷时，应协商解决，直至提交经济法庭仲裁或向有管辖权的人民法院起诉。</w:t>
      </w:r>
    </w:p>
    <w:p w14:paraId="1B1810A6">
      <w:pPr>
        <w:adjustRightInd w:val="0"/>
        <w:snapToGrid w:val="0"/>
        <w:spacing w:line="360" w:lineRule="auto"/>
        <w:ind w:firstLine="420" w:firstLineChars="200"/>
        <w:rPr>
          <w:color w:val="auto"/>
        </w:rPr>
      </w:pPr>
      <w:r>
        <w:rPr>
          <w:color w:val="auto"/>
        </w:rPr>
        <w:t>7．本合同所协议的其它条款如下：</w:t>
      </w:r>
    </w:p>
    <w:p w14:paraId="6B2EA737">
      <w:pPr>
        <w:adjustRightInd w:val="0"/>
        <w:snapToGrid w:val="0"/>
        <w:spacing w:line="360" w:lineRule="auto"/>
        <w:ind w:firstLine="420" w:firstLineChars="200"/>
        <w:rPr>
          <w:color w:val="auto"/>
        </w:rPr>
      </w:pPr>
      <w:r>
        <w:rPr>
          <w:color w:val="auto"/>
        </w:rPr>
        <w:t>（1）付款计划：</w:t>
      </w:r>
    </w:p>
    <w:p w14:paraId="68BC1B46">
      <w:pPr>
        <w:adjustRightInd w:val="0"/>
        <w:snapToGrid w:val="0"/>
        <w:spacing w:line="360" w:lineRule="auto"/>
        <w:ind w:firstLine="420" w:firstLineChars="200"/>
        <w:rPr>
          <w:color w:val="auto"/>
        </w:rPr>
      </w:pPr>
      <w:r>
        <w:rPr>
          <w:rFonts w:hint="eastAsia"/>
          <w:bCs/>
          <w:color w:val="auto"/>
        </w:rPr>
        <w:t>完成合同规定的工作内容，通过江苏省水利厅组织的审查，提交正式咨询报告后，</w:t>
      </w:r>
      <w:r>
        <w:rPr>
          <w:color w:val="auto"/>
          <w:szCs w:val="21"/>
        </w:rPr>
        <w:t>在当年全省水利基本建设投资计划</w:t>
      </w:r>
      <w:r>
        <w:rPr>
          <w:rFonts w:hint="eastAsia"/>
          <w:color w:val="auto"/>
          <w:szCs w:val="21"/>
        </w:rPr>
        <w:t>和资金</w:t>
      </w:r>
      <w:r>
        <w:rPr>
          <w:color w:val="auto"/>
          <w:szCs w:val="21"/>
        </w:rPr>
        <w:t>下达后，</w:t>
      </w:r>
      <w:r>
        <w:rPr>
          <w:rFonts w:hint="eastAsia"/>
          <w:bCs/>
          <w:color w:val="auto"/>
        </w:rPr>
        <w:t>一次性支付全部合同价款。</w:t>
      </w:r>
    </w:p>
    <w:p w14:paraId="5660FBDC">
      <w:pPr>
        <w:adjustRightInd w:val="0"/>
        <w:snapToGrid w:val="0"/>
        <w:spacing w:line="360" w:lineRule="auto"/>
        <w:ind w:firstLine="420" w:firstLineChars="200"/>
        <w:rPr>
          <w:color w:val="auto"/>
        </w:rPr>
      </w:pPr>
      <w:r>
        <w:rPr>
          <w:color w:val="auto"/>
        </w:rPr>
        <w:t>（</w:t>
      </w:r>
      <w:r>
        <w:rPr>
          <w:rFonts w:hint="eastAsia"/>
          <w:color w:val="auto"/>
        </w:rPr>
        <w:t>2</w:t>
      </w:r>
      <w:r>
        <w:rPr>
          <w:color w:val="auto"/>
        </w:rPr>
        <w:t>）乙方未在规定时间内（或</w:t>
      </w:r>
      <w:r>
        <w:rPr>
          <w:rFonts w:hint="eastAsia"/>
          <w:color w:val="auto"/>
        </w:rPr>
        <w:t>未在</w:t>
      </w:r>
      <w:r>
        <w:rPr>
          <w:color w:val="auto"/>
        </w:rPr>
        <w:t>甲方允许延长的时间内）提交成果，甲方可终止合同。</w:t>
      </w:r>
    </w:p>
    <w:p w14:paraId="5ED9A839">
      <w:pPr>
        <w:adjustRightInd w:val="0"/>
        <w:snapToGrid w:val="0"/>
        <w:spacing w:line="360" w:lineRule="auto"/>
        <w:ind w:firstLine="480"/>
        <w:rPr>
          <w:color w:val="auto"/>
          <w:u w:val="single"/>
        </w:rPr>
      </w:pPr>
      <w:r>
        <w:rPr>
          <w:color w:val="auto"/>
        </w:rPr>
        <w:t>（</w:t>
      </w:r>
      <w:r>
        <w:rPr>
          <w:rFonts w:hint="eastAsia"/>
          <w:color w:val="auto"/>
        </w:rPr>
        <w:t>3</w:t>
      </w:r>
      <w:r>
        <w:rPr>
          <w:color w:val="auto"/>
        </w:rPr>
        <w:t>）</w:t>
      </w:r>
      <w:r>
        <w:rPr>
          <w:color w:val="auto"/>
          <w:u w:val="single"/>
        </w:rPr>
        <w:t xml:space="preserve">          双方协商确定的其他条款                  </w:t>
      </w:r>
      <w:r>
        <w:rPr>
          <w:color w:val="auto"/>
        </w:rPr>
        <w:t>。</w:t>
      </w:r>
    </w:p>
    <w:p w14:paraId="7CF6527B">
      <w:pPr>
        <w:adjustRightInd w:val="0"/>
        <w:snapToGrid w:val="0"/>
        <w:spacing w:line="360" w:lineRule="auto"/>
        <w:ind w:firstLine="480"/>
        <w:rPr>
          <w:color w:val="auto"/>
        </w:rPr>
      </w:pPr>
      <w:r>
        <w:rPr>
          <w:color w:val="auto"/>
        </w:rPr>
        <w:t>8.成果</w:t>
      </w:r>
    </w:p>
    <w:p w14:paraId="23EE0F5C">
      <w:pPr>
        <w:adjustRightInd w:val="0"/>
        <w:snapToGrid w:val="0"/>
        <w:spacing w:line="360" w:lineRule="auto"/>
        <w:ind w:firstLine="480"/>
        <w:rPr>
          <w:color w:val="auto"/>
        </w:rPr>
      </w:pPr>
      <w:r>
        <w:rPr>
          <w:color w:val="auto"/>
        </w:rPr>
        <w:t>8.1</w:t>
      </w:r>
      <w:r>
        <w:rPr>
          <w:rFonts w:hint="eastAsia"/>
          <w:color w:val="auto"/>
        </w:rPr>
        <w:t>编制</w:t>
      </w:r>
      <w:r>
        <w:rPr>
          <w:color w:val="auto"/>
        </w:rPr>
        <w:t>成果：</w:t>
      </w:r>
    </w:p>
    <w:p w14:paraId="342D7B95">
      <w:pPr>
        <w:adjustRightInd w:val="0"/>
        <w:snapToGrid w:val="0"/>
        <w:spacing w:line="360" w:lineRule="auto"/>
        <w:ind w:firstLine="480"/>
        <w:rPr>
          <w:color w:val="auto"/>
        </w:rPr>
      </w:pPr>
      <w:r>
        <w:rPr>
          <w:rFonts w:hint="eastAsia"/>
          <w:color w:val="auto"/>
        </w:rPr>
        <w:t>《</w:t>
      </w:r>
      <w:r>
        <w:rPr>
          <w:rFonts w:hint="eastAsia" w:ascii="宋体" w:hAnsi="宋体" w:cs="宋体"/>
          <w:bCs/>
          <w:color w:val="auto"/>
          <w:szCs w:val="21"/>
          <w:lang w:bidi="ar"/>
        </w:rPr>
        <w:t>江苏省太湖流域太湖东片排涝工程一期（浏河江边枢纽工程）</w:t>
      </w:r>
      <w:r>
        <w:rPr>
          <w:rFonts w:hint="eastAsia"/>
          <w:color w:val="auto"/>
        </w:rPr>
        <w:t>初步设计报告咨询评估报告》。</w:t>
      </w:r>
    </w:p>
    <w:p w14:paraId="72BDD85E">
      <w:pPr>
        <w:adjustRightInd w:val="0"/>
        <w:snapToGrid w:val="0"/>
        <w:spacing w:line="360" w:lineRule="auto"/>
        <w:ind w:firstLine="480"/>
        <w:rPr>
          <w:color w:val="auto"/>
        </w:rPr>
      </w:pPr>
      <w:r>
        <w:rPr>
          <w:color w:val="auto"/>
        </w:rPr>
        <w:t>8.2全部成果所有权归甲方享有，未经甲方许可，乙方不得转让或挪作他用。</w:t>
      </w:r>
    </w:p>
    <w:p w14:paraId="49553319">
      <w:pPr>
        <w:adjustRightInd w:val="0"/>
        <w:snapToGrid w:val="0"/>
        <w:spacing w:line="360" w:lineRule="auto"/>
        <w:ind w:firstLine="480"/>
        <w:rPr>
          <w:color w:val="auto"/>
        </w:rPr>
      </w:pPr>
      <w:r>
        <w:rPr>
          <w:color w:val="auto"/>
        </w:rPr>
        <w:t>9. 廉政</w:t>
      </w:r>
    </w:p>
    <w:p w14:paraId="07E00A58">
      <w:pPr>
        <w:adjustRightInd w:val="0"/>
        <w:snapToGrid w:val="0"/>
        <w:spacing w:line="360" w:lineRule="auto"/>
        <w:ind w:firstLine="480"/>
        <w:rPr>
          <w:color w:val="auto"/>
        </w:rPr>
      </w:pPr>
      <w:r>
        <w:rPr>
          <w:color w:val="auto"/>
        </w:rPr>
        <w:t>9.1严格遵守党和国家有关法规及党风廉政建设各项规定，严格执行中央八项规定、省委十项规定和省水利厅实施细则精神。</w:t>
      </w:r>
    </w:p>
    <w:p w14:paraId="430C6CFD">
      <w:pPr>
        <w:adjustRightInd w:val="0"/>
        <w:snapToGrid w:val="0"/>
        <w:spacing w:line="360" w:lineRule="auto"/>
        <w:ind w:firstLine="480"/>
        <w:rPr>
          <w:color w:val="auto"/>
        </w:rPr>
      </w:pPr>
      <w:r>
        <w:rPr>
          <w:color w:val="auto"/>
        </w:rPr>
        <w:t>9.2严格执行本合同的各项规定，自觉按合同办事。</w:t>
      </w:r>
    </w:p>
    <w:p w14:paraId="7AE2B1A7">
      <w:pPr>
        <w:adjustRightInd w:val="0"/>
        <w:snapToGrid w:val="0"/>
        <w:spacing w:line="360" w:lineRule="auto"/>
        <w:ind w:firstLine="480"/>
        <w:rPr>
          <w:color w:val="auto"/>
        </w:rPr>
      </w:pPr>
      <w:r>
        <w:rPr>
          <w:color w:val="auto"/>
        </w:rPr>
        <w:t>9.3双方的业务活动坚持公开、公正、公平、诚信的原则（法律认定的商业秘密和合同文件另有规定除外），严禁损害国家和集体利益、违反工程建设管理规章制度。</w:t>
      </w:r>
    </w:p>
    <w:p w14:paraId="3D0EEC75">
      <w:pPr>
        <w:adjustRightInd w:val="0"/>
        <w:snapToGrid w:val="0"/>
        <w:spacing w:line="360" w:lineRule="auto"/>
        <w:ind w:firstLine="480"/>
        <w:rPr>
          <w:color w:val="auto"/>
        </w:rPr>
      </w:pPr>
      <w:r>
        <w:rPr>
          <w:color w:val="auto"/>
        </w:rPr>
        <w:t>9.4建立健全并严格执行党风廉政建设各项制度，开展反腐倡廉宣传教育，加强对本方工作人员的监督检查。</w:t>
      </w:r>
    </w:p>
    <w:p w14:paraId="515E3171">
      <w:pPr>
        <w:adjustRightInd w:val="0"/>
        <w:snapToGrid w:val="0"/>
        <w:spacing w:line="360" w:lineRule="auto"/>
        <w:ind w:firstLine="480"/>
        <w:rPr>
          <w:color w:val="auto"/>
        </w:rPr>
      </w:pPr>
      <w:r>
        <w:rPr>
          <w:color w:val="auto"/>
        </w:rPr>
        <w:t>9.5发现对方在业务活动中有违反廉政规定的行为，有及时提醒和督促对方纠正的权利和义务，并加强对本方工作人员的批评教育，严肃查处违纪违规行为；发现重大违纪违法行为，应向执纪执法机关举报。</w:t>
      </w:r>
    </w:p>
    <w:p w14:paraId="3D07AD5A">
      <w:pPr>
        <w:adjustRightInd w:val="0"/>
        <w:snapToGrid w:val="0"/>
        <w:spacing w:line="360" w:lineRule="auto"/>
        <w:ind w:firstLine="480"/>
        <w:rPr>
          <w:color w:val="auto"/>
        </w:rPr>
      </w:pPr>
      <w:r>
        <w:rPr>
          <w:color w:val="auto"/>
        </w:rPr>
        <w:t>10．本合同书经甲乙双方法定代表人或其委托代理人签名并分别加盖本单位公章后生效。</w:t>
      </w:r>
    </w:p>
    <w:p w14:paraId="58FF7304">
      <w:pPr>
        <w:adjustRightInd w:val="0"/>
        <w:snapToGrid w:val="0"/>
        <w:spacing w:line="360" w:lineRule="auto"/>
        <w:ind w:firstLine="480"/>
        <w:rPr>
          <w:color w:val="auto"/>
        </w:rPr>
      </w:pPr>
      <w:r>
        <w:rPr>
          <w:color w:val="auto"/>
        </w:rPr>
        <w:t>11．本合同一式</w:t>
      </w:r>
      <w:r>
        <w:rPr>
          <w:rFonts w:hint="eastAsia"/>
          <w:color w:val="auto"/>
        </w:rPr>
        <w:t>陆</w:t>
      </w:r>
      <w:r>
        <w:rPr>
          <w:color w:val="auto"/>
        </w:rPr>
        <w:t>份</w:t>
      </w:r>
      <w:r>
        <w:rPr>
          <w:rFonts w:hint="eastAsia"/>
          <w:color w:val="auto"/>
        </w:rPr>
        <w:t>，</w:t>
      </w:r>
      <w:r>
        <w:rPr>
          <w:color w:val="auto"/>
        </w:rPr>
        <w:t>双方各执</w:t>
      </w:r>
      <w:r>
        <w:rPr>
          <w:rFonts w:hint="eastAsia"/>
          <w:color w:val="auto"/>
        </w:rPr>
        <w:t>叁</w:t>
      </w:r>
      <w:r>
        <w:rPr>
          <w:color w:val="auto"/>
        </w:rPr>
        <w:t>份。</w:t>
      </w:r>
    </w:p>
    <w:p w14:paraId="29FAB071">
      <w:pPr>
        <w:adjustRightInd w:val="0"/>
        <w:snapToGrid w:val="0"/>
        <w:spacing w:line="360" w:lineRule="auto"/>
        <w:ind w:firstLine="480"/>
        <w:rPr>
          <w:color w:val="auto"/>
        </w:rPr>
      </w:pPr>
    </w:p>
    <w:p w14:paraId="6F2A2D03">
      <w:pPr>
        <w:spacing w:line="360" w:lineRule="auto"/>
        <w:rPr>
          <w:color w:val="auto"/>
          <w:szCs w:val="21"/>
        </w:rPr>
      </w:pPr>
    </w:p>
    <w:p w14:paraId="11145490">
      <w:pPr>
        <w:spacing w:line="360" w:lineRule="auto"/>
        <w:rPr>
          <w:color w:val="auto"/>
        </w:rPr>
      </w:pPr>
    </w:p>
    <w:p w14:paraId="20B58297">
      <w:pPr>
        <w:adjustRightInd w:val="0"/>
        <w:snapToGrid w:val="0"/>
        <w:spacing w:line="360" w:lineRule="auto"/>
        <w:rPr>
          <w:rFonts w:ascii="宋体" w:hAnsi="宋体"/>
          <w:color w:val="auto"/>
          <w:szCs w:val="21"/>
        </w:rPr>
      </w:pPr>
      <w:r>
        <w:rPr>
          <w:rFonts w:hint="eastAsia" w:ascii="宋体" w:hAnsi="宋体"/>
          <w:color w:val="auto"/>
          <w:szCs w:val="21"/>
        </w:rPr>
        <w:t>甲方：</w:t>
      </w:r>
      <w:r>
        <w:rPr>
          <w:rFonts w:hint="eastAsia" w:ascii="宋体" w:hAnsi="宋体"/>
          <w:color w:val="auto"/>
          <w:szCs w:val="21"/>
          <w:u w:val="single"/>
        </w:rPr>
        <w:t xml:space="preserve">                </w:t>
      </w:r>
      <w:r>
        <w:rPr>
          <w:rFonts w:hint="eastAsia" w:ascii="宋体" w:hAnsi="宋体"/>
          <w:color w:val="auto"/>
          <w:szCs w:val="21"/>
        </w:rPr>
        <w:t>（盖单位章）        乙方：</w:t>
      </w:r>
      <w:r>
        <w:rPr>
          <w:rFonts w:hint="eastAsia" w:ascii="宋体" w:hAnsi="宋体"/>
          <w:color w:val="auto"/>
          <w:szCs w:val="21"/>
          <w:u w:val="single"/>
        </w:rPr>
        <w:t xml:space="preserve">                   </w:t>
      </w:r>
      <w:r>
        <w:rPr>
          <w:rFonts w:hint="eastAsia" w:ascii="宋体" w:hAnsi="宋体"/>
          <w:color w:val="auto"/>
          <w:szCs w:val="21"/>
        </w:rPr>
        <w:t>（盖单位章）</w:t>
      </w:r>
    </w:p>
    <w:p w14:paraId="365A102A">
      <w:pPr>
        <w:adjustRightInd w:val="0"/>
        <w:snapToGrid w:val="0"/>
        <w:spacing w:line="360" w:lineRule="auto"/>
        <w:rPr>
          <w:rFonts w:ascii="宋体" w:hAnsi="宋体"/>
          <w:color w:val="auto"/>
          <w:szCs w:val="21"/>
        </w:rPr>
      </w:pPr>
      <w:r>
        <w:rPr>
          <w:rFonts w:hint="eastAsia" w:ascii="宋体" w:hAnsi="宋体"/>
          <w:color w:val="auto"/>
          <w:szCs w:val="21"/>
        </w:rPr>
        <w:t>法定代表人或其委托代理人：</w:t>
      </w:r>
      <w:r>
        <w:rPr>
          <w:rFonts w:hint="eastAsia" w:ascii="宋体" w:hAnsi="宋体"/>
          <w:color w:val="auto"/>
          <w:szCs w:val="21"/>
          <w:u w:val="single"/>
        </w:rPr>
        <w:t xml:space="preserve">    </w:t>
      </w:r>
      <w:r>
        <w:rPr>
          <w:rFonts w:hint="eastAsia" w:ascii="宋体" w:hAnsi="宋体"/>
          <w:color w:val="auto"/>
          <w:szCs w:val="21"/>
        </w:rPr>
        <w:t>（签字）    法定代表人或其委托代理人：</w:t>
      </w:r>
      <w:r>
        <w:rPr>
          <w:rFonts w:hint="eastAsia" w:ascii="宋体" w:hAnsi="宋体"/>
          <w:color w:val="auto"/>
          <w:szCs w:val="21"/>
          <w:u w:val="single"/>
        </w:rPr>
        <w:t xml:space="preserve">      </w:t>
      </w:r>
      <w:r>
        <w:rPr>
          <w:rFonts w:hint="eastAsia" w:ascii="宋体" w:hAnsi="宋体"/>
          <w:color w:val="auto"/>
          <w:szCs w:val="21"/>
        </w:rPr>
        <w:t>（签字）</w:t>
      </w:r>
    </w:p>
    <w:p w14:paraId="6E9F0943">
      <w:pPr>
        <w:adjustRightInd w:val="0"/>
        <w:snapToGrid w:val="0"/>
        <w:spacing w:line="360" w:lineRule="auto"/>
        <w:rPr>
          <w:rFonts w:ascii="宋体" w:hAnsi="宋体"/>
          <w:color w:val="auto"/>
          <w:szCs w:val="21"/>
        </w:rPr>
      </w:pP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 xml:space="preserve">月 </w:t>
      </w:r>
      <w:r>
        <w:rPr>
          <w:rFonts w:hint="eastAsia" w:ascii="宋体" w:hAnsi="宋体"/>
          <w:color w:val="auto"/>
          <w:szCs w:val="21"/>
          <w:u w:val="single"/>
        </w:rPr>
        <w:t xml:space="preserve">       </w:t>
      </w:r>
      <w:r>
        <w:rPr>
          <w:rFonts w:hint="eastAsia" w:ascii="宋体" w:hAnsi="宋体"/>
          <w:color w:val="auto"/>
          <w:szCs w:val="21"/>
        </w:rPr>
        <w:t xml:space="preserve"> 日            </w:t>
      </w:r>
      <w:r>
        <w:rPr>
          <w:rFonts w:hint="eastAsia" w:ascii="宋体" w:hAnsi="宋体"/>
          <w:color w:val="auto"/>
          <w:szCs w:val="21"/>
          <w:u w:val="single"/>
        </w:rPr>
        <w:t xml:space="preserve">        </w:t>
      </w:r>
      <w:r>
        <w:rPr>
          <w:rFonts w:hint="eastAsia" w:ascii="宋体" w:hAnsi="宋体"/>
          <w:color w:val="auto"/>
          <w:szCs w:val="21"/>
        </w:rPr>
        <w:t>年</w:t>
      </w:r>
      <w:r>
        <w:rPr>
          <w:rFonts w:hint="eastAsia" w:ascii="宋体" w:hAnsi="宋体"/>
          <w:color w:val="auto"/>
          <w:szCs w:val="21"/>
          <w:u w:val="single"/>
        </w:rPr>
        <w:t xml:space="preserve">         </w:t>
      </w:r>
      <w:r>
        <w:rPr>
          <w:rFonts w:hint="eastAsia" w:ascii="宋体" w:hAnsi="宋体"/>
          <w:color w:val="auto"/>
          <w:szCs w:val="21"/>
        </w:rPr>
        <w:t xml:space="preserve">月 </w:t>
      </w:r>
      <w:r>
        <w:rPr>
          <w:rFonts w:hint="eastAsia" w:ascii="宋体" w:hAnsi="宋体"/>
          <w:color w:val="auto"/>
          <w:szCs w:val="21"/>
          <w:u w:val="single"/>
        </w:rPr>
        <w:t xml:space="preserve">         </w:t>
      </w:r>
      <w:r>
        <w:rPr>
          <w:rFonts w:hint="eastAsia" w:ascii="宋体" w:hAnsi="宋体"/>
          <w:color w:val="auto"/>
          <w:szCs w:val="21"/>
        </w:rPr>
        <w:t>日</w:t>
      </w:r>
    </w:p>
    <w:p w14:paraId="5D62232F">
      <w:pPr>
        <w:autoSpaceDE w:val="0"/>
        <w:autoSpaceDN w:val="0"/>
        <w:adjustRightInd w:val="0"/>
        <w:spacing w:line="540" w:lineRule="exact"/>
        <w:jc w:val="center"/>
        <w:rPr>
          <w:rFonts w:ascii="宋体" w:hAnsi="宋体"/>
          <w:b/>
          <w:bCs/>
          <w:color w:val="auto"/>
          <w:sz w:val="44"/>
          <w:szCs w:val="30"/>
        </w:rPr>
        <w:sectPr>
          <w:pgSz w:w="11906" w:h="16838"/>
          <w:pgMar w:top="1440" w:right="1418" w:bottom="1440" w:left="1418" w:header="851" w:footer="992" w:gutter="0"/>
          <w:cols w:space="720" w:num="1"/>
          <w:docGrid w:type="linesAndChars" w:linePitch="312" w:charSpace="0"/>
        </w:sectPr>
      </w:pPr>
    </w:p>
    <w:p w14:paraId="110B2B09">
      <w:pPr>
        <w:pStyle w:val="3"/>
        <w:numPr>
          <w:ilvl w:val="0"/>
          <w:numId w:val="0"/>
        </w:numPr>
        <w:spacing w:before="0" w:after="0" w:line="240" w:lineRule="auto"/>
        <w:rPr>
          <w:color w:val="auto"/>
        </w:rPr>
      </w:pPr>
      <w:bookmarkStart w:id="24" w:name="_Toc18507370"/>
    </w:p>
    <w:p w14:paraId="431C9131">
      <w:pPr>
        <w:pStyle w:val="3"/>
        <w:numPr>
          <w:ilvl w:val="0"/>
          <w:numId w:val="0"/>
        </w:numPr>
        <w:spacing w:before="0" w:after="0" w:line="240" w:lineRule="auto"/>
        <w:rPr>
          <w:rFonts w:eastAsia="黑体"/>
          <w:color w:val="auto"/>
          <w:sz w:val="44"/>
        </w:rPr>
      </w:pPr>
      <w:r>
        <w:rPr>
          <w:rFonts w:hint="eastAsia"/>
          <w:color w:val="auto"/>
          <w:sz w:val="44"/>
        </w:rPr>
        <w:t xml:space="preserve">第六章 </w:t>
      </w:r>
      <w:bookmarkEnd w:id="24"/>
      <w:r>
        <w:rPr>
          <w:rFonts w:hint="eastAsia"/>
          <w:color w:val="auto"/>
          <w:sz w:val="44"/>
        </w:rPr>
        <w:t>投标文件格式</w:t>
      </w:r>
    </w:p>
    <w:p w14:paraId="49C9A05D">
      <w:pPr>
        <w:jc w:val="center"/>
        <w:rPr>
          <w:rFonts w:eastAsia="黑体"/>
          <w:color w:val="auto"/>
          <w:sz w:val="20"/>
          <w:szCs w:val="20"/>
        </w:rPr>
      </w:pPr>
      <w:r>
        <w:rPr>
          <w:rFonts w:eastAsia="黑体"/>
          <w:color w:val="auto"/>
          <w:sz w:val="28"/>
          <w:szCs w:val="28"/>
        </w:rPr>
        <w:t>（</w:t>
      </w:r>
      <w:r>
        <w:rPr>
          <w:rFonts w:hint="eastAsia" w:eastAsia="黑体"/>
          <w:color w:val="auto"/>
          <w:sz w:val="28"/>
          <w:szCs w:val="28"/>
        </w:rPr>
        <w:t>封面</w:t>
      </w:r>
      <w:r>
        <w:rPr>
          <w:rFonts w:eastAsia="黑体"/>
          <w:color w:val="auto"/>
          <w:sz w:val="28"/>
          <w:szCs w:val="28"/>
        </w:rPr>
        <w:t>）</w:t>
      </w:r>
    </w:p>
    <w:p w14:paraId="4C70EB63">
      <w:pPr>
        <w:jc w:val="center"/>
        <w:rPr>
          <w:rFonts w:eastAsia="黑体"/>
          <w:color w:val="auto"/>
          <w:sz w:val="20"/>
          <w:szCs w:val="20"/>
        </w:rPr>
      </w:pPr>
    </w:p>
    <w:p w14:paraId="3D5CCB19">
      <w:pPr>
        <w:rPr>
          <w:rFonts w:eastAsia="黑体"/>
          <w:color w:val="auto"/>
          <w:sz w:val="20"/>
          <w:szCs w:val="20"/>
        </w:rPr>
      </w:pPr>
    </w:p>
    <w:p w14:paraId="14DDD50F">
      <w:pPr>
        <w:jc w:val="center"/>
        <w:rPr>
          <w:rFonts w:eastAsia="黑体"/>
          <w:color w:val="auto"/>
          <w:sz w:val="72"/>
          <w:szCs w:val="72"/>
        </w:rPr>
      </w:pPr>
    </w:p>
    <w:p w14:paraId="1E877F88">
      <w:pPr>
        <w:jc w:val="center"/>
        <w:rPr>
          <w:rFonts w:eastAsia="黑体"/>
          <w:color w:val="auto"/>
          <w:sz w:val="72"/>
          <w:szCs w:val="72"/>
        </w:rPr>
      </w:pPr>
    </w:p>
    <w:p w14:paraId="3A91800B">
      <w:pPr>
        <w:jc w:val="center"/>
        <w:rPr>
          <w:rFonts w:eastAsia="黑体"/>
          <w:color w:val="auto"/>
          <w:sz w:val="72"/>
          <w:szCs w:val="72"/>
        </w:rPr>
      </w:pPr>
      <w:r>
        <w:rPr>
          <w:rFonts w:eastAsia="黑体"/>
          <w:color w:val="auto"/>
          <w:sz w:val="72"/>
          <w:szCs w:val="72"/>
        </w:rPr>
        <w:t>投标文件</w:t>
      </w:r>
    </w:p>
    <w:p w14:paraId="314E2875">
      <w:pPr>
        <w:rPr>
          <w:rFonts w:eastAsia="黑体"/>
          <w:color w:val="auto"/>
          <w:sz w:val="28"/>
          <w:szCs w:val="28"/>
        </w:rPr>
      </w:pPr>
    </w:p>
    <w:p w14:paraId="5F6061CF">
      <w:pPr>
        <w:rPr>
          <w:rFonts w:eastAsia="黑体"/>
          <w:color w:val="auto"/>
          <w:sz w:val="28"/>
          <w:szCs w:val="28"/>
        </w:rPr>
      </w:pPr>
    </w:p>
    <w:p w14:paraId="5AA34C7A">
      <w:pPr>
        <w:rPr>
          <w:rFonts w:eastAsia="黑体"/>
          <w:color w:val="auto"/>
          <w:sz w:val="28"/>
          <w:szCs w:val="28"/>
        </w:rPr>
      </w:pPr>
    </w:p>
    <w:p w14:paraId="777C80B5">
      <w:pPr>
        <w:rPr>
          <w:rFonts w:eastAsia="黑体"/>
          <w:color w:val="auto"/>
          <w:sz w:val="28"/>
          <w:szCs w:val="28"/>
        </w:rPr>
      </w:pPr>
    </w:p>
    <w:p w14:paraId="3AED3500">
      <w:pPr>
        <w:rPr>
          <w:rFonts w:eastAsia="黑体"/>
          <w:color w:val="auto"/>
          <w:sz w:val="28"/>
          <w:szCs w:val="28"/>
        </w:rPr>
      </w:pPr>
    </w:p>
    <w:p w14:paraId="2190C16D">
      <w:pPr>
        <w:rPr>
          <w:rFonts w:eastAsia="黑体"/>
          <w:color w:val="auto"/>
          <w:sz w:val="28"/>
          <w:szCs w:val="28"/>
        </w:rPr>
      </w:pPr>
    </w:p>
    <w:p w14:paraId="602AE931">
      <w:pPr>
        <w:rPr>
          <w:rFonts w:eastAsia="黑体"/>
          <w:color w:val="auto"/>
          <w:sz w:val="28"/>
          <w:szCs w:val="28"/>
        </w:rPr>
      </w:pPr>
    </w:p>
    <w:p w14:paraId="22B60901">
      <w:pPr>
        <w:rPr>
          <w:rFonts w:eastAsia="黑体"/>
          <w:color w:val="auto"/>
          <w:sz w:val="28"/>
          <w:szCs w:val="28"/>
        </w:rPr>
      </w:pPr>
    </w:p>
    <w:p w14:paraId="3CCE9A1E">
      <w:pPr>
        <w:pStyle w:val="223"/>
        <w:spacing w:before="0" w:beforeAutospacing="0" w:after="0" w:afterAutospacing="0"/>
        <w:ind w:firstLine="1081"/>
        <w:jc w:val="both"/>
        <w:rPr>
          <w:color w:val="auto"/>
        </w:rPr>
      </w:pPr>
      <w:r>
        <w:rPr>
          <w:rFonts w:cs="宋体"/>
          <w:b/>
          <w:color w:val="auto"/>
          <w:sz w:val="36"/>
          <w:szCs w:val="36"/>
        </w:rPr>
        <w:t>项 目 名 称：</w:t>
      </w:r>
      <w:r>
        <w:rPr>
          <w:rFonts w:cs="宋体"/>
          <w:b/>
          <w:color w:val="auto"/>
          <w:sz w:val="36"/>
          <w:szCs w:val="36"/>
          <w:u w:val="single"/>
        </w:rPr>
        <w:t>             </w:t>
      </w:r>
    </w:p>
    <w:p w14:paraId="742A41A4">
      <w:pPr>
        <w:pStyle w:val="223"/>
        <w:spacing w:before="0" w:beforeAutospacing="0" w:after="0" w:afterAutospacing="0"/>
        <w:ind w:firstLine="1081"/>
        <w:jc w:val="both"/>
        <w:rPr>
          <w:color w:val="auto"/>
        </w:rPr>
      </w:pPr>
      <w:r>
        <w:rPr>
          <w:rFonts w:hint="eastAsia" w:cs="宋体"/>
          <w:b/>
          <w:color w:val="auto"/>
          <w:sz w:val="36"/>
          <w:szCs w:val="36"/>
        </w:rPr>
        <w:t xml:space="preserve">项 目 </w:t>
      </w:r>
      <w:r>
        <w:rPr>
          <w:rFonts w:cs="宋体"/>
          <w:b/>
          <w:color w:val="auto"/>
          <w:sz w:val="36"/>
          <w:szCs w:val="36"/>
        </w:rPr>
        <w:t>编 号：</w:t>
      </w:r>
      <w:r>
        <w:rPr>
          <w:rFonts w:cs="宋体"/>
          <w:b/>
          <w:color w:val="auto"/>
          <w:sz w:val="36"/>
          <w:szCs w:val="36"/>
          <w:u w:val="single"/>
        </w:rPr>
        <w:t>             </w:t>
      </w:r>
    </w:p>
    <w:p w14:paraId="2861AD2B">
      <w:pPr>
        <w:pStyle w:val="223"/>
        <w:spacing w:before="0" w:beforeAutospacing="0" w:after="0" w:afterAutospacing="0"/>
        <w:jc w:val="both"/>
        <w:rPr>
          <w:color w:val="auto"/>
        </w:rPr>
      </w:pPr>
      <w:r>
        <w:rPr>
          <w:rFonts w:cs="宋体"/>
          <w:b/>
          <w:color w:val="auto"/>
          <w:sz w:val="36"/>
          <w:szCs w:val="36"/>
        </w:rPr>
        <w:t>   投标人名称 ：</w:t>
      </w:r>
      <w:r>
        <w:rPr>
          <w:rFonts w:cs="宋体"/>
          <w:b/>
          <w:color w:val="auto"/>
          <w:sz w:val="36"/>
          <w:szCs w:val="36"/>
          <w:u w:val="single"/>
        </w:rPr>
        <w:t>（加盖CA电子公章）</w:t>
      </w:r>
      <w:r>
        <w:rPr>
          <w:rFonts w:hint="eastAsia" w:cs="宋体"/>
          <w:b/>
          <w:color w:val="auto"/>
          <w:sz w:val="36"/>
          <w:szCs w:val="36"/>
          <w:u w:val="single"/>
        </w:rPr>
        <w:t xml:space="preserve">       </w:t>
      </w:r>
    </w:p>
    <w:p w14:paraId="07D2AFE3">
      <w:pPr>
        <w:pStyle w:val="223"/>
        <w:spacing w:before="0" w:beforeAutospacing="0" w:after="0" w:afterAutospacing="0"/>
        <w:jc w:val="both"/>
        <w:rPr>
          <w:color w:val="auto"/>
        </w:rPr>
      </w:pPr>
      <w:r>
        <w:rPr>
          <w:rFonts w:cs="宋体"/>
          <w:b/>
          <w:color w:val="auto"/>
          <w:sz w:val="36"/>
          <w:szCs w:val="36"/>
        </w:rPr>
        <w:t>   日   期 ：</w:t>
      </w:r>
      <w:r>
        <w:rPr>
          <w:rFonts w:cs="宋体"/>
          <w:b/>
          <w:color w:val="auto"/>
          <w:sz w:val="36"/>
          <w:szCs w:val="36"/>
          <w:u w:val="single"/>
        </w:rPr>
        <w:t>            </w:t>
      </w:r>
      <w:r>
        <w:rPr>
          <w:rFonts w:hint="eastAsia" w:cs="宋体"/>
          <w:b/>
          <w:color w:val="auto"/>
          <w:sz w:val="36"/>
          <w:szCs w:val="36"/>
          <w:u w:val="single"/>
        </w:rPr>
        <w:t xml:space="preserve">  </w:t>
      </w:r>
    </w:p>
    <w:p w14:paraId="54E05325">
      <w:pPr>
        <w:jc w:val="center"/>
        <w:rPr>
          <w:rFonts w:eastAsia="黑体"/>
          <w:color w:val="auto"/>
          <w:sz w:val="28"/>
          <w:szCs w:val="28"/>
        </w:rPr>
      </w:pPr>
    </w:p>
    <w:p w14:paraId="3423C473">
      <w:pPr>
        <w:widowControl/>
        <w:jc w:val="left"/>
        <w:rPr>
          <w:rFonts w:eastAsia="黑体"/>
          <w:color w:val="auto"/>
          <w:sz w:val="28"/>
          <w:szCs w:val="28"/>
        </w:rPr>
      </w:pPr>
      <w:r>
        <w:rPr>
          <w:rFonts w:eastAsia="黑体"/>
          <w:color w:val="auto"/>
          <w:sz w:val="28"/>
          <w:szCs w:val="28"/>
        </w:rPr>
        <w:br w:type="page"/>
      </w:r>
    </w:p>
    <w:p w14:paraId="60FFE3C1">
      <w:pPr>
        <w:jc w:val="center"/>
        <w:rPr>
          <w:rFonts w:ascii="宋体" w:hAnsi="宋体"/>
          <w:b/>
          <w:color w:val="auto"/>
          <w:sz w:val="30"/>
          <w:szCs w:val="30"/>
        </w:rPr>
      </w:pPr>
      <w:r>
        <w:rPr>
          <w:rFonts w:hint="eastAsia" w:ascii="宋体" w:hAnsi="宋体"/>
          <w:b/>
          <w:color w:val="auto"/>
          <w:sz w:val="30"/>
          <w:szCs w:val="30"/>
        </w:rPr>
        <w:t>评分索引表</w:t>
      </w:r>
    </w:p>
    <w:tbl>
      <w:tblPr>
        <w:tblStyle w:val="44"/>
        <w:tblW w:w="92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0AA03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Pr>
          <w:p w14:paraId="50389696">
            <w:pPr>
              <w:pStyle w:val="166"/>
              <w:shd w:val="clear" w:color="auto" w:fill="FFFFFF"/>
              <w:spacing w:line="265" w:lineRule="atLeast"/>
              <w:ind w:left="420" w:firstLine="422"/>
              <w:jc w:val="center"/>
              <w:rPr>
                <w:rFonts w:ascii="宋体" w:hAnsi="宋体"/>
                <w:b/>
                <w:bCs/>
                <w:color w:val="auto"/>
                <w:lang w:eastAsia="zh-CN"/>
              </w:rPr>
            </w:pPr>
            <w:r>
              <w:rPr>
                <w:rFonts w:hint="eastAsia" w:ascii="宋体" w:hAnsi="宋体"/>
                <w:b/>
                <w:color w:val="auto"/>
                <w:lang w:eastAsia="zh-CN"/>
              </w:rPr>
              <w:t>评分项目</w:t>
            </w:r>
          </w:p>
        </w:tc>
        <w:tc>
          <w:tcPr>
            <w:tcW w:w="3570" w:type="dxa"/>
          </w:tcPr>
          <w:p w14:paraId="02C71CFF">
            <w:pPr>
              <w:jc w:val="center"/>
              <w:rPr>
                <w:rFonts w:ascii="宋体" w:hAnsi="宋体"/>
                <w:b/>
                <w:color w:val="auto"/>
              </w:rPr>
            </w:pPr>
            <w:r>
              <w:rPr>
                <w:rFonts w:hint="eastAsia" w:ascii="宋体" w:hAnsi="宋体"/>
                <w:b/>
                <w:color w:val="auto"/>
                <w:kern w:val="0"/>
                <w:lang w:bidi="en-US"/>
              </w:rPr>
              <w:t>在投标文件中的页码位置</w:t>
            </w:r>
          </w:p>
        </w:tc>
      </w:tr>
      <w:tr w14:paraId="73413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670" w:type="dxa"/>
          </w:tcPr>
          <w:p w14:paraId="441165AB">
            <w:pPr>
              <w:pStyle w:val="166"/>
              <w:shd w:val="clear" w:color="auto" w:fill="FFFFFF"/>
              <w:spacing w:line="265" w:lineRule="atLeast"/>
              <w:ind w:left="420" w:firstLine="422"/>
              <w:rPr>
                <w:rFonts w:ascii="宋体" w:hAnsi="宋体"/>
                <w:b/>
                <w:color w:val="auto"/>
                <w:lang w:eastAsia="zh-CN"/>
              </w:rPr>
            </w:pPr>
          </w:p>
        </w:tc>
        <w:tc>
          <w:tcPr>
            <w:tcW w:w="3570" w:type="dxa"/>
          </w:tcPr>
          <w:p w14:paraId="64043436">
            <w:pPr>
              <w:rPr>
                <w:rFonts w:ascii="宋体" w:hAnsi="宋体"/>
                <w:b/>
                <w:color w:val="auto"/>
                <w:kern w:val="0"/>
                <w:lang w:bidi="en-US"/>
              </w:rPr>
            </w:pPr>
          </w:p>
        </w:tc>
      </w:tr>
      <w:tr w14:paraId="1E882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9240" w:type="dxa"/>
            <w:gridSpan w:val="2"/>
          </w:tcPr>
          <w:p w14:paraId="735FF0B6">
            <w:pPr>
              <w:pStyle w:val="166"/>
              <w:shd w:val="clear" w:color="auto" w:fill="FFFFFF"/>
              <w:spacing w:line="265" w:lineRule="atLeast"/>
              <w:ind w:left="420"/>
              <w:rPr>
                <w:rFonts w:ascii="宋体" w:hAnsi="宋体"/>
                <w:color w:val="auto"/>
                <w:lang w:eastAsia="zh-CN"/>
              </w:rPr>
            </w:pPr>
          </w:p>
        </w:tc>
      </w:tr>
      <w:tr w14:paraId="58736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Pr>
          <w:p w14:paraId="4CD06C7C">
            <w:pPr>
              <w:pStyle w:val="166"/>
              <w:shd w:val="clear" w:color="auto" w:fill="FFFFFF"/>
              <w:spacing w:line="265" w:lineRule="atLeast"/>
              <w:ind w:left="420"/>
              <w:rPr>
                <w:rFonts w:ascii="宋体" w:hAnsi="宋体"/>
                <w:color w:val="auto"/>
                <w:lang w:eastAsia="zh-CN"/>
              </w:rPr>
            </w:pPr>
          </w:p>
        </w:tc>
        <w:tc>
          <w:tcPr>
            <w:tcW w:w="3570" w:type="dxa"/>
          </w:tcPr>
          <w:p w14:paraId="64A18EC9">
            <w:pPr>
              <w:rPr>
                <w:rFonts w:ascii="宋体" w:hAnsi="宋体"/>
                <w:color w:val="auto"/>
              </w:rPr>
            </w:pPr>
          </w:p>
        </w:tc>
      </w:tr>
      <w:tr w14:paraId="16906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Pr>
          <w:p w14:paraId="6BD8C4C3">
            <w:pPr>
              <w:pStyle w:val="166"/>
              <w:shd w:val="clear" w:color="auto" w:fill="FFFFFF"/>
              <w:spacing w:line="265" w:lineRule="atLeast"/>
              <w:ind w:left="420"/>
              <w:rPr>
                <w:rFonts w:ascii="宋体" w:hAnsi="宋体"/>
                <w:color w:val="auto"/>
                <w:lang w:eastAsia="zh-CN"/>
              </w:rPr>
            </w:pPr>
          </w:p>
        </w:tc>
        <w:tc>
          <w:tcPr>
            <w:tcW w:w="3570" w:type="dxa"/>
          </w:tcPr>
          <w:p w14:paraId="1491E791">
            <w:pPr>
              <w:rPr>
                <w:rFonts w:ascii="宋体" w:hAnsi="宋体"/>
                <w:color w:val="auto"/>
              </w:rPr>
            </w:pPr>
          </w:p>
        </w:tc>
      </w:tr>
      <w:tr w14:paraId="58FF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Pr>
          <w:p w14:paraId="1297A47B">
            <w:pPr>
              <w:pStyle w:val="166"/>
              <w:shd w:val="clear" w:color="auto" w:fill="FFFFFF"/>
              <w:spacing w:line="265" w:lineRule="atLeast"/>
              <w:ind w:left="420"/>
              <w:rPr>
                <w:rFonts w:ascii="宋体" w:hAnsi="宋体"/>
                <w:color w:val="auto"/>
                <w:lang w:eastAsia="zh-CN"/>
              </w:rPr>
            </w:pPr>
          </w:p>
        </w:tc>
        <w:tc>
          <w:tcPr>
            <w:tcW w:w="3570" w:type="dxa"/>
          </w:tcPr>
          <w:p w14:paraId="2C7D82BB">
            <w:pPr>
              <w:rPr>
                <w:rFonts w:ascii="宋体" w:hAnsi="宋体"/>
                <w:color w:val="auto"/>
              </w:rPr>
            </w:pPr>
          </w:p>
        </w:tc>
      </w:tr>
      <w:tr w14:paraId="0A48D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670" w:type="dxa"/>
          </w:tcPr>
          <w:p w14:paraId="74AEE802">
            <w:pPr>
              <w:pStyle w:val="166"/>
              <w:shd w:val="clear" w:color="auto" w:fill="FFFFFF"/>
              <w:spacing w:line="265" w:lineRule="atLeast"/>
              <w:ind w:left="420"/>
              <w:rPr>
                <w:rFonts w:ascii="宋体" w:hAnsi="宋体"/>
                <w:color w:val="auto"/>
                <w:lang w:eastAsia="zh-CN"/>
              </w:rPr>
            </w:pPr>
          </w:p>
        </w:tc>
        <w:tc>
          <w:tcPr>
            <w:tcW w:w="3570" w:type="dxa"/>
          </w:tcPr>
          <w:p w14:paraId="6CF39091">
            <w:pPr>
              <w:rPr>
                <w:rFonts w:ascii="宋体" w:hAnsi="宋体"/>
                <w:color w:val="auto"/>
              </w:rPr>
            </w:pPr>
          </w:p>
        </w:tc>
      </w:tr>
      <w:tr w14:paraId="4C286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Pr>
          <w:p w14:paraId="069F3FBA">
            <w:pPr>
              <w:pStyle w:val="166"/>
              <w:shd w:val="clear" w:color="auto" w:fill="FFFFFF"/>
              <w:spacing w:line="265" w:lineRule="atLeast"/>
              <w:ind w:left="420"/>
              <w:rPr>
                <w:rFonts w:ascii="宋体" w:hAnsi="宋体"/>
                <w:color w:val="auto"/>
                <w:lang w:eastAsia="zh-CN"/>
              </w:rPr>
            </w:pPr>
          </w:p>
        </w:tc>
        <w:tc>
          <w:tcPr>
            <w:tcW w:w="3570" w:type="dxa"/>
          </w:tcPr>
          <w:p w14:paraId="2C4476B4">
            <w:pPr>
              <w:rPr>
                <w:rFonts w:ascii="宋体" w:hAnsi="宋体"/>
                <w:color w:val="auto"/>
              </w:rPr>
            </w:pPr>
          </w:p>
        </w:tc>
      </w:tr>
      <w:tr w14:paraId="69A76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9240" w:type="dxa"/>
            <w:gridSpan w:val="2"/>
          </w:tcPr>
          <w:p w14:paraId="51136309">
            <w:pPr>
              <w:pStyle w:val="166"/>
              <w:shd w:val="clear" w:color="auto" w:fill="FFFFFF"/>
              <w:spacing w:line="265" w:lineRule="atLeast"/>
              <w:ind w:left="420"/>
              <w:rPr>
                <w:rFonts w:ascii="宋体" w:hAnsi="宋体"/>
                <w:color w:val="auto"/>
                <w:lang w:eastAsia="zh-CN"/>
              </w:rPr>
            </w:pPr>
          </w:p>
        </w:tc>
      </w:tr>
      <w:tr w14:paraId="0123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70" w:type="dxa"/>
          </w:tcPr>
          <w:p w14:paraId="13DEDA1D">
            <w:pPr>
              <w:pStyle w:val="166"/>
              <w:shd w:val="clear" w:color="auto" w:fill="FFFFFF"/>
              <w:spacing w:line="265" w:lineRule="atLeast"/>
              <w:ind w:left="420"/>
              <w:rPr>
                <w:rFonts w:ascii="宋体" w:hAnsi="宋体"/>
                <w:color w:val="auto"/>
                <w:lang w:eastAsia="zh-CN"/>
              </w:rPr>
            </w:pPr>
          </w:p>
        </w:tc>
        <w:tc>
          <w:tcPr>
            <w:tcW w:w="3570" w:type="dxa"/>
          </w:tcPr>
          <w:p w14:paraId="2938AFD5">
            <w:pPr>
              <w:rPr>
                <w:rFonts w:ascii="宋体" w:hAnsi="宋体"/>
                <w:color w:val="auto"/>
              </w:rPr>
            </w:pPr>
          </w:p>
        </w:tc>
      </w:tr>
      <w:tr w14:paraId="74E7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trPr>
        <w:tc>
          <w:tcPr>
            <w:tcW w:w="5670" w:type="dxa"/>
          </w:tcPr>
          <w:p w14:paraId="5E5A7A82">
            <w:pPr>
              <w:pStyle w:val="166"/>
              <w:shd w:val="clear" w:color="auto" w:fill="FFFFFF"/>
              <w:spacing w:line="265" w:lineRule="atLeast"/>
              <w:ind w:left="420"/>
              <w:rPr>
                <w:rFonts w:ascii="宋体" w:hAnsi="宋体"/>
                <w:color w:val="auto"/>
                <w:lang w:eastAsia="zh-CN"/>
              </w:rPr>
            </w:pPr>
          </w:p>
        </w:tc>
        <w:tc>
          <w:tcPr>
            <w:tcW w:w="3570" w:type="dxa"/>
          </w:tcPr>
          <w:p w14:paraId="717ED3D5">
            <w:pPr>
              <w:rPr>
                <w:rFonts w:ascii="宋体" w:hAnsi="宋体"/>
                <w:color w:val="auto"/>
              </w:rPr>
            </w:pPr>
          </w:p>
        </w:tc>
      </w:tr>
      <w:tr w14:paraId="3A8E9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670" w:type="dxa"/>
          </w:tcPr>
          <w:p w14:paraId="09F15445">
            <w:pPr>
              <w:pStyle w:val="166"/>
              <w:shd w:val="clear" w:color="auto" w:fill="FFFFFF"/>
              <w:spacing w:line="265" w:lineRule="atLeast"/>
              <w:ind w:left="420"/>
              <w:rPr>
                <w:rFonts w:ascii="宋体" w:hAnsi="宋体"/>
                <w:color w:val="auto"/>
                <w:lang w:eastAsia="zh-CN"/>
              </w:rPr>
            </w:pPr>
          </w:p>
        </w:tc>
        <w:tc>
          <w:tcPr>
            <w:tcW w:w="3570" w:type="dxa"/>
          </w:tcPr>
          <w:p w14:paraId="0DC69447">
            <w:pPr>
              <w:rPr>
                <w:rFonts w:ascii="宋体" w:hAnsi="宋体"/>
                <w:color w:val="auto"/>
              </w:rPr>
            </w:pPr>
          </w:p>
        </w:tc>
      </w:tr>
      <w:tr w14:paraId="4C085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trPr>
        <w:tc>
          <w:tcPr>
            <w:tcW w:w="5670" w:type="dxa"/>
          </w:tcPr>
          <w:p w14:paraId="0F828A35">
            <w:pPr>
              <w:pStyle w:val="166"/>
              <w:shd w:val="clear" w:color="auto" w:fill="FFFFFF"/>
              <w:spacing w:line="265" w:lineRule="atLeast"/>
              <w:ind w:left="420"/>
              <w:rPr>
                <w:rFonts w:ascii="宋体" w:hAnsi="宋体"/>
                <w:color w:val="auto"/>
                <w:lang w:eastAsia="zh-CN"/>
              </w:rPr>
            </w:pPr>
          </w:p>
        </w:tc>
        <w:tc>
          <w:tcPr>
            <w:tcW w:w="3570" w:type="dxa"/>
          </w:tcPr>
          <w:p w14:paraId="7733C26A">
            <w:pPr>
              <w:rPr>
                <w:rFonts w:ascii="宋体" w:hAnsi="宋体"/>
                <w:color w:val="auto"/>
              </w:rPr>
            </w:pPr>
          </w:p>
        </w:tc>
      </w:tr>
      <w:tr w14:paraId="5157B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5670" w:type="dxa"/>
          </w:tcPr>
          <w:p w14:paraId="5BDD594B">
            <w:pPr>
              <w:pStyle w:val="166"/>
              <w:shd w:val="clear" w:color="auto" w:fill="FFFFFF"/>
              <w:spacing w:line="265" w:lineRule="atLeast"/>
              <w:ind w:left="420"/>
              <w:rPr>
                <w:rFonts w:ascii="宋体" w:hAnsi="宋体"/>
                <w:color w:val="auto"/>
                <w:lang w:eastAsia="zh-CN"/>
              </w:rPr>
            </w:pPr>
          </w:p>
        </w:tc>
        <w:tc>
          <w:tcPr>
            <w:tcW w:w="3570" w:type="dxa"/>
          </w:tcPr>
          <w:p w14:paraId="2DF17B9C">
            <w:pPr>
              <w:rPr>
                <w:rFonts w:ascii="宋体" w:hAnsi="宋体"/>
                <w:color w:val="auto"/>
              </w:rPr>
            </w:pPr>
          </w:p>
        </w:tc>
      </w:tr>
      <w:tr w14:paraId="22FE7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9240" w:type="dxa"/>
            <w:gridSpan w:val="2"/>
          </w:tcPr>
          <w:p w14:paraId="07E167B9">
            <w:pPr>
              <w:pStyle w:val="166"/>
              <w:shd w:val="clear" w:color="auto" w:fill="FFFFFF"/>
              <w:spacing w:line="265" w:lineRule="atLeast"/>
              <w:ind w:left="420" w:firstLine="422"/>
              <w:rPr>
                <w:rFonts w:ascii="宋体" w:hAnsi="宋体"/>
                <w:b/>
                <w:color w:val="auto"/>
                <w:lang w:eastAsia="zh-CN"/>
              </w:rPr>
            </w:pPr>
          </w:p>
        </w:tc>
      </w:tr>
      <w:tr w14:paraId="6F751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Pr>
          <w:p w14:paraId="28C8BD8F">
            <w:pPr>
              <w:pStyle w:val="166"/>
              <w:shd w:val="clear" w:color="auto" w:fill="FFFFFF"/>
              <w:spacing w:line="265" w:lineRule="atLeast"/>
              <w:ind w:left="420" w:firstLine="422"/>
              <w:rPr>
                <w:rFonts w:ascii="宋体" w:hAnsi="宋体"/>
                <w:b/>
                <w:bCs/>
                <w:color w:val="auto"/>
                <w:lang w:eastAsia="zh-CN"/>
              </w:rPr>
            </w:pPr>
          </w:p>
        </w:tc>
        <w:tc>
          <w:tcPr>
            <w:tcW w:w="3570" w:type="dxa"/>
          </w:tcPr>
          <w:p w14:paraId="30B126E8">
            <w:pPr>
              <w:rPr>
                <w:rFonts w:ascii="宋体" w:hAnsi="宋体"/>
                <w:color w:val="auto"/>
              </w:rPr>
            </w:pPr>
          </w:p>
        </w:tc>
      </w:tr>
      <w:tr w14:paraId="370A9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5670" w:type="dxa"/>
          </w:tcPr>
          <w:p w14:paraId="61173AB5">
            <w:pPr>
              <w:pStyle w:val="166"/>
              <w:shd w:val="clear" w:color="auto" w:fill="FFFFFF"/>
              <w:spacing w:line="265" w:lineRule="atLeast"/>
              <w:ind w:left="420"/>
              <w:rPr>
                <w:rFonts w:ascii="宋体" w:hAnsi="宋体"/>
                <w:color w:val="auto"/>
                <w:lang w:eastAsia="zh-CN"/>
              </w:rPr>
            </w:pPr>
          </w:p>
        </w:tc>
        <w:tc>
          <w:tcPr>
            <w:tcW w:w="3570" w:type="dxa"/>
          </w:tcPr>
          <w:p w14:paraId="487D8FB7">
            <w:pPr>
              <w:rPr>
                <w:rFonts w:ascii="宋体" w:hAnsi="宋体"/>
                <w:color w:val="auto"/>
              </w:rPr>
            </w:pPr>
          </w:p>
        </w:tc>
      </w:tr>
      <w:tr w14:paraId="5D381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5670" w:type="dxa"/>
          </w:tcPr>
          <w:p w14:paraId="545A4223">
            <w:pPr>
              <w:pStyle w:val="166"/>
              <w:shd w:val="clear" w:color="auto" w:fill="FFFFFF"/>
              <w:spacing w:line="265" w:lineRule="atLeast"/>
              <w:ind w:left="420" w:firstLine="422"/>
              <w:rPr>
                <w:rFonts w:ascii="宋体" w:hAnsi="宋体"/>
                <w:b/>
                <w:bCs/>
                <w:color w:val="auto"/>
                <w:lang w:eastAsia="zh-CN"/>
              </w:rPr>
            </w:pPr>
          </w:p>
        </w:tc>
        <w:tc>
          <w:tcPr>
            <w:tcW w:w="3570" w:type="dxa"/>
          </w:tcPr>
          <w:p w14:paraId="602C31B4">
            <w:pPr>
              <w:rPr>
                <w:rFonts w:ascii="宋体" w:hAnsi="宋体"/>
                <w:color w:val="auto"/>
              </w:rPr>
            </w:pPr>
          </w:p>
        </w:tc>
      </w:tr>
      <w:tr w14:paraId="38733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trPr>
        <w:tc>
          <w:tcPr>
            <w:tcW w:w="9240" w:type="dxa"/>
            <w:gridSpan w:val="2"/>
          </w:tcPr>
          <w:p w14:paraId="60571E58">
            <w:pPr>
              <w:pStyle w:val="166"/>
              <w:shd w:val="clear" w:color="auto" w:fill="FFFFFF"/>
              <w:spacing w:line="265" w:lineRule="atLeast"/>
              <w:ind w:left="420" w:firstLine="422"/>
              <w:rPr>
                <w:rFonts w:ascii="宋体" w:hAnsi="宋体"/>
                <w:b/>
                <w:color w:val="auto"/>
                <w:lang w:eastAsia="zh-CN"/>
              </w:rPr>
            </w:pPr>
          </w:p>
        </w:tc>
      </w:tr>
      <w:tr w14:paraId="50698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5670" w:type="dxa"/>
          </w:tcPr>
          <w:p w14:paraId="26B5F807">
            <w:pPr>
              <w:pStyle w:val="166"/>
              <w:shd w:val="clear" w:color="auto" w:fill="FFFFFF"/>
              <w:spacing w:line="265" w:lineRule="atLeast"/>
              <w:rPr>
                <w:rFonts w:ascii="宋体" w:hAnsi="宋体"/>
                <w:color w:val="auto"/>
                <w:szCs w:val="21"/>
                <w:lang w:eastAsia="zh-CN"/>
              </w:rPr>
            </w:pPr>
          </w:p>
        </w:tc>
        <w:tc>
          <w:tcPr>
            <w:tcW w:w="3570" w:type="dxa"/>
          </w:tcPr>
          <w:p w14:paraId="071DF52D">
            <w:pPr>
              <w:rPr>
                <w:rFonts w:ascii="宋体" w:hAnsi="宋体"/>
                <w:color w:val="auto"/>
              </w:rPr>
            </w:pPr>
          </w:p>
        </w:tc>
      </w:tr>
      <w:tr w14:paraId="2F754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5670" w:type="dxa"/>
            <w:tcBorders>
              <w:bottom w:val="single" w:color="auto" w:sz="4" w:space="0"/>
            </w:tcBorders>
          </w:tcPr>
          <w:p w14:paraId="1E64B94B">
            <w:pPr>
              <w:pStyle w:val="166"/>
              <w:shd w:val="clear" w:color="auto" w:fill="FFFFFF"/>
              <w:spacing w:line="265" w:lineRule="atLeast"/>
              <w:rPr>
                <w:rFonts w:ascii="宋体" w:hAnsi="宋体"/>
                <w:color w:val="auto"/>
                <w:lang w:eastAsia="zh-CN"/>
              </w:rPr>
            </w:pPr>
          </w:p>
        </w:tc>
        <w:tc>
          <w:tcPr>
            <w:tcW w:w="3570" w:type="dxa"/>
            <w:tcBorders>
              <w:bottom w:val="single" w:color="auto" w:sz="4" w:space="0"/>
            </w:tcBorders>
          </w:tcPr>
          <w:p w14:paraId="0907CCBA">
            <w:pPr>
              <w:rPr>
                <w:rFonts w:ascii="宋体" w:hAnsi="宋体"/>
                <w:color w:val="auto"/>
              </w:rPr>
            </w:pPr>
          </w:p>
        </w:tc>
      </w:tr>
    </w:tbl>
    <w:p w14:paraId="61209847">
      <w:pPr>
        <w:widowControl/>
        <w:jc w:val="left"/>
        <w:rPr>
          <w:rFonts w:eastAsia="黑体"/>
          <w:color w:val="auto"/>
          <w:sz w:val="32"/>
          <w:szCs w:val="32"/>
        </w:rPr>
      </w:pPr>
      <w:r>
        <w:rPr>
          <w:rFonts w:eastAsia="黑体"/>
          <w:color w:val="auto"/>
          <w:sz w:val="32"/>
          <w:szCs w:val="32"/>
        </w:rPr>
        <w:br w:type="page"/>
      </w:r>
    </w:p>
    <w:p w14:paraId="51ED0718">
      <w:pPr>
        <w:spacing w:before="312" w:beforeLines="100" w:after="312" w:afterLines="100"/>
        <w:jc w:val="center"/>
        <w:rPr>
          <w:rFonts w:eastAsia="黑体"/>
          <w:color w:val="auto"/>
          <w:sz w:val="32"/>
          <w:szCs w:val="32"/>
        </w:rPr>
      </w:pPr>
      <w:r>
        <w:rPr>
          <w:rFonts w:eastAsia="黑体"/>
          <w:color w:val="auto"/>
          <w:sz w:val="32"/>
          <w:szCs w:val="32"/>
        </w:rPr>
        <w:t>目录</w:t>
      </w:r>
    </w:p>
    <w:p w14:paraId="23D67FB4">
      <w:pPr>
        <w:jc w:val="center"/>
        <w:rPr>
          <w:rFonts w:eastAsia="黑体"/>
          <w:color w:val="auto"/>
          <w:szCs w:val="21"/>
        </w:rPr>
      </w:pPr>
      <w:r>
        <w:rPr>
          <w:rFonts w:hint="eastAsia" w:eastAsia="黑体"/>
          <w:color w:val="auto"/>
          <w:szCs w:val="21"/>
        </w:rPr>
        <w:t>（注：供应商根据附件格式编制投标文件并制作目录（须生成页码））</w:t>
      </w:r>
    </w:p>
    <w:p w14:paraId="30A3D519">
      <w:pPr>
        <w:spacing w:line="440" w:lineRule="exact"/>
        <w:rPr>
          <w:rFonts w:ascii="宋体" w:hAnsi="宋体"/>
          <w:color w:val="auto"/>
          <w:kern w:val="0"/>
          <w:szCs w:val="21"/>
        </w:rPr>
      </w:pPr>
      <w:r>
        <w:rPr>
          <w:color w:val="auto"/>
        </w:rPr>
        <w:br w:type="page"/>
      </w:r>
      <w:r>
        <w:rPr>
          <w:rFonts w:hint="eastAsia" w:ascii="宋体" w:hAnsi="宋体"/>
          <w:b/>
          <w:bCs/>
          <w:color w:val="auto"/>
          <w:kern w:val="0"/>
          <w:szCs w:val="21"/>
        </w:rPr>
        <w:t>附件一、投标函格式</w:t>
      </w:r>
    </w:p>
    <w:p w14:paraId="6790FB6F">
      <w:pPr>
        <w:widowControl/>
        <w:shd w:val="clear" w:color="auto" w:fill="FFFFFF"/>
        <w:spacing w:line="360" w:lineRule="auto"/>
        <w:jc w:val="center"/>
        <w:rPr>
          <w:rFonts w:ascii="宋体" w:hAnsi="宋体"/>
          <w:b/>
          <w:color w:val="auto"/>
          <w:kern w:val="0"/>
          <w:szCs w:val="21"/>
        </w:rPr>
      </w:pPr>
      <w:r>
        <w:rPr>
          <w:rFonts w:hint="eastAsia" w:ascii="宋体" w:hAnsi="宋体"/>
          <w:b/>
          <w:color w:val="auto"/>
          <w:kern w:val="0"/>
          <w:sz w:val="36"/>
          <w:szCs w:val="36"/>
        </w:rPr>
        <w:t>投标函格式</w:t>
      </w:r>
    </w:p>
    <w:p w14:paraId="1CC1AA80">
      <w:pPr>
        <w:widowControl/>
        <w:shd w:val="clear" w:color="auto" w:fill="FFFFFF"/>
        <w:spacing w:line="400" w:lineRule="exact"/>
        <w:rPr>
          <w:rFonts w:ascii="宋体" w:hAnsi="宋体"/>
          <w:color w:val="auto"/>
          <w:kern w:val="0"/>
          <w:szCs w:val="21"/>
        </w:rPr>
      </w:pPr>
      <w:r>
        <w:rPr>
          <w:rFonts w:hint="eastAsia" w:ascii="宋体" w:hAnsi="宋体"/>
          <w:color w:val="auto"/>
          <w:kern w:val="0"/>
          <w:szCs w:val="21"/>
        </w:rPr>
        <w:t> 致：</w:t>
      </w:r>
      <w:r>
        <w:rPr>
          <w:rFonts w:hint="eastAsia" w:ascii="宋体" w:hAnsi="宋体"/>
          <w:color w:val="auto"/>
          <w:kern w:val="0"/>
          <w:szCs w:val="21"/>
          <w:u w:val="single"/>
        </w:rPr>
        <w:t xml:space="preserve">                （招标人）</w:t>
      </w:r>
    </w:p>
    <w:p w14:paraId="0FD4910D">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根据贵方</w:t>
      </w:r>
      <w:r>
        <w:rPr>
          <w:rFonts w:hint="eastAsia" w:ascii="宋体" w:hAnsi="宋体"/>
          <w:color w:val="auto"/>
          <w:kern w:val="0"/>
          <w:szCs w:val="21"/>
          <w:u w:val="single"/>
        </w:rPr>
        <w:t>           </w:t>
      </w:r>
      <w:r>
        <w:rPr>
          <w:rFonts w:hint="eastAsia" w:ascii="宋体" w:hAnsi="宋体"/>
          <w:b/>
          <w:bCs/>
          <w:color w:val="auto"/>
          <w:kern w:val="0"/>
          <w:szCs w:val="21"/>
          <w:u w:val="single"/>
        </w:rPr>
        <w:t>（</w:t>
      </w:r>
      <w:r>
        <w:rPr>
          <w:rFonts w:hint="eastAsia" w:ascii="宋体" w:hAnsi="宋体"/>
          <w:color w:val="auto"/>
          <w:kern w:val="0"/>
          <w:szCs w:val="21"/>
        </w:rPr>
        <w:t>项目名称） </w:t>
      </w:r>
      <w:r>
        <w:rPr>
          <w:rFonts w:hint="eastAsia" w:ascii="宋体" w:hAnsi="宋体"/>
          <w:color w:val="auto"/>
          <w:kern w:val="0"/>
          <w:szCs w:val="21"/>
          <w:u w:val="single"/>
        </w:rPr>
        <w:t>       </w:t>
      </w:r>
      <w:r>
        <w:rPr>
          <w:rFonts w:hint="eastAsia" w:ascii="宋体" w:hAnsi="宋体"/>
          <w:color w:val="auto"/>
          <w:kern w:val="0"/>
          <w:szCs w:val="21"/>
        </w:rPr>
        <w:t>（项目编号）招标文件，正式授权下述签字人</w:t>
      </w:r>
      <w:r>
        <w:rPr>
          <w:rFonts w:hint="eastAsia" w:ascii="宋体" w:hAnsi="宋体"/>
          <w:color w:val="auto"/>
          <w:kern w:val="0"/>
          <w:szCs w:val="21"/>
          <w:u w:val="single"/>
        </w:rPr>
        <w:t>           </w:t>
      </w:r>
      <w:r>
        <w:rPr>
          <w:rFonts w:hint="eastAsia" w:ascii="宋体" w:hAnsi="宋体"/>
          <w:color w:val="auto"/>
          <w:kern w:val="0"/>
          <w:szCs w:val="21"/>
        </w:rPr>
        <w:t>(姓名和职务)代表投标人</w:t>
      </w:r>
      <w:r>
        <w:rPr>
          <w:rFonts w:hint="eastAsia" w:ascii="宋体" w:hAnsi="宋体"/>
          <w:color w:val="auto"/>
          <w:kern w:val="0"/>
          <w:szCs w:val="21"/>
          <w:u w:val="single"/>
        </w:rPr>
        <w:t>     </w:t>
      </w:r>
      <w:r>
        <w:rPr>
          <w:rFonts w:hint="eastAsia" w:ascii="宋体" w:hAnsi="宋体"/>
          <w:color w:val="auto"/>
          <w:kern w:val="0"/>
          <w:szCs w:val="21"/>
        </w:rPr>
        <w:t>（投标人名称），提交投标文件。</w:t>
      </w:r>
    </w:p>
    <w:p w14:paraId="7C92081E">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据此函，签字人兹宣布声明和承诺如下：</w:t>
      </w:r>
    </w:p>
    <w:p w14:paraId="2BF80079">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1、</w:t>
      </w:r>
      <w:r>
        <w:rPr>
          <w:rFonts w:hint="eastAsia" w:ascii="宋体" w:hAnsi="宋体"/>
          <w:b/>
          <w:bCs/>
          <w:color w:val="auto"/>
          <w:kern w:val="0"/>
          <w:szCs w:val="21"/>
        </w:rPr>
        <w:t>我们的资格条件完全符合政府采购法和本次招标要求</w:t>
      </w:r>
      <w:r>
        <w:rPr>
          <w:rFonts w:hint="eastAsia" w:ascii="宋体" w:hAnsi="宋体"/>
          <w:color w:val="auto"/>
          <w:kern w:val="0"/>
          <w:szCs w:val="21"/>
        </w:rPr>
        <w:t>，我们同意并向贵方提供了与投标有关的所有证据和资料。</w:t>
      </w:r>
    </w:p>
    <w:p w14:paraId="315B49E0">
      <w:pPr>
        <w:widowControl/>
        <w:shd w:val="clear" w:color="auto" w:fill="FFFFFF"/>
        <w:spacing w:line="400" w:lineRule="exact"/>
        <w:ind w:firstLine="420"/>
        <w:rPr>
          <w:rFonts w:ascii="宋体" w:hAnsi="宋体"/>
          <w:color w:val="auto"/>
          <w:kern w:val="0"/>
          <w:szCs w:val="21"/>
        </w:rPr>
      </w:pPr>
      <w:r>
        <w:rPr>
          <w:rFonts w:ascii="宋体" w:hAnsi="宋体"/>
          <w:color w:val="auto"/>
          <w:kern w:val="0"/>
          <w:szCs w:val="21"/>
        </w:rPr>
        <w:t>2、</w:t>
      </w:r>
      <w:r>
        <w:rPr>
          <w:rFonts w:hint="eastAsia" w:ascii="宋体" w:hAnsi="宋体"/>
          <w:color w:val="auto"/>
          <w:kern w:val="0"/>
          <w:szCs w:val="21"/>
        </w:rPr>
        <w:t>按招标要求，我们的投标总报价为：</w:t>
      </w:r>
      <w:r>
        <w:rPr>
          <w:rFonts w:hint="eastAsia"/>
          <w:color w:val="auto"/>
          <w:u w:val="single"/>
        </w:rPr>
        <w:t xml:space="preserve">              </w:t>
      </w:r>
      <w:r>
        <w:rPr>
          <w:color w:val="auto"/>
        </w:rPr>
        <w:t xml:space="preserve"> </w:t>
      </w:r>
      <w:r>
        <w:rPr>
          <w:rFonts w:hint="eastAsia"/>
          <w:color w:val="auto"/>
        </w:rPr>
        <w:t>元</w:t>
      </w:r>
      <w:r>
        <w:rPr>
          <w:rFonts w:hint="eastAsia" w:ascii="宋体" w:hAnsi="宋体"/>
          <w:color w:val="auto"/>
          <w:kern w:val="0"/>
          <w:szCs w:val="21"/>
        </w:rPr>
        <w:t>。</w:t>
      </w:r>
    </w:p>
    <w:p w14:paraId="31D464ED">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3、本项目交付时间为：</w:t>
      </w:r>
      <w:r>
        <w:rPr>
          <w:rFonts w:hint="eastAsia" w:ascii="宋体" w:hAnsi="宋体"/>
          <w:color w:val="auto"/>
          <w:kern w:val="0"/>
          <w:szCs w:val="21"/>
          <w:u w:val="single"/>
        </w:rPr>
        <w:t xml:space="preserve">  满足招标文件要求（       ）  </w:t>
      </w:r>
      <w:r>
        <w:rPr>
          <w:rFonts w:hint="eastAsia" w:ascii="宋体" w:hAnsi="宋体"/>
          <w:color w:val="auto"/>
          <w:kern w:val="0"/>
          <w:szCs w:val="21"/>
        </w:rPr>
        <w:t>。</w:t>
      </w:r>
    </w:p>
    <w:p w14:paraId="17077A30">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4、我们已详细阅读全部招标文件及其有效补充文件，我们放弃对招标文件任何误解的权利，提交投标文件后，</w:t>
      </w:r>
      <w:r>
        <w:rPr>
          <w:rFonts w:hint="eastAsia" w:ascii="宋体" w:hAnsi="宋体"/>
          <w:b/>
          <w:bCs/>
          <w:color w:val="auto"/>
          <w:kern w:val="0"/>
          <w:szCs w:val="21"/>
        </w:rPr>
        <w:t>不对招标文件本身提出质疑</w:t>
      </w:r>
      <w:r>
        <w:rPr>
          <w:rFonts w:hint="eastAsia" w:ascii="宋体" w:hAnsi="宋体"/>
          <w:color w:val="auto"/>
          <w:kern w:val="0"/>
          <w:szCs w:val="21"/>
        </w:rPr>
        <w:t>。</w:t>
      </w:r>
    </w:p>
    <w:p w14:paraId="058CCEEF">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5、我们同意从规定的开标日期起遵循本投标文件，并在规定的投标有效期期满之前均具有约束力。</w:t>
      </w:r>
    </w:p>
    <w:p w14:paraId="7798FCF4">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6、一旦我方中标，我方将根据招标文件的规定严格履行合同，并保证于承诺的时间完成货物的启动/集成、调试等服务，交付采购人验收、使用。</w:t>
      </w:r>
    </w:p>
    <w:p w14:paraId="61298A16">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7、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02A6FBC">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8、与本投标有关的正式联系方式为：</w:t>
      </w:r>
    </w:p>
    <w:p w14:paraId="6F1D29C6">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地   址：</w:t>
      </w:r>
      <w:r>
        <w:rPr>
          <w:rFonts w:hint="eastAsia" w:ascii="宋体" w:hAnsi="宋体"/>
          <w:color w:val="auto"/>
          <w:kern w:val="0"/>
          <w:szCs w:val="21"/>
          <w:u w:val="single"/>
        </w:rPr>
        <w:t>                      </w:t>
      </w:r>
    </w:p>
    <w:p w14:paraId="040D1C08">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电   话：</w:t>
      </w:r>
      <w:r>
        <w:rPr>
          <w:rFonts w:hint="eastAsia" w:ascii="宋体" w:hAnsi="宋体"/>
          <w:color w:val="auto"/>
          <w:kern w:val="0"/>
          <w:szCs w:val="21"/>
          <w:u w:val="single"/>
        </w:rPr>
        <w:t>                      </w:t>
      </w:r>
    </w:p>
    <w:p w14:paraId="2DA443B0">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传   真：</w:t>
      </w:r>
      <w:r>
        <w:rPr>
          <w:rFonts w:hint="eastAsia" w:ascii="宋体" w:hAnsi="宋体"/>
          <w:color w:val="auto"/>
          <w:kern w:val="0"/>
          <w:szCs w:val="21"/>
          <w:u w:val="single"/>
        </w:rPr>
        <w:t>                      </w:t>
      </w:r>
    </w:p>
    <w:p w14:paraId="4744238B">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开户银行：</w:t>
      </w:r>
    </w:p>
    <w:p w14:paraId="60812CDC">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银行账号：</w:t>
      </w:r>
    </w:p>
    <w:p w14:paraId="114C3DDA">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投标人授权代表姓名（签字）：</w:t>
      </w:r>
      <w:r>
        <w:rPr>
          <w:rFonts w:hint="eastAsia" w:ascii="宋体" w:hAnsi="宋体"/>
          <w:color w:val="auto"/>
          <w:kern w:val="0"/>
          <w:szCs w:val="21"/>
          <w:u w:val="single"/>
        </w:rPr>
        <w:t>        </w:t>
      </w:r>
    </w:p>
    <w:p w14:paraId="5B089194">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投标人名称：</w:t>
      </w:r>
      <w:r>
        <w:rPr>
          <w:rFonts w:hint="eastAsia" w:ascii="宋体" w:hAnsi="宋体"/>
          <w:color w:val="auto"/>
          <w:kern w:val="0"/>
          <w:szCs w:val="21"/>
          <w:u w:val="single"/>
        </w:rPr>
        <w:t>                 </w:t>
      </w:r>
      <w:r>
        <w:rPr>
          <w:rFonts w:hint="eastAsia" w:ascii="宋体" w:hAnsi="宋体"/>
          <w:color w:val="auto"/>
          <w:kern w:val="0"/>
          <w:szCs w:val="21"/>
        </w:rPr>
        <w:t>（盖章）</w:t>
      </w:r>
    </w:p>
    <w:p w14:paraId="6FA73A20">
      <w:pPr>
        <w:widowControl/>
        <w:shd w:val="clear" w:color="auto" w:fill="FFFFFF"/>
        <w:spacing w:line="400" w:lineRule="exact"/>
        <w:ind w:firstLine="420"/>
        <w:rPr>
          <w:rFonts w:ascii="宋体" w:hAnsi="宋体"/>
          <w:color w:val="auto"/>
          <w:kern w:val="0"/>
          <w:szCs w:val="21"/>
        </w:rPr>
      </w:pPr>
      <w:r>
        <w:rPr>
          <w:rFonts w:hint="eastAsia" w:ascii="宋体" w:hAnsi="宋体"/>
          <w:color w:val="auto"/>
          <w:kern w:val="0"/>
          <w:szCs w:val="21"/>
        </w:rPr>
        <w:t>日    期：</w:t>
      </w:r>
      <w:r>
        <w:rPr>
          <w:rFonts w:hint="eastAsia" w:ascii="宋体" w:hAnsi="宋体"/>
          <w:color w:val="auto"/>
          <w:kern w:val="0"/>
          <w:szCs w:val="21"/>
          <w:u w:val="single"/>
        </w:rPr>
        <w:t>     </w:t>
      </w:r>
      <w:r>
        <w:rPr>
          <w:rFonts w:hint="eastAsia" w:ascii="宋体" w:hAnsi="宋体"/>
          <w:color w:val="auto"/>
          <w:kern w:val="0"/>
          <w:szCs w:val="21"/>
        </w:rPr>
        <w:t>年</w:t>
      </w:r>
      <w:r>
        <w:rPr>
          <w:rFonts w:hint="eastAsia" w:ascii="宋体" w:hAnsi="宋体"/>
          <w:color w:val="auto"/>
          <w:kern w:val="0"/>
          <w:szCs w:val="21"/>
          <w:u w:val="single"/>
        </w:rPr>
        <w:t>    </w:t>
      </w:r>
      <w:r>
        <w:rPr>
          <w:rFonts w:hint="eastAsia" w:ascii="宋体" w:hAnsi="宋体"/>
          <w:color w:val="auto"/>
          <w:kern w:val="0"/>
          <w:szCs w:val="21"/>
        </w:rPr>
        <w:t>月</w:t>
      </w:r>
      <w:r>
        <w:rPr>
          <w:rFonts w:hint="eastAsia" w:ascii="宋体" w:hAnsi="宋体"/>
          <w:color w:val="auto"/>
          <w:kern w:val="0"/>
          <w:szCs w:val="21"/>
          <w:u w:val="single"/>
        </w:rPr>
        <w:t>    </w:t>
      </w:r>
      <w:r>
        <w:rPr>
          <w:rFonts w:hint="eastAsia" w:ascii="宋体" w:hAnsi="宋体"/>
          <w:color w:val="auto"/>
          <w:kern w:val="0"/>
          <w:szCs w:val="21"/>
        </w:rPr>
        <w:t>日</w:t>
      </w:r>
    </w:p>
    <w:p w14:paraId="3A4293F3">
      <w:pPr>
        <w:widowControl/>
        <w:shd w:val="clear" w:color="auto" w:fill="FFFFFF"/>
        <w:spacing w:line="360" w:lineRule="auto"/>
        <w:rPr>
          <w:rFonts w:ascii="宋体" w:hAnsi="宋体"/>
          <w:color w:val="auto"/>
          <w:kern w:val="0"/>
          <w:szCs w:val="21"/>
        </w:rPr>
      </w:pPr>
      <w:r>
        <w:rPr>
          <w:rFonts w:ascii="宋体" w:hAnsi="宋体"/>
          <w:b/>
          <w:bCs/>
          <w:color w:val="auto"/>
          <w:kern w:val="0"/>
          <w:szCs w:val="21"/>
        </w:rPr>
        <w:br w:type="page"/>
      </w:r>
      <w:r>
        <w:rPr>
          <w:rFonts w:hint="eastAsia" w:ascii="宋体" w:hAnsi="宋体"/>
          <w:b/>
          <w:bCs/>
          <w:color w:val="auto"/>
          <w:kern w:val="0"/>
          <w:szCs w:val="21"/>
        </w:rPr>
        <w:t>附件二、法定代表人授权委托书格式</w:t>
      </w:r>
    </w:p>
    <w:p w14:paraId="1A5D954A">
      <w:pPr>
        <w:widowControl/>
        <w:shd w:val="clear" w:color="auto" w:fill="FFFFFF"/>
        <w:spacing w:line="360" w:lineRule="auto"/>
        <w:ind w:firstLine="720"/>
        <w:jc w:val="center"/>
        <w:rPr>
          <w:rFonts w:ascii="宋体" w:hAnsi="宋体"/>
          <w:color w:val="auto"/>
          <w:kern w:val="0"/>
          <w:sz w:val="36"/>
          <w:szCs w:val="36"/>
        </w:rPr>
      </w:pPr>
    </w:p>
    <w:p w14:paraId="3CB4BA66">
      <w:pPr>
        <w:widowControl/>
        <w:shd w:val="clear" w:color="auto" w:fill="FFFFFF"/>
        <w:spacing w:line="360" w:lineRule="auto"/>
        <w:ind w:firstLine="720"/>
        <w:jc w:val="center"/>
        <w:rPr>
          <w:rFonts w:ascii="宋体" w:hAnsi="宋体"/>
          <w:b/>
          <w:color w:val="auto"/>
          <w:kern w:val="0"/>
          <w:szCs w:val="21"/>
        </w:rPr>
      </w:pPr>
      <w:r>
        <w:rPr>
          <w:rFonts w:hint="eastAsia" w:ascii="宋体" w:hAnsi="宋体"/>
          <w:b/>
          <w:color w:val="auto"/>
          <w:kern w:val="0"/>
          <w:sz w:val="36"/>
          <w:szCs w:val="36"/>
        </w:rPr>
        <w:t>法定代表人授权委托书</w:t>
      </w:r>
    </w:p>
    <w:p w14:paraId="74B7068B">
      <w:pPr>
        <w:widowControl/>
        <w:shd w:val="clear" w:color="auto" w:fill="FFFFFF"/>
        <w:spacing w:line="360" w:lineRule="auto"/>
        <w:jc w:val="left"/>
        <w:rPr>
          <w:rFonts w:ascii="宋体" w:hAnsi="宋体"/>
          <w:color w:val="auto"/>
          <w:kern w:val="0"/>
          <w:szCs w:val="21"/>
        </w:rPr>
      </w:pPr>
    </w:p>
    <w:p w14:paraId="5AAEF806">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致：江苏省鸿源招标代理股份有限公司</w:t>
      </w:r>
    </w:p>
    <w:p w14:paraId="439EA282">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本授权书声明：注册于</w:t>
      </w:r>
      <w:r>
        <w:rPr>
          <w:rFonts w:hint="eastAsia" w:ascii="宋体" w:hAnsi="宋体"/>
          <w:color w:val="auto"/>
          <w:kern w:val="0"/>
          <w:szCs w:val="21"/>
          <w:u w:val="single"/>
        </w:rPr>
        <w:t>              </w:t>
      </w:r>
      <w:r>
        <w:rPr>
          <w:rFonts w:hint="eastAsia" w:ascii="宋体" w:hAnsi="宋体"/>
          <w:color w:val="auto"/>
          <w:kern w:val="0"/>
          <w:szCs w:val="21"/>
        </w:rPr>
        <w:t>（投标人住址）的</w:t>
      </w:r>
      <w:r>
        <w:rPr>
          <w:rFonts w:hint="eastAsia" w:ascii="宋体" w:hAnsi="宋体"/>
          <w:color w:val="auto"/>
          <w:kern w:val="0"/>
          <w:szCs w:val="21"/>
          <w:u w:val="single"/>
        </w:rPr>
        <w:t>           </w:t>
      </w:r>
      <w:r>
        <w:rPr>
          <w:rFonts w:hint="eastAsia" w:ascii="宋体" w:hAnsi="宋体"/>
          <w:color w:val="auto"/>
          <w:kern w:val="0"/>
          <w:szCs w:val="21"/>
        </w:rPr>
        <w:t>（投标人名称）法定代表人</w:t>
      </w:r>
      <w:r>
        <w:rPr>
          <w:rFonts w:hint="eastAsia" w:ascii="宋体" w:hAnsi="宋体"/>
          <w:color w:val="auto"/>
          <w:kern w:val="0"/>
          <w:szCs w:val="21"/>
          <w:u w:val="single"/>
        </w:rPr>
        <w:t>        </w:t>
      </w:r>
      <w:r>
        <w:rPr>
          <w:rFonts w:hint="eastAsia" w:ascii="宋体" w:hAnsi="宋体"/>
          <w:color w:val="auto"/>
          <w:kern w:val="0"/>
          <w:szCs w:val="21"/>
        </w:rPr>
        <w:t>（法定代表人姓名、职务）代表本公司授权在下面签字的</w:t>
      </w:r>
      <w:r>
        <w:rPr>
          <w:rFonts w:hint="eastAsia" w:ascii="宋体" w:hAnsi="宋体"/>
          <w:color w:val="auto"/>
          <w:kern w:val="0"/>
          <w:szCs w:val="21"/>
          <w:u w:val="single"/>
        </w:rPr>
        <w:t>        </w:t>
      </w:r>
      <w:r>
        <w:rPr>
          <w:rFonts w:hint="eastAsia" w:ascii="宋体" w:hAnsi="宋体"/>
          <w:color w:val="auto"/>
          <w:kern w:val="0"/>
          <w:szCs w:val="21"/>
        </w:rPr>
        <w:t>（投标人代表姓名、职务）为本公司的合法代理人，就贵方组织的</w:t>
      </w:r>
      <w:r>
        <w:rPr>
          <w:rFonts w:hint="eastAsia" w:ascii="宋体" w:hAnsi="宋体"/>
          <w:b/>
          <w:bCs/>
          <w:color w:val="auto"/>
          <w:kern w:val="0"/>
          <w:szCs w:val="21"/>
          <w:u w:val="single"/>
        </w:rPr>
        <w:t>                   </w:t>
      </w:r>
      <w:r>
        <w:rPr>
          <w:rFonts w:hint="eastAsia" w:ascii="宋体" w:hAnsi="宋体"/>
          <w:color w:val="auto"/>
          <w:kern w:val="0"/>
          <w:szCs w:val="21"/>
        </w:rPr>
        <w:t>（项目名称），</w:t>
      </w:r>
      <w:r>
        <w:rPr>
          <w:rFonts w:hint="eastAsia" w:ascii="宋体" w:hAnsi="宋体"/>
          <w:color w:val="auto"/>
          <w:kern w:val="0"/>
          <w:szCs w:val="21"/>
          <w:u w:val="single"/>
        </w:rPr>
        <w:t>        </w:t>
      </w:r>
      <w:r>
        <w:rPr>
          <w:rFonts w:hint="eastAsia" w:ascii="宋体" w:hAnsi="宋体"/>
          <w:color w:val="auto"/>
          <w:kern w:val="0"/>
          <w:szCs w:val="21"/>
        </w:rPr>
        <w:t>（项目编号）投标，以本公司名义处理一切与之有关的事务。</w:t>
      </w:r>
    </w:p>
    <w:p w14:paraId="685B373C">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    本授权书于    年  月  日签字生效，特此声明。</w:t>
      </w:r>
    </w:p>
    <w:p w14:paraId="16B3AB36">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    法定代表人签字：</w:t>
      </w:r>
    </w:p>
    <w:p w14:paraId="1EEC8867">
      <w:pPr>
        <w:widowControl/>
        <w:shd w:val="clear" w:color="auto" w:fill="FFFFFF"/>
        <w:spacing w:line="360" w:lineRule="auto"/>
        <w:ind w:firstLine="825"/>
        <w:jc w:val="left"/>
        <w:rPr>
          <w:rFonts w:ascii="宋体" w:hAnsi="宋体"/>
          <w:color w:val="auto"/>
          <w:kern w:val="0"/>
          <w:szCs w:val="21"/>
        </w:rPr>
      </w:pPr>
      <w:r>
        <w:rPr>
          <w:rFonts w:hint="eastAsia" w:ascii="宋体" w:hAnsi="宋体"/>
          <w:color w:val="auto"/>
          <w:kern w:val="0"/>
          <w:szCs w:val="21"/>
        </w:rPr>
        <w:t>授权委托人签字：                   </w:t>
      </w:r>
    </w:p>
    <w:p w14:paraId="0A0DA3DA">
      <w:pPr>
        <w:widowControl/>
        <w:shd w:val="clear" w:color="auto" w:fill="FFFFFF"/>
        <w:spacing w:line="360" w:lineRule="auto"/>
        <w:ind w:firstLine="840" w:firstLineChars="400"/>
        <w:jc w:val="left"/>
        <w:rPr>
          <w:rFonts w:ascii="宋体" w:hAnsi="宋体"/>
          <w:color w:val="auto"/>
          <w:kern w:val="0"/>
          <w:szCs w:val="21"/>
        </w:rPr>
      </w:pPr>
      <w:r>
        <w:rPr>
          <w:rFonts w:hint="eastAsia" w:ascii="宋体" w:hAnsi="宋体"/>
          <w:color w:val="auto"/>
          <w:kern w:val="0"/>
          <w:szCs w:val="21"/>
        </w:rPr>
        <w:t>日     期：        年    月    日</w:t>
      </w:r>
    </w:p>
    <w:p w14:paraId="4B69A2B1">
      <w:pPr>
        <w:widowControl/>
        <w:shd w:val="clear" w:color="auto" w:fill="FFFFFF"/>
        <w:spacing w:line="360" w:lineRule="auto"/>
        <w:ind w:firstLine="840" w:firstLineChars="400"/>
        <w:jc w:val="left"/>
        <w:rPr>
          <w:rFonts w:ascii="宋体" w:hAnsi="宋体"/>
          <w:color w:val="auto"/>
          <w:kern w:val="0"/>
          <w:szCs w:val="21"/>
        </w:rPr>
      </w:pPr>
    </w:p>
    <w:p w14:paraId="1E0689C2">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委托代理人的身份证的复印件:</w:t>
      </w:r>
    </w:p>
    <w:p w14:paraId="07DCAC9B">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 </w:t>
      </w:r>
    </w:p>
    <w:p w14:paraId="4BA8134A">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 </w:t>
      </w:r>
    </w:p>
    <w:p w14:paraId="1FE760BF">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 </w:t>
      </w:r>
    </w:p>
    <w:p w14:paraId="0BE8CC95">
      <w:pPr>
        <w:autoSpaceDE w:val="0"/>
        <w:autoSpaceDN w:val="0"/>
        <w:adjustRightInd w:val="0"/>
        <w:spacing w:line="360" w:lineRule="auto"/>
        <w:rPr>
          <w:color w:val="auto"/>
          <w:lang w:val="zh-CN"/>
        </w:rPr>
      </w:pPr>
      <w:r>
        <w:rPr>
          <w:rFonts w:ascii="宋体" w:hAnsi="宋体"/>
          <w:b/>
          <w:bCs/>
          <w:color w:val="auto"/>
          <w:kern w:val="0"/>
          <w:szCs w:val="21"/>
        </w:rPr>
        <w:br w:type="page"/>
      </w:r>
      <w:bookmarkStart w:id="25" w:name="_Toc26810"/>
      <w:r>
        <w:rPr>
          <w:rFonts w:hint="eastAsia" w:ascii="宋体" w:hAnsi="宋体"/>
          <w:b/>
          <w:bCs/>
          <w:color w:val="auto"/>
          <w:kern w:val="0"/>
          <w:szCs w:val="21"/>
          <w:lang w:val="zh-CN"/>
        </w:rPr>
        <w:t>附件三、开标一览表</w:t>
      </w:r>
      <w:bookmarkEnd w:id="25"/>
    </w:p>
    <w:p w14:paraId="1ABD4265">
      <w:pPr>
        <w:autoSpaceDE w:val="0"/>
        <w:autoSpaceDN w:val="0"/>
        <w:adjustRightInd w:val="0"/>
        <w:rPr>
          <w:rFonts w:ascii="宋体"/>
          <w:b/>
          <w:bCs/>
          <w:color w:val="auto"/>
          <w:lang w:val="zh-CN"/>
        </w:rPr>
      </w:pPr>
    </w:p>
    <w:p w14:paraId="400D5CDC">
      <w:pPr>
        <w:jc w:val="center"/>
        <w:rPr>
          <w:rFonts w:ascii="宋体"/>
          <w:b/>
          <w:color w:val="auto"/>
          <w:sz w:val="36"/>
          <w:szCs w:val="36"/>
        </w:rPr>
      </w:pPr>
      <w:r>
        <w:rPr>
          <w:rFonts w:hint="eastAsia" w:ascii="宋体" w:hAnsi="宋体" w:cs="宋体"/>
          <w:b/>
          <w:color w:val="auto"/>
          <w:sz w:val="36"/>
          <w:szCs w:val="36"/>
        </w:rPr>
        <w:t>开标一览表</w:t>
      </w:r>
    </w:p>
    <w:p w14:paraId="2FCA2E14">
      <w:pPr>
        <w:pStyle w:val="14"/>
        <w:spacing w:line="440" w:lineRule="exact"/>
        <w:ind w:firstLine="474" w:firstLineChars="225"/>
        <w:rPr>
          <w:rFonts w:ascii="宋体"/>
          <w:color w:val="auto"/>
          <w:sz w:val="21"/>
          <w:szCs w:val="21"/>
        </w:rPr>
      </w:pPr>
      <w:r>
        <w:rPr>
          <w:rFonts w:hint="eastAsia" w:ascii="宋体" w:hAnsi="宋体" w:cs="宋体"/>
          <w:color w:val="auto"/>
          <w:sz w:val="21"/>
          <w:szCs w:val="21"/>
        </w:rPr>
        <w:t>项目名称：                                        项目编号：</w:t>
      </w:r>
    </w:p>
    <w:tbl>
      <w:tblPr>
        <w:tblStyle w:val="44"/>
        <w:tblW w:w="8718"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870"/>
        <w:gridCol w:w="3906"/>
        <w:gridCol w:w="2127"/>
      </w:tblGrid>
      <w:tr w14:paraId="7033B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815" w:type="dxa"/>
            <w:vAlign w:val="center"/>
          </w:tcPr>
          <w:p w14:paraId="4DB6527F">
            <w:pPr>
              <w:pStyle w:val="14"/>
              <w:spacing w:line="440" w:lineRule="exact"/>
              <w:ind w:firstLine="0"/>
              <w:jc w:val="center"/>
              <w:rPr>
                <w:rFonts w:ascii="宋体" w:hAnsi="宋体" w:cs="宋体"/>
                <w:color w:val="auto"/>
                <w:sz w:val="21"/>
                <w:szCs w:val="21"/>
              </w:rPr>
            </w:pPr>
            <w:r>
              <w:rPr>
                <w:rFonts w:hint="eastAsia" w:ascii="宋体" w:hAnsi="宋体" w:cs="宋体"/>
                <w:color w:val="auto"/>
                <w:sz w:val="21"/>
                <w:szCs w:val="21"/>
              </w:rPr>
              <w:t>序号</w:t>
            </w:r>
          </w:p>
        </w:tc>
        <w:tc>
          <w:tcPr>
            <w:tcW w:w="1870" w:type="dxa"/>
            <w:vAlign w:val="center"/>
          </w:tcPr>
          <w:p w14:paraId="7ADB6107">
            <w:pPr>
              <w:pStyle w:val="14"/>
              <w:spacing w:line="440" w:lineRule="exact"/>
              <w:ind w:firstLine="0"/>
              <w:jc w:val="center"/>
              <w:rPr>
                <w:rFonts w:ascii="宋体"/>
                <w:color w:val="auto"/>
                <w:sz w:val="21"/>
                <w:szCs w:val="21"/>
              </w:rPr>
            </w:pPr>
            <w:r>
              <w:rPr>
                <w:rFonts w:hint="eastAsia" w:ascii="宋体" w:hAnsi="宋体" w:cs="宋体"/>
                <w:color w:val="auto"/>
                <w:sz w:val="21"/>
                <w:szCs w:val="21"/>
              </w:rPr>
              <w:t>项目</w:t>
            </w:r>
          </w:p>
        </w:tc>
        <w:tc>
          <w:tcPr>
            <w:tcW w:w="3906" w:type="dxa"/>
            <w:vAlign w:val="center"/>
          </w:tcPr>
          <w:p w14:paraId="083651DF">
            <w:pPr>
              <w:pStyle w:val="14"/>
              <w:spacing w:line="440" w:lineRule="exact"/>
              <w:ind w:firstLine="0"/>
              <w:jc w:val="center"/>
              <w:rPr>
                <w:rFonts w:ascii="宋体"/>
                <w:color w:val="auto"/>
                <w:sz w:val="21"/>
                <w:szCs w:val="21"/>
              </w:rPr>
            </w:pPr>
            <w:r>
              <w:rPr>
                <w:rFonts w:hint="eastAsia" w:ascii="宋体" w:hAnsi="宋体" w:cs="宋体"/>
                <w:color w:val="auto"/>
                <w:sz w:val="21"/>
                <w:szCs w:val="21"/>
              </w:rPr>
              <w:t>内容</w:t>
            </w:r>
          </w:p>
        </w:tc>
        <w:tc>
          <w:tcPr>
            <w:tcW w:w="2127" w:type="dxa"/>
            <w:vAlign w:val="center"/>
          </w:tcPr>
          <w:p w14:paraId="71AE4296">
            <w:pPr>
              <w:pStyle w:val="14"/>
              <w:spacing w:line="440" w:lineRule="exact"/>
              <w:ind w:firstLine="474" w:firstLineChars="225"/>
              <w:jc w:val="center"/>
              <w:rPr>
                <w:rFonts w:ascii="宋体"/>
                <w:color w:val="auto"/>
                <w:sz w:val="21"/>
                <w:szCs w:val="21"/>
              </w:rPr>
            </w:pPr>
            <w:r>
              <w:rPr>
                <w:rFonts w:hint="eastAsia" w:ascii="宋体" w:hAnsi="宋体" w:cs="宋体"/>
                <w:color w:val="auto"/>
                <w:sz w:val="21"/>
                <w:szCs w:val="21"/>
              </w:rPr>
              <w:t>备注</w:t>
            </w:r>
          </w:p>
        </w:tc>
      </w:tr>
      <w:tr w14:paraId="29B5A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8" w:hRule="atLeast"/>
        </w:trPr>
        <w:tc>
          <w:tcPr>
            <w:tcW w:w="815" w:type="dxa"/>
            <w:vAlign w:val="center"/>
          </w:tcPr>
          <w:p w14:paraId="24226D0F">
            <w:pPr>
              <w:pStyle w:val="14"/>
              <w:spacing w:line="440" w:lineRule="exact"/>
              <w:ind w:firstLine="0"/>
              <w:rPr>
                <w:rFonts w:ascii="宋体" w:hAnsi="宋体" w:cs="宋体"/>
                <w:color w:val="auto"/>
                <w:sz w:val="21"/>
                <w:szCs w:val="21"/>
              </w:rPr>
            </w:pPr>
            <w:r>
              <w:rPr>
                <w:rFonts w:hint="eastAsia" w:ascii="宋体" w:hAnsi="宋体" w:cs="宋体"/>
                <w:color w:val="auto"/>
                <w:sz w:val="21"/>
                <w:szCs w:val="21"/>
              </w:rPr>
              <w:t>1</w:t>
            </w:r>
          </w:p>
        </w:tc>
        <w:tc>
          <w:tcPr>
            <w:tcW w:w="1870" w:type="dxa"/>
            <w:vAlign w:val="center"/>
          </w:tcPr>
          <w:p w14:paraId="2B9F1F03">
            <w:pPr>
              <w:pStyle w:val="14"/>
              <w:spacing w:line="440" w:lineRule="exact"/>
              <w:ind w:firstLine="0"/>
              <w:rPr>
                <w:rFonts w:ascii="宋体"/>
                <w:color w:val="auto"/>
                <w:sz w:val="21"/>
                <w:szCs w:val="21"/>
              </w:rPr>
            </w:pPr>
            <w:r>
              <w:rPr>
                <w:rFonts w:hint="eastAsia" w:ascii="宋体" w:hAnsi="宋体" w:cs="宋体"/>
                <w:color w:val="auto"/>
                <w:sz w:val="21"/>
                <w:szCs w:val="21"/>
              </w:rPr>
              <w:t>投标总价</w:t>
            </w:r>
          </w:p>
        </w:tc>
        <w:tc>
          <w:tcPr>
            <w:tcW w:w="3906" w:type="dxa"/>
            <w:vAlign w:val="center"/>
          </w:tcPr>
          <w:p w14:paraId="0FBF6125">
            <w:pPr>
              <w:rPr>
                <w:rFonts w:ascii="宋体" w:hAnsi="宋体" w:cs="Arial"/>
                <w:color w:val="auto"/>
                <w:szCs w:val="21"/>
              </w:rPr>
            </w:pPr>
            <w:r>
              <w:rPr>
                <w:rFonts w:hint="eastAsia" w:ascii="宋体" w:hAnsi="宋体" w:cs="Arial"/>
                <w:color w:val="auto"/>
                <w:szCs w:val="21"/>
              </w:rPr>
              <w:t xml:space="preserve">人民币（大写  </w:t>
            </w:r>
            <w:r>
              <w:rPr>
                <w:rFonts w:hint="eastAsia" w:ascii="宋体" w:hAnsi="宋体" w:cs="Arial"/>
                <w:color w:val="auto"/>
                <w:szCs w:val="21"/>
                <w:u w:val="single"/>
              </w:rPr>
              <w:t xml:space="preserve">         </w:t>
            </w:r>
            <w:r>
              <w:rPr>
                <w:rFonts w:hint="eastAsia" w:ascii="宋体" w:hAnsi="宋体" w:cs="Arial"/>
                <w:color w:val="auto"/>
                <w:szCs w:val="21"/>
              </w:rPr>
              <w:t>元</w:t>
            </w:r>
          </w:p>
          <w:p w14:paraId="4B631C31">
            <w:pPr>
              <w:pStyle w:val="14"/>
              <w:spacing w:line="440" w:lineRule="exact"/>
              <w:ind w:firstLine="630" w:firstLineChars="300"/>
              <w:rPr>
                <w:rFonts w:ascii="宋体"/>
                <w:color w:val="auto"/>
                <w:sz w:val="21"/>
                <w:szCs w:val="21"/>
              </w:rPr>
            </w:pPr>
            <w:r>
              <w:rPr>
                <w:rFonts w:hint="eastAsia" w:ascii="宋体" w:hAnsi="宋体" w:cs="Arial"/>
                <w:b w:val="0"/>
                <w:color w:val="auto"/>
                <w:sz w:val="21"/>
                <w:szCs w:val="21"/>
              </w:rPr>
              <w:t>（小写）：</w:t>
            </w:r>
            <w:r>
              <w:rPr>
                <w:rFonts w:hint="eastAsia" w:ascii="宋体" w:hAnsi="宋体" w:cs="Arial"/>
                <w:b w:val="0"/>
                <w:color w:val="auto"/>
                <w:sz w:val="21"/>
                <w:szCs w:val="21"/>
                <w:u w:val="single"/>
              </w:rPr>
              <w:t xml:space="preserve">        </w:t>
            </w:r>
            <w:r>
              <w:rPr>
                <w:rFonts w:hint="eastAsia" w:ascii="宋体" w:hAnsi="宋体" w:cs="Arial"/>
                <w:b w:val="0"/>
                <w:color w:val="auto"/>
                <w:sz w:val="21"/>
                <w:szCs w:val="21"/>
              </w:rPr>
              <w:t>元</w:t>
            </w:r>
          </w:p>
        </w:tc>
        <w:tc>
          <w:tcPr>
            <w:tcW w:w="2127" w:type="dxa"/>
            <w:vAlign w:val="center"/>
          </w:tcPr>
          <w:p w14:paraId="16940143">
            <w:pPr>
              <w:pStyle w:val="14"/>
              <w:spacing w:line="440" w:lineRule="exact"/>
              <w:ind w:firstLine="0"/>
              <w:rPr>
                <w:rFonts w:ascii="宋体"/>
                <w:color w:val="auto"/>
                <w:sz w:val="21"/>
                <w:szCs w:val="21"/>
              </w:rPr>
            </w:pPr>
            <w:r>
              <w:rPr>
                <w:rFonts w:hint="eastAsia" w:ascii="宋体" w:hAnsi="宋体"/>
                <w:color w:val="auto"/>
                <w:sz w:val="21"/>
                <w:szCs w:val="21"/>
              </w:rPr>
              <w:t>成果达到国家、水利部及省有关法律、法规和技术标准的要求，并满足招标人的要求。</w:t>
            </w:r>
          </w:p>
        </w:tc>
      </w:tr>
      <w:tr w14:paraId="44D62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815" w:type="dxa"/>
            <w:vAlign w:val="center"/>
          </w:tcPr>
          <w:p w14:paraId="45EB3668">
            <w:pPr>
              <w:pStyle w:val="14"/>
              <w:spacing w:line="440" w:lineRule="exact"/>
              <w:ind w:firstLine="0"/>
              <w:rPr>
                <w:rFonts w:ascii="宋体" w:hAnsi="宋体" w:cs="宋体"/>
                <w:color w:val="auto"/>
                <w:sz w:val="21"/>
                <w:szCs w:val="21"/>
              </w:rPr>
            </w:pPr>
            <w:r>
              <w:rPr>
                <w:rFonts w:hint="eastAsia" w:ascii="宋体" w:hAnsi="宋体" w:cs="宋体"/>
                <w:color w:val="auto"/>
                <w:sz w:val="21"/>
                <w:szCs w:val="21"/>
              </w:rPr>
              <w:t>2</w:t>
            </w:r>
          </w:p>
        </w:tc>
        <w:tc>
          <w:tcPr>
            <w:tcW w:w="1870" w:type="dxa"/>
            <w:vAlign w:val="center"/>
          </w:tcPr>
          <w:p w14:paraId="5415A1EA">
            <w:pPr>
              <w:pStyle w:val="14"/>
              <w:spacing w:line="440" w:lineRule="exact"/>
              <w:ind w:firstLine="0"/>
              <w:rPr>
                <w:rFonts w:ascii="宋体"/>
                <w:color w:val="auto"/>
                <w:sz w:val="21"/>
                <w:szCs w:val="21"/>
              </w:rPr>
            </w:pPr>
            <w:r>
              <w:rPr>
                <w:rFonts w:hint="eastAsia" w:ascii="宋体" w:hAnsi="宋体" w:cs="宋体"/>
                <w:color w:val="auto"/>
                <w:sz w:val="21"/>
                <w:szCs w:val="21"/>
              </w:rPr>
              <w:t>服务时间/交付使用时间</w:t>
            </w:r>
          </w:p>
        </w:tc>
        <w:tc>
          <w:tcPr>
            <w:tcW w:w="3906" w:type="dxa"/>
            <w:vAlign w:val="center"/>
          </w:tcPr>
          <w:p w14:paraId="69F36FA9">
            <w:pPr>
              <w:pStyle w:val="14"/>
              <w:tabs>
                <w:tab w:val="left" w:pos="3624"/>
              </w:tabs>
              <w:spacing w:line="440" w:lineRule="exact"/>
              <w:ind w:firstLine="474" w:firstLineChars="225"/>
              <w:rPr>
                <w:rFonts w:ascii="宋体"/>
                <w:color w:val="auto"/>
                <w:sz w:val="21"/>
                <w:szCs w:val="21"/>
                <w:u w:val="single"/>
              </w:rPr>
            </w:pPr>
            <w:r>
              <w:rPr>
                <w:rFonts w:hint="eastAsia" w:ascii="宋体" w:hAnsi="宋体" w:cs="宋体"/>
                <w:color w:val="auto"/>
                <w:sz w:val="21"/>
                <w:szCs w:val="21"/>
                <w:u w:val="single"/>
              </w:rPr>
              <w:t>满足招标文件要求</w:t>
            </w:r>
            <w:r>
              <w:rPr>
                <w:rFonts w:hint="eastAsia" w:ascii="宋体"/>
                <w:color w:val="auto"/>
                <w:sz w:val="21"/>
                <w:szCs w:val="21"/>
                <w:u w:val="single"/>
              </w:rPr>
              <w:t>。（具体时间：        ）</w:t>
            </w:r>
          </w:p>
        </w:tc>
        <w:tc>
          <w:tcPr>
            <w:tcW w:w="2127" w:type="dxa"/>
            <w:vAlign w:val="center"/>
          </w:tcPr>
          <w:p w14:paraId="4303153D">
            <w:pPr>
              <w:pStyle w:val="14"/>
              <w:spacing w:line="440" w:lineRule="exact"/>
              <w:ind w:firstLine="474" w:firstLineChars="225"/>
              <w:rPr>
                <w:rFonts w:ascii="宋体"/>
                <w:color w:val="auto"/>
                <w:sz w:val="21"/>
                <w:szCs w:val="21"/>
              </w:rPr>
            </w:pPr>
          </w:p>
          <w:p w14:paraId="184A45A7">
            <w:pPr>
              <w:pStyle w:val="14"/>
              <w:spacing w:line="440" w:lineRule="exact"/>
              <w:ind w:firstLine="474" w:firstLineChars="225"/>
              <w:rPr>
                <w:rFonts w:ascii="宋体"/>
                <w:color w:val="auto"/>
                <w:sz w:val="21"/>
                <w:szCs w:val="21"/>
              </w:rPr>
            </w:pPr>
          </w:p>
        </w:tc>
      </w:tr>
      <w:tr w14:paraId="53115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815" w:type="dxa"/>
            <w:vAlign w:val="center"/>
          </w:tcPr>
          <w:p w14:paraId="25FE7CFD">
            <w:pPr>
              <w:pStyle w:val="14"/>
              <w:spacing w:line="440" w:lineRule="exact"/>
              <w:ind w:firstLine="0"/>
              <w:rPr>
                <w:rFonts w:ascii="宋体" w:hAnsi="宋体" w:cs="宋体"/>
                <w:color w:val="auto"/>
                <w:sz w:val="21"/>
                <w:szCs w:val="21"/>
              </w:rPr>
            </w:pPr>
            <w:r>
              <w:rPr>
                <w:rFonts w:hint="eastAsia" w:ascii="宋体" w:hAnsi="宋体" w:cs="宋体"/>
                <w:color w:val="auto"/>
                <w:sz w:val="21"/>
                <w:szCs w:val="21"/>
              </w:rPr>
              <w:t>3</w:t>
            </w:r>
          </w:p>
        </w:tc>
        <w:tc>
          <w:tcPr>
            <w:tcW w:w="1870" w:type="dxa"/>
            <w:vAlign w:val="center"/>
          </w:tcPr>
          <w:p w14:paraId="3E6140F7">
            <w:pPr>
              <w:pStyle w:val="14"/>
              <w:spacing w:line="440" w:lineRule="exact"/>
              <w:ind w:firstLine="0"/>
              <w:rPr>
                <w:rFonts w:ascii="宋体"/>
                <w:color w:val="auto"/>
                <w:sz w:val="21"/>
                <w:szCs w:val="21"/>
              </w:rPr>
            </w:pPr>
            <w:r>
              <w:rPr>
                <w:rFonts w:hint="eastAsia" w:ascii="宋体" w:hAnsi="宋体" w:cs="宋体"/>
                <w:color w:val="auto"/>
                <w:sz w:val="21"/>
                <w:szCs w:val="21"/>
              </w:rPr>
              <w:t>投标人是否属于中、小、微型企业</w:t>
            </w:r>
          </w:p>
        </w:tc>
        <w:tc>
          <w:tcPr>
            <w:tcW w:w="3906" w:type="dxa"/>
            <w:vAlign w:val="center"/>
          </w:tcPr>
          <w:p w14:paraId="1EDECBBC">
            <w:pPr>
              <w:pStyle w:val="14"/>
              <w:spacing w:line="440" w:lineRule="exact"/>
              <w:ind w:firstLine="474" w:firstLineChars="225"/>
              <w:rPr>
                <w:rFonts w:ascii="宋体"/>
                <w:color w:val="auto"/>
                <w:sz w:val="21"/>
                <w:szCs w:val="21"/>
              </w:rPr>
            </w:pPr>
            <w:r>
              <w:rPr>
                <w:rFonts w:hint="eastAsia" w:ascii="宋体" w:hAnsi="宋体" w:cs="宋体"/>
                <w:color w:val="auto"/>
                <w:sz w:val="21"/>
                <w:szCs w:val="21"/>
              </w:rPr>
              <w:t>（</w:t>
            </w:r>
            <w:r>
              <w:rPr>
                <w:rFonts w:hint="eastAsia" w:ascii="宋体" w:hAnsi="宋体" w:cs="宋体"/>
                <w:color w:val="auto"/>
                <w:sz w:val="21"/>
                <w:szCs w:val="21"/>
                <w:lang w:val="zh-CN"/>
              </w:rPr>
              <w:t>填写“是”或“否”</w:t>
            </w:r>
            <w:r>
              <w:rPr>
                <w:rFonts w:hint="eastAsia" w:ascii="宋体" w:hAnsi="宋体" w:cs="宋体"/>
                <w:color w:val="auto"/>
                <w:sz w:val="21"/>
                <w:szCs w:val="21"/>
              </w:rPr>
              <w:t>）</w:t>
            </w:r>
          </w:p>
        </w:tc>
        <w:tc>
          <w:tcPr>
            <w:tcW w:w="2127" w:type="dxa"/>
            <w:vAlign w:val="center"/>
          </w:tcPr>
          <w:p w14:paraId="2ABA7564">
            <w:pPr>
              <w:pStyle w:val="14"/>
              <w:spacing w:line="440" w:lineRule="exact"/>
              <w:ind w:firstLine="474" w:firstLineChars="225"/>
              <w:rPr>
                <w:rFonts w:ascii="宋体"/>
                <w:color w:val="auto"/>
                <w:sz w:val="21"/>
                <w:szCs w:val="21"/>
              </w:rPr>
            </w:pPr>
          </w:p>
        </w:tc>
      </w:tr>
      <w:tr w14:paraId="151C5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trPr>
        <w:tc>
          <w:tcPr>
            <w:tcW w:w="815" w:type="dxa"/>
            <w:vAlign w:val="center"/>
          </w:tcPr>
          <w:p w14:paraId="42F59C5F">
            <w:pPr>
              <w:pStyle w:val="14"/>
              <w:spacing w:line="440" w:lineRule="exact"/>
              <w:ind w:firstLine="0"/>
              <w:rPr>
                <w:rFonts w:ascii="宋体" w:hAnsi="宋体" w:cs="宋体"/>
                <w:color w:val="auto"/>
                <w:sz w:val="21"/>
                <w:szCs w:val="21"/>
              </w:rPr>
            </w:pPr>
            <w:r>
              <w:rPr>
                <w:rFonts w:hint="eastAsia" w:ascii="宋体" w:hAnsi="宋体" w:cs="宋体"/>
                <w:color w:val="auto"/>
                <w:sz w:val="21"/>
                <w:szCs w:val="21"/>
              </w:rPr>
              <w:t>4</w:t>
            </w:r>
          </w:p>
        </w:tc>
        <w:tc>
          <w:tcPr>
            <w:tcW w:w="1870" w:type="dxa"/>
            <w:vAlign w:val="center"/>
          </w:tcPr>
          <w:p w14:paraId="30C4EC77">
            <w:pPr>
              <w:pStyle w:val="14"/>
              <w:spacing w:line="440" w:lineRule="exact"/>
              <w:ind w:firstLine="0"/>
              <w:rPr>
                <w:rFonts w:ascii="宋体" w:hAnsi="宋体" w:cs="宋体"/>
                <w:color w:val="auto"/>
                <w:sz w:val="21"/>
                <w:szCs w:val="21"/>
              </w:rPr>
            </w:pPr>
            <w:r>
              <w:rPr>
                <w:rFonts w:hint="eastAsia" w:ascii="宋体" w:hAnsi="宋体" w:cs="宋体"/>
                <w:color w:val="auto"/>
                <w:sz w:val="21"/>
                <w:szCs w:val="21"/>
              </w:rPr>
              <w:t>项目负责人</w:t>
            </w:r>
          </w:p>
        </w:tc>
        <w:tc>
          <w:tcPr>
            <w:tcW w:w="3906" w:type="dxa"/>
            <w:vAlign w:val="center"/>
          </w:tcPr>
          <w:p w14:paraId="7EBBE616">
            <w:pPr>
              <w:pStyle w:val="14"/>
              <w:spacing w:line="440" w:lineRule="exact"/>
              <w:ind w:firstLine="474" w:firstLineChars="225"/>
              <w:rPr>
                <w:rFonts w:ascii="宋体" w:hAnsi="宋体" w:cs="宋体"/>
                <w:color w:val="auto"/>
                <w:sz w:val="21"/>
                <w:szCs w:val="21"/>
              </w:rPr>
            </w:pPr>
          </w:p>
        </w:tc>
        <w:tc>
          <w:tcPr>
            <w:tcW w:w="2127" w:type="dxa"/>
            <w:vAlign w:val="center"/>
          </w:tcPr>
          <w:p w14:paraId="28277109">
            <w:pPr>
              <w:pStyle w:val="14"/>
              <w:spacing w:line="440" w:lineRule="exact"/>
              <w:ind w:firstLine="474" w:firstLineChars="225"/>
              <w:rPr>
                <w:rFonts w:ascii="宋体"/>
                <w:color w:val="auto"/>
                <w:sz w:val="21"/>
                <w:szCs w:val="21"/>
              </w:rPr>
            </w:pPr>
          </w:p>
        </w:tc>
      </w:tr>
    </w:tbl>
    <w:p w14:paraId="7B1AB8DC">
      <w:pPr>
        <w:widowControl/>
        <w:shd w:val="clear" w:color="auto" w:fill="FFFFFF"/>
        <w:spacing w:line="360" w:lineRule="auto"/>
        <w:jc w:val="left"/>
        <w:rPr>
          <w:rFonts w:ascii="宋体"/>
          <w:color w:val="auto"/>
          <w:kern w:val="0"/>
          <w:szCs w:val="21"/>
        </w:rPr>
      </w:pPr>
    </w:p>
    <w:p w14:paraId="11F7859B">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投标单位（盖章）：</w:t>
      </w:r>
      <w:r>
        <w:rPr>
          <w:rFonts w:ascii="宋体"/>
          <w:color w:val="auto"/>
          <w:kern w:val="0"/>
          <w:szCs w:val="21"/>
          <w:u w:val="single"/>
        </w:rPr>
        <w:t>                      </w:t>
      </w:r>
    </w:p>
    <w:p w14:paraId="6814C3B0">
      <w:pPr>
        <w:widowControl/>
        <w:shd w:val="clear" w:color="auto" w:fill="FFFFFF"/>
        <w:spacing w:line="360" w:lineRule="auto"/>
        <w:jc w:val="left"/>
        <w:rPr>
          <w:rFonts w:ascii="宋体"/>
          <w:color w:val="auto"/>
          <w:kern w:val="0"/>
          <w:szCs w:val="21"/>
          <w:u w:val="single"/>
        </w:rPr>
      </w:pPr>
      <w:r>
        <w:rPr>
          <w:rFonts w:hint="eastAsia" w:ascii="宋体" w:hAnsi="宋体" w:cs="宋体"/>
          <w:color w:val="auto"/>
          <w:kern w:val="0"/>
          <w:szCs w:val="21"/>
        </w:rPr>
        <w:t>授权代表（签字）：</w:t>
      </w:r>
      <w:r>
        <w:rPr>
          <w:rFonts w:ascii="宋体"/>
          <w:color w:val="auto"/>
          <w:kern w:val="0"/>
          <w:szCs w:val="21"/>
          <w:u w:val="single"/>
        </w:rPr>
        <w:t>                      </w:t>
      </w:r>
    </w:p>
    <w:p w14:paraId="6074B6E4">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说明：</w:t>
      </w:r>
    </w:p>
    <w:p w14:paraId="3D78A1E7">
      <w:pPr>
        <w:widowControl/>
        <w:numPr>
          <w:ilvl w:val="0"/>
          <w:numId w:val="5"/>
        </w:numPr>
        <w:shd w:val="clear" w:color="auto" w:fill="FFFFFF"/>
        <w:spacing w:line="360" w:lineRule="auto"/>
        <w:ind w:firstLine="422" w:firstLineChars="200"/>
        <w:jc w:val="left"/>
        <w:rPr>
          <w:rFonts w:ascii="宋体"/>
          <w:b/>
          <w:bCs/>
          <w:color w:val="auto"/>
          <w:kern w:val="0"/>
          <w:szCs w:val="21"/>
        </w:rPr>
      </w:pPr>
      <w:r>
        <w:rPr>
          <w:rFonts w:hint="eastAsia" w:ascii="宋体" w:hAnsi="宋体" w:cs="宋体"/>
          <w:b/>
          <w:bCs/>
          <w:color w:val="auto"/>
          <w:kern w:val="0"/>
          <w:szCs w:val="21"/>
        </w:rPr>
        <w:t>本项目仅接受一个价格，不得填报有选择性报价方案。若有优惠条款须注明，但不得影响报价，影响产品整体功能。</w:t>
      </w:r>
    </w:p>
    <w:p w14:paraId="57A7291C">
      <w:pPr>
        <w:widowControl/>
        <w:shd w:val="clear" w:color="auto" w:fill="FFFFFF"/>
        <w:spacing w:line="360" w:lineRule="auto"/>
        <w:ind w:firstLine="420"/>
        <w:jc w:val="left"/>
        <w:rPr>
          <w:rFonts w:ascii="宋体" w:hAnsi="宋体" w:cs="宋体"/>
          <w:b/>
          <w:color w:val="auto"/>
          <w:szCs w:val="21"/>
        </w:rPr>
      </w:pPr>
      <w:r>
        <w:rPr>
          <w:rFonts w:ascii="宋体" w:hAnsi="宋体" w:cs="宋体"/>
          <w:b/>
          <w:bCs/>
          <w:color w:val="auto"/>
          <w:kern w:val="0"/>
          <w:szCs w:val="21"/>
        </w:rPr>
        <w:t>2</w:t>
      </w:r>
      <w:r>
        <w:rPr>
          <w:rFonts w:hint="eastAsia" w:ascii="宋体" w:hAnsi="宋体" w:cs="宋体"/>
          <w:b/>
          <w:bCs/>
          <w:color w:val="auto"/>
          <w:kern w:val="0"/>
          <w:szCs w:val="21"/>
        </w:rPr>
        <w:t>、“投标人是否属于小微型企业</w:t>
      </w:r>
      <w:r>
        <w:rPr>
          <w:rFonts w:hint="eastAsia" w:ascii="宋体" w:hAnsi="宋体" w:cs="宋体"/>
          <w:b/>
          <w:bCs/>
          <w:color w:val="auto"/>
          <w:kern w:val="0"/>
          <w:szCs w:val="21"/>
          <w:lang w:val="zh-CN"/>
        </w:rPr>
        <w:t>”栏内填写“是”或“否”。如填写“是”，</w:t>
      </w:r>
      <w:r>
        <w:rPr>
          <w:rFonts w:hint="eastAsia" w:ascii="宋体" w:hAnsi="宋体" w:cs="宋体"/>
          <w:b/>
          <w:bCs/>
          <w:color w:val="auto"/>
          <w:szCs w:val="21"/>
        </w:rPr>
        <w:t>投标人需提供相应的《中小企业声明函》、《残疾人福利性单位声明函》、《属于监狱企业的证明文件》；如为代理商投标，还需提供投标产品制造商出具的上述文件。</w:t>
      </w:r>
    </w:p>
    <w:p w14:paraId="34D193D0">
      <w:pPr>
        <w:widowControl/>
        <w:shd w:val="clear" w:color="auto" w:fill="FFFFFF"/>
        <w:spacing w:line="360" w:lineRule="auto"/>
        <w:ind w:firstLine="420"/>
        <w:jc w:val="left"/>
        <w:rPr>
          <w:rFonts w:ascii="宋体" w:hAnsi="宋体" w:cs="宋体"/>
          <w:b/>
          <w:bCs/>
          <w:color w:val="auto"/>
          <w:szCs w:val="21"/>
        </w:rPr>
      </w:pPr>
    </w:p>
    <w:p w14:paraId="4053267A">
      <w:pPr>
        <w:widowControl/>
        <w:shd w:val="clear" w:color="auto" w:fill="FFFFFF"/>
        <w:spacing w:line="360" w:lineRule="auto"/>
        <w:jc w:val="left"/>
        <w:rPr>
          <w:rFonts w:ascii="宋体" w:hAnsi="宋体"/>
          <w:b/>
          <w:bCs/>
          <w:color w:val="auto"/>
          <w:kern w:val="0"/>
          <w:szCs w:val="21"/>
          <w:lang w:val="zh-CN"/>
        </w:rPr>
      </w:pPr>
      <w:bookmarkStart w:id="26" w:name="_Toc12264"/>
      <w:r>
        <w:rPr>
          <w:rFonts w:ascii="宋体" w:hAnsi="宋体"/>
          <w:b/>
          <w:bCs/>
          <w:color w:val="auto"/>
          <w:kern w:val="0"/>
          <w:szCs w:val="21"/>
          <w:lang w:val="zh-CN"/>
        </w:rPr>
        <w:br w:type="page"/>
      </w:r>
      <w:r>
        <w:rPr>
          <w:rFonts w:hint="eastAsia" w:ascii="宋体" w:hAnsi="宋体"/>
          <w:b/>
          <w:bCs/>
          <w:color w:val="auto"/>
          <w:kern w:val="0"/>
          <w:szCs w:val="21"/>
          <w:lang w:val="zh-CN"/>
        </w:rPr>
        <w:t>附件四、分项报价表格式</w:t>
      </w:r>
      <w:bookmarkEnd w:id="26"/>
    </w:p>
    <w:p w14:paraId="1DF5D89D">
      <w:pPr>
        <w:pStyle w:val="24"/>
        <w:spacing w:line="400" w:lineRule="exact"/>
        <w:jc w:val="center"/>
        <w:rPr>
          <w:rFonts w:hAnsi="宋体"/>
          <w:b/>
          <w:color w:val="auto"/>
          <w:sz w:val="28"/>
          <w:szCs w:val="28"/>
        </w:rPr>
      </w:pPr>
      <w:r>
        <w:rPr>
          <w:rFonts w:hint="eastAsia" w:hAnsi="宋体"/>
          <w:b/>
          <w:color w:val="auto"/>
          <w:sz w:val="28"/>
          <w:szCs w:val="28"/>
        </w:rPr>
        <w:t>分项报价表</w:t>
      </w:r>
    </w:p>
    <w:p w14:paraId="69DD1D85">
      <w:pPr>
        <w:jc w:val="left"/>
        <w:rPr>
          <w:rFonts w:ascii="宋体" w:hAnsi="宋体"/>
          <w:color w:val="auto"/>
          <w:sz w:val="24"/>
        </w:rPr>
      </w:pPr>
    </w:p>
    <w:p w14:paraId="04087A67">
      <w:pPr>
        <w:rPr>
          <w:rFonts w:ascii="宋体" w:hAnsi="宋体"/>
          <w:color w:val="auto"/>
          <w:szCs w:val="21"/>
        </w:rPr>
      </w:pPr>
      <w:r>
        <w:rPr>
          <w:rFonts w:hint="eastAsia" w:ascii="宋体" w:hAnsi="宋体"/>
          <w:color w:val="auto"/>
          <w:szCs w:val="21"/>
        </w:rPr>
        <w:t>项目名称：</w:t>
      </w:r>
    </w:p>
    <w:p w14:paraId="3AC0EB5B">
      <w:pPr>
        <w:rPr>
          <w:rFonts w:ascii="宋体" w:hAnsi="宋体"/>
          <w:color w:val="auto"/>
          <w:szCs w:val="21"/>
        </w:rPr>
      </w:pPr>
      <w:r>
        <w:rPr>
          <w:rFonts w:hint="eastAsia" w:ascii="宋体" w:hAnsi="宋体"/>
          <w:color w:val="auto"/>
          <w:szCs w:val="21"/>
        </w:rPr>
        <w:t xml:space="preserve">项目编号： </w:t>
      </w:r>
    </w:p>
    <w:p w14:paraId="7AEA2319">
      <w:pPr>
        <w:jc w:val="left"/>
        <w:rPr>
          <w:rFonts w:ascii="宋体" w:hAnsi="宋体"/>
          <w:color w:val="auto"/>
          <w:szCs w:val="21"/>
        </w:rPr>
      </w:pPr>
    </w:p>
    <w:tbl>
      <w:tblPr>
        <w:tblStyle w:val="44"/>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5"/>
        <w:gridCol w:w="2354"/>
        <w:gridCol w:w="1108"/>
        <w:gridCol w:w="1110"/>
        <w:gridCol w:w="1644"/>
        <w:gridCol w:w="1561"/>
      </w:tblGrid>
      <w:tr w14:paraId="6DDA7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0BDB7A34">
            <w:pPr>
              <w:jc w:val="center"/>
              <w:rPr>
                <w:rFonts w:ascii="宋体" w:hAnsi="宋体"/>
                <w:color w:val="auto"/>
                <w:szCs w:val="21"/>
              </w:rPr>
            </w:pPr>
            <w:r>
              <w:rPr>
                <w:rFonts w:hint="eastAsia" w:ascii="宋体" w:hAnsi="宋体"/>
                <w:color w:val="auto"/>
                <w:szCs w:val="21"/>
              </w:rPr>
              <w:t>序号</w:t>
            </w:r>
          </w:p>
        </w:tc>
        <w:tc>
          <w:tcPr>
            <w:tcW w:w="1389" w:type="pct"/>
            <w:tcBorders>
              <w:top w:val="single" w:color="auto" w:sz="4" w:space="0"/>
              <w:left w:val="single" w:color="auto" w:sz="4" w:space="0"/>
              <w:bottom w:val="single" w:color="auto" w:sz="4" w:space="0"/>
              <w:right w:val="single" w:color="auto" w:sz="4" w:space="0"/>
            </w:tcBorders>
            <w:vAlign w:val="center"/>
          </w:tcPr>
          <w:p w14:paraId="64DEA500">
            <w:pPr>
              <w:jc w:val="center"/>
              <w:rPr>
                <w:rFonts w:ascii="宋体" w:hAnsi="宋体"/>
                <w:color w:val="auto"/>
                <w:szCs w:val="21"/>
              </w:rPr>
            </w:pPr>
            <w:r>
              <w:rPr>
                <w:rFonts w:hint="eastAsia" w:ascii="宋体" w:hAnsi="宋体"/>
                <w:color w:val="auto"/>
                <w:szCs w:val="21"/>
              </w:rPr>
              <w:t>分项费用名称</w:t>
            </w:r>
          </w:p>
        </w:tc>
        <w:tc>
          <w:tcPr>
            <w:tcW w:w="654" w:type="pct"/>
            <w:tcBorders>
              <w:top w:val="single" w:color="auto" w:sz="4" w:space="0"/>
              <w:left w:val="single" w:color="auto" w:sz="4" w:space="0"/>
              <w:bottom w:val="single" w:color="auto" w:sz="4" w:space="0"/>
              <w:right w:val="single" w:color="auto" w:sz="4" w:space="0"/>
            </w:tcBorders>
            <w:vAlign w:val="center"/>
          </w:tcPr>
          <w:p w14:paraId="62218596">
            <w:pPr>
              <w:jc w:val="center"/>
              <w:rPr>
                <w:rFonts w:ascii="宋体" w:hAnsi="宋体"/>
                <w:color w:val="auto"/>
                <w:szCs w:val="21"/>
              </w:rPr>
            </w:pPr>
            <w:r>
              <w:rPr>
                <w:rFonts w:hint="eastAsia" w:ascii="宋体" w:hAnsi="宋体"/>
                <w:color w:val="auto"/>
                <w:szCs w:val="21"/>
              </w:rPr>
              <w:t>单位</w:t>
            </w:r>
          </w:p>
        </w:tc>
        <w:tc>
          <w:tcPr>
            <w:tcW w:w="655" w:type="pct"/>
            <w:tcBorders>
              <w:top w:val="single" w:color="auto" w:sz="4" w:space="0"/>
              <w:left w:val="single" w:color="auto" w:sz="4" w:space="0"/>
              <w:bottom w:val="single" w:color="auto" w:sz="4" w:space="0"/>
              <w:right w:val="single" w:color="auto" w:sz="4" w:space="0"/>
            </w:tcBorders>
            <w:vAlign w:val="center"/>
          </w:tcPr>
          <w:p w14:paraId="75ECA95D">
            <w:pPr>
              <w:jc w:val="center"/>
              <w:rPr>
                <w:rFonts w:ascii="宋体" w:hAnsi="宋体"/>
                <w:color w:val="auto"/>
                <w:szCs w:val="21"/>
              </w:rPr>
            </w:pPr>
            <w:r>
              <w:rPr>
                <w:rFonts w:hint="eastAsia" w:ascii="宋体" w:hAnsi="宋体"/>
                <w:color w:val="auto"/>
                <w:szCs w:val="21"/>
              </w:rPr>
              <w:t>数量</w:t>
            </w:r>
          </w:p>
        </w:tc>
        <w:tc>
          <w:tcPr>
            <w:tcW w:w="970" w:type="pct"/>
            <w:tcBorders>
              <w:top w:val="single" w:color="auto" w:sz="4" w:space="0"/>
              <w:left w:val="single" w:color="auto" w:sz="4" w:space="0"/>
              <w:bottom w:val="single" w:color="auto" w:sz="4" w:space="0"/>
              <w:right w:val="single" w:color="auto" w:sz="4" w:space="0"/>
            </w:tcBorders>
            <w:vAlign w:val="center"/>
          </w:tcPr>
          <w:p w14:paraId="1B1F7FFC">
            <w:pPr>
              <w:jc w:val="center"/>
              <w:rPr>
                <w:rFonts w:ascii="宋体" w:hAnsi="宋体"/>
                <w:color w:val="auto"/>
                <w:szCs w:val="21"/>
              </w:rPr>
            </w:pPr>
            <w:r>
              <w:rPr>
                <w:rFonts w:hint="eastAsia" w:ascii="宋体" w:hAnsi="宋体"/>
                <w:color w:val="auto"/>
                <w:szCs w:val="21"/>
              </w:rPr>
              <w:t>单价</w:t>
            </w:r>
          </w:p>
          <w:p w14:paraId="18D497DA">
            <w:pPr>
              <w:jc w:val="center"/>
              <w:rPr>
                <w:rFonts w:ascii="宋体" w:hAnsi="宋体"/>
                <w:color w:val="auto"/>
                <w:szCs w:val="21"/>
              </w:rPr>
            </w:pPr>
            <w:r>
              <w:rPr>
                <w:rFonts w:hint="eastAsia" w:ascii="宋体" w:hAnsi="宋体"/>
                <w:color w:val="auto"/>
                <w:szCs w:val="21"/>
              </w:rPr>
              <w:t>（人民币元）</w:t>
            </w:r>
          </w:p>
        </w:tc>
        <w:tc>
          <w:tcPr>
            <w:tcW w:w="921" w:type="pct"/>
            <w:tcBorders>
              <w:top w:val="single" w:color="auto" w:sz="4" w:space="0"/>
              <w:left w:val="single" w:color="auto" w:sz="4" w:space="0"/>
              <w:bottom w:val="single" w:color="auto" w:sz="4" w:space="0"/>
              <w:right w:val="single" w:color="auto" w:sz="4" w:space="0"/>
            </w:tcBorders>
            <w:vAlign w:val="center"/>
          </w:tcPr>
          <w:p w14:paraId="036311D7">
            <w:pPr>
              <w:jc w:val="center"/>
              <w:rPr>
                <w:rFonts w:ascii="宋体" w:hAnsi="宋体"/>
                <w:color w:val="auto"/>
                <w:szCs w:val="21"/>
              </w:rPr>
            </w:pPr>
            <w:r>
              <w:rPr>
                <w:rFonts w:hint="eastAsia" w:ascii="宋体" w:hAnsi="宋体"/>
                <w:color w:val="auto"/>
                <w:szCs w:val="21"/>
              </w:rPr>
              <w:t>合价</w:t>
            </w:r>
          </w:p>
          <w:p w14:paraId="72A8A5CF">
            <w:pPr>
              <w:jc w:val="center"/>
              <w:rPr>
                <w:rFonts w:ascii="宋体" w:hAnsi="宋体"/>
                <w:color w:val="auto"/>
                <w:szCs w:val="21"/>
              </w:rPr>
            </w:pPr>
            <w:r>
              <w:rPr>
                <w:rFonts w:hint="eastAsia" w:ascii="宋体" w:hAnsi="宋体"/>
                <w:color w:val="auto"/>
                <w:szCs w:val="21"/>
              </w:rPr>
              <w:t>（人民币元）</w:t>
            </w:r>
          </w:p>
        </w:tc>
      </w:tr>
      <w:tr w14:paraId="74B6F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7AC179A3">
            <w:pPr>
              <w:jc w:val="center"/>
              <w:rPr>
                <w:rFonts w:ascii="宋体" w:hAnsi="宋体"/>
                <w:color w:val="auto"/>
                <w:szCs w:val="21"/>
              </w:rPr>
            </w:pPr>
            <w:r>
              <w:rPr>
                <w:rFonts w:hint="eastAsia" w:ascii="宋体" w:hAnsi="宋体"/>
                <w:color w:val="auto"/>
                <w:szCs w:val="21"/>
              </w:rPr>
              <w:t>1</w:t>
            </w:r>
          </w:p>
        </w:tc>
        <w:tc>
          <w:tcPr>
            <w:tcW w:w="1389" w:type="pct"/>
            <w:tcBorders>
              <w:top w:val="single" w:color="auto" w:sz="4" w:space="0"/>
              <w:left w:val="single" w:color="auto" w:sz="4" w:space="0"/>
              <w:bottom w:val="single" w:color="auto" w:sz="4" w:space="0"/>
              <w:right w:val="single" w:color="auto" w:sz="4" w:space="0"/>
            </w:tcBorders>
            <w:vAlign w:val="center"/>
          </w:tcPr>
          <w:p w14:paraId="334D4605">
            <w:pPr>
              <w:snapToGrid w:val="0"/>
              <w:spacing w:line="35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4DB03E90">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28E50574">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3B5CA625">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5D16785B">
            <w:pPr>
              <w:jc w:val="center"/>
              <w:rPr>
                <w:rFonts w:ascii="宋体" w:hAnsi="宋体"/>
                <w:color w:val="auto"/>
                <w:szCs w:val="21"/>
              </w:rPr>
            </w:pPr>
          </w:p>
        </w:tc>
      </w:tr>
      <w:tr w14:paraId="3CFC7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1E3360D7">
            <w:pPr>
              <w:jc w:val="center"/>
              <w:rPr>
                <w:rFonts w:ascii="宋体" w:hAnsi="宋体"/>
                <w:color w:val="auto"/>
                <w:szCs w:val="21"/>
              </w:rPr>
            </w:pPr>
            <w:r>
              <w:rPr>
                <w:rFonts w:hint="eastAsia" w:ascii="宋体" w:hAnsi="宋体"/>
                <w:color w:val="auto"/>
                <w:szCs w:val="21"/>
              </w:rPr>
              <w:t>2</w:t>
            </w:r>
          </w:p>
        </w:tc>
        <w:tc>
          <w:tcPr>
            <w:tcW w:w="1389" w:type="pct"/>
            <w:tcBorders>
              <w:top w:val="single" w:color="auto" w:sz="4" w:space="0"/>
              <w:left w:val="single" w:color="auto" w:sz="4" w:space="0"/>
              <w:bottom w:val="single" w:color="auto" w:sz="4" w:space="0"/>
              <w:right w:val="single" w:color="auto" w:sz="4" w:space="0"/>
            </w:tcBorders>
            <w:vAlign w:val="center"/>
          </w:tcPr>
          <w:p w14:paraId="3EBD141D">
            <w:pPr>
              <w:snapToGrid w:val="0"/>
              <w:spacing w:line="35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3CA59909">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0DB5053A">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7E601101">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76C84D98">
            <w:pPr>
              <w:jc w:val="center"/>
              <w:rPr>
                <w:rFonts w:ascii="宋体" w:hAnsi="宋体"/>
                <w:color w:val="auto"/>
                <w:szCs w:val="21"/>
              </w:rPr>
            </w:pPr>
          </w:p>
        </w:tc>
      </w:tr>
      <w:tr w14:paraId="288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2493A919">
            <w:pPr>
              <w:jc w:val="center"/>
              <w:rPr>
                <w:rFonts w:ascii="宋体" w:hAnsi="宋体"/>
                <w:color w:val="auto"/>
                <w:szCs w:val="21"/>
              </w:rPr>
            </w:pPr>
            <w:r>
              <w:rPr>
                <w:rFonts w:hint="eastAsia" w:ascii="宋体" w:hAnsi="宋体"/>
                <w:color w:val="auto"/>
                <w:szCs w:val="21"/>
              </w:rPr>
              <w:t>3</w:t>
            </w:r>
          </w:p>
        </w:tc>
        <w:tc>
          <w:tcPr>
            <w:tcW w:w="1389" w:type="pct"/>
            <w:tcBorders>
              <w:top w:val="single" w:color="auto" w:sz="4" w:space="0"/>
              <w:left w:val="single" w:color="auto" w:sz="4" w:space="0"/>
              <w:bottom w:val="single" w:color="auto" w:sz="4" w:space="0"/>
              <w:right w:val="single" w:color="auto" w:sz="4" w:space="0"/>
            </w:tcBorders>
            <w:vAlign w:val="center"/>
          </w:tcPr>
          <w:p w14:paraId="1659FFA5">
            <w:pPr>
              <w:widowControl/>
              <w:spacing w:line="36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122EF7A6">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3C208C72">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40FC0342">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201F40C5">
            <w:pPr>
              <w:jc w:val="center"/>
              <w:rPr>
                <w:rFonts w:ascii="宋体" w:hAnsi="宋体"/>
                <w:color w:val="auto"/>
                <w:szCs w:val="21"/>
              </w:rPr>
            </w:pPr>
          </w:p>
        </w:tc>
      </w:tr>
      <w:tr w14:paraId="177CD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38AFE5BD">
            <w:pPr>
              <w:jc w:val="center"/>
              <w:rPr>
                <w:rFonts w:ascii="宋体" w:hAnsi="宋体"/>
                <w:color w:val="auto"/>
                <w:szCs w:val="21"/>
              </w:rPr>
            </w:pPr>
            <w:r>
              <w:rPr>
                <w:rFonts w:hint="eastAsia" w:ascii="宋体" w:hAnsi="宋体"/>
                <w:color w:val="auto"/>
                <w:szCs w:val="21"/>
              </w:rPr>
              <w:t>4</w:t>
            </w:r>
          </w:p>
        </w:tc>
        <w:tc>
          <w:tcPr>
            <w:tcW w:w="1389" w:type="pct"/>
            <w:tcBorders>
              <w:top w:val="single" w:color="auto" w:sz="4" w:space="0"/>
              <w:left w:val="single" w:color="auto" w:sz="4" w:space="0"/>
              <w:bottom w:val="single" w:color="auto" w:sz="4" w:space="0"/>
              <w:right w:val="single" w:color="auto" w:sz="4" w:space="0"/>
            </w:tcBorders>
            <w:vAlign w:val="center"/>
          </w:tcPr>
          <w:p w14:paraId="3112F9B9">
            <w:pPr>
              <w:widowControl/>
              <w:spacing w:line="36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277AAEB0">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60D2468C">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40BE47FE">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0726968C">
            <w:pPr>
              <w:jc w:val="center"/>
              <w:rPr>
                <w:rFonts w:ascii="宋体" w:hAnsi="宋体"/>
                <w:color w:val="auto"/>
                <w:szCs w:val="21"/>
              </w:rPr>
            </w:pPr>
          </w:p>
        </w:tc>
      </w:tr>
      <w:tr w14:paraId="4AE85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56119849">
            <w:pPr>
              <w:jc w:val="center"/>
              <w:rPr>
                <w:rFonts w:ascii="宋体" w:hAnsi="宋体"/>
                <w:color w:val="auto"/>
                <w:szCs w:val="21"/>
              </w:rPr>
            </w:pPr>
            <w:r>
              <w:rPr>
                <w:rFonts w:hint="eastAsia" w:ascii="宋体" w:hAnsi="宋体"/>
                <w:color w:val="auto"/>
                <w:szCs w:val="21"/>
              </w:rPr>
              <w:t>5</w:t>
            </w:r>
          </w:p>
        </w:tc>
        <w:tc>
          <w:tcPr>
            <w:tcW w:w="1389" w:type="pct"/>
            <w:tcBorders>
              <w:top w:val="single" w:color="auto" w:sz="4" w:space="0"/>
              <w:left w:val="single" w:color="auto" w:sz="4" w:space="0"/>
              <w:bottom w:val="single" w:color="auto" w:sz="4" w:space="0"/>
              <w:right w:val="single" w:color="auto" w:sz="4" w:space="0"/>
            </w:tcBorders>
            <w:vAlign w:val="center"/>
          </w:tcPr>
          <w:p w14:paraId="0473613B">
            <w:pPr>
              <w:widowControl/>
              <w:adjustRightInd w:val="0"/>
              <w:spacing w:line="36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1A5F6274">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669120CF">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43E9794A">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14F31C56">
            <w:pPr>
              <w:jc w:val="center"/>
              <w:rPr>
                <w:rFonts w:ascii="宋体" w:hAnsi="宋体"/>
                <w:color w:val="auto"/>
                <w:szCs w:val="21"/>
              </w:rPr>
            </w:pPr>
          </w:p>
        </w:tc>
      </w:tr>
      <w:tr w14:paraId="2512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6E42EB0B">
            <w:pPr>
              <w:jc w:val="center"/>
              <w:rPr>
                <w:rFonts w:ascii="宋体" w:hAnsi="宋体"/>
                <w:color w:val="auto"/>
                <w:szCs w:val="21"/>
              </w:rPr>
            </w:pPr>
            <w:r>
              <w:rPr>
                <w:rFonts w:hint="eastAsia" w:ascii="宋体" w:hAnsi="宋体"/>
                <w:color w:val="auto"/>
                <w:szCs w:val="21"/>
              </w:rPr>
              <w:t>6</w:t>
            </w:r>
          </w:p>
        </w:tc>
        <w:tc>
          <w:tcPr>
            <w:tcW w:w="1389" w:type="pct"/>
            <w:tcBorders>
              <w:top w:val="single" w:color="auto" w:sz="4" w:space="0"/>
              <w:left w:val="single" w:color="auto" w:sz="4" w:space="0"/>
              <w:bottom w:val="single" w:color="auto" w:sz="4" w:space="0"/>
              <w:right w:val="single" w:color="auto" w:sz="4" w:space="0"/>
            </w:tcBorders>
            <w:vAlign w:val="center"/>
          </w:tcPr>
          <w:p w14:paraId="609FAC1F">
            <w:pPr>
              <w:widowControl/>
              <w:adjustRightInd w:val="0"/>
              <w:spacing w:line="360" w:lineRule="exact"/>
              <w:jc w:val="center"/>
              <w:rPr>
                <w:rFonts w:ascii="微软雅黑" w:hAnsi="微软雅黑" w:cs="微软雅黑"/>
                <w:color w:val="auto"/>
                <w:szCs w:val="21"/>
              </w:rPr>
            </w:pPr>
          </w:p>
        </w:tc>
        <w:tc>
          <w:tcPr>
            <w:tcW w:w="654" w:type="pct"/>
            <w:tcBorders>
              <w:top w:val="single" w:color="auto" w:sz="4" w:space="0"/>
              <w:left w:val="single" w:color="auto" w:sz="4" w:space="0"/>
              <w:bottom w:val="single" w:color="auto" w:sz="4" w:space="0"/>
              <w:right w:val="single" w:color="auto" w:sz="4" w:space="0"/>
            </w:tcBorders>
            <w:vAlign w:val="center"/>
          </w:tcPr>
          <w:p w14:paraId="6D0AEFE7">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7A1BE57A">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3F143F65">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0B9FB31E">
            <w:pPr>
              <w:jc w:val="center"/>
              <w:rPr>
                <w:rFonts w:ascii="宋体" w:hAnsi="宋体"/>
                <w:color w:val="auto"/>
                <w:szCs w:val="21"/>
              </w:rPr>
            </w:pPr>
          </w:p>
        </w:tc>
      </w:tr>
      <w:tr w14:paraId="0017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411" w:type="pct"/>
            <w:tcBorders>
              <w:top w:val="single" w:color="auto" w:sz="4" w:space="0"/>
              <w:left w:val="single" w:color="auto" w:sz="4" w:space="0"/>
              <w:bottom w:val="single" w:color="auto" w:sz="4" w:space="0"/>
              <w:right w:val="single" w:color="auto" w:sz="4" w:space="0"/>
            </w:tcBorders>
            <w:vAlign w:val="center"/>
          </w:tcPr>
          <w:p w14:paraId="72887534">
            <w:pPr>
              <w:jc w:val="center"/>
              <w:rPr>
                <w:rFonts w:ascii="宋体" w:hAnsi="宋体"/>
                <w:color w:val="auto"/>
                <w:szCs w:val="21"/>
              </w:rPr>
            </w:pPr>
            <w:r>
              <w:rPr>
                <w:rFonts w:hint="eastAsia" w:ascii="微软雅黑" w:hAnsi="微软雅黑" w:cs="微软雅黑"/>
                <w:color w:val="auto"/>
                <w:szCs w:val="21"/>
              </w:rPr>
              <w:t>……</w:t>
            </w:r>
          </w:p>
        </w:tc>
        <w:tc>
          <w:tcPr>
            <w:tcW w:w="1389" w:type="pct"/>
            <w:tcBorders>
              <w:top w:val="single" w:color="auto" w:sz="4" w:space="0"/>
              <w:left w:val="single" w:color="auto" w:sz="4" w:space="0"/>
              <w:bottom w:val="single" w:color="auto" w:sz="4" w:space="0"/>
              <w:right w:val="single" w:color="auto" w:sz="4" w:space="0"/>
            </w:tcBorders>
            <w:vAlign w:val="center"/>
          </w:tcPr>
          <w:p w14:paraId="116250AC">
            <w:pPr>
              <w:jc w:val="center"/>
              <w:rPr>
                <w:rFonts w:ascii="宋体" w:hAnsi="宋体"/>
                <w:color w:val="auto"/>
                <w:szCs w:val="21"/>
              </w:rPr>
            </w:pPr>
            <w:r>
              <w:rPr>
                <w:rFonts w:hint="eastAsia" w:ascii="微软雅黑" w:hAnsi="微软雅黑" w:cs="微软雅黑"/>
                <w:color w:val="auto"/>
                <w:szCs w:val="21"/>
              </w:rPr>
              <w:t>……</w:t>
            </w:r>
          </w:p>
        </w:tc>
        <w:tc>
          <w:tcPr>
            <w:tcW w:w="654" w:type="pct"/>
            <w:tcBorders>
              <w:top w:val="single" w:color="auto" w:sz="4" w:space="0"/>
              <w:left w:val="single" w:color="auto" w:sz="4" w:space="0"/>
              <w:bottom w:val="single" w:color="auto" w:sz="4" w:space="0"/>
              <w:right w:val="single" w:color="auto" w:sz="4" w:space="0"/>
            </w:tcBorders>
            <w:vAlign w:val="center"/>
          </w:tcPr>
          <w:p w14:paraId="478B4790">
            <w:pPr>
              <w:jc w:val="center"/>
              <w:rPr>
                <w:rFonts w:ascii="宋体" w:hAnsi="宋体"/>
                <w:color w:val="auto"/>
                <w:szCs w:val="21"/>
              </w:rPr>
            </w:pPr>
          </w:p>
        </w:tc>
        <w:tc>
          <w:tcPr>
            <w:tcW w:w="655" w:type="pct"/>
            <w:tcBorders>
              <w:top w:val="single" w:color="auto" w:sz="4" w:space="0"/>
              <w:left w:val="single" w:color="auto" w:sz="4" w:space="0"/>
              <w:bottom w:val="single" w:color="auto" w:sz="4" w:space="0"/>
              <w:right w:val="single" w:color="auto" w:sz="4" w:space="0"/>
            </w:tcBorders>
            <w:vAlign w:val="center"/>
          </w:tcPr>
          <w:p w14:paraId="4E27BCA5">
            <w:pPr>
              <w:jc w:val="center"/>
              <w:rPr>
                <w:rFonts w:ascii="宋体" w:hAnsi="宋体"/>
                <w:color w:val="auto"/>
                <w:szCs w:val="21"/>
              </w:rPr>
            </w:pPr>
          </w:p>
        </w:tc>
        <w:tc>
          <w:tcPr>
            <w:tcW w:w="970" w:type="pct"/>
            <w:tcBorders>
              <w:top w:val="single" w:color="auto" w:sz="4" w:space="0"/>
              <w:left w:val="single" w:color="auto" w:sz="4" w:space="0"/>
              <w:bottom w:val="single" w:color="auto" w:sz="4" w:space="0"/>
              <w:right w:val="single" w:color="auto" w:sz="4" w:space="0"/>
            </w:tcBorders>
            <w:vAlign w:val="center"/>
          </w:tcPr>
          <w:p w14:paraId="71199254">
            <w:pPr>
              <w:jc w:val="center"/>
              <w:rPr>
                <w:rFonts w:ascii="宋体" w:hAnsi="宋体"/>
                <w:color w:val="auto"/>
                <w:szCs w:val="21"/>
              </w:rPr>
            </w:pPr>
          </w:p>
        </w:tc>
        <w:tc>
          <w:tcPr>
            <w:tcW w:w="921" w:type="pct"/>
            <w:tcBorders>
              <w:top w:val="single" w:color="auto" w:sz="4" w:space="0"/>
              <w:left w:val="single" w:color="auto" w:sz="4" w:space="0"/>
              <w:bottom w:val="single" w:color="auto" w:sz="4" w:space="0"/>
              <w:right w:val="single" w:color="auto" w:sz="4" w:space="0"/>
            </w:tcBorders>
            <w:vAlign w:val="center"/>
          </w:tcPr>
          <w:p w14:paraId="1438BF34">
            <w:pPr>
              <w:jc w:val="center"/>
              <w:rPr>
                <w:rFonts w:ascii="宋体" w:hAnsi="宋体"/>
                <w:color w:val="auto"/>
                <w:szCs w:val="21"/>
              </w:rPr>
            </w:pPr>
          </w:p>
        </w:tc>
      </w:tr>
      <w:tr w14:paraId="092E2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1" w:hRule="atLeast"/>
        </w:trPr>
        <w:tc>
          <w:tcPr>
            <w:tcW w:w="1799" w:type="pct"/>
            <w:gridSpan w:val="2"/>
            <w:tcBorders>
              <w:top w:val="single" w:color="auto" w:sz="4" w:space="0"/>
              <w:left w:val="single" w:color="auto" w:sz="4" w:space="0"/>
              <w:bottom w:val="single" w:color="auto" w:sz="4" w:space="0"/>
              <w:right w:val="single" w:color="auto" w:sz="4" w:space="0"/>
            </w:tcBorders>
            <w:vAlign w:val="center"/>
          </w:tcPr>
          <w:p w14:paraId="72C92295">
            <w:pPr>
              <w:jc w:val="center"/>
              <w:rPr>
                <w:rFonts w:ascii="宋体" w:hAnsi="宋体"/>
                <w:color w:val="auto"/>
                <w:szCs w:val="21"/>
              </w:rPr>
            </w:pPr>
            <w:r>
              <w:rPr>
                <w:rFonts w:hint="eastAsia" w:ascii="宋体" w:hAnsi="宋体"/>
                <w:color w:val="auto"/>
                <w:szCs w:val="21"/>
              </w:rPr>
              <w:t>合计</w:t>
            </w:r>
          </w:p>
        </w:tc>
        <w:tc>
          <w:tcPr>
            <w:tcW w:w="654" w:type="pct"/>
            <w:tcBorders>
              <w:top w:val="single" w:color="auto" w:sz="4" w:space="0"/>
              <w:left w:val="single" w:color="auto" w:sz="4" w:space="0"/>
              <w:bottom w:val="single" w:color="auto" w:sz="4" w:space="0"/>
              <w:right w:val="single" w:color="auto" w:sz="4" w:space="0"/>
            </w:tcBorders>
            <w:vAlign w:val="center"/>
          </w:tcPr>
          <w:p w14:paraId="6D873E0E">
            <w:pPr>
              <w:jc w:val="center"/>
              <w:rPr>
                <w:rFonts w:ascii="宋体" w:hAnsi="宋体"/>
                <w:color w:val="auto"/>
                <w:szCs w:val="21"/>
              </w:rPr>
            </w:pPr>
          </w:p>
        </w:tc>
        <w:tc>
          <w:tcPr>
            <w:tcW w:w="2547" w:type="pct"/>
            <w:gridSpan w:val="3"/>
            <w:tcBorders>
              <w:top w:val="single" w:color="auto" w:sz="4" w:space="0"/>
              <w:left w:val="single" w:color="auto" w:sz="4" w:space="0"/>
              <w:bottom w:val="single" w:color="auto" w:sz="4" w:space="0"/>
              <w:right w:val="single" w:color="auto" w:sz="4" w:space="0"/>
            </w:tcBorders>
            <w:vAlign w:val="center"/>
          </w:tcPr>
          <w:p w14:paraId="648CA4E3">
            <w:pPr>
              <w:jc w:val="center"/>
              <w:rPr>
                <w:rFonts w:ascii="宋体" w:hAnsi="宋体"/>
                <w:color w:val="auto"/>
                <w:szCs w:val="21"/>
              </w:rPr>
            </w:pPr>
          </w:p>
        </w:tc>
      </w:tr>
    </w:tbl>
    <w:p w14:paraId="503974C9">
      <w:pPr>
        <w:jc w:val="left"/>
        <w:rPr>
          <w:rFonts w:ascii="宋体" w:hAnsi="宋体"/>
          <w:color w:val="auto"/>
          <w:szCs w:val="21"/>
        </w:rPr>
      </w:pPr>
      <w:r>
        <w:rPr>
          <w:rFonts w:hint="eastAsia" w:ascii="宋体" w:hAnsi="宋体"/>
          <w:color w:val="auto"/>
          <w:szCs w:val="21"/>
        </w:rPr>
        <w:t>注：（1）此表为表样，行数可自行添加，但表式不变。</w:t>
      </w:r>
    </w:p>
    <w:p w14:paraId="7B242624">
      <w:pPr>
        <w:jc w:val="left"/>
        <w:rPr>
          <w:rFonts w:ascii="宋体" w:hAnsi="宋体"/>
          <w:color w:val="auto"/>
          <w:szCs w:val="21"/>
        </w:rPr>
      </w:pPr>
      <w:r>
        <w:rPr>
          <w:rFonts w:hint="eastAsia" w:ascii="宋体" w:hAnsi="宋体"/>
          <w:color w:val="auto"/>
          <w:szCs w:val="21"/>
        </w:rPr>
        <w:t>（2）相关所有费用由投标人自行计算填列。</w:t>
      </w:r>
    </w:p>
    <w:p w14:paraId="7DFE1DAE">
      <w:pPr>
        <w:jc w:val="left"/>
        <w:rPr>
          <w:rFonts w:ascii="宋体" w:hAnsi="宋体"/>
          <w:color w:val="auto"/>
          <w:szCs w:val="21"/>
        </w:rPr>
      </w:pPr>
      <w:r>
        <w:rPr>
          <w:rFonts w:hint="eastAsia" w:ascii="宋体" w:hAnsi="宋体"/>
          <w:color w:val="auto"/>
          <w:szCs w:val="21"/>
        </w:rPr>
        <w:t>（3）合价=单价*数量，数量由投标人自行计算并填列。</w:t>
      </w:r>
    </w:p>
    <w:p w14:paraId="6522A2DA">
      <w:pPr>
        <w:jc w:val="left"/>
        <w:rPr>
          <w:rFonts w:ascii="宋体" w:hAnsi="宋体"/>
          <w:color w:val="auto"/>
          <w:szCs w:val="21"/>
        </w:rPr>
      </w:pPr>
      <w:r>
        <w:rPr>
          <w:rFonts w:hint="eastAsia" w:ascii="宋体" w:hAnsi="宋体"/>
          <w:color w:val="auto"/>
          <w:szCs w:val="21"/>
        </w:rPr>
        <w:t>（4）上表中的合计金额应与“开标一览表”中投标报价金额相同。</w:t>
      </w:r>
    </w:p>
    <w:p w14:paraId="79BC2C72">
      <w:pPr>
        <w:jc w:val="left"/>
        <w:rPr>
          <w:rFonts w:ascii="宋体" w:hAnsi="宋体"/>
          <w:b/>
          <w:color w:val="auto"/>
          <w:szCs w:val="21"/>
        </w:rPr>
      </w:pPr>
    </w:p>
    <w:p w14:paraId="15B6F753">
      <w:pPr>
        <w:spacing w:line="360" w:lineRule="auto"/>
        <w:jc w:val="left"/>
        <w:rPr>
          <w:rFonts w:ascii="宋体" w:hAnsi="宋体"/>
          <w:color w:val="auto"/>
          <w:szCs w:val="21"/>
        </w:rPr>
      </w:pPr>
      <w:r>
        <w:rPr>
          <w:rFonts w:hint="eastAsia" w:ascii="宋体" w:hAnsi="宋体"/>
          <w:color w:val="auto"/>
          <w:szCs w:val="21"/>
        </w:rPr>
        <w:t>投标人名称：（盖章）</w:t>
      </w:r>
    </w:p>
    <w:p w14:paraId="7CB890A1">
      <w:pPr>
        <w:spacing w:line="360" w:lineRule="auto"/>
        <w:jc w:val="left"/>
        <w:rPr>
          <w:rFonts w:ascii="宋体" w:hAnsi="宋体"/>
          <w:color w:val="auto"/>
          <w:szCs w:val="21"/>
        </w:rPr>
      </w:pPr>
      <w:r>
        <w:rPr>
          <w:rFonts w:hint="eastAsia" w:ascii="宋体" w:hAnsi="宋体"/>
          <w:color w:val="auto"/>
          <w:szCs w:val="21"/>
        </w:rPr>
        <w:t>法定代表人或授权代表签字：</w:t>
      </w:r>
    </w:p>
    <w:p w14:paraId="42E9D02F">
      <w:pPr>
        <w:spacing w:line="360" w:lineRule="auto"/>
        <w:jc w:val="left"/>
        <w:rPr>
          <w:rFonts w:ascii="宋体" w:hAnsi="宋体"/>
          <w:color w:val="auto"/>
          <w:szCs w:val="21"/>
        </w:rPr>
      </w:pPr>
      <w:r>
        <w:rPr>
          <w:rFonts w:hint="eastAsia" w:ascii="宋体" w:hAnsi="宋体"/>
          <w:color w:val="auto"/>
          <w:szCs w:val="21"/>
        </w:rPr>
        <w:t>日期：</w:t>
      </w:r>
    </w:p>
    <w:p w14:paraId="2EEB5702">
      <w:pPr>
        <w:jc w:val="right"/>
        <w:rPr>
          <w:color w:val="auto"/>
          <w:szCs w:val="21"/>
          <w:u w:val="single"/>
        </w:rPr>
      </w:pPr>
    </w:p>
    <w:p w14:paraId="7139D4ED">
      <w:pPr>
        <w:jc w:val="right"/>
        <w:rPr>
          <w:color w:val="auto"/>
          <w:szCs w:val="21"/>
          <w:u w:val="single"/>
        </w:rPr>
      </w:pPr>
    </w:p>
    <w:p w14:paraId="3D117A2D">
      <w:pPr>
        <w:jc w:val="right"/>
        <w:rPr>
          <w:color w:val="auto"/>
          <w:szCs w:val="21"/>
          <w:u w:val="single"/>
        </w:rPr>
      </w:pPr>
    </w:p>
    <w:p w14:paraId="084874F0">
      <w:pPr>
        <w:jc w:val="right"/>
        <w:rPr>
          <w:color w:val="auto"/>
          <w:szCs w:val="21"/>
          <w:u w:val="single"/>
        </w:rPr>
      </w:pPr>
    </w:p>
    <w:p w14:paraId="19EB664B">
      <w:pPr>
        <w:jc w:val="right"/>
        <w:rPr>
          <w:color w:val="auto"/>
          <w:szCs w:val="21"/>
          <w:u w:val="single"/>
        </w:rPr>
      </w:pPr>
    </w:p>
    <w:p w14:paraId="12CA336E">
      <w:pPr>
        <w:jc w:val="right"/>
        <w:rPr>
          <w:color w:val="auto"/>
          <w:szCs w:val="21"/>
          <w:u w:val="single"/>
        </w:rPr>
      </w:pPr>
    </w:p>
    <w:p w14:paraId="0135A70F">
      <w:pPr>
        <w:jc w:val="right"/>
        <w:rPr>
          <w:color w:val="auto"/>
          <w:szCs w:val="21"/>
          <w:u w:val="single"/>
        </w:rPr>
      </w:pPr>
    </w:p>
    <w:p w14:paraId="38ED726A">
      <w:pPr>
        <w:jc w:val="right"/>
        <w:rPr>
          <w:color w:val="auto"/>
          <w:szCs w:val="21"/>
          <w:u w:val="single"/>
        </w:rPr>
      </w:pPr>
    </w:p>
    <w:p w14:paraId="2065E050">
      <w:pPr>
        <w:jc w:val="right"/>
        <w:rPr>
          <w:color w:val="auto"/>
          <w:szCs w:val="21"/>
          <w:u w:val="single"/>
        </w:rPr>
      </w:pPr>
    </w:p>
    <w:p w14:paraId="36F20159">
      <w:pPr>
        <w:jc w:val="right"/>
        <w:rPr>
          <w:color w:val="auto"/>
          <w:szCs w:val="21"/>
          <w:u w:val="single"/>
        </w:rPr>
      </w:pPr>
    </w:p>
    <w:p w14:paraId="380D4B4A">
      <w:pPr>
        <w:jc w:val="right"/>
        <w:rPr>
          <w:color w:val="auto"/>
          <w:szCs w:val="21"/>
          <w:u w:val="single"/>
        </w:rPr>
      </w:pPr>
    </w:p>
    <w:p w14:paraId="1D6A208B">
      <w:pPr>
        <w:jc w:val="right"/>
        <w:rPr>
          <w:color w:val="auto"/>
          <w:szCs w:val="21"/>
          <w:u w:val="single"/>
        </w:rPr>
      </w:pPr>
    </w:p>
    <w:p w14:paraId="06592643">
      <w:pPr>
        <w:widowControl/>
        <w:jc w:val="left"/>
        <w:rPr>
          <w:rFonts w:ascii="宋体" w:hAnsi="宋体"/>
          <w:color w:val="auto"/>
          <w:kern w:val="0"/>
          <w:szCs w:val="21"/>
        </w:rPr>
      </w:pPr>
      <w:r>
        <w:rPr>
          <w:rFonts w:ascii="宋体" w:hAnsi="宋体"/>
          <w:color w:val="auto"/>
          <w:kern w:val="0"/>
          <w:szCs w:val="21"/>
        </w:rPr>
        <w:br w:type="page"/>
      </w:r>
      <w:r>
        <w:rPr>
          <w:rFonts w:hint="eastAsia" w:ascii="宋体" w:hAnsi="宋体"/>
          <w:color w:val="auto"/>
          <w:kern w:val="0"/>
          <w:szCs w:val="21"/>
        </w:rPr>
        <w:t> </w:t>
      </w:r>
      <w:r>
        <w:rPr>
          <w:rFonts w:hint="eastAsia" w:ascii="宋体" w:hAnsi="宋体"/>
          <w:b/>
          <w:bCs/>
          <w:color w:val="auto"/>
          <w:kern w:val="0"/>
          <w:szCs w:val="21"/>
        </w:rPr>
        <w:t>附件五、技术规格偏离表格式</w:t>
      </w:r>
    </w:p>
    <w:p w14:paraId="3384FFAA">
      <w:pPr>
        <w:widowControl/>
        <w:shd w:val="clear" w:color="auto" w:fill="FFFFFF"/>
        <w:spacing w:line="360" w:lineRule="auto"/>
        <w:ind w:left="435"/>
        <w:jc w:val="left"/>
        <w:rPr>
          <w:rFonts w:ascii="宋体" w:hAnsi="宋体"/>
          <w:color w:val="auto"/>
          <w:kern w:val="0"/>
          <w:szCs w:val="21"/>
        </w:rPr>
      </w:pPr>
      <w:r>
        <w:rPr>
          <w:rFonts w:hint="eastAsia" w:ascii="宋体" w:hAnsi="宋体"/>
          <w:color w:val="auto"/>
          <w:kern w:val="0"/>
          <w:sz w:val="24"/>
        </w:rPr>
        <w:t> </w:t>
      </w:r>
    </w:p>
    <w:p w14:paraId="22D7B26E">
      <w:pPr>
        <w:widowControl/>
        <w:shd w:val="clear" w:color="auto" w:fill="FFFFFF"/>
        <w:spacing w:line="360" w:lineRule="auto"/>
        <w:ind w:left="420"/>
        <w:jc w:val="center"/>
        <w:rPr>
          <w:rFonts w:ascii="宋体" w:hAnsi="宋体"/>
          <w:b/>
          <w:color w:val="auto"/>
          <w:kern w:val="0"/>
          <w:szCs w:val="21"/>
        </w:rPr>
      </w:pPr>
      <w:r>
        <w:rPr>
          <w:rFonts w:hint="eastAsia" w:ascii="宋体" w:hAnsi="宋体"/>
          <w:b/>
          <w:color w:val="auto"/>
          <w:kern w:val="0"/>
          <w:sz w:val="36"/>
          <w:szCs w:val="36"/>
        </w:rPr>
        <w:t>技术条款偏离表</w:t>
      </w:r>
    </w:p>
    <w:p w14:paraId="3F3A6FEF">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                       </w:t>
      </w:r>
    </w:p>
    <w:p w14:paraId="1A602259">
      <w:pPr>
        <w:widowControl/>
        <w:tabs>
          <w:tab w:val="left" w:pos="5397"/>
        </w:tabs>
        <w:spacing w:line="360" w:lineRule="auto"/>
        <w:ind w:firstLine="84" w:firstLineChars="40"/>
        <w:jc w:val="left"/>
        <w:rPr>
          <w:rFonts w:ascii="宋体" w:hAnsi="宋体"/>
          <w:color w:val="auto"/>
          <w:kern w:val="0"/>
          <w:szCs w:val="21"/>
        </w:rPr>
      </w:pPr>
      <w:r>
        <w:rPr>
          <w:rFonts w:hint="eastAsia" w:ascii="宋体" w:hAnsi="宋体"/>
          <w:color w:val="auto"/>
          <w:kern w:val="0"/>
          <w:szCs w:val="21"/>
        </w:rPr>
        <w:t>项目名称：</w:t>
      </w:r>
      <w:r>
        <w:rPr>
          <w:rFonts w:ascii="宋体" w:hAnsi="宋体"/>
          <w:color w:val="auto"/>
          <w:kern w:val="0"/>
          <w:szCs w:val="21"/>
        </w:rPr>
        <w:tab/>
      </w:r>
      <w:r>
        <w:rPr>
          <w:rFonts w:hint="eastAsia" w:ascii="宋体" w:hAnsi="宋体"/>
          <w:color w:val="auto"/>
          <w:kern w:val="0"/>
          <w:szCs w:val="21"/>
        </w:rPr>
        <w:t>项目编号：  </w:t>
      </w:r>
    </w:p>
    <w:tbl>
      <w:tblPr>
        <w:tblStyle w:val="44"/>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2"/>
        <w:gridCol w:w="1678"/>
        <w:gridCol w:w="1931"/>
        <w:gridCol w:w="3012"/>
        <w:gridCol w:w="1246"/>
      </w:tblGrid>
      <w:tr w14:paraId="7CE56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7C8001F">
            <w:pPr>
              <w:widowControl/>
              <w:spacing w:line="360" w:lineRule="auto"/>
              <w:jc w:val="center"/>
              <w:rPr>
                <w:rFonts w:ascii="宋体" w:hAnsi="宋体"/>
                <w:b/>
                <w:color w:val="auto"/>
                <w:kern w:val="0"/>
                <w:szCs w:val="21"/>
              </w:rPr>
            </w:pPr>
            <w:r>
              <w:rPr>
                <w:rFonts w:hint="eastAsia" w:ascii="宋体" w:hAnsi="宋体"/>
                <w:b/>
                <w:color w:val="auto"/>
                <w:kern w:val="0"/>
                <w:szCs w:val="21"/>
              </w:rPr>
              <w:t>序号</w:t>
            </w:r>
          </w:p>
        </w:tc>
        <w:tc>
          <w:tcPr>
            <w:tcW w:w="1678" w:type="dxa"/>
            <w:tcMar>
              <w:top w:w="0" w:type="dxa"/>
              <w:left w:w="10" w:type="dxa"/>
              <w:bottom w:w="0" w:type="dxa"/>
              <w:right w:w="10" w:type="dxa"/>
            </w:tcMar>
            <w:vAlign w:val="center"/>
          </w:tcPr>
          <w:p w14:paraId="1C0901CC">
            <w:pPr>
              <w:widowControl/>
              <w:spacing w:line="360" w:lineRule="auto"/>
              <w:jc w:val="center"/>
              <w:rPr>
                <w:rFonts w:ascii="宋体" w:hAnsi="宋体"/>
                <w:b/>
                <w:color w:val="auto"/>
                <w:kern w:val="0"/>
                <w:szCs w:val="21"/>
              </w:rPr>
            </w:pPr>
            <w:r>
              <w:rPr>
                <w:rFonts w:hint="eastAsia" w:ascii="宋体" w:hAnsi="宋体"/>
                <w:b/>
                <w:color w:val="auto"/>
                <w:kern w:val="0"/>
                <w:szCs w:val="21"/>
              </w:rPr>
              <w:t>招标文件条目号</w:t>
            </w:r>
          </w:p>
        </w:tc>
        <w:tc>
          <w:tcPr>
            <w:tcW w:w="1931" w:type="dxa"/>
            <w:tcMar>
              <w:top w:w="0" w:type="dxa"/>
              <w:left w:w="10" w:type="dxa"/>
              <w:bottom w:w="0" w:type="dxa"/>
              <w:right w:w="10" w:type="dxa"/>
            </w:tcMar>
            <w:vAlign w:val="center"/>
          </w:tcPr>
          <w:p w14:paraId="59D9FD1C">
            <w:pPr>
              <w:widowControl/>
              <w:spacing w:line="360" w:lineRule="auto"/>
              <w:jc w:val="center"/>
              <w:rPr>
                <w:rFonts w:ascii="宋体" w:hAnsi="宋体"/>
                <w:b/>
                <w:color w:val="auto"/>
                <w:kern w:val="0"/>
                <w:szCs w:val="21"/>
              </w:rPr>
            </w:pPr>
            <w:r>
              <w:rPr>
                <w:rFonts w:hint="eastAsia" w:ascii="宋体" w:hAnsi="宋体"/>
                <w:b/>
                <w:color w:val="auto"/>
                <w:kern w:val="0"/>
                <w:szCs w:val="21"/>
              </w:rPr>
              <w:t>招标要求规格</w:t>
            </w:r>
          </w:p>
        </w:tc>
        <w:tc>
          <w:tcPr>
            <w:tcW w:w="3012" w:type="dxa"/>
            <w:tcMar>
              <w:top w:w="0" w:type="dxa"/>
              <w:left w:w="10" w:type="dxa"/>
              <w:bottom w:w="0" w:type="dxa"/>
              <w:right w:w="10" w:type="dxa"/>
            </w:tcMar>
            <w:vAlign w:val="center"/>
          </w:tcPr>
          <w:p w14:paraId="71B34CFC">
            <w:pPr>
              <w:widowControl/>
              <w:spacing w:line="360" w:lineRule="auto"/>
              <w:jc w:val="center"/>
              <w:rPr>
                <w:rFonts w:ascii="宋体" w:hAnsi="宋体"/>
                <w:b/>
                <w:color w:val="auto"/>
                <w:kern w:val="0"/>
                <w:szCs w:val="21"/>
              </w:rPr>
            </w:pPr>
            <w:r>
              <w:rPr>
                <w:rFonts w:hint="eastAsia" w:ascii="宋体" w:hAnsi="宋体"/>
                <w:b/>
                <w:color w:val="auto"/>
                <w:kern w:val="0"/>
                <w:szCs w:val="21"/>
              </w:rPr>
              <w:t>投标响应</w:t>
            </w:r>
          </w:p>
        </w:tc>
        <w:tc>
          <w:tcPr>
            <w:tcW w:w="1246" w:type="dxa"/>
            <w:tcMar>
              <w:top w:w="0" w:type="dxa"/>
              <w:left w:w="10" w:type="dxa"/>
              <w:bottom w:w="0" w:type="dxa"/>
              <w:right w:w="10" w:type="dxa"/>
            </w:tcMar>
            <w:vAlign w:val="center"/>
          </w:tcPr>
          <w:p w14:paraId="5DE730A8">
            <w:pPr>
              <w:widowControl/>
              <w:spacing w:line="360" w:lineRule="auto"/>
              <w:jc w:val="center"/>
              <w:rPr>
                <w:rFonts w:ascii="宋体" w:hAnsi="宋体"/>
                <w:b/>
                <w:color w:val="auto"/>
                <w:kern w:val="0"/>
                <w:szCs w:val="21"/>
              </w:rPr>
            </w:pPr>
            <w:r>
              <w:rPr>
                <w:rFonts w:hint="eastAsia" w:ascii="宋体" w:hAnsi="宋体"/>
                <w:b/>
                <w:color w:val="auto"/>
                <w:kern w:val="0"/>
                <w:szCs w:val="21"/>
              </w:rPr>
              <w:t>偏离</w:t>
            </w:r>
          </w:p>
        </w:tc>
      </w:tr>
      <w:tr w14:paraId="5DE1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270A9D52">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8" w:type="dxa"/>
            <w:tcMar>
              <w:top w:w="0" w:type="dxa"/>
              <w:left w:w="10" w:type="dxa"/>
              <w:bottom w:w="0" w:type="dxa"/>
              <w:right w:w="10" w:type="dxa"/>
            </w:tcMar>
            <w:vAlign w:val="center"/>
          </w:tcPr>
          <w:p w14:paraId="30343481">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931" w:type="dxa"/>
            <w:tcMar>
              <w:top w:w="0" w:type="dxa"/>
              <w:left w:w="10" w:type="dxa"/>
              <w:bottom w:w="0" w:type="dxa"/>
              <w:right w:w="10" w:type="dxa"/>
            </w:tcMar>
            <w:vAlign w:val="center"/>
          </w:tcPr>
          <w:p w14:paraId="23A43E2D">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12" w:type="dxa"/>
            <w:tcMar>
              <w:top w:w="0" w:type="dxa"/>
              <w:left w:w="10" w:type="dxa"/>
              <w:bottom w:w="0" w:type="dxa"/>
              <w:right w:w="10" w:type="dxa"/>
            </w:tcMar>
            <w:vAlign w:val="center"/>
          </w:tcPr>
          <w:p w14:paraId="6EB667A1">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46" w:type="dxa"/>
            <w:tcMar>
              <w:top w:w="0" w:type="dxa"/>
              <w:left w:w="10" w:type="dxa"/>
              <w:bottom w:w="0" w:type="dxa"/>
              <w:right w:w="10" w:type="dxa"/>
            </w:tcMar>
            <w:vAlign w:val="center"/>
          </w:tcPr>
          <w:p w14:paraId="013A0E05">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7931F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5A266BC7">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8" w:type="dxa"/>
            <w:tcMar>
              <w:top w:w="0" w:type="dxa"/>
              <w:left w:w="10" w:type="dxa"/>
              <w:bottom w:w="0" w:type="dxa"/>
              <w:right w:w="10" w:type="dxa"/>
            </w:tcMar>
            <w:vAlign w:val="center"/>
          </w:tcPr>
          <w:p w14:paraId="2CF12EBF">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931" w:type="dxa"/>
            <w:tcMar>
              <w:top w:w="0" w:type="dxa"/>
              <w:left w:w="10" w:type="dxa"/>
              <w:bottom w:w="0" w:type="dxa"/>
              <w:right w:w="10" w:type="dxa"/>
            </w:tcMar>
            <w:vAlign w:val="center"/>
          </w:tcPr>
          <w:p w14:paraId="2717934A">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12" w:type="dxa"/>
            <w:tcMar>
              <w:top w:w="0" w:type="dxa"/>
              <w:left w:w="10" w:type="dxa"/>
              <w:bottom w:w="0" w:type="dxa"/>
              <w:right w:w="10" w:type="dxa"/>
            </w:tcMar>
            <w:vAlign w:val="center"/>
          </w:tcPr>
          <w:p w14:paraId="5D044376">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46" w:type="dxa"/>
            <w:tcMar>
              <w:top w:w="0" w:type="dxa"/>
              <w:left w:w="10" w:type="dxa"/>
              <w:bottom w:w="0" w:type="dxa"/>
              <w:right w:w="10" w:type="dxa"/>
            </w:tcMar>
            <w:vAlign w:val="center"/>
          </w:tcPr>
          <w:p w14:paraId="19020CF9">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7F6A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62AF9566">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8" w:type="dxa"/>
            <w:tcMar>
              <w:top w:w="0" w:type="dxa"/>
              <w:left w:w="10" w:type="dxa"/>
              <w:bottom w:w="0" w:type="dxa"/>
              <w:right w:w="10" w:type="dxa"/>
            </w:tcMar>
            <w:vAlign w:val="center"/>
          </w:tcPr>
          <w:p w14:paraId="2381B0B0">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931" w:type="dxa"/>
            <w:tcMar>
              <w:top w:w="0" w:type="dxa"/>
              <w:left w:w="10" w:type="dxa"/>
              <w:bottom w:w="0" w:type="dxa"/>
              <w:right w:w="10" w:type="dxa"/>
            </w:tcMar>
            <w:vAlign w:val="center"/>
          </w:tcPr>
          <w:p w14:paraId="7991C030">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12" w:type="dxa"/>
            <w:tcMar>
              <w:top w:w="0" w:type="dxa"/>
              <w:left w:w="10" w:type="dxa"/>
              <w:bottom w:w="0" w:type="dxa"/>
              <w:right w:w="10" w:type="dxa"/>
            </w:tcMar>
            <w:vAlign w:val="center"/>
          </w:tcPr>
          <w:p w14:paraId="6CCCA10F">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46" w:type="dxa"/>
            <w:tcMar>
              <w:top w:w="0" w:type="dxa"/>
              <w:left w:w="10" w:type="dxa"/>
              <w:bottom w:w="0" w:type="dxa"/>
              <w:right w:w="10" w:type="dxa"/>
            </w:tcMar>
            <w:vAlign w:val="center"/>
          </w:tcPr>
          <w:p w14:paraId="309FF4B7">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20A77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4F4D880C">
            <w:pPr>
              <w:widowControl/>
              <w:spacing w:line="360" w:lineRule="auto"/>
              <w:jc w:val="center"/>
              <w:rPr>
                <w:rFonts w:ascii="宋体" w:hAnsi="宋体"/>
                <w:color w:val="auto"/>
                <w:kern w:val="0"/>
                <w:szCs w:val="21"/>
              </w:rPr>
            </w:pPr>
          </w:p>
        </w:tc>
        <w:tc>
          <w:tcPr>
            <w:tcW w:w="1678" w:type="dxa"/>
            <w:tcMar>
              <w:top w:w="0" w:type="dxa"/>
              <w:left w:w="10" w:type="dxa"/>
              <w:bottom w:w="0" w:type="dxa"/>
              <w:right w:w="10" w:type="dxa"/>
            </w:tcMar>
            <w:vAlign w:val="center"/>
          </w:tcPr>
          <w:p w14:paraId="0B3031B5">
            <w:pPr>
              <w:widowControl/>
              <w:spacing w:line="360" w:lineRule="auto"/>
              <w:jc w:val="center"/>
              <w:rPr>
                <w:rFonts w:ascii="宋体" w:hAnsi="宋体"/>
                <w:color w:val="auto"/>
                <w:kern w:val="0"/>
                <w:szCs w:val="21"/>
              </w:rPr>
            </w:pPr>
          </w:p>
        </w:tc>
        <w:tc>
          <w:tcPr>
            <w:tcW w:w="1931" w:type="dxa"/>
            <w:tcMar>
              <w:top w:w="0" w:type="dxa"/>
              <w:left w:w="10" w:type="dxa"/>
              <w:bottom w:w="0" w:type="dxa"/>
              <w:right w:w="10" w:type="dxa"/>
            </w:tcMar>
            <w:vAlign w:val="center"/>
          </w:tcPr>
          <w:p w14:paraId="1EBBF855">
            <w:pPr>
              <w:widowControl/>
              <w:spacing w:line="360" w:lineRule="auto"/>
              <w:jc w:val="center"/>
              <w:rPr>
                <w:rFonts w:ascii="宋体" w:hAnsi="宋体"/>
                <w:color w:val="auto"/>
                <w:kern w:val="0"/>
                <w:szCs w:val="21"/>
              </w:rPr>
            </w:pPr>
          </w:p>
        </w:tc>
        <w:tc>
          <w:tcPr>
            <w:tcW w:w="3012" w:type="dxa"/>
            <w:tcMar>
              <w:top w:w="0" w:type="dxa"/>
              <w:left w:w="10" w:type="dxa"/>
              <w:bottom w:w="0" w:type="dxa"/>
              <w:right w:w="10" w:type="dxa"/>
            </w:tcMar>
            <w:vAlign w:val="center"/>
          </w:tcPr>
          <w:p w14:paraId="094200BE">
            <w:pPr>
              <w:widowControl/>
              <w:spacing w:line="360" w:lineRule="auto"/>
              <w:jc w:val="center"/>
              <w:rPr>
                <w:rFonts w:ascii="宋体" w:hAnsi="宋体"/>
                <w:color w:val="auto"/>
                <w:kern w:val="0"/>
                <w:szCs w:val="21"/>
              </w:rPr>
            </w:pPr>
          </w:p>
        </w:tc>
        <w:tc>
          <w:tcPr>
            <w:tcW w:w="1246" w:type="dxa"/>
            <w:tcMar>
              <w:top w:w="0" w:type="dxa"/>
              <w:left w:w="10" w:type="dxa"/>
              <w:bottom w:w="0" w:type="dxa"/>
              <w:right w:w="10" w:type="dxa"/>
            </w:tcMar>
            <w:vAlign w:val="center"/>
          </w:tcPr>
          <w:p w14:paraId="237799D4">
            <w:pPr>
              <w:widowControl/>
              <w:spacing w:line="360" w:lineRule="auto"/>
              <w:jc w:val="center"/>
              <w:rPr>
                <w:rFonts w:ascii="宋体" w:hAnsi="宋体"/>
                <w:color w:val="auto"/>
                <w:kern w:val="0"/>
                <w:szCs w:val="21"/>
              </w:rPr>
            </w:pPr>
          </w:p>
        </w:tc>
      </w:tr>
      <w:tr w14:paraId="1682A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3C8F238C">
            <w:pPr>
              <w:widowControl/>
              <w:spacing w:line="360" w:lineRule="auto"/>
              <w:jc w:val="center"/>
              <w:rPr>
                <w:rFonts w:ascii="宋体" w:hAnsi="宋体"/>
                <w:color w:val="auto"/>
                <w:kern w:val="0"/>
                <w:szCs w:val="21"/>
              </w:rPr>
            </w:pPr>
          </w:p>
        </w:tc>
        <w:tc>
          <w:tcPr>
            <w:tcW w:w="1678" w:type="dxa"/>
            <w:tcMar>
              <w:top w:w="0" w:type="dxa"/>
              <w:left w:w="10" w:type="dxa"/>
              <w:bottom w:w="0" w:type="dxa"/>
              <w:right w:w="10" w:type="dxa"/>
            </w:tcMar>
            <w:vAlign w:val="center"/>
          </w:tcPr>
          <w:p w14:paraId="35C0F083">
            <w:pPr>
              <w:widowControl/>
              <w:spacing w:line="360" w:lineRule="auto"/>
              <w:jc w:val="center"/>
              <w:rPr>
                <w:rFonts w:ascii="宋体" w:hAnsi="宋体"/>
                <w:color w:val="auto"/>
                <w:kern w:val="0"/>
                <w:szCs w:val="21"/>
              </w:rPr>
            </w:pPr>
          </w:p>
        </w:tc>
        <w:tc>
          <w:tcPr>
            <w:tcW w:w="1931" w:type="dxa"/>
            <w:tcMar>
              <w:top w:w="0" w:type="dxa"/>
              <w:left w:w="10" w:type="dxa"/>
              <w:bottom w:w="0" w:type="dxa"/>
              <w:right w:w="10" w:type="dxa"/>
            </w:tcMar>
            <w:vAlign w:val="center"/>
          </w:tcPr>
          <w:p w14:paraId="254D1A3B">
            <w:pPr>
              <w:widowControl/>
              <w:spacing w:line="360" w:lineRule="auto"/>
              <w:jc w:val="center"/>
              <w:rPr>
                <w:rFonts w:ascii="宋体" w:hAnsi="宋体"/>
                <w:color w:val="auto"/>
                <w:kern w:val="0"/>
                <w:szCs w:val="21"/>
              </w:rPr>
            </w:pPr>
          </w:p>
        </w:tc>
        <w:tc>
          <w:tcPr>
            <w:tcW w:w="3012" w:type="dxa"/>
            <w:tcMar>
              <w:top w:w="0" w:type="dxa"/>
              <w:left w:w="10" w:type="dxa"/>
              <w:bottom w:w="0" w:type="dxa"/>
              <w:right w:w="10" w:type="dxa"/>
            </w:tcMar>
            <w:vAlign w:val="center"/>
          </w:tcPr>
          <w:p w14:paraId="7A767FFB">
            <w:pPr>
              <w:widowControl/>
              <w:spacing w:line="360" w:lineRule="auto"/>
              <w:jc w:val="center"/>
              <w:rPr>
                <w:rFonts w:ascii="宋体" w:hAnsi="宋体"/>
                <w:color w:val="auto"/>
                <w:kern w:val="0"/>
                <w:szCs w:val="21"/>
              </w:rPr>
            </w:pPr>
          </w:p>
        </w:tc>
        <w:tc>
          <w:tcPr>
            <w:tcW w:w="1246" w:type="dxa"/>
            <w:tcMar>
              <w:top w:w="0" w:type="dxa"/>
              <w:left w:w="10" w:type="dxa"/>
              <w:bottom w:w="0" w:type="dxa"/>
              <w:right w:w="10" w:type="dxa"/>
            </w:tcMar>
            <w:vAlign w:val="center"/>
          </w:tcPr>
          <w:p w14:paraId="22A78BFC">
            <w:pPr>
              <w:widowControl/>
              <w:spacing w:line="360" w:lineRule="auto"/>
              <w:jc w:val="center"/>
              <w:rPr>
                <w:rFonts w:ascii="宋体" w:hAnsi="宋体"/>
                <w:color w:val="auto"/>
                <w:kern w:val="0"/>
                <w:szCs w:val="21"/>
              </w:rPr>
            </w:pPr>
          </w:p>
        </w:tc>
      </w:tr>
      <w:tr w14:paraId="1FE5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tcMar>
              <w:top w:w="0" w:type="dxa"/>
              <w:left w:w="10" w:type="dxa"/>
              <w:bottom w:w="0" w:type="dxa"/>
              <w:right w:w="10" w:type="dxa"/>
            </w:tcMar>
            <w:vAlign w:val="center"/>
          </w:tcPr>
          <w:p w14:paraId="083E6C01">
            <w:pPr>
              <w:widowControl/>
              <w:spacing w:line="360" w:lineRule="auto"/>
              <w:jc w:val="center"/>
              <w:rPr>
                <w:rFonts w:ascii="宋体" w:hAnsi="宋体"/>
                <w:color w:val="auto"/>
                <w:kern w:val="0"/>
                <w:szCs w:val="21"/>
              </w:rPr>
            </w:pPr>
          </w:p>
        </w:tc>
        <w:tc>
          <w:tcPr>
            <w:tcW w:w="1678" w:type="dxa"/>
            <w:tcMar>
              <w:top w:w="0" w:type="dxa"/>
              <w:left w:w="10" w:type="dxa"/>
              <w:bottom w:w="0" w:type="dxa"/>
              <w:right w:w="10" w:type="dxa"/>
            </w:tcMar>
            <w:vAlign w:val="center"/>
          </w:tcPr>
          <w:p w14:paraId="59D0B3FC">
            <w:pPr>
              <w:widowControl/>
              <w:spacing w:line="360" w:lineRule="auto"/>
              <w:jc w:val="center"/>
              <w:rPr>
                <w:rFonts w:ascii="宋体" w:hAnsi="宋体"/>
                <w:color w:val="auto"/>
                <w:kern w:val="0"/>
                <w:szCs w:val="21"/>
              </w:rPr>
            </w:pPr>
          </w:p>
        </w:tc>
        <w:tc>
          <w:tcPr>
            <w:tcW w:w="1931" w:type="dxa"/>
            <w:tcMar>
              <w:top w:w="0" w:type="dxa"/>
              <w:left w:w="10" w:type="dxa"/>
              <w:bottom w:w="0" w:type="dxa"/>
              <w:right w:w="10" w:type="dxa"/>
            </w:tcMar>
            <w:vAlign w:val="center"/>
          </w:tcPr>
          <w:p w14:paraId="4B954930">
            <w:pPr>
              <w:widowControl/>
              <w:spacing w:line="360" w:lineRule="auto"/>
              <w:jc w:val="center"/>
              <w:rPr>
                <w:rFonts w:ascii="宋体" w:hAnsi="宋体"/>
                <w:color w:val="auto"/>
                <w:kern w:val="0"/>
                <w:szCs w:val="21"/>
              </w:rPr>
            </w:pPr>
          </w:p>
        </w:tc>
        <w:tc>
          <w:tcPr>
            <w:tcW w:w="3012" w:type="dxa"/>
            <w:tcMar>
              <w:top w:w="0" w:type="dxa"/>
              <w:left w:w="10" w:type="dxa"/>
              <w:bottom w:w="0" w:type="dxa"/>
              <w:right w:w="10" w:type="dxa"/>
            </w:tcMar>
            <w:vAlign w:val="center"/>
          </w:tcPr>
          <w:p w14:paraId="7D401521">
            <w:pPr>
              <w:widowControl/>
              <w:spacing w:line="360" w:lineRule="auto"/>
              <w:jc w:val="center"/>
              <w:rPr>
                <w:rFonts w:ascii="宋体" w:hAnsi="宋体"/>
                <w:color w:val="auto"/>
                <w:kern w:val="0"/>
                <w:szCs w:val="21"/>
              </w:rPr>
            </w:pPr>
          </w:p>
        </w:tc>
        <w:tc>
          <w:tcPr>
            <w:tcW w:w="1246" w:type="dxa"/>
            <w:tcMar>
              <w:top w:w="0" w:type="dxa"/>
              <w:left w:w="10" w:type="dxa"/>
              <w:bottom w:w="0" w:type="dxa"/>
              <w:right w:w="10" w:type="dxa"/>
            </w:tcMar>
            <w:vAlign w:val="center"/>
          </w:tcPr>
          <w:p w14:paraId="1A96260B">
            <w:pPr>
              <w:widowControl/>
              <w:spacing w:line="360" w:lineRule="auto"/>
              <w:jc w:val="center"/>
              <w:rPr>
                <w:rFonts w:ascii="宋体" w:hAnsi="宋体"/>
                <w:color w:val="auto"/>
                <w:kern w:val="0"/>
                <w:szCs w:val="21"/>
              </w:rPr>
            </w:pPr>
          </w:p>
        </w:tc>
      </w:tr>
    </w:tbl>
    <w:p w14:paraId="2E2300CD">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说明：</w:t>
      </w:r>
      <w:r>
        <w:rPr>
          <w:rFonts w:ascii="宋体" w:hAnsi="宋体"/>
          <w:color w:val="auto"/>
          <w:kern w:val="0"/>
          <w:szCs w:val="21"/>
        </w:rPr>
        <w:t>如果行数不够，请自行增加。</w:t>
      </w:r>
    </w:p>
    <w:p w14:paraId="65E1DA19">
      <w:pPr>
        <w:widowControl/>
        <w:shd w:val="clear" w:color="auto" w:fill="FFFFFF"/>
        <w:spacing w:line="360" w:lineRule="auto"/>
        <w:ind w:firstLine="632" w:firstLineChars="300"/>
        <w:jc w:val="left"/>
        <w:rPr>
          <w:rFonts w:ascii="宋体" w:hAnsi="宋体"/>
          <w:b/>
          <w:color w:val="auto"/>
          <w:kern w:val="0"/>
          <w:szCs w:val="21"/>
          <w:u w:val="single"/>
        </w:rPr>
      </w:pPr>
      <w:r>
        <w:rPr>
          <w:b/>
          <w:color w:val="auto"/>
          <w:szCs w:val="21"/>
          <w:u w:val="single"/>
        </w:rPr>
        <w:t>投标人必须仔细阅读招标文件的所有技术标准和要求，并将所有偏离的条目列入下表，未列入下表的视作投标人完全接受。</w:t>
      </w:r>
    </w:p>
    <w:p w14:paraId="6A991641">
      <w:pPr>
        <w:widowControl/>
        <w:shd w:val="clear" w:color="auto" w:fill="FFFFFF"/>
        <w:spacing w:line="360" w:lineRule="auto"/>
        <w:jc w:val="left"/>
        <w:rPr>
          <w:rFonts w:ascii="宋体" w:hAnsi="宋体" w:cs="宋体"/>
          <w:color w:val="auto"/>
          <w:kern w:val="0"/>
          <w:szCs w:val="21"/>
        </w:rPr>
      </w:pPr>
    </w:p>
    <w:p w14:paraId="340D8F4F">
      <w:pPr>
        <w:widowControl/>
        <w:shd w:val="clear" w:color="auto" w:fill="FFFFFF"/>
        <w:spacing w:line="360" w:lineRule="auto"/>
        <w:jc w:val="left"/>
        <w:rPr>
          <w:rFonts w:ascii="宋体" w:hAnsi="宋体" w:cs="宋体"/>
          <w:color w:val="auto"/>
          <w:kern w:val="0"/>
          <w:szCs w:val="21"/>
        </w:rPr>
      </w:pPr>
    </w:p>
    <w:p w14:paraId="091FDF40">
      <w:pPr>
        <w:widowControl/>
        <w:shd w:val="clear" w:color="auto" w:fill="FFFFFF"/>
        <w:spacing w:line="360" w:lineRule="auto"/>
        <w:jc w:val="left"/>
        <w:rPr>
          <w:rFonts w:ascii="宋体" w:hAnsi="宋体" w:cs="宋体"/>
          <w:color w:val="auto"/>
          <w:kern w:val="0"/>
          <w:szCs w:val="21"/>
        </w:rPr>
      </w:pPr>
    </w:p>
    <w:p w14:paraId="5ADE1BEB">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投标单位（盖章）：</w:t>
      </w:r>
      <w:r>
        <w:rPr>
          <w:rFonts w:ascii="宋体"/>
          <w:color w:val="auto"/>
          <w:kern w:val="0"/>
          <w:szCs w:val="21"/>
          <w:u w:val="single"/>
        </w:rPr>
        <w:t>                      </w:t>
      </w:r>
    </w:p>
    <w:p w14:paraId="609D963F">
      <w:pPr>
        <w:widowControl/>
        <w:shd w:val="clear" w:color="auto" w:fill="FFFFFF"/>
        <w:spacing w:line="360" w:lineRule="auto"/>
        <w:jc w:val="left"/>
        <w:rPr>
          <w:rFonts w:ascii="宋体" w:hAnsi="宋体"/>
          <w:color w:val="auto"/>
          <w:kern w:val="0"/>
          <w:szCs w:val="21"/>
        </w:rPr>
      </w:pPr>
      <w:r>
        <w:rPr>
          <w:rFonts w:hint="eastAsia" w:ascii="宋体" w:hAnsi="宋体" w:cs="宋体"/>
          <w:color w:val="auto"/>
          <w:kern w:val="0"/>
          <w:szCs w:val="21"/>
        </w:rPr>
        <w:t>授权代表（签字）：</w:t>
      </w:r>
      <w:r>
        <w:rPr>
          <w:rFonts w:ascii="宋体"/>
          <w:color w:val="auto"/>
          <w:kern w:val="0"/>
          <w:szCs w:val="21"/>
          <w:u w:val="single"/>
        </w:rPr>
        <w:t>                      </w:t>
      </w:r>
    </w:p>
    <w:p w14:paraId="1AF8C9A4">
      <w:pPr>
        <w:widowControl/>
        <w:shd w:val="clear" w:color="auto" w:fill="FFFFFF"/>
        <w:spacing w:line="360" w:lineRule="auto"/>
        <w:jc w:val="left"/>
        <w:rPr>
          <w:rFonts w:ascii="宋体" w:hAnsi="宋体"/>
          <w:color w:val="auto"/>
          <w:kern w:val="0"/>
          <w:szCs w:val="21"/>
        </w:rPr>
      </w:pPr>
    </w:p>
    <w:p w14:paraId="03A803D9">
      <w:pPr>
        <w:widowControl/>
        <w:shd w:val="clear" w:color="auto" w:fill="FFFFFF"/>
        <w:spacing w:line="360" w:lineRule="auto"/>
        <w:jc w:val="left"/>
        <w:rPr>
          <w:rFonts w:ascii="宋体" w:hAnsi="宋体"/>
          <w:color w:val="auto"/>
          <w:kern w:val="0"/>
          <w:szCs w:val="21"/>
        </w:rPr>
      </w:pPr>
      <w:r>
        <w:rPr>
          <w:rFonts w:ascii="宋体" w:hAnsi="宋体"/>
          <w:b/>
          <w:bCs/>
          <w:color w:val="auto"/>
          <w:kern w:val="0"/>
          <w:szCs w:val="21"/>
        </w:rPr>
        <w:br w:type="page"/>
      </w:r>
      <w:r>
        <w:rPr>
          <w:rFonts w:hint="eastAsia" w:ascii="宋体" w:hAnsi="宋体"/>
          <w:b/>
          <w:bCs/>
          <w:color w:val="auto"/>
          <w:kern w:val="0"/>
          <w:szCs w:val="21"/>
        </w:rPr>
        <w:t>附件六、商务条款偏离表格式</w:t>
      </w:r>
    </w:p>
    <w:p w14:paraId="14BFAD1B">
      <w:pPr>
        <w:widowControl/>
        <w:shd w:val="clear" w:color="auto" w:fill="FFFFFF"/>
        <w:spacing w:line="360" w:lineRule="auto"/>
        <w:ind w:firstLine="420"/>
        <w:jc w:val="left"/>
        <w:rPr>
          <w:rFonts w:ascii="宋体" w:hAnsi="宋体"/>
          <w:color w:val="auto"/>
          <w:kern w:val="0"/>
          <w:szCs w:val="21"/>
        </w:rPr>
      </w:pPr>
      <w:r>
        <w:rPr>
          <w:rFonts w:hint="eastAsia" w:ascii="宋体" w:hAnsi="宋体"/>
          <w:color w:val="auto"/>
          <w:kern w:val="0"/>
          <w:szCs w:val="21"/>
        </w:rPr>
        <w:t> </w:t>
      </w:r>
    </w:p>
    <w:p w14:paraId="32DE0BBE">
      <w:pPr>
        <w:widowControl/>
        <w:shd w:val="clear" w:color="auto" w:fill="FFFFFF"/>
        <w:spacing w:line="360" w:lineRule="auto"/>
        <w:ind w:left="420"/>
        <w:jc w:val="center"/>
        <w:rPr>
          <w:rFonts w:ascii="宋体" w:hAnsi="宋体"/>
          <w:b/>
          <w:color w:val="auto"/>
          <w:kern w:val="0"/>
          <w:szCs w:val="21"/>
        </w:rPr>
      </w:pPr>
      <w:r>
        <w:rPr>
          <w:rFonts w:hint="eastAsia" w:ascii="宋体" w:hAnsi="宋体"/>
          <w:b/>
          <w:color w:val="auto"/>
          <w:kern w:val="0"/>
          <w:sz w:val="36"/>
          <w:szCs w:val="36"/>
        </w:rPr>
        <w:t>商务条款偏离表</w:t>
      </w:r>
    </w:p>
    <w:p w14:paraId="11253253">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 w:val="24"/>
        </w:rPr>
        <w:t> </w:t>
      </w:r>
    </w:p>
    <w:p w14:paraId="5E447F9D">
      <w:pPr>
        <w:widowControl/>
        <w:tabs>
          <w:tab w:val="left" w:pos="5366"/>
        </w:tabs>
        <w:spacing w:line="360" w:lineRule="auto"/>
        <w:ind w:firstLine="96" w:firstLineChars="46"/>
        <w:jc w:val="left"/>
        <w:rPr>
          <w:rFonts w:ascii="宋体" w:hAnsi="宋体"/>
          <w:color w:val="auto"/>
          <w:kern w:val="0"/>
          <w:szCs w:val="21"/>
        </w:rPr>
      </w:pPr>
      <w:r>
        <w:rPr>
          <w:rFonts w:hint="eastAsia" w:ascii="宋体" w:hAnsi="宋体"/>
          <w:color w:val="auto"/>
          <w:kern w:val="0"/>
          <w:szCs w:val="21"/>
        </w:rPr>
        <w:t>项目名称：</w:t>
      </w:r>
      <w:r>
        <w:rPr>
          <w:rFonts w:ascii="宋体" w:hAnsi="宋体"/>
          <w:color w:val="auto"/>
          <w:kern w:val="0"/>
          <w:szCs w:val="21"/>
        </w:rPr>
        <w:tab/>
      </w:r>
      <w:r>
        <w:rPr>
          <w:rFonts w:hint="eastAsia" w:ascii="宋体" w:hAnsi="宋体"/>
          <w:color w:val="auto"/>
          <w:kern w:val="0"/>
          <w:szCs w:val="21"/>
        </w:rPr>
        <w:t>项目编号：         </w:t>
      </w:r>
    </w:p>
    <w:tbl>
      <w:tblPr>
        <w:tblStyle w:val="4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7B3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6969D5E">
            <w:pPr>
              <w:widowControl/>
              <w:spacing w:line="360" w:lineRule="auto"/>
              <w:jc w:val="center"/>
              <w:rPr>
                <w:rFonts w:ascii="宋体" w:hAnsi="宋体"/>
                <w:b/>
                <w:color w:val="auto"/>
                <w:kern w:val="0"/>
                <w:szCs w:val="21"/>
              </w:rPr>
            </w:pPr>
            <w:r>
              <w:rPr>
                <w:rFonts w:hint="eastAsia" w:ascii="宋体" w:hAnsi="宋体"/>
                <w:b/>
                <w:color w:val="auto"/>
                <w:kern w:val="0"/>
                <w:szCs w:val="21"/>
              </w:rPr>
              <w:t>序号</w:t>
            </w:r>
          </w:p>
        </w:tc>
        <w:tc>
          <w:tcPr>
            <w:tcW w:w="1679" w:type="dxa"/>
            <w:tcMar>
              <w:top w:w="0" w:type="dxa"/>
              <w:left w:w="10" w:type="dxa"/>
              <w:bottom w:w="0" w:type="dxa"/>
              <w:right w:w="10" w:type="dxa"/>
            </w:tcMar>
            <w:vAlign w:val="center"/>
          </w:tcPr>
          <w:p w14:paraId="77577FFE">
            <w:pPr>
              <w:widowControl/>
              <w:spacing w:line="360" w:lineRule="auto"/>
              <w:jc w:val="center"/>
              <w:rPr>
                <w:rFonts w:ascii="宋体" w:hAnsi="宋体"/>
                <w:b/>
                <w:color w:val="auto"/>
                <w:kern w:val="0"/>
                <w:szCs w:val="21"/>
              </w:rPr>
            </w:pPr>
            <w:r>
              <w:rPr>
                <w:rFonts w:hint="eastAsia" w:ascii="宋体" w:hAnsi="宋体"/>
                <w:b/>
                <w:color w:val="auto"/>
                <w:kern w:val="0"/>
                <w:szCs w:val="21"/>
              </w:rPr>
              <w:t>招标文件条目号</w:t>
            </w:r>
          </w:p>
        </w:tc>
        <w:tc>
          <w:tcPr>
            <w:tcW w:w="2488" w:type="dxa"/>
            <w:tcMar>
              <w:top w:w="0" w:type="dxa"/>
              <w:left w:w="10" w:type="dxa"/>
              <w:bottom w:w="0" w:type="dxa"/>
              <w:right w:w="10" w:type="dxa"/>
            </w:tcMar>
            <w:vAlign w:val="center"/>
          </w:tcPr>
          <w:p w14:paraId="1D3E7ED4">
            <w:pPr>
              <w:widowControl/>
              <w:spacing w:line="360" w:lineRule="auto"/>
              <w:jc w:val="center"/>
              <w:rPr>
                <w:rFonts w:ascii="宋体" w:hAnsi="宋体"/>
                <w:b/>
                <w:color w:val="auto"/>
                <w:kern w:val="0"/>
                <w:szCs w:val="21"/>
              </w:rPr>
            </w:pPr>
            <w:r>
              <w:rPr>
                <w:rFonts w:hint="eastAsia" w:ascii="宋体" w:hAnsi="宋体"/>
                <w:b/>
                <w:color w:val="auto"/>
                <w:kern w:val="0"/>
                <w:szCs w:val="21"/>
              </w:rPr>
              <w:t>招标文件要求的商务条款</w:t>
            </w:r>
          </w:p>
        </w:tc>
        <w:tc>
          <w:tcPr>
            <w:tcW w:w="3004" w:type="dxa"/>
            <w:tcMar>
              <w:top w:w="0" w:type="dxa"/>
              <w:left w:w="10" w:type="dxa"/>
              <w:bottom w:w="0" w:type="dxa"/>
              <w:right w:w="10" w:type="dxa"/>
            </w:tcMar>
            <w:vAlign w:val="center"/>
          </w:tcPr>
          <w:p w14:paraId="1739866B">
            <w:pPr>
              <w:widowControl/>
              <w:spacing w:line="360" w:lineRule="auto"/>
              <w:jc w:val="center"/>
              <w:rPr>
                <w:rFonts w:ascii="宋体" w:hAnsi="宋体"/>
                <w:b/>
                <w:color w:val="auto"/>
                <w:kern w:val="0"/>
                <w:szCs w:val="21"/>
              </w:rPr>
            </w:pPr>
            <w:r>
              <w:rPr>
                <w:rFonts w:hint="eastAsia" w:ascii="宋体" w:hAnsi="宋体"/>
                <w:b/>
                <w:color w:val="auto"/>
                <w:kern w:val="0"/>
                <w:szCs w:val="21"/>
              </w:rPr>
              <w:t>投标响应</w:t>
            </w:r>
          </w:p>
        </w:tc>
        <w:tc>
          <w:tcPr>
            <w:tcW w:w="1201" w:type="dxa"/>
            <w:tcMar>
              <w:top w:w="0" w:type="dxa"/>
              <w:left w:w="10" w:type="dxa"/>
              <w:bottom w:w="0" w:type="dxa"/>
              <w:right w:w="10" w:type="dxa"/>
            </w:tcMar>
            <w:vAlign w:val="center"/>
          </w:tcPr>
          <w:p w14:paraId="316F8F7E">
            <w:pPr>
              <w:widowControl/>
              <w:spacing w:line="360" w:lineRule="auto"/>
              <w:jc w:val="center"/>
              <w:rPr>
                <w:rFonts w:ascii="宋体" w:hAnsi="宋体"/>
                <w:b/>
                <w:color w:val="auto"/>
                <w:kern w:val="0"/>
                <w:szCs w:val="21"/>
              </w:rPr>
            </w:pPr>
            <w:r>
              <w:rPr>
                <w:rFonts w:hint="eastAsia" w:ascii="宋体" w:hAnsi="宋体"/>
                <w:b/>
                <w:color w:val="auto"/>
                <w:kern w:val="0"/>
                <w:szCs w:val="21"/>
              </w:rPr>
              <w:t>偏离</w:t>
            </w:r>
          </w:p>
        </w:tc>
      </w:tr>
      <w:tr w14:paraId="0D0F5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8B7B68D">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9" w:type="dxa"/>
            <w:tcMar>
              <w:top w:w="0" w:type="dxa"/>
              <w:left w:w="10" w:type="dxa"/>
              <w:bottom w:w="0" w:type="dxa"/>
              <w:right w:w="10" w:type="dxa"/>
            </w:tcMar>
            <w:vAlign w:val="center"/>
          </w:tcPr>
          <w:p w14:paraId="0EA4324A">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2488" w:type="dxa"/>
            <w:tcMar>
              <w:top w:w="0" w:type="dxa"/>
              <w:left w:w="10" w:type="dxa"/>
              <w:bottom w:w="0" w:type="dxa"/>
              <w:right w:w="10" w:type="dxa"/>
            </w:tcMar>
            <w:vAlign w:val="center"/>
          </w:tcPr>
          <w:p w14:paraId="1E7ACAE7">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04" w:type="dxa"/>
            <w:tcMar>
              <w:top w:w="0" w:type="dxa"/>
              <w:left w:w="10" w:type="dxa"/>
              <w:bottom w:w="0" w:type="dxa"/>
              <w:right w:w="10" w:type="dxa"/>
            </w:tcMar>
            <w:vAlign w:val="center"/>
          </w:tcPr>
          <w:p w14:paraId="318FBDA6">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01" w:type="dxa"/>
            <w:tcMar>
              <w:top w:w="0" w:type="dxa"/>
              <w:left w:w="10" w:type="dxa"/>
              <w:bottom w:w="0" w:type="dxa"/>
              <w:right w:w="10" w:type="dxa"/>
            </w:tcMar>
            <w:vAlign w:val="center"/>
          </w:tcPr>
          <w:p w14:paraId="039B8C1F">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28000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DBD261">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9" w:type="dxa"/>
            <w:tcMar>
              <w:top w:w="0" w:type="dxa"/>
              <w:left w:w="10" w:type="dxa"/>
              <w:bottom w:w="0" w:type="dxa"/>
              <w:right w:w="10" w:type="dxa"/>
            </w:tcMar>
            <w:vAlign w:val="center"/>
          </w:tcPr>
          <w:p w14:paraId="59A99531">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2488" w:type="dxa"/>
            <w:tcMar>
              <w:top w:w="0" w:type="dxa"/>
              <w:left w:w="10" w:type="dxa"/>
              <w:bottom w:w="0" w:type="dxa"/>
              <w:right w:w="10" w:type="dxa"/>
            </w:tcMar>
            <w:vAlign w:val="center"/>
          </w:tcPr>
          <w:p w14:paraId="3E24226C">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04" w:type="dxa"/>
            <w:tcMar>
              <w:top w:w="0" w:type="dxa"/>
              <w:left w:w="10" w:type="dxa"/>
              <w:bottom w:w="0" w:type="dxa"/>
              <w:right w:w="10" w:type="dxa"/>
            </w:tcMar>
            <w:vAlign w:val="center"/>
          </w:tcPr>
          <w:p w14:paraId="6CAD3787">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01" w:type="dxa"/>
            <w:tcMar>
              <w:top w:w="0" w:type="dxa"/>
              <w:left w:w="10" w:type="dxa"/>
              <w:bottom w:w="0" w:type="dxa"/>
              <w:right w:w="10" w:type="dxa"/>
            </w:tcMar>
            <w:vAlign w:val="center"/>
          </w:tcPr>
          <w:p w14:paraId="54F7CD4B">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462D9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54A4F23">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9" w:type="dxa"/>
            <w:tcMar>
              <w:top w:w="0" w:type="dxa"/>
              <w:left w:w="10" w:type="dxa"/>
              <w:bottom w:w="0" w:type="dxa"/>
              <w:right w:w="10" w:type="dxa"/>
            </w:tcMar>
            <w:vAlign w:val="center"/>
          </w:tcPr>
          <w:p w14:paraId="1CD1C83F">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2488" w:type="dxa"/>
            <w:tcMar>
              <w:top w:w="0" w:type="dxa"/>
              <w:left w:w="10" w:type="dxa"/>
              <w:bottom w:w="0" w:type="dxa"/>
              <w:right w:w="10" w:type="dxa"/>
            </w:tcMar>
            <w:vAlign w:val="center"/>
          </w:tcPr>
          <w:p w14:paraId="4311B073">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04" w:type="dxa"/>
            <w:tcMar>
              <w:top w:w="0" w:type="dxa"/>
              <w:left w:w="10" w:type="dxa"/>
              <w:bottom w:w="0" w:type="dxa"/>
              <w:right w:w="10" w:type="dxa"/>
            </w:tcMar>
            <w:vAlign w:val="center"/>
          </w:tcPr>
          <w:p w14:paraId="471BEDA0">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01" w:type="dxa"/>
            <w:tcMar>
              <w:top w:w="0" w:type="dxa"/>
              <w:left w:w="10" w:type="dxa"/>
              <w:bottom w:w="0" w:type="dxa"/>
              <w:right w:w="10" w:type="dxa"/>
            </w:tcMar>
            <w:vAlign w:val="center"/>
          </w:tcPr>
          <w:p w14:paraId="6B61738C">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7672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FA8A816">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9" w:type="dxa"/>
            <w:tcMar>
              <w:top w:w="0" w:type="dxa"/>
              <w:left w:w="10" w:type="dxa"/>
              <w:bottom w:w="0" w:type="dxa"/>
              <w:right w:w="10" w:type="dxa"/>
            </w:tcMar>
            <w:vAlign w:val="center"/>
          </w:tcPr>
          <w:p w14:paraId="4194D7F5">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2488" w:type="dxa"/>
            <w:tcMar>
              <w:top w:w="0" w:type="dxa"/>
              <w:left w:w="10" w:type="dxa"/>
              <w:bottom w:w="0" w:type="dxa"/>
              <w:right w:w="10" w:type="dxa"/>
            </w:tcMar>
            <w:vAlign w:val="center"/>
          </w:tcPr>
          <w:p w14:paraId="191F8B96">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04" w:type="dxa"/>
            <w:tcMar>
              <w:top w:w="0" w:type="dxa"/>
              <w:left w:w="10" w:type="dxa"/>
              <w:bottom w:w="0" w:type="dxa"/>
              <w:right w:w="10" w:type="dxa"/>
            </w:tcMar>
            <w:vAlign w:val="center"/>
          </w:tcPr>
          <w:p w14:paraId="3D6B2BA4">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01" w:type="dxa"/>
            <w:tcMar>
              <w:top w:w="0" w:type="dxa"/>
              <w:left w:w="10" w:type="dxa"/>
              <w:bottom w:w="0" w:type="dxa"/>
              <w:right w:w="10" w:type="dxa"/>
            </w:tcMar>
            <w:vAlign w:val="center"/>
          </w:tcPr>
          <w:p w14:paraId="596627D7">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08608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A7BDC20">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679" w:type="dxa"/>
            <w:tcMar>
              <w:top w:w="0" w:type="dxa"/>
              <w:left w:w="10" w:type="dxa"/>
              <w:bottom w:w="0" w:type="dxa"/>
              <w:right w:w="10" w:type="dxa"/>
            </w:tcMar>
            <w:vAlign w:val="center"/>
          </w:tcPr>
          <w:p w14:paraId="4018A292">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2488" w:type="dxa"/>
            <w:tcMar>
              <w:top w:w="0" w:type="dxa"/>
              <w:left w:w="10" w:type="dxa"/>
              <w:bottom w:w="0" w:type="dxa"/>
              <w:right w:w="10" w:type="dxa"/>
            </w:tcMar>
            <w:vAlign w:val="center"/>
          </w:tcPr>
          <w:p w14:paraId="476053EE">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3004" w:type="dxa"/>
            <w:tcMar>
              <w:top w:w="0" w:type="dxa"/>
              <w:left w:w="10" w:type="dxa"/>
              <w:bottom w:w="0" w:type="dxa"/>
              <w:right w:w="10" w:type="dxa"/>
            </w:tcMar>
            <w:vAlign w:val="center"/>
          </w:tcPr>
          <w:p w14:paraId="3C216B72">
            <w:pPr>
              <w:widowControl/>
              <w:spacing w:line="360" w:lineRule="auto"/>
              <w:jc w:val="center"/>
              <w:rPr>
                <w:rFonts w:ascii="宋体" w:hAnsi="宋体"/>
                <w:color w:val="auto"/>
                <w:kern w:val="0"/>
                <w:szCs w:val="21"/>
              </w:rPr>
            </w:pPr>
            <w:r>
              <w:rPr>
                <w:rFonts w:hint="eastAsia" w:ascii="宋体" w:hAnsi="宋体"/>
                <w:color w:val="auto"/>
                <w:kern w:val="0"/>
                <w:szCs w:val="21"/>
              </w:rPr>
              <w:t> </w:t>
            </w:r>
          </w:p>
        </w:tc>
        <w:tc>
          <w:tcPr>
            <w:tcW w:w="1201" w:type="dxa"/>
            <w:tcMar>
              <w:top w:w="0" w:type="dxa"/>
              <w:left w:w="10" w:type="dxa"/>
              <w:bottom w:w="0" w:type="dxa"/>
              <w:right w:w="10" w:type="dxa"/>
            </w:tcMar>
            <w:vAlign w:val="center"/>
          </w:tcPr>
          <w:p w14:paraId="1CD4C35C">
            <w:pPr>
              <w:widowControl/>
              <w:spacing w:line="360" w:lineRule="auto"/>
              <w:jc w:val="center"/>
              <w:rPr>
                <w:rFonts w:ascii="宋体" w:hAnsi="宋体"/>
                <w:color w:val="auto"/>
                <w:kern w:val="0"/>
                <w:szCs w:val="21"/>
              </w:rPr>
            </w:pPr>
            <w:r>
              <w:rPr>
                <w:rFonts w:hint="eastAsia" w:ascii="宋体" w:hAnsi="宋体"/>
                <w:color w:val="auto"/>
                <w:kern w:val="0"/>
                <w:szCs w:val="21"/>
              </w:rPr>
              <w:t> </w:t>
            </w:r>
          </w:p>
        </w:tc>
      </w:tr>
      <w:tr w14:paraId="1D8CD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B51BE4">
            <w:pPr>
              <w:widowControl/>
              <w:spacing w:line="360" w:lineRule="auto"/>
              <w:jc w:val="center"/>
              <w:rPr>
                <w:rFonts w:ascii="宋体" w:hAnsi="宋体"/>
                <w:color w:val="auto"/>
                <w:kern w:val="0"/>
                <w:szCs w:val="21"/>
              </w:rPr>
            </w:pPr>
          </w:p>
        </w:tc>
        <w:tc>
          <w:tcPr>
            <w:tcW w:w="1679" w:type="dxa"/>
            <w:tcMar>
              <w:top w:w="0" w:type="dxa"/>
              <w:left w:w="10" w:type="dxa"/>
              <w:bottom w:w="0" w:type="dxa"/>
              <w:right w:w="10" w:type="dxa"/>
            </w:tcMar>
            <w:vAlign w:val="center"/>
          </w:tcPr>
          <w:p w14:paraId="5C8CB7DF">
            <w:pPr>
              <w:widowControl/>
              <w:spacing w:line="360" w:lineRule="auto"/>
              <w:jc w:val="center"/>
              <w:rPr>
                <w:rFonts w:ascii="宋体" w:hAnsi="宋体"/>
                <w:color w:val="auto"/>
                <w:kern w:val="0"/>
                <w:szCs w:val="21"/>
              </w:rPr>
            </w:pPr>
          </w:p>
        </w:tc>
        <w:tc>
          <w:tcPr>
            <w:tcW w:w="2488" w:type="dxa"/>
            <w:tcMar>
              <w:top w:w="0" w:type="dxa"/>
              <w:left w:w="10" w:type="dxa"/>
              <w:bottom w:w="0" w:type="dxa"/>
              <w:right w:w="10" w:type="dxa"/>
            </w:tcMar>
            <w:vAlign w:val="center"/>
          </w:tcPr>
          <w:p w14:paraId="66A0AD20">
            <w:pPr>
              <w:widowControl/>
              <w:spacing w:line="360" w:lineRule="auto"/>
              <w:jc w:val="center"/>
              <w:rPr>
                <w:rFonts w:ascii="宋体" w:hAnsi="宋体"/>
                <w:color w:val="auto"/>
                <w:kern w:val="0"/>
                <w:szCs w:val="21"/>
              </w:rPr>
            </w:pPr>
          </w:p>
        </w:tc>
        <w:tc>
          <w:tcPr>
            <w:tcW w:w="3004" w:type="dxa"/>
            <w:tcMar>
              <w:top w:w="0" w:type="dxa"/>
              <w:left w:w="10" w:type="dxa"/>
              <w:bottom w:w="0" w:type="dxa"/>
              <w:right w:w="10" w:type="dxa"/>
            </w:tcMar>
            <w:vAlign w:val="center"/>
          </w:tcPr>
          <w:p w14:paraId="27B80676">
            <w:pPr>
              <w:widowControl/>
              <w:spacing w:line="360" w:lineRule="auto"/>
              <w:jc w:val="center"/>
              <w:rPr>
                <w:rFonts w:ascii="宋体" w:hAnsi="宋体"/>
                <w:color w:val="auto"/>
                <w:kern w:val="0"/>
                <w:szCs w:val="21"/>
              </w:rPr>
            </w:pPr>
          </w:p>
        </w:tc>
        <w:tc>
          <w:tcPr>
            <w:tcW w:w="1201" w:type="dxa"/>
            <w:tcMar>
              <w:top w:w="0" w:type="dxa"/>
              <w:left w:w="10" w:type="dxa"/>
              <w:bottom w:w="0" w:type="dxa"/>
              <w:right w:w="10" w:type="dxa"/>
            </w:tcMar>
            <w:vAlign w:val="center"/>
          </w:tcPr>
          <w:p w14:paraId="19AB6A8B">
            <w:pPr>
              <w:widowControl/>
              <w:spacing w:line="360" w:lineRule="auto"/>
              <w:jc w:val="center"/>
              <w:rPr>
                <w:rFonts w:ascii="宋体" w:hAnsi="宋体"/>
                <w:color w:val="auto"/>
                <w:kern w:val="0"/>
                <w:szCs w:val="21"/>
              </w:rPr>
            </w:pPr>
          </w:p>
        </w:tc>
      </w:tr>
      <w:tr w14:paraId="6BABE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E1D2683">
            <w:pPr>
              <w:widowControl/>
              <w:spacing w:line="360" w:lineRule="auto"/>
              <w:jc w:val="center"/>
              <w:rPr>
                <w:rFonts w:ascii="宋体" w:hAnsi="宋体"/>
                <w:color w:val="auto"/>
                <w:kern w:val="0"/>
                <w:szCs w:val="21"/>
              </w:rPr>
            </w:pPr>
          </w:p>
        </w:tc>
        <w:tc>
          <w:tcPr>
            <w:tcW w:w="1679" w:type="dxa"/>
            <w:tcMar>
              <w:top w:w="0" w:type="dxa"/>
              <w:left w:w="10" w:type="dxa"/>
              <w:bottom w:w="0" w:type="dxa"/>
              <w:right w:w="10" w:type="dxa"/>
            </w:tcMar>
            <w:vAlign w:val="center"/>
          </w:tcPr>
          <w:p w14:paraId="31E7C51C">
            <w:pPr>
              <w:widowControl/>
              <w:spacing w:line="360" w:lineRule="auto"/>
              <w:jc w:val="center"/>
              <w:rPr>
                <w:rFonts w:ascii="宋体" w:hAnsi="宋体"/>
                <w:color w:val="auto"/>
                <w:kern w:val="0"/>
                <w:szCs w:val="21"/>
              </w:rPr>
            </w:pPr>
          </w:p>
        </w:tc>
        <w:tc>
          <w:tcPr>
            <w:tcW w:w="2488" w:type="dxa"/>
            <w:tcMar>
              <w:top w:w="0" w:type="dxa"/>
              <w:left w:w="10" w:type="dxa"/>
              <w:bottom w:w="0" w:type="dxa"/>
              <w:right w:w="10" w:type="dxa"/>
            </w:tcMar>
            <w:vAlign w:val="center"/>
          </w:tcPr>
          <w:p w14:paraId="4AA4B378">
            <w:pPr>
              <w:widowControl/>
              <w:spacing w:line="360" w:lineRule="auto"/>
              <w:jc w:val="center"/>
              <w:rPr>
                <w:rFonts w:ascii="宋体" w:hAnsi="宋体"/>
                <w:color w:val="auto"/>
                <w:kern w:val="0"/>
                <w:szCs w:val="21"/>
              </w:rPr>
            </w:pPr>
          </w:p>
        </w:tc>
        <w:tc>
          <w:tcPr>
            <w:tcW w:w="3004" w:type="dxa"/>
            <w:tcMar>
              <w:top w:w="0" w:type="dxa"/>
              <w:left w:w="10" w:type="dxa"/>
              <w:bottom w:w="0" w:type="dxa"/>
              <w:right w:w="10" w:type="dxa"/>
            </w:tcMar>
            <w:vAlign w:val="center"/>
          </w:tcPr>
          <w:p w14:paraId="11AD20B1">
            <w:pPr>
              <w:widowControl/>
              <w:spacing w:line="360" w:lineRule="auto"/>
              <w:jc w:val="center"/>
              <w:rPr>
                <w:rFonts w:ascii="宋体" w:hAnsi="宋体"/>
                <w:color w:val="auto"/>
                <w:kern w:val="0"/>
                <w:szCs w:val="21"/>
              </w:rPr>
            </w:pPr>
          </w:p>
        </w:tc>
        <w:tc>
          <w:tcPr>
            <w:tcW w:w="1201" w:type="dxa"/>
            <w:tcMar>
              <w:top w:w="0" w:type="dxa"/>
              <w:left w:w="10" w:type="dxa"/>
              <w:bottom w:w="0" w:type="dxa"/>
              <w:right w:w="10" w:type="dxa"/>
            </w:tcMar>
            <w:vAlign w:val="center"/>
          </w:tcPr>
          <w:p w14:paraId="76185E28">
            <w:pPr>
              <w:widowControl/>
              <w:spacing w:line="360" w:lineRule="auto"/>
              <w:jc w:val="center"/>
              <w:rPr>
                <w:rFonts w:ascii="宋体" w:hAnsi="宋体"/>
                <w:color w:val="auto"/>
                <w:kern w:val="0"/>
                <w:szCs w:val="21"/>
              </w:rPr>
            </w:pPr>
          </w:p>
        </w:tc>
      </w:tr>
    </w:tbl>
    <w:p w14:paraId="3E03B4EC">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说明：如果行数不够，请自行增加。</w:t>
      </w:r>
    </w:p>
    <w:p w14:paraId="0C0CA7CA">
      <w:pPr>
        <w:widowControl/>
        <w:shd w:val="clear" w:color="auto" w:fill="FFFFFF"/>
        <w:spacing w:line="360" w:lineRule="auto"/>
        <w:ind w:firstLine="632" w:firstLineChars="300"/>
        <w:jc w:val="left"/>
        <w:rPr>
          <w:rFonts w:ascii="宋体" w:hAnsi="宋体"/>
          <w:b/>
          <w:color w:val="auto"/>
          <w:kern w:val="0"/>
          <w:szCs w:val="21"/>
          <w:u w:val="single"/>
        </w:rPr>
      </w:pPr>
      <w:r>
        <w:rPr>
          <w:b/>
          <w:color w:val="auto"/>
          <w:szCs w:val="21"/>
          <w:u w:val="single"/>
        </w:rPr>
        <w:t>投标人必须仔细阅读招标文件，并将所有</w:t>
      </w:r>
      <w:r>
        <w:rPr>
          <w:rFonts w:hint="eastAsia"/>
          <w:b/>
          <w:color w:val="auto"/>
          <w:szCs w:val="21"/>
          <w:u w:val="single"/>
        </w:rPr>
        <w:t>商务条款</w:t>
      </w:r>
      <w:r>
        <w:rPr>
          <w:b/>
          <w:color w:val="auto"/>
          <w:szCs w:val="21"/>
          <w:u w:val="single"/>
        </w:rPr>
        <w:t>偏离的条目列入下表，未列入下表的视作投标人完全接受。</w:t>
      </w:r>
    </w:p>
    <w:p w14:paraId="4678F186">
      <w:pPr>
        <w:widowControl/>
        <w:shd w:val="clear" w:color="auto" w:fill="FFFFFF"/>
        <w:spacing w:line="360" w:lineRule="auto"/>
        <w:jc w:val="left"/>
        <w:rPr>
          <w:rFonts w:ascii="宋体" w:hAnsi="宋体" w:cs="宋体"/>
          <w:color w:val="auto"/>
          <w:kern w:val="0"/>
          <w:szCs w:val="21"/>
        </w:rPr>
      </w:pPr>
    </w:p>
    <w:p w14:paraId="7B27D83F">
      <w:pPr>
        <w:widowControl/>
        <w:shd w:val="clear" w:color="auto" w:fill="FFFFFF"/>
        <w:spacing w:line="360" w:lineRule="auto"/>
        <w:jc w:val="left"/>
        <w:rPr>
          <w:rFonts w:ascii="宋体" w:hAnsi="宋体" w:cs="宋体"/>
          <w:color w:val="auto"/>
          <w:kern w:val="0"/>
          <w:szCs w:val="21"/>
        </w:rPr>
      </w:pPr>
    </w:p>
    <w:p w14:paraId="0D2BB185">
      <w:pPr>
        <w:widowControl/>
        <w:shd w:val="clear" w:color="auto" w:fill="FFFFFF"/>
        <w:spacing w:line="360" w:lineRule="auto"/>
        <w:jc w:val="left"/>
        <w:rPr>
          <w:rFonts w:ascii="宋体" w:hAnsi="宋体" w:cs="宋体"/>
          <w:color w:val="auto"/>
          <w:kern w:val="0"/>
          <w:szCs w:val="21"/>
        </w:rPr>
      </w:pPr>
    </w:p>
    <w:p w14:paraId="4A3B2D74">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投标单位（盖章）：</w:t>
      </w:r>
      <w:r>
        <w:rPr>
          <w:rFonts w:ascii="宋体"/>
          <w:color w:val="auto"/>
          <w:kern w:val="0"/>
          <w:szCs w:val="21"/>
          <w:u w:val="single"/>
        </w:rPr>
        <w:t>                      </w:t>
      </w:r>
    </w:p>
    <w:p w14:paraId="57AF5859">
      <w:pPr>
        <w:widowControl/>
        <w:shd w:val="clear" w:color="auto" w:fill="FFFFFF"/>
        <w:spacing w:line="360" w:lineRule="auto"/>
        <w:jc w:val="left"/>
        <w:rPr>
          <w:rFonts w:ascii="宋体"/>
          <w:color w:val="auto"/>
          <w:kern w:val="0"/>
          <w:szCs w:val="21"/>
          <w:u w:val="single"/>
        </w:rPr>
      </w:pPr>
      <w:r>
        <w:rPr>
          <w:rFonts w:hint="eastAsia" w:ascii="宋体" w:hAnsi="宋体" w:cs="宋体"/>
          <w:color w:val="auto"/>
          <w:kern w:val="0"/>
          <w:szCs w:val="21"/>
        </w:rPr>
        <w:t>授权代表（签字）：</w:t>
      </w:r>
      <w:r>
        <w:rPr>
          <w:rFonts w:ascii="宋体"/>
          <w:color w:val="auto"/>
          <w:kern w:val="0"/>
          <w:szCs w:val="21"/>
          <w:u w:val="single"/>
        </w:rPr>
        <w:t>                      </w:t>
      </w:r>
    </w:p>
    <w:p w14:paraId="3B910B0A">
      <w:pPr>
        <w:widowControl/>
        <w:shd w:val="clear" w:color="auto" w:fill="FFFFFF"/>
        <w:spacing w:line="360" w:lineRule="auto"/>
        <w:jc w:val="left"/>
        <w:rPr>
          <w:rFonts w:ascii="宋体" w:hAnsi="宋体"/>
          <w:color w:val="auto"/>
          <w:kern w:val="0"/>
          <w:szCs w:val="21"/>
        </w:rPr>
      </w:pPr>
    </w:p>
    <w:p w14:paraId="4939A2C5">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 </w:t>
      </w:r>
    </w:p>
    <w:p w14:paraId="1777FC9E">
      <w:pPr>
        <w:widowControl/>
        <w:shd w:val="clear" w:color="auto" w:fill="FFFFFF"/>
        <w:spacing w:line="360" w:lineRule="auto"/>
        <w:jc w:val="left"/>
        <w:rPr>
          <w:rFonts w:ascii="宋体" w:hAnsi="宋体"/>
          <w:color w:val="auto"/>
          <w:kern w:val="0"/>
          <w:szCs w:val="21"/>
        </w:rPr>
      </w:pPr>
      <w:r>
        <w:rPr>
          <w:rFonts w:hint="eastAsia" w:ascii="宋体" w:hAnsi="宋体"/>
          <w:color w:val="auto"/>
          <w:kern w:val="0"/>
          <w:szCs w:val="21"/>
        </w:rPr>
        <w:t> </w:t>
      </w:r>
    </w:p>
    <w:p w14:paraId="2E4D3D00">
      <w:pPr>
        <w:widowControl/>
        <w:shd w:val="clear" w:color="auto" w:fill="FFFFFF"/>
        <w:spacing w:line="360" w:lineRule="auto"/>
        <w:jc w:val="left"/>
        <w:rPr>
          <w:rFonts w:ascii="宋体" w:hAnsi="宋体"/>
          <w:color w:val="auto"/>
          <w:kern w:val="0"/>
          <w:szCs w:val="21"/>
        </w:rPr>
      </w:pPr>
    </w:p>
    <w:p w14:paraId="1E9A6E93">
      <w:pPr>
        <w:widowControl/>
        <w:shd w:val="clear" w:color="auto" w:fill="FFFFFF"/>
        <w:spacing w:line="360" w:lineRule="auto"/>
        <w:jc w:val="left"/>
        <w:rPr>
          <w:rFonts w:ascii="宋体"/>
          <w:b/>
          <w:color w:val="auto"/>
          <w:szCs w:val="21"/>
          <w:lang w:val="zh-CN"/>
        </w:rPr>
      </w:pPr>
      <w:r>
        <w:rPr>
          <w:rFonts w:ascii="宋体" w:hAnsi="宋体"/>
          <w:b/>
          <w:bCs/>
          <w:color w:val="auto"/>
          <w:kern w:val="0"/>
          <w:szCs w:val="21"/>
        </w:rPr>
        <w:br w:type="page"/>
      </w:r>
      <w:r>
        <w:rPr>
          <w:rFonts w:hint="eastAsia" w:ascii="宋体" w:hAnsi="宋体"/>
          <w:b/>
          <w:bCs/>
          <w:color w:val="auto"/>
          <w:kern w:val="0"/>
          <w:szCs w:val="21"/>
        </w:rPr>
        <w:t>附件七、</w:t>
      </w:r>
      <w:r>
        <w:rPr>
          <w:rFonts w:hint="eastAsia" w:ascii="宋体"/>
          <w:b/>
          <w:color w:val="auto"/>
          <w:szCs w:val="21"/>
          <w:lang w:val="zh-CN"/>
        </w:rPr>
        <w:t>技术说明与服务方案</w:t>
      </w:r>
    </w:p>
    <w:p w14:paraId="150D0DAC">
      <w:pPr>
        <w:widowControl/>
        <w:shd w:val="clear" w:color="auto" w:fill="FFFFFF"/>
        <w:spacing w:line="360" w:lineRule="auto"/>
        <w:jc w:val="left"/>
        <w:rPr>
          <w:rFonts w:ascii="宋体" w:hAnsi="宋体"/>
          <w:bCs/>
          <w:color w:val="auto"/>
          <w:kern w:val="0"/>
          <w:szCs w:val="21"/>
          <w:u w:val="single"/>
        </w:rPr>
      </w:pPr>
      <w:r>
        <w:rPr>
          <w:rFonts w:ascii="宋体" w:hAnsi="宋体"/>
          <w:bCs/>
          <w:color w:val="auto"/>
          <w:kern w:val="0"/>
          <w:szCs w:val="21"/>
          <w:u w:val="single"/>
        </w:rPr>
        <w:t>投标人自行编辑</w:t>
      </w:r>
      <w:r>
        <w:rPr>
          <w:rFonts w:hint="eastAsia" w:ascii="宋体" w:hAnsi="宋体"/>
          <w:bCs/>
          <w:color w:val="auto"/>
          <w:kern w:val="0"/>
          <w:szCs w:val="21"/>
          <w:u w:val="single"/>
        </w:rPr>
        <w:t>，</w:t>
      </w:r>
      <w:r>
        <w:rPr>
          <w:rFonts w:ascii="宋体" w:hAnsi="宋体"/>
          <w:bCs/>
          <w:color w:val="auto"/>
          <w:kern w:val="0"/>
          <w:szCs w:val="21"/>
          <w:u w:val="single"/>
        </w:rPr>
        <w:t>格式自拟</w:t>
      </w:r>
    </w:p>
    <w:p w14:paraId="72642EC9">
      <w:pPr>
        <w:widowControl/>
        <w:adjustRightInd w:val="0"/>
        <w:spacing w:line="460" w:lineRule="atLeast"/>
        <w:rPr>
          <w:rFonts w:ascii="宋体" w:hAnsi="宋体"/>
          <w:b/>
          <w:bCs/>
          <w:color w:val="auto"/>
          <w:kern w:val="0"/>
          <w:sz w:val="24"/>
        </w:rPr>
      </w:pPr>
      <w:r>
        <w:rPr>
          <w:rFonts w:ascii="宋体" w:hAnsi="宋体"/>
          <w:b/>
          <w:bCs/>
          <w:color w:val="auto"/>
          <w:kern w:val="0"/>
          <w:sz w:val="24"/>
        </w:rPr>
        <w:br w:type="page"/>
      </w:r>
      <w:r>
        <w:rPr>
          <w:rFonts w:hint="eastAsia" w:ascii="宋体" w:hAnsi="宋体"/>
          <w:b/>
          <w:bCs/>
          <w:color w:val="auto"/>
          <w:kern w:val="0"/>
          <w:sz w:val="24"/>
        </w:rPr>
        <w:t>附件八、拟参与本项目服务人员一览表</w:t>
      </w:r>
    </w:p>
    <w:p w14:paraId="2DFE35B8">
      <w:pPr>
        <w:widowControl/>
        <w:adjustRightInd w:val="0"/>
        <w:spacing w:line="460" w:lineRule="atLeast"/>
        <w:rPr>
          <w:rFonts w:ascii="宋体" w:hAnsi="宋体"/>
          <w:b/>
          <w:bCs/>
          <w:color w:val="auto"/>
          <w:kern w:val="0"/>
          <w:sz w:val="24"/>
        </w:rPr>
      </w:pPr>
    </w:p>
    <w:p w14:paraId="5F0282A2">
      <w:pPr>
        <w:widowControl/>
        <w:adjustRightInd w:val="0"/>
        <w:jc w:val="center"/>
        <w:rPr>
          <w:rFonts w:ascii="宋体" w:hAnsi="宋体"/>
          <w:b/>
          <w:bCs/>
          <w:color w:val="auto"/>
          <w:kern w:val="0"/>
          <w:sz w:val="24"/>
        </w:rPr>
      </w:pPr>
      <w:r>
        <w:rPr>
          <w:rFonts w:hint="eastAsia" w:ascii="宋体" w:hAnsi="宋体"/>
          <w:b/>
          <w:bCs/>
          <w:color w:val="auto"/>
          <w:kern w:val="0"/>
          <w:sz w:val="24"/>
        </w:rPr>
        <w:t>拟参与本项目服务人员一览表</w:t>
      </w:r>
    </w:p>
    <w:p w14:paraId="12A3D8D3">
      <w:pPr>
        <w:widowControl/>
        <w:adjustRightInd w:val="0"/>
        <w:jc w:val="center"/>
        <w:rPr>
          <w:rFonts w:ascii="宋体" w:hAnsi="宋体"/>
          <w:b/>
          <w:bCs/>
          <w:color w:val="auto"/>
          <w:kern w:val="0"/>
          <w:sz w:val="24"/>
        </w:rPr>
      </w:pPr>
    </w:p>
    <w:p w14:paraId="2E157661">
      <w:pPr>
        <w:widowControl/>
        <w:adjustRightInd w:val="0"/>
        <w:rPr>
          <w:rFonts w:ascii="宋体" w:hAnsi="宋体"/>
          <w:color w:val="auto"/>
          <w:kern w:val="0"/>
          <w:szCs w:val="21"/>
        </w:rPr>
      </w:pPr>
      <w:r>
        <w:rPr>
          <w:rFonts w:hint="eastAsia" w:ascii="宋体" w:hAnsi="宋体"/>
          <w:color w:val="auto"/>
          <w:kern w:val="0"/>
          <w:szCs w:val="21"/>
        </w:rPr>
        <w:t>项目名称：                                 项目编号：</w:t>
      </w:r>
    </w:p>
    <w:tbl>
      <w:tblPr>
        <w:tblStyle w:val="44"/>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08DD7EE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7BFDCB47">
            <w:pPr>
              <w:widowControl/>
              <w:adjustRightInd w:val="0"/>
              <w:jc w:val="center"/>
              <w:rPr>
                <w:rFonts w:ascii="宋体" w:hAnsi="宋体"/>
                <w:b/>
                <w:bCs/>
                <w:color w:val="auto"/>
                <w:kern w:val="0"/>
                <w:szCs w:val="21"/>
              </w:rPr>
            </w:pPr>
            <w:r>
              <w:rPr>
                <w:rFonts w:hint="eastAsia" w:ascii="宋体" w:hAnsi="宋体"/>
                <w:b/>
                <w:bCs/>
                <w:color w:val="auto"/>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5D85C395">
            <w:pPr>
              <w:widowControl/>
              <w:adjustRightInd w:val="0"/>
              <w:jc w:val="center"/>
              <w:rPr>
                <w:rFonts w:ascii="宋体" w:hAnsi="宋体"/>
                <w:b/>
                <w:bCs/>
                <w:color w:val="auto"/>
                <w:kern w:val="0"/>
                <w:szCs w:val="21"/>
              </w:rPr>
            </w:pPr>
            <w:r>
              <w:rPr>
                <w:rFonts w:hint="eastAsia" w:ascii="宋体" w:hAnsi="宋体"/>
                <w:b/>
                <w:bCs/>
                <w:color w:val="auto"/>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48420BF1">
            <w:pPr>
              <w:widowControl/>
              <w:adjustRightInd w:val="0"/>
              <w:jc w:val="center"/>
              <w:rPr>
                <w:rFonts w:ascii="宋体" w:hAnsi="宋体"/>
                <w:b/>
                <w:bCs/>
                <w:color w:val="auto"/>
                <w:kern w:val="0"/>
                <w:szCs w:val="21"/>
              </w:rPr>
            </w:pPr>
            <w:r>
              <w:rPr>
                <w:rFonts w:hint="eastAsia" w:ascii="宋体" w:hAnsi="宋体"/>
                <w:b/>
                <w:bCs/>
                <w:color w:val="auto"/>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5D527F50">
            <w:pPr>
              <w:widowControl/>
              <w:adjustRightInd w:val="0"/>
              <w:jc w:val="center"/>
              <w:rPr>
                <w:rFonts w:ascii="宋体" w:hAnsi="宋体"/>
                <w:b/>
                <w:bCs/>
                <w:color w:val="auto"/>
                <w:kern w:val="0"/>
                <w:szCs w:val="21"/>
              </w:rPr>
            </w:pPr>
            <w:r>
              <w:rPr>
                <w:rFonts w:hint="eastAsia" w:ascii="宋体" w:hAnsi="宋体"/>
                <w:b/>
                <w:bCs/>
                <w:color w:val="auto"/>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02015379">
            <w:pPr>
              <w:widowControl/>
              <w:adjustRightInd w:val="0"/>
              <w:jc w:val="center"/>
              <w:rPr>
                <w:rFonts w:ascii="宋体" w:hAnsi="宋体"/>
                <w:b/>
                <w:bCs/>
                <w:color w:val="auto"/>
                <w:kern w:val="0"/>
                <w:szCs w:val="21"/>
              </w:rPr>
            </w:pPr>
            <w:r>
              <w:rPr>
                <w:rFonts w:hint="eastAsia" w:ascii="宋体" w:hAnsi="宋体"/>
                <w:b/>
                <w:bCs/>
                <w:color w:val="auto"/>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0064B473">
            <w:pPr>
              <w:widowControl/>
              <w:adjustRightInd w:val="0"/>
              <w:jc w:val="center"/>
              <w:rPr>
                <w:rFonts w:ascii="宋体" w:hAnsi="宋体"/>
                <w:b/>
                <w:bCs/>
                <w:color w:val="auto"/>
                <w:kern w:val="0"/>
                <w:szCs w:val="21"/>
              </w:rPr>
            </w:pPr>
            <w:r>
              <w:rPr>
                <w:rFonts w:hint="eastAsia" w:ascii="宋体" w:hAnsi="宋体"/>
                <w:b/>
                <w:bCs/>
                <w:color w:val="auto"/>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030C5E31">
            <w:pPr>
              <w:widowControl/>
              <w:adjustRightInd w:val="0"/>
              <w:jc w:val="center"/>
              <w:rPr>
                <w:rFonts w:ascii="宋体" w:hAnsi="宋体"/>
                <w:b/>
                <w:bCs/>
                <w:color w:val="auto"/>
                <w:kern w:val="0"/>
                <w:szCs w:val="21"/>
              </w:rPr>
            </w:pPr>
            <w:r>
              <w:rPr>
                <w:rFonts w:hint="eastAsia" w:ascii="宋体" w:hAnsi="宋体"/>
                <w:b/>
                <w:bCs/>
                <w:color w:val="auto"/>
                <w:kern w:val="0"/>
                <w:szCs w:val="21"/>
              </w:rPr>
              <w:t>执业</w:t>
            </w:r>
          </w:p>
          <w:p w14:paraId="7CCA8C11">
            <w:pPr>
              <w:widowControl/>
              <w:adjustRightInd w:val="0"/>
              <w:jc w:val="center"/>
              <w:rPr>
                <w:rFonts w:ascii="宋体" w:hAnsi="宋体"/>
                <w:b/>
                <w:bCs/>
                <w:color w:val="auto"/>
                <w:kern w:val="0"/>
                <w:szCs w:val="21"/>
              </w:rPr>
            </w:pPr>
            <w:r>
              <w:rPr>
                <w:rFonts w:hint="eastAsia" w:ascii="宋体" w:hAnsi="宋体"/>
                <w:b/>
                <w:bCs/>
                <w:color w:val="auto"/>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1BC846F5">
            <w:pPr>
              <w:widowControl/>
              <w:adjustRightInd w:val="0"/>
              <w:jc w:val="center"/>
              <w:rPr>
                <w:rFonts w:ascii="宋体" w:hAnsi="宋体"/>
                <w:b/>
                <w:bCs/>
                <w:color w:val="auto"/>
                <w:kern w:val="0"/>
                <w:szCs w:val="21"/>
              </w:rPr>
            </w:pPr>
            <w:r>
              <w:rPr>
                <w:rFonts w:hint="eastAsia" w:ascii="宋体" w:hAnsi="宋体"/>
                <w:b/>
                <w:bCs/>
                <w:color w:val="auto"/>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1CDA1A25">
            <w:pPr>
              <w:widowControl/>
              <w:adjustRightInd w:val="0"/>
              <w:jc w:val="center"/>
              <w:rPr>
                <w:rFonts w:ascii="宋体" w:hAnsi="宋体"/>
                <w:b/>
                <w:bCs/>
                <w:color w:val="auto"/>
                <w:kern w:val="0"/>
                <w:szCs w:val="21"/>
              </w:rPr>
            </w:pPr>
            <w:r>
              <w:rPr>
                <w:rFonts w:hint="eastAsia" w:ascii="宋体" w:hAnsi="宋体"/>
                <w:b/>
                <w:bCs/>
                <w:color w:val="auto"/>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32521CC1">
            <w:pPr>
              <w:widowControl/>
              <w:adjustRightInd w:val="0"/>
              <w:jc w:val="center"/>
              <w:rPr>
                <w:rFonts w:ascii="宋体" w:hAnsi="宋体"/>
                <w:b/>
                <w:bCs/>
                <w:color w:val="auto"/>
                <w:kern w:val="0"/>
                <w:szCs w:val="21"/>
              </w:rPr>
            </w:pPr>
            <w:r>
              <w:rPr>
                <w:rFonts w:hint="eastAsia" w:ascii="宋体" w:hAnsi="宋体"/>
                <w:b/>
                <w:bCs/>
                <w:color w:val="auto"/>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64578BE1">
            <w:pPr>
              <w:widowControl/>
              <w:adjustRightInd w:val="0"/>
              <w:jc w:val="center"/>
              <w:rPr>
                <w:rFonts w:ascii="宋体" w:hAnsi="宋体"/>
                <w:b/>
                <w:bCs/>
                <w:color w:val="auto"/>
                <w:kern w:val="0"/>
                <w:szCs w:val="21"/>
              </w:rPr>
            </w:pPr>
            <w:r>
              <w:rPr>
                <w:rFonts w:hint="eastAsia" w:ascii="宋体" w:hAnsi="宋体"/>
                <w:b/>
                <w:bCs/>
                <w:color w:val="auto"/>
                <w:kern w:val="0"/>
                <w:szCs w:val="21"/>
              </w:rPr>
              <w:t>备注</w:t>
            </w:r>
          </w:p>
        </w:tc>
      </w:tr>
      <w:tr w14:paraId="55FC35F5">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E35E153">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307E94CF">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1FAFE77B">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76970B2A">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166B6BAB">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6D860054">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7D17411D">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1523C8AD">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162520D6">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5C1A724A">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1F27D41F">
            <w:pPr>
              <w:widowControl/>
              <w:adjustRightInd w:val="0"/>
              <w:rPr>
                <w:rFonts w:ascii="宋体" w:hAnsi="宋体"/>
                <w:color w:val="auto"/>
                <w:kern w:val="0"/>
                <w:szCs w:val="21"/>
              </w:rPr>
            </w:pPr>
          </w:p>
        </w:tc>
      </w:tr>
      <w:tr w14:paraId="63DB26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0FFF18D">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7A25C2C1">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403F188B">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1CDADCDC">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421EA1F7">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313C267D">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4AB11A69">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5FCA75A5">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5A2A42E4">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4F8307C0">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78C200A0">
            <w:pPr>
              <w:widowControl/>
              <w:adjustRightInd w:val="0"/>
              <w:rPr>
                <w:rFonts w:ascii="宋体" w:hAnsi="宋体"/>
                <w:color w:val="auto"/>
                <w:kern w:val="0"/>
                <w:szCs w:val="21"/>
              </w:rPr>
            </w:pPr>
          </w:p>
        </w:tc>
      </w:tr>
      <w:tr w14:paraId="799F3BE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465BFCE">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2045415A">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18F83476">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12AAEA30">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0ACD61C8">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107CA0CF">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6287E653">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1513C99D">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2F10C46F">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5D4AD1A6">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61D02C34">
            <w:pPr>
              <w:widowControl/>
              <w:adjustRightInd w:val="0"/>
              <w:rPr>
                <w:rFonts w:ascii="宋体" w:hAnsi="宋体"/>
                <w:color w:val="auto"/>
                <w:kern w:val="0"/>
                <w:szCs w:val="21"/>
              </w:rPr>
            </w:pPr>
          </w:p>
        </w:tc>
      </w:tr>
      <w:tr w14:paraId="25C2944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69367B3">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7F545BB6">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74E2504B">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1A37C290">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4B446055">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5F695B13">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5F0CB996">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127B47E7">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38572B1D">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724DAB42">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6A160FB4">
            <w:pPr>
              <w:widowControl/>
              <w:adjustRightInd w:val="0"/>
              <w:rPr>
                <w:rFonts w:ascii="宋体" w:hAnsi="宋体"/>
                <w:color w:val="auto"/>
                <w:kern w:val="0"/>
                <w:szCs w:val="21"/>
              </w:rPr>
            </w:pPr>
          </w:p>
        </w:tc>
      </w:tr>
      <w:tr w14:paraId="29C95C5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11123F5">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4B529C9E">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16565DE1">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0DFBE675">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135FC297">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78953D30">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5F8DF2C6">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67D31AE2">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03394CB0">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36D732BB">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6C667235">
            <w:pPr>
              <w:widowControl/>
              <w:adjustRightInd w:val="0"/>
              <w:rPr>
                <w:rFonts w:ascii="宋体" w:hAnsi="宋体"/>
                <w:color w:val="auto"/>
                <w:kern w:val="0"/>
                <w:szCs w:val="21"/>
              </w:rPr>
            </w:pPr>
          </w:p>
        </w:tc>
      </w:tr>
      <w:tr w14:paraId="6ECCA13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694715D">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548E593E">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74D62830">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3B668E77">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26B2B880">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0F9C5EEE">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14A2B97F">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5C92211F">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3568A97F">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69727BC9">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6E9528BB">
            <w:pPr>
              <w:widowControl/>
              <w:adjustRightInd w:val="0"/>
              <w:rPr>
                <w:rFonts w:ascii="宋体" w:hAnsi="宋体"/>
                <w:color w:val="auto"/>
                <w:kern w:val="0"/>
                <w:szCs w:val="21"/>
              </w:rPr>
            </w:pPr>
          </w:p>
        </w:tc>
      </w:tr>
      <w:tr w14:paraId="1E02F2D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D00E36F">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0C2996BF">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50360480">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6E2094D8">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7E83DF34">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3DEF05F2">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334E05AC">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65ABEA9E">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48EE584D">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05A2919C">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5DBA4DB3">
            <w:pPr>
              <w:widowControl/>
              <w:adjustRightInd w:val="0"/>
              <w:rPr>
                <w:rFonts w:ascii="宋体" w:hAnsi="宋体"/>
                <w:color w:val="auto"/>
                <w:kern w:val="0"/>
                <w:szCs w:val="21"/>
              </w:rPr>
            </w:pPr>
          </w:p>
        </w:tc>
      </w:tr>
      <w:tr w14:paraId="71AA5D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40F35C">
            <w:pPr>
              <w:widowControl/>
              <w:adjustRightInd w:val="0"/>
              <w:rPr>
                <w:rFonts w:ascii="宋体" w:hAnsi="宋体"/>
                <w:color w:val="auto"/>
                <w:kern w:val="0"/>
                <w:szCs w:val="21"/>
              </w:rPr>
            </w:pPr>
          </w:p>
        </w:tc>
        <w:tc>
          <w:tcPr>
            <w:tcW w:w="896" w:type="dxa"/>
            <w:tcBorders>
              <w:top w:val="single" w:color="000000" w:sz="4" w:space="0"/>
              <w:left w:val="nil"/>
              <w:bottom w:val="single" w:color="000000" w:sz="4" w:space="0"/>
              <w:right w:val="single" w:color="000000" w:sz="4" w:space="0"/>
            </w:tcBorders>
          </w:tcPr>
          <w:p w14:paraId="08120E80">
            <w:pPr>
              <w:widowControl/>
              <w:adjustRightInd w:val="0"/>
              <w:rPr>
                <w:rFonts w:ascii="宋体" w:hAnsi="宋体"/>
                <w:color w:val="auto"/>
                <w:kern w:val="0"/>
                <w:szCs w:val="21"/>
              </w:rPr>
            </w:pPr>
          </w:p>
        </w:tc>
        <w:tc>
          <w:tcPr>
            <w:tcW w:w="663" w:type="dxa"/>
            <w:tcBorders>
              <w:top w:val="single" w:color="000000" w:sz="4" w:space="0"/>
              <w:left w:val="nil"/>
              <w:bottom w:val="single" w:color="000000" w:sz="4" w:space="0"/>
              <w:right w:val="single" w:color="000000" w:sz="4" w:space="0"/>
            </w:tcBorders>
          </w:tcPr>
          <w:p w14:paraId="3E6E646A">
            <w:pPr>
              <w:widowControl/>
              <w:adjustRightInd w:val="0"/>
              <w:rPr>
                <w:rFonts w:ascii="宋体" w:hAnsi="宋体"/>
                <w:color w:val="auto"/>
                <w:kern w:val="0"/>
                <w:szCs w:val="21"/>
              </w:rPr>
            </w:pPr>
          </w:p>
        </w:tc>
        <w:tc>
          <w:tcPr>
            <w:tcW w:w="709" w:type="dxa"/>
            <w:tcBorders>
              <w:top w:val="single" w:color="000000" w:sz="4" w:space="0"/>
              <w:left w:val="nil"/>
              <w:bottom w:val="single" w:color="000000" w:sz="4" w:space="0"/>
              <w:right w:val="single" w:color="000000" w:sz="4" w:space="0"/>
            </w:tcBorders>
          </w:tcPr>
          <w:p w14:paraId="4E487F61">
            <w:pPr>
              <w:widowControl/>
              <w:adjustRightInd w:val="0"/>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06970F62">
            <w:pPr>
              <w:widowControl/>
              <w:adjustRightInd w:val="0"/>
              <w:rPr>
                <w:rFonts w:ascii="宋体" w:hAnsi="宋体"/>
                <w:color w:val="auto"/>
                <w:kern w:val="0"/>
                <w:szCs w:val="21"/>
              </w:rPr>
            </w:pPr>
          </w:p>
        </w:tc>
        <w:tc>
          <w:tcPr>
            <w:tcW w:w="931" w:type="dxa"/>
            <w:tcBorders>
              <w:top w:val="single" w:color="000000" w:sz="4" w:space="0"/>
              <w:left w:val="nil"/>
              <w:bottom w:val="single" w:color="000000" w:sz="4" w:space="0"/>
              <w:right w:val="single" w:color="000000" w:sz="4" w:space="0"/>
            </w:tcBorders>
          </w:tcPr>
          <w:p w14:paraId="59C0B883">
            <w:pPr>
              <w:widowControl/>
              <w:adjustRightInd w:val="0"/>
              <w:rPr>
                <w:rFonts w:ascii="宋体" w:hAnsi="宋体"/>
                <w:color w:val="auto"/>
                <w:kern w:val="0"/>
                <w:szCs w:val="21"/>
              </w:rPr>
            </w:pPr>
          </w:p>
        </w:tc>
        <w:tc>
          <w:tcPr>
            <w:tcW w:w="1020" w:type="dxa"/>
            <w:tcBorders>
              <w:top w:val="single" w:color="000000" w:sz="4" w:space="0"/>
              <w:left w:val="nil"/>
              <w:bottom w:val="single" w:color="000000" w:sz="4" w:space="0"/>
              <w:right w:val="single" w:color="000000" w:sz="4" w:space="0"/>
            </w:tcBorders>
          </w:tcPr>
          <w:p w14:paraId="240AA6F3">
            <w:pPr>
              <w:widowControl/>
              <w:adjustRightInd w:val="0"/>
              <w:rPr>
                <w:rFonts w:ascii="宋体" w:hAnsi="宋体"/>
                <w:color w:val="auto"/>
                <w:kern w:val="0"/>
                <w:szCs w:val="21"/>
              </w:rPr>
            </w:pPr>
          </w:p>
        </w:tc>
        <w:tc>
          <w:tcPr>
            <w:tcW w:w="994" w:type="dxa"/>
            <w:tcBorders>
              <w:top w:val="single" w:color="000000" w:sz="4" w:space="0"/>
              <w:left w:val="nil"/>
              <w:bottom w:val="single" w:color="000000" w:sz="4" w:space="0"/>
              <w:right w:val="single" w:color="000000" w:sz="4" w:space="0"/>
            </w:tcBorders>
          </w:tcPr>
          <w:p w14:paraId="7353236D">
            <w:pPr>
              <w:widowControl/>
              <w:adjustRightInd w:val="0"/>
              <w:rPr>
                <w:rFonts w:ascii="宋体" w:hAnsi="宋体"/>
                <w:color w:val="auto"/>
                <w:kern w:val="0"/>
                <w:szCs w:val="21"/>
              </w:rPr>
            </w:pPr>
          </w:p>
        </w:tc>
        <w:tc>
          <w:tcPr>
            <w:tcW w:w="882" w:type="dxa"/>
            <w:tcBorders>
              <w:top w:val="single" w:color="000000" w:sz="4" w:space="0"/>
              <w:left w:val="nil"/>
              <w:bottom w:val="single" w:color="000000" w:sz="4" w:space="0"/>
              <w:right w:val="single" w:color="000000" w:sz="4" w:space="0"/>
            </w:tcBorders>
          </w:tcPr>
          <w:p w14:paraId="4330CA3D">
            <w:pPr>
              <w:widowControl/>
              <w:adjustRightInd w:val="0"/>
              <w:rPr>
                <w:rFonts w:ascii="宋体" w:hAnsi="宋体"/>
                <w:color w:val="auto"/>
                <w:kern w:val="0"/>
                <w:szCs w:val="21"/>
              </w:rPr>
            </w:pPr>
          </w:p>
        </w:tc>
        <w:tc>
          <w:tcPr>
            <w:tcW w:w="850" w:type="dxa"/>
            <w:tcBorders>
              <w:top w:val="single" w:color="000000" w:sz="4" w:space="0"/>
              <w:left w:val="nil"/>
              <w:bottom w:val="single" w:color="000000" w:sz="4" w:space="0"/>
              <w:right w:val="single" w:color="000000" w:sz="4" w:space="0"/>
            </w:tcBorders>
          </w:tcPr>
          <w:p w14:paraId="4DDC3586">
            <w:pPr>
              <w:widowControl/>
              <w:adjustRightInd w:val="0"/>
              <w:rPr>
                <w:rFonts w:ascii="宋体" w:hAnsi="宋体"/>
                <w:color w:val="auto"/>
                <w:kern w:val="0"/>
                <w:szCs w:val="21"/>
              </w:rPr>
            </w:pPr>
          </w:p>
        </w:tc>
        <w:tc>
          <w:tcPr>
            <w:tcW w:w="851" w:type="dxa"/>
            <w:tcBorders>
              <w:top w:val="single" w:color="000000" w:sz="4" w:space="0"/>
              <w:left w:val="nil"/>
              <w:bottom w:val="single" w:color="000000" w:sz="4" w:space="0"/>
              <w:right w:val="single" w:color="000000" w:sz="4" w:space="0"/>
            </w:tcBorders>
          </w:tcPr>
          <w:p w14:paraId="3BF8A548">
            <w:pPr>
              <w:widowControl/>
              <w:adjustRightInd w:val="0"/>
              <w:rPr>
                <w:rFonts w:ascii="宋体" w:hAnsi="宋体"/>
                <w:color w:val="auto"/>
                <w:kern w:val="0"/>
                <w:szCs w:val="21"/>
              </w:rPr>
            </w:pPr>
          </w:p>
        </w:tc>
      </w:tr>
    </w:tbl>
    <w:p w14:paraId="4DCEAA90">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投标单位（盖章）：</w:t>
      </w:r>
      <w:r>
        <w:rPr>
          <w:rFonts w:ascii="宋体"/>
          <w:color w:val="auto"/>
          <w:kern w:val="0"/>
          <w:szCs w:val="21"/>
          <w:u w:val="single"/>
        </w:rPr>
        <w:t>                      </w:t>
      </w:r>
    </w:p>
    <w:p w14:paraId="42665F23">
      <w:pPr>
        <w:widowControl/>
        <w:shd w:val="clear" w:color="auto" w:fill="FFFFFF"/>
        <w:spacing w:line="360" w:lineRule="auto"/>
        <w:jc w:val="left"/>
        <w:rPr>
          <w:rFonts w:ascii="宋体"/>
          <w:color w:val="auto"/>
          <w:kern w:val="0"/>
          <w:szCs w:val="21"/>
          <w:u w:val="single"/>
        </w:rPr>
      </w:pPr>
      <w:r>
        <w:rPr>
          <w:rFonts w:hint="eastAsia" w:ascii="宋体" w:hAnsi="宋体" w:cs="宋体"/>
          <w:color w:val="auto"/>
          <w:kern w:val="0"/>
          <w:szCs w:val="21"/>
        </w:rPr>
        <w:t>授权代表（签字）：</w:t>
      </w:r>
      <w:r>
        <w:rPr>
          <w:rFonts w:ascii="宋体"/>
          <w:color w:val="auto"/>
          <w:kern w:val="0"/>
          <w:szCs w:val="21"/>
          <w:u w:val="single"/>
        </w:rPr>
        <w:t>                      </w:t>
      </w:r>
    </w:p>
    <w:p w14:paraId="35AF6996">
      <w:pPr>
        <w:widowControl/>
        <w:adjustRightInd w:val="0"/>
        <w:rPr>
          <w:rFonts w:ascii="宋体" w:hAnsi="宋体"/>
          <w:color w:val="auto"/>
          <w:kern w:val="0"/>
          <w:szCs w:val="21"/>
        </w:rPr>
      </w:pPr>
    </w:p>
    <w:p w14:paraId="5607AED4">
      <w:pPr>
        <w:widowControl/>
        <w:adjustRightInd w:val="0"/>
        <w:rPr>
          <w:rFonts w:ascii="宋体" w:hAnsi="宋体"/>
          <w:b/>
          <w:bCs/>
          <w:color w:val="auto"/>
          <w:kern w:val="0"/>
          <w:szCs w:val="21"/>
        </w:rPr>
      </w:pPr>
    </w:p>
    <w:p w14:paraId="2ED48545">
      <w:pPr>
        <w:widowControl/>
        <w:adjustRightInd w:val="0"/>
        <w:spacing w:line="360" w:lineRule="auto"/>
        <w:rPr>
          <w:rFonts w:ascii="宋体" w:hAnsi="宋体"/>
          <w:b/>
          <w:bCs/>
          <w:color w:val="auto"/>
          <w:kern w:val="0"/>
          <w:sz w:val="24"/>
        </w:rPr>
      </w:pPr>
      <w:r>
        <w:rPr>
          <w:rFonts w:hint="eastAsia" w:ascii="宋体" w:hAnsi="宋体"/>
          <w:b/>
          <w:bCs/>
          <w:color w:val="auto"/>
          <w:kern w:val="0"/>
          <w:sz w:val="24"/>
        </w:rPr>
        <w:br w:type="page"/>
      </w:r>
      <w:r>
        <w:rPr>
          <w:rFonts w:hint="eastAsia" w:ascii="宋体" w:hAnsi="宋体"/>
          <w:b/>
          <w:bCs/>
          <w:color w:val="auto"/>
          <w:kern w:val="0"/>
          <w:sz w:val="24"/>
        </w:rPr>
        <w:t>附件九、 投标人类似业绩情况表</w:t>
      </w:r>
    </w:p>
    <w:p w14:paraId="70AD37E3">
      <w:pPr>
        <w:widowControl/>
        <w:adjustRightInd w:val="0"/>
        <w:spacing w:line="360" w:lineRule="auto"/>
        <w:jc w:val="center"/>
        <w:rPr>
          <w:rFonts w:ascii="宋体" w:hAnsi="宋体"/>
          <w:b/>
          <w:bCs/>
          <w:color w:val="auto"/>
          <w:kern w:val="0"/>
          <w:sz w:val="24"/>
        </w:rPr>
      </w:pPr>
    </w:p>
    <w:p w14:paraId="12F8D6BA">
      <w:pPr>
        <w:widowControl/>
        <w:adjustRightInd w:val="0"/>
        <w:spacing w:line="360" w:lineRule="auto"/>
        <w:jc w:val="center"/>
        <w:rPr>
          <w:rFonts w:ascii="宋体" w:hAnsi="宋体"/>
          <w:b/>
          <w:bCs/>
          <w:color w:val="auto"/>
          <w:kern w:val="0"/>
          <w:sz w:val="24"/>
        </w:rPr>
      </w:pPr>
      <w:r>
        <w:rPr>
          <w:rFonts w:hint="eastAsia" w:ascii="宋体" w:hAnsi="宋体"/>
          <w:b/>
          <w:bCs/>
          <w:color w:val="auto"/>
          <w:kern w:val="0"/>
          <w:sz w:val="24"/>
        </w:rPr>
        <w:t>投标人类似业绩情况表</w:t>
      </w:r>
    </w:p>
    <w:tbl>
      <w:tblPr>
        <w:tblStyle w:val="44"/>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734B07D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49D8219">
            <w:pPr>
              <w:widowControl/>
              <w:spacing w:line="400" w:lineRule="atLeast"/>
              <w:jc w:val="center"/>
              <w:rPr>
                <w:rFonts w:ascii="宋体" w:hAnsi="宋体"/>
                <w:color w:val="auto"/>
                <w:kern w:val="0"/>
                <w:szCs w:val="21"/>
              </w:rPr>
            </w:pPr>
            <w:r>
              <w:rPr>
                <w:rFonts w:hint="eastAsia" w:ascii="宋体" w:hAnsi="宋体"/>
                <w:color w:val="auto"/>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0175B949">
            <w:pPr>
              <w:widowControl/>
              <w:spacing w:line="400" w:lineRule="atLeast"/>
              <w:jc w:val="center"/>
              <w:rPr>
                <w:rFonts w:ascii="宋体" w:hAnsi="宋体"/>
                <w:color w:val="auto"/>
                <w:kern w:val="0"/>
                <w:szCs w:val="21"/>
              </w:rPr>
            </w:pPr>
            <w:r>
              <w:rPr>
                <w:rFonts w:hint="eastAsia" w:ascii="宋体" w:hAnsi="宋体"/>
                <w:color w:val="auto"/>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7E08E539">
            <w:pPr>
              <w:widowControl/>
              <w:spacing w:line="400" w:lineRule="atLeast"/>
              <w:jc w:val="center"/>
              <w:rPr>
                <w:rFonts w:ascii="宋体" w:hAnsi="宋体"/>
                <w:color w:val="auto"/>
                <w:kern w:val="0"/>
                <w:szCs w:val="21"/>
              </w:rPr>
            </w:pPr>
            <w:r>
              <w:rPr>
                <w:rFonts w:hint="eastAsia" w:ascii="宋体" w:hAnsi="宋体"/>
                <w:color w:val="auto"/>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669AC14F">
            <w:pPr>
              <w:widowControl/>
              <w:spacing w:line="400" w:lineRule="atLeast"/>
              <w:jc w:val="center"/>
              <w:rPr>
                <w:rFonts w:ascii="宋体" w:hAnsi="宋体"/>
                <w:color w:val="auto"/>
                <w:kern w:val="0"/>
                <w:szCs w:val="21"/>
              </w:rPr>
            </w:pPr>
            <w:r>
              <w:rPr>
                <w:rFonts w:hint="eastAsia" w:ascii="宋体" w:hAnsi="宋体"/>
                <w:color w:val="auto"/>
                <w:kern w:val="0"/>
                <w:szCs w:val="21"/>
              </w:rPr>
              <w:t>项目</w:t>
            </w:r>
          </w:p>
          <w:p w14:paraId="1280988A">
            <w:pPr>
              <w:widowControl/>
              <w:spacing w:line="400" w:lineRule="atLeast"/>
              <w:jc w:val="center"/>
              <w:rPr>
                <w:rFonts w:ascii="宋体" w:hAnsi="宋体"/>
                <w:color w:val="auto"/>
                <w:kern w:val="0"/>
                <w:szCs w:val="21"/>
              </w:rPr>
            </w:pPr>
            <w:r>
              <w:rPr>
                <w:rFonts w:hint="eastAsia" w:ascii="宋体" w:hAnsi="宋体"/>
                <w:color w:val="auto"/>
                <w:kern w:val="0"/>
                <w:szCs w:val="21"/>
              </w:rPr>
              <w:t>规模</w:t>
            </w:r>
          </w:p>
        </w:tc>
        <w:tc>
          <w:tcPr>
            <w:tcW w:w="1034" w:type="dxa"/>
            <w:tcBorders>
              <w:top w:val="single" w:color="000000" w:sz="4" w:space="0"/>
              <w:left w:val="nil"/>
              <w:bottom w:val="single" w:color="000000" w:sz="4" w:space="0"/>
              <w:right w:val="single" w:color="000000" w:sz="4" w:space="0"/>
            </w:tcBorders>
            <w:vAlign w:val="center"/>
          </w:tcPr>
          <w:p w14:paraId="12FD9C6E">
            <w:pPr>
              <w:widowControl/>
              <w:spacing w:line="400" w:lineRule="atLeast"/>
              <w:jc w:val="center"/>
              <w:rPr>
                <w:rFonts w:ascii="宋体" w:hAnsi="宋体"/>
                <w:color w:val="auto"/>
                <w:kern w:val="0"/>
                <w:szCs w:val="21"/>
              </w:rPr>
            </w:pPr>
            <w:r>
              <w:rPr>
                <w:rFonts w:hint="eastAsia" w:ascii="宋体" w:hAnsi="宋体"/>
                <w:color w:val="auto"/>
                <w:kern w:val="0"/>
                <w:szCs w:val="21"/>
              </w:rPr>
              <w:t>获奖</w:t>
            </w:r>
          </w:p>
          <w:p w14:paraId="5D9E781D">
            <w:pPr>
              <w:widowControl/>
              <w:spacing w:line="400" w:lineRule="atLeast"/>
              <w:jc w:val="center"/>
              <w:rPr>
                <w:rFonts w:ascii="宋体" w:hAnsi="宋体"/>
                <w:color w:val="auto"/>
                <w:kern w:val="0"/>
                <w:szCs w:val="21"/>
              </w:rPr>
            </w:pPr>
            <w:r>
              <w:rPr>
                <w:rFonts w:hint="eastAsia" w:ascii="宋体" w:hAnsi="宋体"/>
                <w:color w:val="auto"/>
                <w:kern w:val="0"/>
                <w:szCs w:val="21"/>
              </w:rPr>
              <w:t>情况</w:t>
            </w:r>
          </w:p>
        </w:tc>
        <w:tc>
          <w:tcPr>
            <w:tcW w:w="1517" w:type="dxa"/>
            <w:tcBorders>
              <w:top w:val="single" w:color="000000" w:sz="4" w:space="0"/>
              <w:left w:val="nil"/>
              <w:bottom w:val="single" w:color="000000" w:sz="4" w:space="0"/>
              <w:right w:val="single" w:color="000000" w:sz="4" w:space="0"/>
            </w:tcBorders>
          </w:tcPr>
          <w:p w14:paraId="792BDCFD">
            <w:pPr>
              <w:widowControl/>
              <w:spacing w:line="400" w:lineRule="atLeast"/>
              <w:jc w:val="center"/>
              <w:rPr>
                <w:rFonts w:ascii="宋体" w:hAnsi="宋体"/>
                <w:color w:val="auto"/>
                <w:kern w:val="0"/>
                <w:szCs w:val="21"/>
              </w:rPr>
            </w:pPr>
            <w:r>
              <w:rPr>
                <w:rFonts w:hint="eastAsia" w:ascii="宋体" w:hAnsi="宋体"/>
                <w:color w:val="auto"/>
                <w:kern w:val="0"/>
                <w:szCs w:val="21"/>
              </w:rPr>
              <w:t>签约及服务</w:t>
            </w:r>
          </w:p>
          <w:p w14:paraId="77BD9E55">
            <w:pPr>
              <w:widowControl/>
              <w:spacing w:line="400" w:lineRule="atLeast"/>
              <w:jc w:val="center"/>
              <w:rPr>
                <w:rFonts w:ascii="宋体" w:hAnsi="宋体"/>
                <w:color w:val="auto"/>
                <w:kern w:val="0"/>
                <w:szCs w:val="21"/>
              </w:rPr>
            </w:pPr>
            <w:r>
              <w:rPr>
                <w:rFonts w:hint="eastAsia" w:ascii="宋体" w:hAnsi="宋体"/>
                <w:color w:val="auto"/>
                <w:kern w:val="0"/>
                <w:szCs w:val="21"/>
              </w:rPr>
              <w:t>时间</w:t>
            </w:r>
          </w:p>
        </w:tc>
        <w:tc>
          <w:tcPr>
            <w:tcW w:w="1134" w:type="dxa"/>
            <w:tcBorders>
              <w:top w:val="single" w:color="000000" w:sz="4" w:space="0"/>
              <w:left w:val="nil"/>
              <w:bottom w:val="single" w:color="000000" w:sz="4" w:space="0"/>
              <w:right w:val="single" w:color="000000" w:sz="4" w:space="0"/>
            </w:tcBorders>
          </w:tcPr>
          <w:p w14:paraId="1DC574DB">
            <w:pPr>
              <w:widowControl/>
              <w:spacing w:line="400" w:lineRule="atLeast"/>
              <w:jc w:val="center"/>
              <w:rPr>
                <w:rFonts w:ascii="宋体" w:hAnsi="宋体"/>
                <w:color w:val="auto"/>
                <w:kern w:val="0"/>
                <w:szCs w:val="21"/>
              </w:rPr>
            </w:pPr>
            <w:r>
              <w:rPr>
                <w:rFonts w:hint="eastAsia" w:ascii="宋体" w:hAnsi="宋体"/>
                <w:color w:val="auto"/>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1AF93AA0">
            <w:pPr>
              <w:widowControl/>
              <w:spacing w:line="400" w:lineRule="atLeast"/>
              <w:jc w:val="center"/>
              <w:rPr>
                <w:rFonts w:ascii="宋体" w:hAnsi="宋体"/>
                <w:color w:val="auto"/>
                <w:kern w:val="0"/>
                <w:szCs w:val="21"/>
              </w:rPr>
            </w:pPr>
            <w:r>
              <w:rPr>
                <w:rFonts w:hint="eastAsia" w:ascii="宋体" w:hAnsi="宋体"/>
                <w:color w:val="auto"/>
                <w:kern w:val="0"/>
                <w:szCs w:val="21"/>
              </w:rPr>
              <w:t>备注</w:t>
            </w:r>
          </w:p>
        </w:tc>
      </w:tr>
      <w:tr w14:paraId="34BD751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13E96CB">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1BD907E9">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6FD157B7">
            <w:pPr>
              <w:widowControl/>
              <w:spacing w:line="400" w:lineRule="atLeast"/>
              <w:ind w:firstLine="120"/>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6F76E100">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744904BA">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58422AAD">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5D64BD9D">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5C34D5EF">
            <w:pPr>
              <w:widowControl/>
              <w:spacing w:line="400" w:lineRule="atLeast"/>
              <w:jc w:val="center"/>
              <w:rPr>
                <w:rFonts w:ascii="宋体" w:hAnsi="宋体"/>
                <w:color w:val="auto"/>
                <w:kern w:val="0"/>
                <w:szCs w:val="21"/>
              </w:rPr>
            </w:pPr>
          </w:p>
        </w:tc>
      </w:tr>
      <w:tr w14:paraId="131ABAB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C9927CF">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1030D48E">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516CC263">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5E070E6B">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48C4E124">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5BFF66FA">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5DEDDBB0">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22C78C2B">
            <w:pPr>
              <w:widowControl/>
              <w:spacing w:line="400" w:lineRule="atLeast"/>
              <w:jc w:val="center"/>
              <w:rPr>
                <w:rFonts w:ascii="宋体" w:hAnsi="宋体"/>
                <w:color w:val="auto"/>
                <w:kern w:val="0"/>
                <w:szCs w:val="21"/>
              </w:rPr>
            </w:pPr>
          </w:p>
        </w:tc>
      </w:tr>
      <w:tr w14:paraId="116E1F91">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EAF22BD">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045F8ABD">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5D0AC148">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039A2FDF">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7AE7CDF2">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293F162A">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7886E3FD">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63B21DB4">
            <w:pPr>
              <w:widowControl/>
              <w:spacing w:line="400" w:lineRule="atLeast"/>
              <w:jc w:val="center"/>
              <w:rPr>
                <w:rFonts w:ascii="宋体" w:hAnsi="宋体"/>
                <w:color w:val="auto"/>
                <w:kern w:val="0"/>
                <w:szCs w:val="21"/>
              </w:rPr>
            </w:pPr>
          </w:p>
        </w:tc>
      </w:tr>
      <w:tr w14:paraId="2235A21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2E6390E9">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5D72B252">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297236B4">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11678810">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56311441">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1E8A2659">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35D15119">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31B7CF17">
            <w:pPr>
              <w:widowControl/>
              <w:spacing w:line="400" w:lineRule="atLeast"/>
              <w:jc w:val="center"/>
              <w:rPr>
                <w:rFonts w:ascii="宋体" w:hAnsi="宋体"/>
                <w:color w:val="auto"/>
                <w:kern w:val="0"/>
                <w:szCs w:val="21"/>
              </w:rPr>
            </w:pPr>
          </w:p>
        </w:tc>
      </w:tr>
      <w:tr w14:paraId="085EB95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2D176E2">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37356A56">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2A48C4E7">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67C739FC">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18BF7714">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68351787">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63C8BBDA">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7208FA3B">
            <w:pPr>
              <w:widowControl/>
              <w:spacing w:line="400" w:lineRule="atLeast"/>
              <w:jc w:val="center"/>
              <w:rPr>
                <w:rFonts w:ascii="宋体" w:hAnsi="宋体"/>
                <w:color w:val="auto"/>
                <w:kern w:val="0"/>
                <w:szCs w:val="21"/>
              </w:rPr>
            </w:pPr>
          </w:p>
        </w:tc>
      </w:tr>
      <w:tr w14:paraId="1722F4B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4321FF7">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36D204AD">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7F365AD9">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3C5F74D5">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6943B4C7">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68CDC1CD">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5A8DBEEE">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62E047BA">
            <w:pPr>
              <w:widowControl/>
              <w:spacing w:line="400" w:lineRule="atLeast"/>
              <w:jc w:val="center"/>
              <w:rPr>
                <w:rFonts w:ascii="宋体" w:hAnsi="宋体"/>
                <w:color w:val="auto"/>
                <w:kern w:val="0"/>
                <w:szCs w:val="21"/>
              </w:rPr>
            </w:pPr>
          </w:p>
        </w:tc>
      </w:tr>
      <w:tr w14:paraId="7F15153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8D0B7E5">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0BBACDB4">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31DC5BF8">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46A62A0E">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5A20C5CD">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314F06DC">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5438CAAE">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09084581">
            <w:pPr>
              <w:widowControl/>
              <w:spacing w:line="400" w:lineRule="atLeast"/>
              <w:jc w:val="center"/>
              <w:rPr>
                <w:rFonts w:ascii="宋体" w:hAnsi="宋体"/>
                <w:color w:val="auto"/>
                <w:kern w:val="0"/>
                <w:szCs w:val="21"/>
              </w:rPr>
            </w:pPr>
          </w:p>
        </w:tc>
      </w:tr>
      <w:tr w14:paraId="66DDEDA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188B26B">
            <w:pPr>
              <w:widowControl/>
              <w:spacing w:line="400" w:lineRule="atLeast"/>
              <w:jc w:val="center"/>
              <w:rPr>
                <w:rFonts w:ascii="宋体" w:hAnsi="宋体"/>
                <w:color w:val="auto"/>
                <w:kern w:val="0"/>
                <w:szCs w:val="21"/>
              </w:rPr>
            </w:pPr>
          </w:p>
        </w:tc>
        <w:tc>
          <w:tcPr>
            <w:tcW w:w="1559" w:type="dxa"/>
            <w:tcBorders>
              <w:top w:val="single" w:color="000000" w:sz="4" w:space="0"/>
              <w:left w:val="nil"/>
              <w:bottom w:val="single" w:color="000000" w:sz="4" w:space="0"/>
              <w:right w:val="single" w:color="000000" w:sz="4" w:space="0"/>
            </w:tcBorders>
          </w:tcPr>
          <w:p w14:paraId="02377AD7">
            <w:pPr>
              <w:widowControl/>
              <w:spacing w:line="400" w:lineRule="atLeast"/>
              <w:jc w:val="center"/>
              <w:rPr>
                <w:rFonts w:ascii="宋体" w:hAnsi="宋体"/>
                <w:color w:val="auto"/>
                <w:kern w:val="0"/>
                <w:szCs w:val="21"/>
              </w:rPr>
            </w:pPr>
          </w:p>
        </w:tc>
        <w:tc>
          <w:tcPr>
            <w:tcW w:w="1418" w:type="dxa"/>
            <w:tcBorders>
              <w:top w:val="single" w:color="000000" w:sz="4" w:space="0"/>
              <w:left w:val="nil"/>
              <w:bottom w:val="single" w:color="000000" w:sz="4" w:space="0"/>
              <w:right w:val="single" w:color="000000" w:sz="4" w:space="0"/>
            </w:tcBorders>
          </w:tcPr>
          <w:p w14:paraId="46B33803">
            <w:pPr>
              <w:widowControl/>
              <w:spacing w:line="400" w:lineRule="atLeast"/>
              <w:jc w:val="center"/>
              <w:rPr>
                <w:rFonts w:ascii="宋体" w:hAnsi="宋体"/>
                <w:color w:val="auto"/>
                <w:kern w:val="0"/>
                <w:szCs w:val="21"/>
              </w:rPr>
            </w:pPr>
          </w:p>
        </w:tc>
        <w:tc>
          <w:tcPr>
            <w:tcW w:w="992" w:type="dxa"/>
            <w:tcBorders>
              <w:top w:val="single" w:color="000000" w:sz="4" w:space="0"/>
              <w:left w:val="nil"/>
              <w:bottom w:val="single" w:color="000000" w:sz="4" w:space="0"/>
              <w:right w:val="single" w:color="000000" w:sz="4" w:space="0"/>
            </w:tcBorders>
          </w:tcPr>
          <w:p w14:paraId="0C6C1165">
            <w:pPr>
              <w:widowControl/>
              <w:spacing w:line="400" w:lineRule="atLeast"/>
              <w:jc w:val="center"/>
              <w:rPr>
                <w:rFonts w:ascii="宋体" w:hAnsi="宋体"/>
                <w:color w:val="auto"/>
                <w:kern w:val="0"/>
                <w:szCs w:val="21"/>
              </w:rPr>
            </w:pPr>
          </w:p>
        </w:tc>
        <w:tc>
          <w:tcPr>
            <w:tcW w:w="1034" w:type="dxa"/>
            <w:tcBorders>
              <w:top w:val="single" w:color="000000" w:sz="4" w:space="0"/>
              <w:left w:val="nil"/>
              <w:bottom w:val="single" w:color="000000" w:sz="4" w:space="0"/>
              <w:right w:val="single" w:color="000000" w:sz="4" w:space="0"/>
            </w:tcBorders>
          </w:tcPr>
          <w:p w14:paraId="4DF57D5B">
            <w:pPr>
              <w:widowControl/>
              <w:spacing w:line="400" w:lineRule="atLeast"/>
              <w:jc w:val="center"/>
              <w:rPr>
                <w:rFonts w:ascii="宋体" w:hAnsi="宋体"/>
                <w:color w:val="auto"/>
                <w:kern w:val="0"/>
                <w:szCs w:val="21"/>
              </w:rPr>
            </w:pPr>
          </w:p>
        </w:tc>
        <w:tc>
          <w:tcPr>
            <w:tcW w:w="1517" w:type="dxa"/>
            <w:tcBorders>
              <w:top w:val="single" w:color="000000" w:sz="4" w:space="0"/>
              <w:left w:val="nil"/>
              <w:bottom w:val="single" w:color="000000" w:sz="4" w:space="0"/>
              <w:right w:val="single" w:color="000000" w:sz="4" w:space="0"/>
            </w:tcBorders>
          </w:tcPr>
          <w:p w14:paraId="63467263">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792AFD07">
            <w:pPr>
              <w:widowControl/>
              <w:spacing w:line="400" w:lineRule="atLeast"/>
              <w:jc w:val="center"/>
              <w:rPr>
                <w:rFonts w:ascii="宋体" w:hAnsi="宋体"/>
                <w:color w:val="auto"/>
                <w:kern w:val="0"/>
                <w:szCs w:val="21"/>
              </w:rPr>
            </w:pPr>
          </w:p>
        </w:tc>
        <w:tc>
          <w:tcPr>
            <w:tcW w:w="1134" w:type="dxa"/>
            <w:tcBorders>
              <w:top w:val="single" w:color="000000" w:sz="4" w:space="0"/>
              <w:left w:val="nil"/>
              <w:bottom w:val="single" w:color="000000" w:sz="4" w:space="0"/>
              <w:right w:val="single" w:color="000000" w:sz="4" w:space="0"/>
            </w:tcBorders>
          </w:tcPr>
          <w:p w14:paraId="4124395F">
            <w:pPr>
              <w:widowControl/>
              <w:spacing w:line="400" w:lineRule="atLeast"/>
              <w:jc w:val="center"/>
              <w:rPr>
                <w:rFonts w:ascii="宋体" w:hAnsi="宋体"/>
                <w:color w:val="auto"/>
                <w:kern w:val="0"/>
                <w:szCs w:val="21"/>
              </w:rPr>
            </w:pPr>
          </w:p>
        </w:tc>
      </w:tr>
    </w:tbl>
    <w:p w14:paraId="565CA754">
      <w:pPr>
        <w:widowControl/>
        <w:shd w:val="clear" w:color="auto" w:fill="FFFFFF"/>
        <w:spacing w:line="360" w:lineRule="auto"/>
        <w:jc w:val="left"/>
        <w:rPr>
          <w:rFonts w:ascii="宋体"/>
          <w:color w:val="auto"/>
          <w:kern w:val="0"/>
          <w:szCs w:val="21"/>
        </w:rPr>
      </w:pPr>
      <w:r>
        <w:rPr>
          <w:rFonts w:hint="eastAsia" w:ascii="宋体" w:hAnsi="宋体" w:cs="宋体"/>
          <w:color w:val="auto"/>
          <w:kern w:val="0"/>
          <w:szCs w:val="21"/>
        </w:rPr>
        <w:t>投标单位（盖章）：</w:t>
      </w:r>
      <w:r>
        <w:rPr>
          <w:rFonts w:ascii="宋体"/>
          <w:color w:val="auto"/>
          <w:kern w:val="0"/>
          <w:szCs w:val="21"/>
          <w:u w:val="single"/>
        </w:rPr>
        <w:t>                      </w:t>
      </w:r>
    </w:p>
    <w:p w14:paraId="629F7271">
      <w:pPr>
        <w:widowControl/>
        <w:shd w:val="clear" w:color="auto" w:fill="FFFFFF"/>
        <w:spacing w:line="360" w:lineRule="auto"/>
        <w:jc w:val="left"/>
        <w:rPr>
          <w:rFonts w:ascii="宋体"/>
          <w:color w:val="auto"/>
          <w:kern w:val="0"/>
          <w:szCs w:val="21"/>
          <w:u w:val="single"/>
        </w:rPr>
      </w:pPr>
      <w:r>
        <w:rPr>
          <w:rFonts w:hint="eastAsia" w:ascii="宋体" w:hAnsi="宋体" w:cs="宋体"/>
          <w:color w:val="auto"/>
          <w:kern w:val="0"/>
          <w:szCs w:val="21"/>
        </w:rPr>
        <w:t>授权代表（签字）：</w:t>
      </w:r>
      <w:r>
        <w:rPr>
          <w:rFonts w:ascii="宋体"/>
          <w:color w:val="auto"/>
          <w:kern w:val="0"/>
          <w:szCs w:val="21"/>
          <w:u w:val="single"/>
        </w:rPr>
        <w:t>                      </w:t>
      </w:r>
    </w:p>
    <w:p w14:paraId="2BB7C5C1">
      <w:pPr>
        <w:widowControl/>
        <w:adjustRightInd w:val="0"/>
        <w:spacing w:line="360" w:lineRule="auto"/>
        <w:rPr>
          <w:rFonts w:ascii="宋体" w:hAnsi="宋体"/>
          <w:b/>
          <w:bCs/>
          <w:color w:val="auto"/>
          <w:kern w:val="0"/>
          <w:szCs w:val="21"/>
        </w:rPr>
      </w:pPr>
    </w:p>
    <w:p w14:paraId="767B4925">
      <w:pPr>
        <w:widowControl/>
        <w:adjustRightInd w:val="0"/>
        <w:spacing w:line="360" w:lineRule="auto"/>
        <w:rPr>
          <w:rFonts w:ascii="宋体" w:hAnsi="宋体"/>
          <w:b/>
          <w:bCs/>
          <w:color w:val="auto"/>
          <w:kern w:val="0"/>
          <w:szCs w:val="21"/>
        </w:rPr>
      </w:pPr>
    </w:p>
    <w:p w14:paraId="2F827B86">
      <w:pPr>
        <w:spacing w:line="360" w:lineRule="auto"/>
        <w:rPr>
          <w:rFonts w:ascii="宋体" w:hAnsi="宋体"/>
          <w:color w:val="auto"/>
        </w:rPr>
      </w:pPr>
    </w:p>
    <w:p w14:paraId="35B5B885">
      <w:pPr>
        <w:spacing w:line="360" w:lineRule="auto"/>
        <w:rPr>
          <w:rFonts w:ascii="宋体" w:hAnsi="宋体"/>
          <w:b/>
          <w:bCs/>
          <w:color w:val="auto"/>
        </w:rPr>
      </w:pPr>
      <w:r>
        <w:rPr>
          <w:rFonts w:ascii="宋体" w:hAnsi="宋体"/>
          <w:b/>
          <w:color w:val="auto"/>
        </w:rPr>
        <w:br w:type="page"/>
      </w:r>
      <w:r>
        <w:rPr>
          <w:rFonts w:hint="eastAsia" w:ascii="宋体" w:hAnsi="宋体"/>
          <w:b/>
          <w:color w:val="auto"/>
        </w:rPr>
        <w:t>附件十</w:t>
      </w:r>
      <w:r>
        <w:rPr>
          <w:rFonts w:hint="eastAsia" w:ascii="宋体" w:hAnsi="宋体"/>
          <w:b/>
          <w:bCs/>
          <w:color w:val="auto"/>
        </w:rPr>
        <w:t>：企业声明函格式</w:t>
      </w:r>
      <w:r>
        <w:rPr>
          <w:rFonts w:hint="eastAsia" w:hAnsi="宋体"/>
          <w:b/>
          <w:bCs/>
          <w:color w:val="auto"/>
          <w:spacing w:val="20"/>
          <w:sz w:val="24"/>
          <w:u w:val="single"/>
        </w:rPr>
        <w:t>（请务必谨慎如实填报，如享受相关评审政策，需在报价函中详细清单中一一对应，否则不予认可。）</w:t>
      </w:r>
    </w:p>
    <w:p w14:paraId="7DFF2FCB">
      <w:pPr>
        <w:spacing w:line="360" w:lineRule="auto"/>
        <w:jc w:val="center"/>
        <w:rPr>
          <w:b/>
          <w:bCs/>
          <w:color w:val="auto"/>
          <w:sz w:val="28"/>
        </w:rPr>
      </w:pPr>
      <w:r>
        <w:rPr>
          <w:b/>
          <w:bCs/>
          <w:color w:val="auto"/>
          <w:sz w:val="28"/>
        </w:rPr>
        <w:t>中小企业声明函</w:t>
      </w:r>
      <w:r>
        <w:rPr>
          <w:rFonts w:hint="eastAsia"/>
          <w:b/>
          <w:bCs/>
          <w:color w:val="auto"/>
          <w:sz w:val="28"/>
        </w:rPr>
        <w:t>（服务）</w:t>
      </w:r>
    </w:p>
    <w:p w14:paraId="59224128">
      <w:pPr>
        <w:spacing w:line="360" w:lineRule="auto"/>
        <w:ind w:firstLine="315" w:firstLineChars="150"/>
        <w:rPr>
          <w:rFonts w:ascii="宋体" w:hAnsi="宋体" w:cs="宋体"/>
          <w:snapToGrid w:val="0"/>
          <w:color w:val="auto"/>
          <w:kern w:val="0"/>
          <w:szCs w:val="21"/>
        </w:rPr>
      </w:pPr>
      <w:bookmarkStart w:id="27" w:name="OLE_LINK14"/>
      <w:bookmarkStart w:id="28" w:name="OLE_LINK13"/>
      <w:r>
        <w:rPr>
          <w:rFonts w:hint="eastAsia" w:ascii="宋体" w:hAnsi="宋体" w:cs="宋体"/>
          <w:color w:val="auto"/>
          <w:szCs w:val="21"/>
        </w:rPr>
        <w:t>本公司（联合体）郑重声明，根据《政府采购促进中小企业发展管理办法》(财库[2020]46号)的规定，本公司（联合体）参加</w:t>
      </w:r>
      <w:r>
        <w:rPr>
          <w:rFonts w:hint="eastAsia" w:ascii="宋体" w:hAnsi="宋体" w:cs="宋体"/>
          <w:color w:val="auto"/>
          <w:szCs w:val="21"/>
          <w:u w:val="single"/>
        </w:rPr>
        <w:t xml:space="preserve">  (采购人/采购代理机构)  </w:t>
      </w:r>
      <w:r>
        <w:rPr>
          <w:rFonts w:hint="eastAsia" w:ascii="宋体" w:hAnsi="宋体" w:cs="宋体"/>
          <w:color w:val="auto"/>
          <w:szCs w:val="21"/>
        </w:rPr>
        <w:t>组织的采购编号为</w:t>
      </w:r>
      <w:r>
        <w:rPr>
          <w:rFonts w:hint="eastAsia" w:ascii="宋体" w:hAnsi="宋体" w:cs="宋体"/>
          <w:i/>
          <w:color w:val="auto"/>
          <w:szCs w:val="21"/>
          <w:u w:val="single"/>
        </w:rPr>
        <w:t>* * *</w:t>
      </w:r>
      <w:r>
        <w:rPr>
          <w:rFonts w:hint="eastAsia" w:ascii="宋体" w:hAnsi="宋体" w:cs="宋体"/>
          <w:color w:val="auto"/>
          <w:szCs w:val="21"/>
        </w:rPr>
        <w:t>，</w:t>
      </w:r>
      <w:r>
        <w:rPr>
          <w:rFonts w:hint="eastAsia" w:ascii="宋体" w:hAnsi="宋体" w:cs="宋体"/>
          <w:i/>
          <w:color w:val="auto"/>
          <w:szCs w:val="21"/>
          <w:u w:val="single"/>
        </w:rPr>
        <w:t>（项目名称）</w:t>
      </w:r>
      <w:r>
        <w:rPr>
          <w:rFonts w:hint="eastAsia" w:ascii="宋体" w:hAnsi="宋体" w:cs="宋体"/>
          <w:color w:val="auto"/>
          <w:szCs w:val="21"/>
        </w:rPr>
        <w:t>的采购活动</w:t>
      </w:r>
      <w:r>
        <w:rPr>
          <w:rFonts w:hint="eastAsia" w:ascii="宋体" w:hAnsi="宋体" w:cs="宋体"/>
          <w:snapToGrid w:val="0"/>
          <w:color w:val="auto"/>
          <w:kern w:val="0"/>
          <w:szCs w:val="21"/>
        </w:rPr>
        <w:t>，提供的服务全部由符合政策要求的中小企业承接。</w:t>
      </w:r>
      <w:r>
        <w:rPr>
          <w:rFonts w:hint="eastAsia" w:ascii="宋体" w:hAnsi="宋体" w:cs="宋体"/>
          <w:color w:val="auto"/>
          <w:szCs w:val="21"/>
        </w:rPr>
        <w:t>相关企业（含联合体中的中小企业、签订分包意向协议的中小企业）的具体情况如下：</w:t>
      </w:r>
    </w:p>
    <w:p w14:paraId="4162D279">
      <w:pPr>
        <w:spacing w:line="360" w:lineRule="auto"/>
        <w:jc w:val="left"/>
        <w:rPr>
          <w:rFonts w:ascii="宋体" w:hAnsi="宋体" w:cs="宋体"/>
          <w:snapToGrid w:val="0"/>
          <w:color w:val="auto"/>
          <w:kern w:val="0"/>
          <w:szCs w:val="21"/>
        </w:rPr>
      </w:pPr>
      <w:r>
        <w:rPr>
          <w:rFonts w:hint="eastAsia" w:ascii="宋体" w:hAnsi="宋体" w:cs="宋体"/>
          <w:snapToGrid w:val="0"/>
          <w:color w:val="auto"/>
          <w:kern w:val="0"/>
          <w:szCs w:val="21"/>
        </w:rPr>
        <w:t>1、 [标的名称] ，属于</w:t>
      </w:r>
      <w:r>
        <w:rPr>
          <w:rFonts w:hint="eastAsia" w:ascii="宋体" w:hAnsi="宋体" w:cs="宋体"/>
          <w:snapToGrid w:val="0"/>
          <w:color w:val="auto"/>
          <w:kern w:val="0"/>
          <w:szCs w:val="21"/>
          <w:u w:val="single"/>
        </w:rPr>
        <w:t xml:space="preserve">      </w:t>
      </w:r>
      <w:r>
        <w:rPr>
          <w:rFonts w:hint="eastAsia" w:ascii="宋体" w:hAnsi="宋体" w:cs="宋体"/>
          <w:snapToGrid w:val="0"/>
          <w:color w:val="auto"/>
          <w:kern w:val="0"/>
          <w:szCs w:val="21"/>
        </w:rPr>
        <w:t>行业；承接企业为</w:t>
      </w:r>
      <w:r>
        <w:rPr>
          <w:rFonts w:hint="eastAsia" w:ascii="宋体" w:hAnsi="宋体" w:cs="宋体"/>
          <w:snapToGrid w:val="0"/>
          <w:color w:val="auto"/>
          <w:kern w:val="0"/>
          <w:szCs w:val="21"/>
          <w:u w:val="single"/>
        </w:rPr>
        <w:t xml:space="preserve">  [企业名称]  </w:t>
      </w:r>
      <w:r>
        <w:rPr>
          <w:rFonts w:hint="eastAsia" w:ascii="宋体" w:hAnsi="宋体" w:cs="宋体"/>
          <w:snapToGrid w:val="0"/>
          <w:color w:val="auto"/>
          <w:kern w:val="0"/>
          <w:szCs w:val="21"/>
        </w:rPr>
        <w:t>，从业人员人，营业收入为万元，资产总额为万元，属于</w:t>
      </w:r>
      <w:r>
        <w:rPr>
          <w:rFonts w:hint="eastAsia" w:ascii="宋体" w:hAnsi="宋体" w:cs="宋体"/>
          <w:snapToGrid w:val="0"/>
          <w:color w:val="auto"/>
          <w:kern w:val="0"/>
          <w:szCs w:val="21"/>
          <w:u w:val="single"/>
        </w:rPr>
        <w:t xml:space="preserve">    (中型企业/小型企业/微型企业)    </w:t>
      </w:r>
      <w:r>
        <w:rPr>
          <w:rFonts w:hint="eastAsia" w:ascii="宋体" w:hAnsi="宋体" w:cs="宋体"/>
          <w:snapToGrid w:val="0"/>
          <w:color w:val="auto"/>
          <w:kern w:val="0"/>
          <w:szCs w:val="21"/>
        </w:rPr>
        <w:t>；</w:t>
      </w:r>
    </w:p>
    <w:p w14:paraId="1F979C30">
      <w:pPr>
        <w:spacing w:line="360" w:lineRule="auto"/>
        <w:jc w:val="left"/>
        <w:rPr>
          <w:rFonts w:ascii="宋体" w:hAnsi="宋体" w:cs="宋体"/>
          <w:snapToGrid w:val="0"/>
          <w:color w:val="auto"/>
          <w:kern w:val="0"/>
          <w:szCs w:val="21"/>
        </w:rPr>
      </w:pPr>
      <w:r>
        <w:rPr>
          <w:rFonts w:hint="eastAsia" w:ascii="宋体" w:hAnsi="宋体" w:cs="宋体"/>
          <w:snapToGrid w:val="0"/>
          <w:color w:val="auto"/>
          <w:kern w:val="0"/>
          <w:szCs w:val="21"/>
        </w:rPr>
        <w:t>2、 [标的名称] ，属于</w:t>
      </w:r>
      <w:r>
        <w:rPr>
          <w:rFonts w:hint="eastAsia" w:ascii="宋体" w:hAnsi="宋体" w:cs="宋体"/>
          <w:snapToGrid w:val="0"/>
          <w:color w:val="auto"/>
          <w:kern w:val="0"/>
          <w:szCs w:val="21"/>
          <w:u w:val="single"/>
        </w:rPr>
        <w:t xml:space="preserve">       </w:t>
      </w:r>
      <w:r>
        <w:rPr>
          <w:rFonts w:hint="eastAsia" w:ascii="宋体" w:hAnsi="宋体" w:cs="宋体"/>
          <w:snapToGrid w:val="0"/>
          <w:color w:val="auto"/>
          <w:kern w:val="0"/>
          <w:szCs w:val="21"/>
        </w:rPr>
        <w:t>行业；承接企业为</w:t>
      </w:r>
      <w:r>
        <w:rPr>
          <w:rFonts w:hint="eastAsia" w:ascii="宋体" w:hAnsi="宋体" w:cs="宋体"/>
          <w:snapToGrid w:val="0"/>
          <w:color w:val="auto"/>
          <w:kern w:val="0"/>
          <w:szCs w:val="21"/>
          <w:u w:val="single"/>
        </w:rPr>
        <w:t xml:space="preserve">  [企业名称]  </w:t>
      </w:r>
      <w:r>
        <w:rPr>
          <w:rFonts w:hint="eastAsia" w:ascii="宋体" w:hAnsi="宋体" w:cs="宋体"/>
          <w:snapToGrid w:val="0"/>
          <w:color w:val="auto"/>
          <w:kern w:val="0"/>
          <w:szCs w:val="21"/>
        </w:rPr>
        <w:t>，从业人员人，营业收入为万元，资产总额为万元，属于</w:t>
      </w:r>
      <w:r>
        <w:rPr>
          <w:rFonts w:hint="eastAsia" w:ascii="宋体" w:hAnsi="宋体" w:cs="宋体"/>
          <w:snapToGrid w:val="0"/>
          <w:color w:val="auto"/>
          <w:kern w:val="0"/>
          <w:szCs w:val="21"/>
          <w:u w:val="single"/>
        </w:rPr>
        <w:t xml:space="preserve">    (中型企业/小型企业/微型企业)    </w:t>
      </w:r>
      <w:r>
        <w:rPr>
          <w:rFonts w:hint="eastAsia" w:ascii="宋体" w:hAnsi="宋体" w:cs="宋体"/>
          <w:snapToGrid w:val="0"/>
          <w:color w:val="auto"/>
          <w:kern w:val="0"/>
          <w:szCs w:val="21"/>
        </w:rPr>
        <w:t>；</w:t>
      </w:r>
    </w:p>
    <w:p w14:paraId="2A9837A6">
      <w:pPr>
        <w:spacing w:line="360" w:lineRule="auto"/>
        <w:jc w:val="center"/>
        <w:rPr>
          <w:rFonts w:ascii="宋体" w:hAnsi="宋体" w:cs="宋体"/>
          <w:snapToGrid w:val="0"/>
          <w:color w:val="auto"/>
          <w:kern w:val="0"/>
          <w:szCs w:val="21"/>
        </w:rPr>
      </w:pPr>
      <w:r>
        <w:rPr>
          <w:rFonts w:hint="eastAsia" w:ascii="宋体" w:hAnsi="宋体" w:cs="宋体"/>
          <w:snapToGrid w:val="0"/>
          <w:color w:val="auto"/>
          <w:kern w:val="0"/>
          <w:szCs w:val="21"/>
        </w:rPr>
        <w:t>……</w:t>
      </w:r>
    </w:p>
    <w:p w14:paraId="2C43A00E">
      <w:pPr>
        <w:spacing w:line="360" w:lineRule="auto"/>
        <w:ind w:firstLine="420" w:firstLineChars="200"/>
        <w:jc w:val="left"/>
        <w:rPr>
          <w:rFonts w:ascii="宋体" w:hAnsi="宋体" w:cs="宋体"/>
          <w:snapToGrid w:val="0"/>
          <w:color w:val="auto"/>
          <w:kern w:val="0"/>
          <w:szCs w:val="21"/>
        </w:rPr>
      </w:pPr>
      <w:r>
        <w:rPr>
          <w:rFonts w:hint="eastAsia" w:ascii="宋体" w:hAnsi="宋体" w:cs="宋体"/>
          <w:snapToGrid w:val="0"/>
          <w:color w:val="auto"/>
          <w:kern w:val="0"/>
          <w:szCs w:val="21"/>
        </w:rPr>
        <w:t>以上企业，不属于大企业的分支机构，不存在控股股东为大企业的情形，也不存在与大企业的负责人为同一人的情形。</w:t>
      </w:r>
    </w:p>
    <w:p w14:paraId="2B156749">
      <w:pPr>
        <w:spacing w:line="360" w:lineRule="auto"/>
        <w:ind w:firstLine="420" w:firstLineChars="200"/>
        <w:jc w:val="left"/>
        <w:rPr>
          <w:rFonts w:ascii="宋体" w:hAnsi="宋体" w:cs="宋体"/>
          <w:snapToGrid w:val="0"/>
          <w:color w:val="auto"/>
          <w:kern w:val="0"/>
          <w:szCs w:val="21"/>
        </w:rPr>
      </w:pPr>
      <w:r>
        <w:rPr>
          <w:rFonts w:hint="eastAsia" w:ascii="宋体" w:hAnsi="宋体" w:cs="宋体"/>
          <w:snapToGrid w:val="0"/>
          <w:color w:val="auto"/>
          <w:kern w:val="0"/>
          <w:szCs w:val="21"/>
        </w:rPr>
        <w:t>如组成联合体或者接受分包合同的中小企业与联合体内的其他企业，分包企业之间不存在直接控制、管理关系；</w:t>
      </w:r>
    </w:p>
    <w:p w14:paraId="45CF6231">
      <w:pPr>
        <w:spacing w:line="360" w:lineRule="auto"/>
        <w:ind w:firstLine="420" w:firstLineChars="200"/>
        <w:jc w:val="left"/>
        <w:rPr>
          <w:rFonts w:ascii="宋体" w:hAnsi="宋体" w:cs="宋体"/>
          <w:snapToGrid w:val="0"/>
          <w:color w:val="auto"/>
          <w:kern w:val="0"/>
          <w:szCs w:val="21"/>
        </w:rPr>
      </w:pPr>
      <w:r>
        <w:rPr>
          <w:rFonts w:hint="eastAsia" w:ascii="宋体" w:hAnsi="宋体" w:cs="宋体"/>
          <w:snapToGrid w:val="0"/>
          <w:color w:val="auto"/>
          <w:kern w:val="0"/>
          <w:szCs w:val="21"/>
        </w:rPr>
        <w:t>本企业对上述声明内容的真实性负责。如有虚假，将依法承担相应责任。</w:t>
      </w:r>
    </w:p>
    <w:p w14:paraId="7A9A5564">
      <w:pPr>
        <w:spacing w:line="360" w:lineRule="auto"/>
        <w:jc w:val="left"/>
        <w:rPr>
          <w:rFonts w:ascii="宋体" w:hAnsi="宋体" w:cs="宋体"/>
          <w:snapToGrid w:val="0"/>
          <w:color w:val="auto"/>
          <w:kern w:val="0"/>
          <w:szCs w:val="21"/>
        </w:rPr>
      </w:pPr>
      <w:r>
        <w:rPr>
          <w:rFonts w:hint="eastAsia" w:ascii="宋体" w:hAnsi="宋体" w:cs="宋体"/>
          <w:snapToGrid w:val="0"/>
          <w:color w:val="auto"/>
          <w:kern w:val="0"/>
          <w:szCs w:val="21"/>
        </w:rPr>
        <w:t>备注：</w:t>
      </w:r>
    </w:p>
    <w:p w14:paraId="522C7DBE">
      <w:pPr>
        <w:spacing w:line="360" w:lineRule="auto"/>
        <w:jc w:val="left"/>
        <w:rPr>
          <w:rFonts w:ascii="宋体" w:hAnsi="宋体" w:cs="宋体"/>
          <w:b/>
          <w:bCs/>
          <w:snapToGrid w:val="0"/>
          <w:color w:val="auto"/>
          <w:kern w:val="0"/>
          <w:szCs w:val="21"/>
        </w:rPr>
      </w:pPr>
      <w:r>
        <w:rPr>
          <w:rFonts w:hint="eastAsia" w:ascii="宋体" w:hAnsi="宋体" w:cs="宋体"/>
          <w:b/>
          <w:bCs/>
          <w:snapToGrid w:val="0"/>
          <w:color w:val="auto"/>
          <w:kern w:val="0"/>
          <w:szCs w:val="21"/>
        </w:rPr>
        <w:t>(1)从业人员、营业收入、资产总额填报上一年度数据，无上一年度数据的新成立企业可不填报。</w:t>
      </w:r>
    </w:p>
    <w:p w14:paraId="7A05F6A8">
      <w:pPr>
        <w:spacing w:line="360" w:lineRule="auto"/>
        <w:jc w:val="left"/>
        <w:rPr>
          <w:rFonts w:ascii="宋体" w:hAnsi="宋体" w:cs="宋体"/>
          <w:b/>
          <w:bCs/>
          <w:snapToGrid w:val="0"/>
          <w:color w:val="auto"/>
          <w:kern w:val="0"/>
          <w:szCs w:val="21"/>
        </w:rPr>
      </w:pPr>
      <w:r>
        <w:rPr>
          <w:rFonts w:hint="eastAsia" w:ascii="宋体" w:hAnsi="宋体" w:cs="宋体"/>
          <w:b/>
          <w:bCs/>
          <w:snapToGrid w:val="0"/>
          <w:color w:val="auto"/>
          <w:kern w:val="0"/>
          <w:szCs w:val="21"/>
        </w:rPr>
        <w:t>(2)上述“相关企业”包括：拟承接本项目全部服务的中小企业、联合体中的中小企业、签订分包意向协议的中小企业；</w:t>
      </w:r>
    </w:p>
    <w:p w14:paraId="491744F0">
      <w:pPr>
        <w:spacing w:line="360" w:lineRule="auto"/>
        <w:jc w:val="left"/>
        <w:rPr>
          <w:rFonts w:ascii="宋体" w:hAnsi="宋体" w:cs="宋体"/>
          <w:color w:val="auto"/>
          <w:sz w:val="24"/>
          <w:shd w:val="clear" w:color="auto" w:fill="FFFFFF"/>
        </w:rPr>
      </w:pPr>
      <w:r>
        <w:rPr>
          <w:rFonts w:hint="eastAsia" w:ascii="宋体" w:hAnsi="宋体" w:cs="宋体"/>
          <w:b/>
          <w:bCs/>
          <w:snapToGrid w:val="0"/>
          <w:color w:val="auto"/>
          <w:kern w:val="0"/>
          <w:szCs w:val="21"/>
        </w:rPr>
        <w:t>(3)供应商如未按要求提供此声明函，报价将不做相应扣除；中标（成交）供应商如享受本项目中小企业扶持政策的，其《中小企业声明函》将随本项目的中标（成交）结果同时公告，接受社会监督；</w:t>
      </w:r>
    </w:p>
    <w:p w14:paraId="1D2D177F">
      <w:pPr>
        <w:spacing w:line="360" w:lineRule="auto"/>
        <w:jc w:val="center"/>
        <w:rPr>
          <w:rFonts w:ascii="宋体" w:hAnsi="宋体" w:cs="宋体"/>
          <w:snapToGrid w:val="0"/>
          <w:color w:val="auto"/>
          <w:kern w:val="0"/>
          <w:sz w:val="24"/>
        </w:rPr>
      </w:pPr>
      <w:r>
        <w:rPr>
          <w:rFonts w:hint="eastAsia" w:ascii="宋体" w:hAnsi="宋体" w:cs="宋体"/>
          <w:color w:val="auto"/>
          <w:sz w:val="24"/>
          <w:shd w:val="clear" w:color="auto" w:fill="FFFFFF"/>
        </w:rPr>
        <w:t xml:space="preserve">                          </w:t>
      </w:r>
      <w:r>
        <w:rPr>
          <w:rFonts w:hint="eastAsia" w:ascii="宋体" w:hAnsi="宋体" w:cs="宋体"/>
          <w:snapToGrid w:val="0"/>
          <w:color w:val="auto"/>
          <w:kern w:val="0"/>
          <w:sz w:val="24"/>
        </w:rPr>
        <w:t>企业名称（盖章）：</w:t>
      </w:r>
    </w:p>
    <w:p w14:paraId="5802C091">
      <w:pPr>
        <w:spacing w:line="360" w:lineRule="auto"/>
        <w:jc w:val="center"/>
        <w:rPr>
          <w:b/>
          <w:bCs/>
          <w:color w:val="auto"/>
          <w:sz w:val="24"/>
        </w:rPr>
      </w:pPr>
      <w:r>
        <w:rPr>
          <w:rFonts w:hint="eastAsia" w:ascii="宋体" w:hAnsi="宋体" w:cs="宋体"/>
          <w:snapToGrid w:val="0"/>
          <w:color w:val="auto"/>
          <w:kern w:val="0"/>
          <w:sz w:val="24"/>
        </w:rPr>
        <w:t xml:space="preserve">                          </w:t>
      </w:r>
      <w:r>
        <w:rPr>
          <w:rFonts w:hint="eastAsia" w:ascii="宋体" w:hAnsi="宋体" w:cs="宋体"/>
          <w:color w:val="auto"/>
          <w:sz w:val="24"/>
          <w:shd w:val="clear" w:color="auto" w:fill="FFFFFF"/>
        </w:rPr>
        <w:t>    日期：_____年____月____日</w:t>
      </w:r>
    </w:p>
    <w:p w14:paraId="28929141">
      <w:pPr>
        <w:widowControl/>
        <w:jc w:val="left"/>
        <w:rPr>
          <w:rFonts w:ascii="宋体" w:hAnsi="宋体"/>
          <w:b/>
          <w:bCs/>
          <w:color w:val="auto"/>
          <w:sz w:val="28"/>
        </w:rPr>
      </w:pPr>
      <w:r>
        <w:rPr>
          <w:rFonts w:ascii="宋体" w:hAnsi="宋体"/>
          <w:b/>
          <w:bCs/>
          <w:color w:val="auto"/>
          <w:sz w:val="28"/>
        </w:rPr>
        <w:br w:type="page"/>
      </w:r>
    </w:p>
    <w:p w14:paraId="54C5198C">
      <w:pPr>
        <w:spacing w:line="360" w:lineRule="auto"/>
        <w:jc w:val="center"/>
        <w:rPr>
          <w:rFonts w:ascii="宋体" w:hAnsi="宋体"/>
          <w:b/>
          <w:bCs/>
          <w:color w:val="auto"/>
          <w:sz w:val="28"/>
        </w:rPr>
      </w:pPr>
      <w:r>
        <w:rPr>
          <w:rFonts w:hint="eastAsia" w:ascii="宋体" w:hAnsi="宋体"/>
          <w:b/>
          <w:bCs/>
          <w:color w:val="auto"/>
          <w:sz w:val="28"/>
        </w:rPr>
        <w:t>残疾人福利性单位声明函</w:t>
      </w:r>
    </w:p>
    <w:bookmarkEnd w:id="27"/>
    <w:bookmarkEnd w:id="28"/>
    <w:p w14:paraId="28F9A399">
      <w:pPr>
        <w:widowControl/>
        <w:spacing w:line="440" w:lineRule="exact"/>
        <w:ind w:firstLine="420" w:firstLineChars="200"/>
        <w:jc w:val="left"/>
        <w:rPr>
          <w:rFonts w:ascii="宋体" w:hAnsi="宋体" w:cs="宋体"/>
          <w:snapToGrid w:val="0"/>
          <w:color w:val="auto"/>
          <w:kern w:val="0"/>
          <w:szCs w:val="21"/>
        </w:rPr>
      </w:pPr>
      <w:r>
        <w:rPr>
          <w:rFonts w:hint="eastAsia" w:ascii="宋体" w:hAnsi="宋体" w:cs="宋体"/>
          <w:snapToGrid w:val="0"/>
          <w:color w:val="auto"/>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DAC7DE5">
      <w:pPr>
        <w:widowControl/>
        <w:spacing w:line="440" w:lineRule="exact"/>
        <w:ind w:firstLine="420" w:firstLineChars="200"/>
        <w:jc w:val="left"/>
        <w:rPr>
          <w:rFonts w:ascii="宋体" w:hAnsi="宋体" w:cs="宋体"/>
          <w:snapToGrid w:val="0"/>
          <w:color w:val="auto"/>
          <w:kern w:val="0"/>
          <w:szCs w:val="21"/>
        </w:rPr>
      </w:pPr>
      <w:r>
        <w:rPr>
          <w:rFonts w:hint="eastAsia" w:ascii="宋体" w:hAnsi="宋体" w:cs="宋体"/>
          <w:snapToGrid w:val="0"/>
          <w:color w:val="auto"/>
          <w:kern w:val="0"/>
          <w:szCs w:val="21"/>
        </w:rPr>
        <w:t>本单位对上述声明的真实性负责。如有虚假，将依法承担相应责任。</w:t>
      </w:r>
    </w:p>
    <w:p w14:paraId="76521C16">
      <w:pPr>
        <w:widowControl/>
        <w:spacing w:line="440" w:lineRule="exact"/>
        <w:ind w:firstLine="5040" w:firstLineChars="2400"/>
        <w:jc w:val="left"/>
        <w:rPr>
          <w:rFonts w:ascii="宋体" w:hAnsi="宋体" w:cs="宋体"/>
          <w:snapToGrid w:val="0"/>
          <w:color w:val="auto"/>
          <w:kern w:val="0"/>
          <w:szCs w:val="21"/>
        </w:rPr>
      </w:pPr>
      <w:r>
        <w:rPr>
          <w:rFonts w:hint="eastAsia" w:ascii="宋体" w:hAnsi="宋体" w:cs="宋体"/>
          <w:snapToGrid w:val="0"/>
          <w:color w:val="auto"/>
          <w:kern w:val="0"/>
          <w:szCs w:val="21"/>
        </w:rPr>
        <w:t>单位名称（盖章）：</w:t>
      </w:r>
    </w:p>
    <w:p w14:paraId="54C4403F">
      <w:pPr>
        <w:widowControl/>
        <w:spacing w:line="440" w:lineRule="exact"/>
        <w:ind w:firstLine="5040" w:firstLineChars="2400"/>
        <w:jc w:val="left"/>
        <w:rPr>
          <w:rFonts w:ascii="宋体" w:hAnsi="宋体" w:cs="宋体"/>
          <w:snapToGrid w:val="0"/>
          <w:color w:val="auto"/>
          <w:kern w:val="0"/>
          <w:szCs w:val="21"/>
        </w:rPr>
      </w:pPr>
      <w:r>
        <w:rPr>
          <w:rFonts w:hint="eastAsia" w:ascii="宋体" w:hAnsi="宋体" w:cs="宋体"/>
          <w:snapToGrid w:val="0"/>
          <w:color w:val="auto"/>
          <w:kern w:val="0"/>
          <w:szCs w:val="21"/>
        </w:rPr>
        <w:t>日  期：</w:t>
      </w:r>
    </w:p>
    <w:p w14:paraId="08ADB7DB">
      <w:pPr>
        <w:spacing w:line="360" w:lineRule="auto"/>
        <w:rPr>
          <w:rFonts w:ascii="宋体" w:hAnsi="宋体"/>
          <w:b/>
          <w:bCs/>
          <w:color w:val="auto"/>
        </w:rPr>
      </w:pPr>
    </w:p>
    <w:p w14:paraId="0C6F8DFC">
      <w:pPr>
        <w:spacing w:line="360" w:lineRule="auto"/>
        <w:rPr>
          <w:rFonts w:ascii="宋体" w:hAnsi="宋体"/>
          <w:b/>
          <w:bCs/>
          <w:color w:val="auto"/>
        </w:rPr>
      </w:pPr>
    </w:p>
    <w:p w14:paraId="4549BE8F">
      <w:pPr>
        <w:spacing w:line="360" w:lineRule="auto"/>
        <w:rPr>
          <w:rFonts w:ascii="宋体" w:hAnsi="宋体"/>
          <w:b/>
          <w:bCs/>
          <w:color w:val="auto"/>
        </w:rPr>
      </w:pPr>
    </w:p>
    <w:p w14:paraId="5B112C94">
      <w:pPr>
        <w:spacing w:line="360" w:lineRule="auto"/>
        <w:jc w:val="center"/>
        <w:rPr>
          <w:rFonts w:ascii="宋体" w:hAnsi="宋体"/>
          <w:b/>
          <w:bCs/>
          <w:color w:val="auto"/>
          <w:sz w:val="28"/>
        </w:rPr>
      </w:pPr>
      <w:r>
        <w:rPr>
          <w:rFonts w:hint="eastAsia" w:ascii="宋体" w:hAnsi="宋体"/>
          <w:b/>
          <w:bCs/>
          <w:color w:val="auto"/>
          <w:sz w:val="28"/>
        </w:rPr>
        <w:t>属于监狱企业的证明文件</w:t>
      </w:r>
    </w:p>
    <w:p w14:paraId="7190CDB9">
      <w:pPr>
        <w:spacing w:line="360" w:lineRule="auto"/>
        <w:rPr>
          <w:rFonts w:ascii="宋体" w:hAnsi="宋体"/>
          <w:color w:val="auto"/>
        </w:rPr>
      </w:pPr>
      <w:r>
        <w:rPr>
          <w:rFonts w:hint="eastAsia" w:ascii="宋体" w:hAnsi="宋体"/>
          <w:color w:val="auto"/>
        </w:rPr>
        <w:t>（</w:t>
      </w:r>
      <w:r>
        <w:rPr>
          <w:rFonts w:ascii="宋体" w:hAnsi="宋体"/>
          <w:color w:val="auto"/>
        </w:rPr>
        <w:t>提供</w:t>
      </w:r>
      <w:r>
        <w:rPr>
          <w:rFonts w:hint="eastAsia" w:ascii="宋体" w:hAnsi="宋体"/>
          <w:color w:val="auto"/>
        </w:rPr>
        <w:t>由省级以上监狱管理局、戒毒管理局(含新疆生产建设兵团)出具的属于监狱企业的证明文件）</w:t>
      </w:r>
    </w:p>
    <w:p w14:paraId="2A264509">
      <w:pPr>
        <w:spacing w:line="360" w:lineRule="auto"/>
        <w:rPr>
          <w:rFonts w:ascii="宋体" w:hAnsi="宋体"/>
          <w:b/>
          <w:bCs/>
          <w:color w:val="auto"/>
        </w:rPr>
      </w:pPr>
    </w:p>
    <w:p w14:paraId="62C50700">
      <w:pPr>
        <w:spacing w:line="360" w:lineRule="auto"/>
        <w:rPr>
          <w:rFonts w:ascii="宋体" w:hAnsi="宋体"/>
          <w:b/>
          <w:bCs/>
          <w:color w:val="auto"/>
        </w:rPr>
      </w:pPr>
    </w:p>
    <w:p w14:paraId="1B7E7F50">
      <w:pPr>
        <w:spacing w:line="360" w:lineRule="auto"/>
        <w:rPr>
          <w:rFonts w:ascii="宋体" w:hAnsi="宋体"/>
          <w:b/>
          <w:bCs/>
          <w:color w:val="auto"/>
        </w:rPr>
      </w:pPr>
    </w:p>
    <w:p w14:paraId="6309A3D3">
      <w:pPr>
        <w:rPr>
          <w:color w:val="auto"/>
        </w:rPr>
      </w:pPr>
      <w:r>
        <w:rPr>
          <w:rFonts w:hint="eastAsia"/>
          <w:color w:val="auto"/>
        </w:rPr>
        <w:t xml:space="preserve"> 节能产品认证证书</w:t>
      </w:r>
    </w:p>
    <w:p w14:paraId="34B62AA4">
      <w:pPr>
        <w:rPr>
          <w:color w:val="auto"/>
        </w:rPr>
      </w:pPr>
      <w:r>
        <w:rPr>
          <w:rFonts w:hint="eastAsia"/>
          <w:color w:val="auto"/>
        </w:rPr>
        <w:t>（提供国家确定的认证机构出具的、处于有效期之内的产品认证证书）</w:t>
      </w:r>
    </w:p>
    <w:p w14:paraId="559ACE04">
      <w:pPr>
        <w:rPr>
          <w:color w:val="auto"/>
        </w:rPr>
      </w:pPr>
    </w:p>
    <w:p w14:paraId="30B051A4">
      <w:pPr>
        <w:rPr>
          <w:color w:val="auto"/>
        </w:rPr>
      </w:pPr>
    </w:p>
    <w:p w14:paraId="309B094F">
      <w:pPr>
        <w:rPr>
          <w:color w:val="auto"/>
        </w:rPr>
      </w:pPr>
    </w:p>
    <w:p w14:paraId="4356EBA6">
      <w:pPr>
        <w:rPr>
          <w:color w:val="auto"/>
        </w:rPr>
      </w:pPr>
      <w:r>
        <w:rPr>
          <w:rFonts w:hint="eastAsia"/>
          <w:color w:val="auto"/>
        </w:rPr>
        <w:t xml:space="preserve">  环境标志产品认证证书</w:t>
      </w:r>
    </w:p>
    <w:p w14:paraId="0140B4A3">
      <w:pPr>
        <w:rPr>
          <w:color w:val="auto"/>
        </w:rPr>
      </w:pPr>
      <w:r>
        <w:rPr>
          <w:rFonts w:hint="eastAsia"/>
          <w:color w:val="auto"/>
        </w:rPr>
        <w:t>（提供国家确定的认证机构出具的、处于有效期之内的产品认证证书）</w:t>
      </w:r>
    </w:p>
    <w:p w14:paraId="1B5CB829">
      <w:pPr>
        <w:spacing w:line="360" w:lineRule="auto"/>
        <w:rPr>
          <w:rFonts w:ascii="宋体" w:hAnsi="宋体"/>
          <w:b/>
          <w:bCs/>
          <w:color w:val="auto"/>
        </w:rPr>
      </w:pPr>
    </w:p>
    <w:p w14:paraId="1513CFDA">
      <w:pPr>
        <w:spacing w:line="360" w:lineRule="auto"/>
        <w:rPr>
          <w:rFonts w:ascii="宋体" w:hAnsi="宋体"/>
          <w:b/>
          <w:bCs/>
          <w:color w:val="auto"/>
        </w:rPr>
      </w:pPr>
    </w:p>
    <w:p w14:paraId="482E3B9C">
      <w:pPr>
        <w:spacing w:line="360" w:lineRule="auto"/>
        <w:rPr>
          <w:rFonts w:ascii="宋体" w:hAnsi="宋体"/>
          <w:b/>
          <w:bCs/>
          <w:color w:val="auto"/>
        </w:rPr>
      </w:pPr>
    </w:p>
    <w:p w14:paraId="0ACC425B">
      <w:pPr>
        <w:spacing w:line="360" w:lineRule="auto"/>
        <w:jc w:val="center"/>
        <w:rPr>
          <w:rFonts w:ascii="宋体" w:hAnsi="宋体"/>
          <w:b/>
          <w:bCs/>
          <w:color w:val="auto"/>
          <w:sz w:val="28"/>
        </w:rPr>
      </w:pPr>
      <w:r>
        <w:rPr>
          <w:rFonts w:hint="eastAsia" w:ascii="宋体" w:hAnsi="宋体"/>
          <w:b/>
          <w:bCs/>
          <w:color w:val="auto"/>
          <w:sz w:val="28"/>
        </w:rPr>
        <w:t>进口产品转让技术、消化吸收再创新方案</w:t>
      </w:r>
    </w:p>
    <w:p w14:paraId="1A94A39E">
      <w:pPr>
        <w:spacing w:line="360" w:lineRule="auto"/>
        <w:rPr>
          <w:rFonts w:ascii="宋体" w:hAnsi="宋体"/>
          <w:bCs/>
          <w:color w:val="auto"/>
        </w:rPr>
      </w:pPr>
      <w:r>
        <w:rPr>
          <w:rFonts w:hint="eastAsia" w:ascii="宋体" w:hAnsi="宋体"/>
          <w:bCs/>
          <w:color w:val="auto"/>
        </w:rPr>
        <w:t>（对于允许进口产品参加的项目）</w:t>
      </w:r>
    </w:p>
    <w:p w14:paraId="45634F9E">
      <w:pPr>
        <w:spacing w:line="360" w:lineRule="auto"/>
        <w:rPr>
          <w:rFonts w:ascii="宋体" w:hAnsi="宋体"/>
          <w:b/>
          <w:bCs/>
          <w:color w:val="auto"/>
        </w:rPr>
      </w:pPr>
    </w:p>
    <w:p w14:paraId="4D5F9F1C">
      <w:pPr>
        <w:autoSpaceDE w:val="0"/>
        <w:autoSpaceDN w:val="0"/>
        <w:adjustRightInd w:val="0"/>
        <w:spacing w:line="360" w:lineRule="auto"/>
        <w:rPr>
          <w:rFonts w:ascii="宋体" w:hAnsi="宋体"/>
          <w:b/>
          <w:color w:val="auto"/>
        </w:rPr>
      </w:pPr>
      <w:r>
        <w:rPr>
          <w:rFonts w:ascii="宋体"/>
          <w:b/>
          <w:color w:val="auto"/>
          <w:szCs w:val="21"/>
          <w:lang w:val="zh-CN"/>
        </w:rPr>
        <w:br w:type="page"/>
      </w:r>
      <w:r>
        <w:rPr>
          <w:rFonts w:hint="eastAsia" w:ascii="宋体" w:hAnsi="宋体"/>
          <w:b/>
          <w:color w:val="auto"/>
        </w:rPr>
        <w:t>附件十一、无重大违法记录声明格式</w:t>
      </w:r>
    </w:p>
    <w:p w14:paraId="523FDA64">
      <w:pPr>
        <w:spacing w:line="240" w:lineRule="atLeast"/>
        <w:jc w:val="center"/>
        <w:rPr>
          <w:rFonts w:ascii="黑体" w:eastAsia="黑体"/>
          <w:color w:val="auto"/>
          <w:sz w:val="28"/>
          <w:szCs w:val="36"/>
        </w:rPr>
      </w:pPr>
    </w:p>
    <w:p w14:paraId="42CB9DBB">
      <w:pPr>
        <w:spacing w:line="240" w:lineRule="atLeast"/>
        <w:jc w:val="center"/>
        <w:rPr>
          <w:rFonts w:ascii="黑体" w:eastAsia="黑体"/>
          <w:color w:val="auto"/>
          <w:sz w:val="28"/>
          <w:szCs w:val="36"/>
        </w:rPr>
      </w:pPr>
      <w:r>
        <w:rPr>
          <w:rFonts w:hint="eastAsia" w:ascii="黑体" w:eastAsia="黑体"/>
          <w:color w:val="auto"/>
          <w:sz w:val="28"/>
          <w:szCs w:val="36"/>
        </w:rPr>
        <w:t>无重大违法记录声明</w:t>
      </w:r>
    </w:p>
    <w:p w14:paraId="0B08C141">
      <w:pPr>
        <w:spacing w:line="360" w:lineRule="auto"/>
        <w:rPr>
          <w:rFonts w:ascii="黑体" w:eastAsia="黑体"/>
          <w:color w:val="auto"/>
          <w:szCs w:val="21"/>
        </w:rPr>
      </w:pPr>
    </w:p>
    <w:p w14:paraId="2FCD664A">
      <w:pPr>
        <w:spacing w:line="360" w:lineRule="auto"/>
        <w:rPr>
          <w:rFonts w:ascii="宋体" w:hAnsi="宋体"/>
          <w:color w:val="auto"/>
          <w:szCs w:val="21"/>
        </w:rPr>
      </w:pPr>
      <w:r>
        <w:rPr>
          <w:rFonts w:hint="eastAsia" w:ascii="宋体" w:hAnsi="宋体"/>
          <w:color w:val="auto"/>
          <w:szCs w:val="21"/>
        </w:rPr>
        <w:t>江苏省鸿源招标代理股份有限公司：</w:t>
      </w:r>
    </w:p>
    <w:p w14:paraId="3C875D05">
      <w:pPr>
        <w:spacing w:line="360" w:lineRule="auto"/>
        <w:rPr>
          <w:rFonts w:ascii="宋体" w:hAnsi="宋体"/>
          <w:color w:val="auto"/>
        </w:rPr>
      </w:pPr>
    </w:p>
    <w:p w14:paraId="00FE862D">
      <w:pPr>
        <w:spacing w:line="360" w:lineRule="auto"/>
        <w:ind w:firstLine="420" w:firstLineChars="200"/>
        <w:rPr>
          <w:rFonts w:ascii="宋体" w:hAnsi="宋体"/>
          <w:color w:val="auto"/>
        </w:rPr>
      </w:pPr>
      <w:r>
        <w:rPr>
          <w:rFonts w:hint="eastAsia" w:ascii="宋体" w:hAnsi="宋体"/>
          <w:color w:val="auto"/>
          <w:u w:val="single"/>
        </w:rPr>
        <w:t>我单位（供应商名称）</w:t>
      </w:r>
      <w:r>
        <w:rPr>
          <w:rFonts w:hint="eastAsia" w:ascii="宋体" w:hAnsi="宋体"/>
          <w:color w:val="auto"/>
        </w:rPr>
        <w:t>郑重声明：</w:t>
      </w:r>
    </w:p>
    <w:p w14:paraId="0EBF7ECE">
      <w:pPr>
        <w:spacing w:line="360" w:lineRule="auto"/>
        <w:ind w:firstLine="420" w:firstLineChars="200"/>
        <w:rPr>
          <w:rFonts w:ascii="宋体" w:hAnsi="宋体"/>
          <w:color w:val="auto"/>
        </w:rPr>
      </w:pPr>
      <w:r>
        <w:rPr>
          <w:rFonts w:hint="eastAsia" w:ascii="宋体" w:hAnsi="宋体"/>
          <w:color w:val="auto"/>
        </w:rPr>
        <w:t>参加政府采购活动前3年内在经营活动中（在下划线上如实填写：有或没有）重大违法记录。</w:t>
      </w:r>
    </w:p>
    <w:p w14:paraId="523CE0C5">
      <w:pPr>
        <w:spacing w:line="360" w:lineRule="auto"/>
        <w:ind w:firstLine="315" w:firstLineChars="150"/>
        <w:rPr>
          <w:rFonts w:ascii="宋体" w:hAnsi="宋体"/>
          <w:color w:val="auto"/>
        </w:rPr>
      </w:pPr>
      <w:r>
        <w:rPr>
          <w:rFonts w:hint="eastAsia" w:ascii="宋体" w:hAnsi="宋体"/>
          <w:color w:val="auto"/>
        </w:rPr>
        <w:t>（说明：政府采购法第二十二条第一款第五项所称重大违法记录，是指供应商因违法经营受到刑事处罚或者责令停产停业、吊销许可证或者执照、较大数额罚款等行政处罚。）</w:t>
      </w:r>
    </w:p>
    <w:p w14:paraId="03089C50">
      <w:pPr>
        <w:spacing w:line="360" w:lineRule="auto"/>
        <w:rPr>
          <w:rFonts w:ascii="宋体" w:hAnsi="宋体"/>
          <w:color w:val="auto"/>
        </w:rPr>
      </w:pPr>
    </w:p>
    <w:p w14:paraId="05B0171E">
      <w:pPr>
        <w:spacing w:line="360" w:lineRule="auto"/>
        <w:rPr>
          <w:rFonts w:ascii="宋体" w:hAnsi="宋体"/>
          <w:color w:val="auto"/>
        </w:rPr>
      </w:pPr>
    </w:p>
    <w:p w14:paraId="3C1CAA76">
      <w:pPr>
        <w:spacing w:line="360" w:lineRule="auto"/>
        <w:ind w:firstLine="5103" w:firstLineChars="2430"/>
        <w:rPr>
          <w:rFonts w:ascii="宋体" w:hAnsi="宋体"/>
          <w:color w:val="auto"/>
        </w:rPr>
      </w:pPr>
      <w:r>
        <w:rPr>
          <w:rFonts w:hint="eastAsia" w:ascii="宋体" w:hAnsi="宋体"/>
          <w:color w:val="auto"/>
        </w:rPr>
        <w:t>声明人：（公章）</w:t>
      </w:r>
    </w:p>
    <w:p w14:paraId="12A28E51">
      <w:pPr>
        <w:autoSpaceDE w:val="0"/>
        <w:autoSpaceDN w:val="0"/>
        <w:adjustRightInd w:val="0"/>
        <w:spacing w:line="360" w:lineRule="auto"/>
        <w:ind w:firstLine="5040" w:firstLineChars="2400"/>
        <w:rPr>
          <w:rFonts w:ascii="宋体" w:hAnsi="宋体"/>
          <w:b/>
          <w:color w:val="auto"/>
        </w:rPr>
      </w:pPr>
      <w:r>
        <w:rPr>
          <w:rFonts w:hint="eastAsia" w:ascii="宋体" w:hAnsi="宋体"/>
          <w:color w:val="auto"/>
          <w:szCs w:val="21"/>
          <w:lang w:val="zh-CN"/>
        </w:rPr>
        <w:t>日期：年</w:t>
      </w:r>
      <w:r>
        <w:rPr>
          <w:rFonts w:hint="eastAsia" w:ascii="宋体" w:hAnsi="宋体"/>
          <w:color w:val="auto"/>
          <w:szCs w:val="21"/>
        </w:rPr>
        <w:t xml:space="preserve"> </w:t>
      </w:r>
      <w:r>
        <w:rPr>
          <w:rFonts w:hint="eastAsia" w:ascii="宋体" w:hAnsi="宋体"/>
          <w:color w:val="auto"/>
          <w:szCs w:val="21"/>
          <w:lang w:val="zh-CN"/>
        </w:rPr>
        <w:t>月</w:t>
      </w:r>
      <w:r>
        <w:rPr>
          <w:rFonts w:hint="eastAsia" w:ascii="宋体" w:hAnsi="宋体"/>
          <w:color w:val="auto"/>
          <w:szCs w:val="21"/>
        </w:rPr>
        <w:t xml:space="preserve"> 日</w:t>
      </w:r>
      <w:r>
        <w:rPr>
          <w:rFonts w:ascii="宋体"/>
          <w:b/>
          <w:color w:val="auto"/>
          <w:szCs w:val="21"/>
          <w:lang w:val="zh-CN"/>
        </w:rPr>
        <w:br w:type="page"/>
      </w:r>
      <w:r>
        <w:rPr>
          <w:rFonts w:hint="eastAsia" w:ascii="宋体" w:hAnsi="宋体"/>
          <w:b/>
          <w:color w:val="auto"/>
        </w:rPr>
        <w:t>附件十二  资格资信证明文件</w:t>
      </w:r>
    </w:p>
    <w:p w14:paraId="739B22CE">
      <w:pPr>
        <w:autoSpaceDE w:val="0"/>
        <w:autoSpaceDN w:val="0"/>
        <w:adjustRightInd w:val="0"/>
        <w:spacing w:line="360" w:lineRule="auto"/>
        <w:rPr>
          <w:rFonts w:ascii="宋体" w:hAnsi="宋体"/>
          <w:b/>
          <w:color w:val="auto"/>
        </w:rPr>
      </w:pPr>
    </w:p>
    <w:p w14:paraId="2CFD1F4A">
      <w:pPr>
        <w:widowControl/>
        <w:jc w:val="left"/>
        <w:rPr>
          <w:color w:val="auto"/>
        </w:rPr>
      </w:pPr>
    </w:p>
    <w:sectPr>
      <w:pgSz w:w="11906" w:h="16838"/>
      <w:pgMar w:top="1440" w:right="1800" w:bottom="1440" w:left="16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auto"/>
    <w:pitch w:val="default"/>
    <w:sig w:usb0="00000000" w:usb1="00000000" w:usb2="00000000" w:usb3="00000000" w:csb0="0000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KNLe">
    <w:altName w:val="Times New Roman"/>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74B17C"/>
    <w:multiLevelType w:val="singleLevel"/>
    <w:tmpl w:val="A074B17C"/>
    <w:lvl w:ilvl="0" w:tentative="0">
      <w:start w:val="5"/>
      <w:numFmt w:val="chineseCounting"/>
      <w:suff w:val="space"/>
      <w:lvlText w:val="第%1章"/>
      <w:lvlJc w:val="left"/>
      <w:rPr>
        <w:rFonts w:hint="eastAsia"/>
      </w:rPr>
    </w:lvl>
  </w:abstractNum>
  <w:abstractNum w:abstractNumId="1">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76"/>
      <w:lvlText w:val="%1"/>
      <w:lvlJc w:val="left"/>
      <w:pPr>
        <w:ind w:left="425" w:hanging="425"/>
      </w:pPr>
      <w:rPr>
        <w:rFonts w:hint="eastAsia" w:ascii="Arial Unicode MS" w:hAnsi="Arial Unicode MS" w:eastAsia="微软雅黑"/>
        <w:b/>
        <w:i w:val="0"/>
        <w:lang w:val="en-US"/>
      </w:rPr>
    </w:lvl>
    <w:lvl w:ilvl="1" w:tentative="0">
      <w:start w:val="1"/>
      <w:numFmt w:val="decimal"/>
      <w:pStyle w:val="175"/>
      <w:isLgl/>
      <w:lvlText w:val="%1.%2"/>
      <w:lvlJc w:val="left"/>
      <w:pPr>
        <w:ind w:left="425" w:hanging="425"/>
      </w:pPr>
      <w:rPr>
        <w:rFonts w:hint="eastAsia" w:ascii="Arial Unicode MS" w:hAnsi="Arial Unicode MS" w:eastAsia="微软雅黑"/>
        <w:b/>
        <w:i w:val="0"/>
      </w:rPr>
    </w:lvl>
    <w:lvl w:ilvl="2" w:tentative="0">
      <w:start w:val="1"/>
      <w:numFmt w:val="decimal"/>
      <w:pStyle w:val="17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5915610C"/>
    <w:multiLevelType w:val="singleLevel"/>
    <w:tmpl w:val="5915610C"/>
    <w:lvl w:ilvl="0" w:tentative="0">
      <w:start w:val="1"/>
      <w:numFmt w:val="decimal"/>
      <w:suff w:val="nothing"/>
      <w:lvlText w:val="%1、"/>
      <w:lvlJc w:val="left"/>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3NWJiYzIyYTg0MWQ0N2M4ZDQ5YmE4MjE0ZmQzZmMifQ=="/>
  </w:docVars>
  <w:rsids>
    <w:rsidRoot w:val="003020AC"/>
    <w:rsid w:val="000102CA"/>
    <w:rsid w:val="000238A7"/>
    <w:rsid w:val="00026B45"/>
    <w:rsid w:val="000310FF"/>
    <w:rsid w:val="00036A6E"/>
    <w:rsid w:val="00040F0A"/>
    <w:rsid w:val="00041667"/>
    <w:rsid w:val="00041E88"/>
    <w:rsid w:val="00044501"/>
    <w:rsid w:val="00044A1E"/>
    <w:rsid w:val="00052C72"/>
    <w:rsid w:val="000531F0"/>
    <w:rsid w:val="00056953"/>
    <w:rsid w:val="000657B6"/>
    <w:rsid w:val="00084368"/>
    <w:rsid w:val="00085310"/>
    <w:rsid w:val="000870C5"/>
    <w:rsid w:val="00092BA5"/>
    <w:rsid w:val="00095444"/>
    <w:rsid w:val="0009738F"/>
    <w:rsid w:val="000B30B7"/>
    <w:rsid w:val="000C015D"/>
    <w:rsid w:val="000C0C51"/>
    <w:rsid w:val="000C2435"/>
    <w:rsid w:val="000C4463"/>
    <w:rsid w:val="000D4579"/>
    <w:rsid w:val="000E022B"/>
    <w:rsid w:val="000F0833"/>
    <w:rsid w:val="000F18D6"/>
    <w:rsid w:val="000F2109"/>
    <w:rsid w:val="000F7EDD"/>
    <w:rsid w:val="0010062D"/>
    <w:rsid w:val="00103BCD"/>
    <w:rsid w:val="001043FE"/>
    <w:rsid w:val="00107E1F"/>
    <w:rsid w:val="001104CD"/>
    <w:rsid w:val="0011228F"/>
    <w:rsid w:val="00120940"/>
    <w:rsid w:val="001273C1"/>
    <w:rsid w:val="00130E13"/>
    <w:rsid w:val="00143EA1"/>
    <w:rsid w:val="00144C8C"/>
    <w:rsid w:val="00147470"/>
    <w:rsid w:val="00150257"/>
    <w:rsid w:val="00153C7E"/>
    <w:rsid w:val="00156C78"/>
    <w:rsid w:val="00160E49"/>
    <w:rsid w:val="001619CC"/>
    <w:rsid w:val="00176D3D"/>
    <w:rsid w:val="001816CF"/>
    <w:rsid w:val="0018350F"/>
    <w:rsid w:val="00191D6C"/>
    <w:rsid w:val="001A3001"/>
    <w:rsid w:val="001A42F7"/>
    <w:rsid w:val="001A7A67"/>
    <w:rsid w:val="001B52E4"/>
    <w:rsid w:val="001B7F38"/>
    <w:rsid w:val="001C0D12"/>
    <w:rsid w:val="001C39D0"/>
    <w:rsid w:val="001C4AFF"/>
    <w:rsid w:val="001D3E84"/>
    <w:rsid w:val="001E025E"/>
    <w:rsid w:val="001E398F"/>
    <w:rsid w:val="001F02C3"/>
    <w:rsid w:val="001F174A"/>
    <w:rsid w:val="00204578"/>
    <w:rsid w:val="002048DF"/>
    <w:rsid w:val="00211058"/>
    <w:rsid w:val="00214125"/>
    <w:rsid w:val="00214327"/>
    <w:rsid w:val="00217574"/>
    <w:rsid w:val="00222C72"/>
    <w:rsid w:val="002234E3"/>
    <w:rsid w:val="00231994"/>
    <w:rsid w:val="0023327D"/>
    <w:rsid w:val="00233B4A"/>
    <w:rsid w:val="00234CD8"/>
    <w:rsid w:val="00237FC6"/>
    <w:rsid w:val="0024084E"/>
    <w:rsid w:val="00247020"/>
    <w:rsid w:val="00251B17"/>
    <w:rsid w:val="00253A2C"/>
    <w:rsid w:val="002556C6"/>
    <w:rsid w:val="00255EB2"/>
    <w:rsid w:val="002562E7"/>
    <w:rsid w:val="002630F0"/>
    <w:rsid w:val="002848D6"/>
    <w:rsid w:val="002908DF"/>
    <w:rsid w:val="0029667B"/>
    <w:rsid w:val="00296875"/>
    <w:rsid w:val="00296921"/>
    <w:rsid w:val="0029710F"/>
    <w:rsid w:val="002A3C37"/>
    <w:rsid w:val="002A7C5C"/>
    <w:rsid w:val="002B45BA"/>
    <w:rsid w:val="002C3706"/>
    <w:rsid w:val="002C6582"/>
    <w:rsid w:val="002E2641"/>
    <w:rsid w:val="002E2D1B"/>
    <w:rsid w:val="002E3931"/>
    <w:rsid w:val="002E3CDB"/>
    <w:rsid w:val="002E7BF0"/>
    <w:rsid w:val="002F15F4"/>
    <w:rsid w:val="002F1905"/>
    <w:rsid w:val="002F3FC9"/>
    <w:rsid w:val="003020AC"/>
    <w:rsid w:val="003071C6"/>
    <w:rsid w:val="003076FF"/>
    <w:rsid w:val="0031118D"/>
    <w:rsid w:val="00312B2A"/>
    <w:rsid w:val="003143B4"/>
    <w:rsid w:val="003205E1"/>
    <w:rsid w:val="00323578"/>
    <w:rsid w:val="003247D7"/>
    <w:rsid w:val="00331BEB"/>
    <w:rsid w:val="0033526C"/>
    <w:rsid w:val="00342ED4"/>
    <w:rsid w:val="00343D24"/>
    <w:rsid w:val="00347C92"/>
    <w:rsid w:val="0035235D"/>
    <w:rsid w:val="00353D2B"/>
    <w:rsid w:val="003540B4"/>
    <w:rsid w:val="003558D0"/>
    <w:rsid w:val="00356C3B"/>
    <w:rsid w:val="003570C4"/>
    <w:rsid w:val="00365B53"/>
    <w:rsid w:val="00373362"/>
    <w:rsid w:val="00376C7E"/>
    <w:rsid w:val="00377C11"/>
    <w:rsid w:val="0039178C"/>
    <w:rsid w:val="00391CF2"/>
    <w:rsid w:val="003922C5"/>
    <w:rsid w:val="003A0266"/>
    <w:rsid w:val="003A18A6"/>
    <w:rsid w:val="003A7D49"/>
    <w:rsid w:val="003B12BA"/>
    <w:rsid w:val="003B35D7"/>
    <w:rsid w:val="003C42F8"/>
    <w:rsid w:val="003D5EA1"/>
    <w:rsid w:val="003E2ED1"/>
    <w:rsid w:val="003E5277"/>
    <w:rsid w:val="003E538C"/>
    <w:rsid w:val="003F28EC"/>
    <w:rsid w:val="003F388B"/>
    <w:rsid w:val="004051C6"/>
    <w:rsid w:val="00406C6A"/>
    <w:rsid w:val="004123F6"/>
    <w:rsid w:val="004149DE"/>
    <w:rsid w:val="00414F05"/>
    <w:rsid w:val="004306A6"/>
    <w:rsid w:val="00431B29"/>
    <w:rsid w:val="00440D99"/>
    <w:rsid w:val="00444D0A"/>
    <w:rsid w:val="004468F4"/>
    <w:rsid w:val="00451977"/>
    <w:rsid w:val="00453023"/>
    <w:rsid w:val="00460F9A"/>
    <w:rsid w:val="00464A14"/>
    <w:rsid w:val="00465EF3"/>
    <w:rsid w:val="00470265"/>
    <w:rsid w:val="0047281F"/>
    <w:rsid w:val="00472D59"/>
    <w:rsid w:val="00480438"/>
    <w:rsid w:val="00481DF9"/>
    <w:rsid w:val="00486B04"/>
    <w:rsid w:val="0049747B"/>
    <w:rsid w:val="004A6441"/>
    <w:rsid w:val="004C2DCF"/>
    <w:rsid w:val="004C3D7F"/>
    <w:rsid w:val="004C446E"/>
    <w:rsid w:val="004C7B33"/>
    <w:rsid w:val="004D0509"/>
    <w:rsid w:val="004D0CEF"/>
    <w:rsid w:val="004E2FB9"/>
    <w:rsid w:val="004E43A9"/>
    <w:rsid w:val="004F0E04"/>
    <w:rsid w:val="004F2B16"/>
    <w:rsid w:val="00504E08"/>
    <w:rsid w:val="0051046D"/>
    <w:rsid w:val="00510DB0"/>
    <w:rsid w:val="00512F4C"/>
    <w:rsid w:val="00516F65"/>
    <w:rsid w:val="0052005B"/>
    <w:rsid w:val="005272E2"/>
    <w:rsid w:val="00533B7C"/>
    <w:rsid w:val="00533E00"/>
    <w:rsid w:val="00535644"/>
    <w:rsid w:val="00544C3E"/>
    <w:rsid w:val="00547304"/>
    <w:rsid w:val="005474D9"/>
    <w:rsid w:val="00550CB3"/>
    <w:rsid w:val="005624F4"/>
    <w:rsid w:val="005642D8"/>
    <w:rsid w:val="00565BAC"/>
    <w:rsid w:val="0056713C"/>
    <w:rsid w:val="005700C2"/>
    <w:rsid w:val="00574353"/>
    <w:rsid w:val="00581266"/>
    <w:rsid w:val="00581688"/>
    <w:rsid w:val="00584C7D"/>
    <w:rsid w:val="0059349A"/>
    <w:rsid w:val="00593C17"/>
    <w:rsid w:val="0059650A"/>
    <w:rsid w:val="00597372"/>
    <w:rsid w:val="005A402F"/>
    <w:rsid w:val="005C0F05"/>
    <w:rsid w:val="005C11B6"/>
    <w:rsid w:val="005C2F78"/>
    <w:rsid w:val="005D01FD"/>
    <w:rsid w:val="005D119A"/>
    <w:rsid w:val="005E0B22"/>
    <w:rsid w:val="005F4135"/>
    <w:rsid w:val="00604598"/>
    <w:rsid w:val="0061078A"/>
    <w:rsid w:val="00611100"/>
    <w:rsid w:val="00617E73"/>
    <w:rsid w:val="00631847"/>
    <w:rsid w:val="0063641D"/>
    <w:rsid w:val="006378D1"/>
    <w:rsid w:val="00640C27"/>
    <w:rsid w:val="00645C9A"/>
    <w:rsid w:val="00662C70"/>
    <w:rsid w:val="0066452D"/>
    <w:rsid w:val="0066507F"/>
    <w:rsid w:val="00666A2F"/>
    <w:rsid w:val="00670BC4"/>
    <w:rsid w:val="00675708"/>
    <w:rsid w:val="00686DDF"/>
    <w:rsid w:val="00693358"/>
    <w:rsid w:val="00694F12"/>
    <w:rsid w:val="006A28D1"/>
    <w:rsid w:val="006A2F82"/>
    <w:rsid w:val="006A4088"/>
    <w:rsid w:val="006A439D"/>
    <w:rsid w:val="006A659B"/>
    <w:rsid w:val="006B13C0"/>
    <w:rsid w:val="006B5573"/>
    <w:rsid w:val="006C3CC9"/>
    <w:rsid w:val="006C62C4"/>
    <w:rsid w:val="006C77B6"/>
    <w:rsid w:val="006D11CB"/>
    <w:rsid w:val="006D22E9"/>
    <w:rsid w:val="006D2DD6"/>
    <w:rsid w:val="006D50E9"/>
    <w:rsid w:val="006E1FE2"/>
    <w:rsid w:val="006E6E74"/>
    <w:rsid w:val="0070155B"/>
    <w:rsid w:val="007055B6"/>
    <w:rsid w:val="00712B6C"/>
    <w:rsid w:val="00713214"/>
    <w:rsid w:val="007135A8"/>
    <w:rsid w:val="00716F6D"/>
    <w:rsid w:val="007243D4"/>
    <w:rsid w:val="007274A7"/>
    <w:rsid w:val="007319DE"/>
    <w:rsid w:val="00735D55"/>
    <w:rsid w:val="00735E8A"/>
    <w:rsid w:val="007519CF"/>
    <w:rsid w:val="00752EDF"/>
    <w:rsid w:val="00760188"/>
    <w:rsid w:val="00760CFF"/>
    <w:rsid w:val="00767BFE"/>
    <w:rsid w:val="00771827"/>
    <w:rsid w:val="00772B66"/>
    <w:rsid w:val="00774317"/>
    <w:rsid w:val="00774E04"/>
    <w:rsid w:val="00775504"/>
    <w:rsid w:val="0078164D"/>
    <w:rsid w:val="007822AD"/>
    <w:rsid w:val="00797FED"/>
    <w:rsid w:val="007A4CB7"/>
    <w:rsid w:val="007B7E98"/>
    <w:rsid w:val="007C0366"/>
    <w:rsid w:val="007C28EA"/>
    <w:rsid w:val="007C72AC"/>
    <w:rsid w:val="007D44B1"/>
    <w:rsid w:val="007F095C"/>
    <w:rsid w:val="007F1443"/>
    <w:rsid w:val="008010D8"/>
    <w:rsid w:val="00804615"/>
    <w:rsid w:val="00806F63"/>
    <w:rsid w:val="008074F7"/>
    <w:rsid w:val="008079C7"/>
    <w:rsid w:val="0081700F"/>
    <w:rsid w:val="008236D5"/>
    <w:rsid w:val="00825D30"/>
    <w:rsid w:val="008378C9"/>
    <w:rsid w:val="00846A8D"/>
    <w:rsid w:val="00851C8E"/>
    <w:rsid w:val="0085290E"/>
    <w:rsid w:val="00855557"/>
    <w:rsid w:val="00856719"/>
    <w:rsid w:val="0086218B"/>
    <w:rsid w:val="0086536F"/>
    <w:rsid w:val="0087329E"/>
    <w:rsid w:val="00873B3E"/>
    <w:rsid w:val="00876F22"/>
    <w:rsid w:val="008A2221"/>
    <w:rsid w:val="008A4249"/>
    <w:rsid w:val="008B0878"/>
    <w:rsid w:val="008B1BEB"/>
    <w:rsid w:val="008B2353"/>
    <w:rsid w:val="008B24AB"/>
    <w:rsid w:val="008B408E"/>
    <w:rsid w:val="008B5AC1"/>
    <w:rsid w:val="008C0280"/>
    <w:rsid w:val="008C1B77"/>
    <w:rsid w:val="008C312C"/>
    <w:rsid w:val="008C36A2"/>
    <w:rsid w:val="008C552C"/>
    <w:rsid w:val="008D091C"/>
    <w:rsid w:val="008E2CAC"/>
    <w:rsid w:val="008E358E"/>
    <w:rsid w:val="008E36F8"/>
    <w:rsid w:val="008F2026"/>
    <w:rsid w:val="00906663"/>
    <w:rsid w:val="00910C7D"/>
    <w:rsid w:val="00917C85"/>
    <w:rsid w:val="00923ECC"/>
    <w:rsid w:val="0092516A"/>
    <w:rsid w:val="00930717"/>
    <w:rsid w:val="00931BA5"/>
    <w:rsid w:val="00934CAD"/>
    <w:rsid w:val="009352F7"/>
    <w:rsid w:val="00941124"/>
    <w:rsid w:val="009423D7"/>
    <w:rsid w:val="009434A1"/>
    <w:rsid w:val="0095775C"/>
    <w:rsid w:val="009727A3"/>
    <w:rsid w:val="00991515"/>
    <w:rsid w:val="009A22EC"/>
    <w:rsid w:val="009B0DFC"/>
    <w:rsid w:val="009B7C47"/>
    <w:rsid w:val="009C157E"/>
    <w:rsid w:val="009C77F4"/>
    <w:rsid w:val="009D023D"/>
    <w:rsid w:val="009D1A9F"/>
    <w:rsid w:val="009D6FA5"/>
    <w:rsid w:val="009E3AE8"/>
    <w:rsid w:val="009E4626"/>
    <w:rsid w:val="009E7928"/>
    <w:rsid w:val="009F3BF5"/>
    <w:rsid w:val="00A0068E"/>
    <w:rsid w:val="00A00A20"/>
    <w:rsid w:val="00A123BC"/>
    <w:rsid w:val="00A207B1"/>
    <w:rsid w:val="00A21F7D"/>
    <w:rsid w:val="00A311E6"/>
    <w:rsid w:val="00A3295A"/>
    <w:rsid w:val="00A340B4"/>
    <w:rsid w:val="00A3603E"/>
    <w:rsid w:val="00A40BC7"/>
    <w:rsid w:val="00A43713"/>
    <w:rsid w:val="00A459C4"/>
    <w:rsid w:val="00A46198"/>
    <w:rsid w:val="00A47303"/>
    <w:rsid w:val="00A542EC"/>
    <w:rsid w:val="00A60739"/>
    <w:rsid w:val="00A64989"/>
    <w:rsid w:val="00A666E4"/>
    <w:rsid w:val="00A678E9"/>
    <w:rsid w:val="00A7502D"/>
    <w:rsid w:val="00A83F20"/>
    <w:rsid w:val="00A90C22"/>
    <w:rsid w:val="00A93111"/>
    <w:rsid w:val="00A9361A"/>
    <w:rsid w:val="00A9768A"/>
    <w:rsid w:val="00AA4005"/>
    <w:rsid w:val="00AA4E3F"/>
    <w:rsid w:val="00AB4DB1"/>
    <w:rsid w:val="00AC24E3"/>
    <w:rsid w:val="00AC3157"/>
    <w:rsid w:val="00AD5E33"/>
    <w:rsid w:val="00AE06D6"/>
    <w:rsid w:val="00AE27D7"/>
    <w:rsid w:val="00AE2F8E"/>
    <w:rsid w:val="00AF79F5"/>
    <w:rsid w:val="00AF7C4A"/>
    <w:rsid w:val="00B11379"/>
    <w:rsid w:val="00B23F3F"/>
    <w:rsid w:val="00B33097"/>
    <w:rsid w:val="00B343DC"/>
    <w:rsid w:val="00B359A3"/>
    <w:rsid w:val="00B5144C"/>
    <w:rsid w:val="00B54852"/>
    <w:rsid w:val="00B56133"/>
    <w:rsid w:val="00B5654C"/>
    <w:rsid w:val="00B56783"/>
    <w:rsid w:val="00B60738"/>
    <w:rsid w:val="00B61A91"/>
    <w:rsid w:val="00B66E9A"/>
    <w:rsid w:val="00B704D7"/>
    <w:rsid w:val="00B7346E"/>
    <w:rsid w:val="00B77484"/>
    <w:rsid w:val="00B84E91"/>
    <w:rsid w:val="00B9057E"/>
    <w:rsid w:val="00B944BE"/>
    <w:rsid w:val="00BA4799"/>
    <w:rsid w:val="00BA6F1F"/>
    <w:rsid w:val="00BB2C66"/>
    <w:rsid w:val="00BB581E"/>
    <w:rsid w:val="00BB6E21"/>
    <w:rsid w:val="00BC377E"/>
    <w:rsid w:val="00BC3DF3"/>
    <w:rsid w:val="00BC63B6"/>
    <w:rsid w:val="00BD17F9"/>
    <w:rsid w:val="00BD42BF"/>
    <w:rsid w:val="00BF0786"/>
    <w:rsid w:val="00BF1D5A"/>
    <w:rsid w:val="00BF4CB9"/>
    <w:rsid w:val="00BF6B0A"/>
    <w:rsid w:val="00BF7CE8"/>
    <w:rsid w:val="00C02840"/>
    <w:rsid w:val="00C055DA"/>
    <w:rsid w:val="00C11355"/>
    <w:rsid w:val="00C212A2"/>
    <w:rsid w:val="00C363FC"/>
    <w:rsid w:val="00C46E0A"/>
    <w:rsid w:val="00C52323"/>
    <w:rsid w:val="00C524BF"/>
    <w:rsid w:val="00C6521F"/>
    <w:rsid w:val="00C65B04"/>
    <w:rsid w:val="00C734D0"/>
    <w:rsid w:val="00C735D4"/>
    <w:rsid w:val="00C814B2"/>
    <w:rsid w:val="00C855F8"/>
    <w:rsid w:val="00C90249"/>
    <w:rsid w:val="00C9245E"/>
    <w:rsid w:val="00C9757B"/>
    <w:rsid w:val="00CA0C30"/>
    <w:rsid w:val="00CB17CF"/>
    <w:rsid w:val="00CB2FDC"/>
    <w:rsid w:val="00CB5ECF"/>
    <w:rsid w:val="00CC03CD"/>
    <w:rsid w:val="00CC1CF0"/>
    <w:rsid w:val="00CC6BBE"/>
    <w:rsid w:val="00CC7346"/>
    <w:rsid w:val="00CD0166"/>
    <w:rsid w:val="00CD6C01"/>
    <w:rsid w:val="00CE1A98"/>
    <w:rsid w:val="00CE424C"/>
    <w:rsid w:val="00CE5D96"/>
    <w:rsid w:val="00D03445"/>
    <w:rsid w:val="00D03DDD"/>
    <w:rsid w:val="00D06BEB"/>
    <w:rsid w:val="00D114B3"/>
    <w:rsid w:val="00D12821"/>
    <w:rsid w:val="00D174AA"/>
    <w:rsid w:val="00D25124"/>
    <w:rsid w:val="00D34432"/>
    <w:rsid w:val="00D36315"/>
    <w:rsid w:val="00D4177D"/>
    <w:rsid w:val="00D43BBA"/>
    <w:rsid w:val="00D44275"/>
    <w:rsid w:val="00D44E55"/>
    <w:rsid w:val="00D60CF5"/>
    <w:rsid w:val="00D7232E"/>
    <w:rsid w:val="00D73E91"/>
    <w:rsid w:val="00D749D0"/>
    <w:rsid w:val="00D7619A"/>
    <w:rsid w:val="00D84D02"/>
    <w:rsid w:val="00D85E8A"/>
    <w:rsid w:val="00D950D5"/>
    <w:rsid w:val="00DA37FD"/>
    <w:rsid w:val="00DA3FE5"/>
    <w:rsid w:val="00DA43EF"/>
    <w:rsid w:val="00DA5F3A"/>
    <w:rsid w:val="00DA65FD"/>
    <w:rsid w:val="00DB0248"/>
    <w:rsid w:val="00DB31C7"/>
    <w:rsid w:val="00DB6C99"/>
    <w:rsid w:val="00DC00C8"/>
    <w:rsid w:val="00DC35E9"/>
    <w:rsid w:val="00DE181F"/>
    <w:rsid w:val="00DE2333"/>
    <w:rsid w:val="00E01085"/>
    <w:rsid w:val="00E048C1"/>
    <w:rsid w:val="00E10E54"/>
    <w:rsid w:val="00E11430"/>
    <w:rsid w:val="00E12134"/>
    <w:rsid w:val="00E20286"/>
    <w:rsid w:val="00E21E58"/>
    <w:rsid w:val="00E25754"/>
    <w:rsid w:val="00E26143"/>
    <w:rsid w:val="00E302BD"/>
    <w:rsid w:val="00E34A5A"/>
    <w:rsid w:val="00E372AA"/>
    <w:rsid w:val="00E41DD1"/>
    <w:rsid w:val="00E42D9A"/>
    <w:rsid w:val="00E52A48"/>
    <w:rsid w:val="00E54476"/>
    <w:rsid w:val="00E5550D"/>
    <w:rsid w:val="00E6162B"/>
    <w:rsid w:val="00E80413"/>
    <w:rsid w:val="00E8046E"/>
    <w:rsid w:val="00E80E55"/>
    <w:rsid w:val="00E836A9"/>
    <w:rsid w:val="00E854E1"/>
    <w:rsid w:val="00E91A1D"/>
    <w:rsid w:val="00EB2468"/>
    <w:rsid w:val="00EB4216"/>
    <w:rsid w:val="00EB4806"/>
    <w:rsid w:val="00EB5C89"/>
    <w:rsid w:val="00EB5CF9"/>
    <w:rsid w:val="00EB7867"/>
    <w:rsid w:val="00EB7EE8"/>
    <w:rsid w:val="00EC0534"/>
    <w:rsid w:val="00EC61DC"/>
    <w:rsid w:val="00ED18CD"/>
    <w:rsid w:val="00ED2593"/>
    <w:rsid w:val="00ED3FC0"/>
    <w:rsid w:val="00ED718D"/>
    <w:rsid w:val="00EE0300"/>
    <w:rsid w:val="00EE2925"/>
    <w:rsid w:val="00EE4CB6"/>
    <w:rsid w:val="00EE758B"/>
    <w:rsid w:val="00EF3F76"/>
    <w:rsid w:val="00EF5592"/>
    <w:rsid w:val="00F0350D"/>
    <w:rsid w:val="00F068F0"/>
    <w:rsid w:val="00F07126"/>
    <w:rsid w:val="00F07598"/>
    <w:rsid w:val="00F344D1"/>
    <w:rsid w:val="00F61E95"/>
    <w:rsid w:val="00F73360"/>
    <w:rsid w:val="00F756C1"/>
    <w:rsid w:val="00F80F51"/>
    <w:rsid w:val="00F8163E"/>
    <w:rsid w:val="00F84294"/>
    <w:rsid w:val="00F86E4C"/>
    <w:rsid w:val="00F87F22"/>
    <w:rsid w:val="00F92266"/>
    <w:rsid w:val="00FA07A6"/>
    <w:rsid w:val="00FA6683"/>
    <w:rsid w:val="00FB3BB0"/>
    <w:rsid w:val="00FB463A"/>
    <w:rsid w:val="00FC4EE2"/>
    <w:rsid w:val="00FD032F"/>
    <w:rsid w:val="00FD2D19"/>
    <w:rsid w:val="00FD31E4"/>
    <w:rsid w:val="00FE40E4"/>
    <w:rsid w:val="00FF56EE"/>
    <w:rsid w:val="0109465B"/>
    <w:rsid w:val="01565C22"/>
    <w:rsid w:val="0216715F"/>
    <w:rsid w:val="04966335"/>
    <w:rsid w:val="06581AF4"/>
    <w:rsid w:val="0955056D"/>
    <w:rsid w:val="09B90AFC"/>
    <w:rsid w:val="0A7B2255"/>
    <w:rsid w:val="0BE1258C"/>
    <w:rsid w:val="0D052748"/>
    <w:rsid w:val="0F646163"/>
    <w:rsid w:val="0FA77648"/>
    <w:rsid w:val="100131FC"/>
    <w:rsid w:val="1017657C"/>
    <w:rsid w:val="11567578"/>
    <w:rsid w:val="11AD5C4D"/>
    <w:rsid w:val="14A140BF"/>
    <w:rsid w:val="1898379F"/>
    <w:rsid w:val="1BFF235F"/>
    <w:rsid w:val="1C0D0BCA"/>
    <w:rsid w:val="1D33076D"/>
    <w:rsid w:val="1DCA2E80"/>
    <w:rsid w:val="208C6A33"/>
    <w:rsid w:val="20D92D9F"/>
    <w:rsid w:val="21B5306A"/>
    <w:rsid w:val="21DF308D"/>
    <w:rsid w:val="235941B2"/>
    <w:rsid w:val="24C973A7"/>
    <w:rsid w:val="25B87A51"/>
    <w:rsid w:val="281C07C0"/>
    <w:rsid w:val="285C14C0"/>
    <w:rsid w:val="2A0D0CC4"/>
    <w:rsid w:val="2AC11AAE"/>
    <w:rsid w:val="2C3D5164"/>
    <w:rsid w:val="2D3E1194"/>
    <w:rsid w:val="2D574004"/>
    <w:rsid w:val="2E5465D2"/>
    <w:rsid w:val="2F6649D2"/>
    <w:rsid w:val="334C2610"/>
    <w:rsid w:val="36312337"/>
    <w:rsid w:val="366D1BB3"/>
    <w:rsid w:val="3B9823B7"/>
    <w:rsid w:val="3CD70CBD"/>
    <w:rsid w:val="3E52684D"/>
    <w:rsid w:val="3F306D25"/>
    <w:rsid w:val="421D24FA"/>
    <w:rsid w:val="4497151A"/>
    <w:rsid w:val="459D6299"/>
    <w:rsid w:val="45AF3AE3"/>
    <w:rsid w:val="47290367"/>
    <w:rsid w:val="478B080E"/>
    <w:rsid w:val="49185C54"/>
    <w:rsid w:val="49F47A9B"/>
    <w:rsid w:val="4CE34B92"/>
    <w:rsid w:val="4DB909E4"/>
    <w:rsid w:val="50F809C7"/>
    <w:rsid w:val="52C84ED8"/>
    <w:rsid w:val="539722BE"/>
    <w:rsid w:val="559D089E"/>
    <w:rsid w:val="59E92304"/>
    <w:rsid w:val="5ADA6BD1"/>
    <w:rsid w:val="5BB36F08"/>
    <w:rsid w:val="5CFF599B"/>
    <w:rsid w:val="5D467A6D"/>
    <w:rsid w:val="5FBC79D4"/>
    <w:rsid w:val="62022F83"/>
    <w:rsid w:val="63846BFA"/>
    <w:rsid w:val="6408782B"/>
    <w:rsid w:val="640B10C9"/>
    <w:rsid w:val="64446389"/>
    <w:rsid w:val="655A40B6"/>
    <w:rsid w:val="65A90B99"/>
    <w:rsid w:val="6760172C"/>
    <w:rsid w:val="6A132A85"/>
    <w:rsid w:val="6B0D3978"/>
    <w:rsid w:val="6D0B1F10"/>
    <w:rsid w:val="6DFE57FA"/>
    <w:rsid w:val="6E3E60AE"/>
    <w:rsid w:val="6E8421A4"/>
    <w:rsid w:val="6F1F1ECC"/>
    <w:rsid w:val="70074E3A"/>
    <w:rsid w:val="706531C1"/>
    <w:rsid w:val="707D334E"/>
    <w:rsid w:val="70B442FB"/>
    <w:rsid w:val="71CD5C10"/>
    <w:rsid w:val="75C26B49"/>
    <w:rsid w:val="763C65A6"/>
    <w:rsid w:val="7A3854A2"/>
    <w:rsid w:val="7C143AC8"/>
    <w:rsid w:val="7C3C1099"/>
    <w:rsid w:val="7D0C3A90"/>
    <w:rsid w:val="7E714709"/>
    <w:rsid w:val="7EBB44F8"/>
    <w:rsid w:val="7EE13EA6"/>
    <w:rsid w:val="EBFF0A9E"/>
    <w:rsid w:val="FDDE71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qFormat="1" w:uiPriority="99" w:semiHidden="0" w:name="HTML Code"/>
    <w:lsdException w:qFormat="1" w:uiPriority="99" w:semiHidden="0" w:name="HTML Definition"/>
    <w:lsdException w:qFormat="1" w:uiPriority="99" w:semiHidden="0" w:name="HTML Keyboard"/>
    <w:lsdException w:qFormat="1" w:uiPriority="99" w:semiHidden="0" w:name="HTML Preformatted"/>
    <w:lsdException w:qFormat="1" w:uiPriority="99" w:semiHidden="0"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8"/>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ind w:firstLine="420"/>
    </w:p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9"/>
    <w:qFormat/>
    <w:uiPriority w:val="0"/>
    <w:rPr>
      <w:rFonts w:ascii="宋体"/>
      <w:sz w:val="18"/>
      <w:szCs w:val="18"/>
    </w:rPr>
  </w:style>
  <w:style w:type="paragraph" w:styleId="17">
    <w:name w:val="annotation text"/>
    <w:basedOn w:val="1"/>
    <w:link w:val="70"/>
    <w:qFormat/>
    <w:uiPriority w:val="0"/>
    <w:pPr>
      <w:jc w:val="left"/>
    </w:pPr>
  </w:style>
  <w:style w:type="paragraph" w:styleId="18">
    <w:name w:val="Body Text 3"/>
    <w:basedOn w:val="1"/>
    <w:link w:val="71"/>
    <w:qFormat/>
    <w:uiPriority w:val="0"/>
    <w:rPr>
      <w:rFonts w:ascii="宋体"/>
      <w:sz w:val="24"/>
      <w:szCs w:val="20"/>
    </w:rPr>
  </w:style>
  <w:style w:type="paragraph" w:styleId="19">
    <w:name w:val="Body Text"/>
    <w:basedOn w:val="1"/>
    <w:link w:val="72"/>
    <w:qFormat/>
    <w:uiPriority w:val="0"/>
    <w:pPr>
      <w:jc w:val="center"/>
    </w:pPr>
    <w:rPr>
      <w:rFonts w:eastAsia="幼圆"/>
      <w:b/>
      <w:bCs/>
      <w:sz w:val="44"/>
    </w:rPr>
  </w:style>
  <w:style w:type="paragraph" w:styleId="20">
    <w:name w:val="Body Text Indent"/>
    <w:basedOn w:val="1"/>
    <w:link w:val="73"/>
    <w:qFormat/>
    <w:uiPriority w:val="0"/>
    <w:pPr>
      <w:spacing w:after="120"/>
      <w:ind w:left="420" w:leftChars="2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74"/>
    <w:qFormat/>
    <w:uiPriority w:val="99"/>
    <w:rPr>
      <w:rFonts w:ascii="Ari"/>
      <w:kern w:val="0"/>
      <w:sz w:val="20"/>
      <w:szCs w:val="20"/>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75"/>
    <w:unhideWhenUsed/>
    <w:qFormat/>
    <w:uiPriority w:val="0"/>
  </w:style>
  <w:style w:type="paragraph" w:styleId="27">
    <w:name w:val="Body Text Indent 2"/>
    <w:basedOn w:val="1"/>
    <w:link w:val="76"/>
    <w:unhideWhenUsed/>
    <w:qFormat/>
    <w:uiPriority w:val="99"/>
    <w:pPr>
      <w:spacing w:line="420" w:lineRule="exact"/>
      <w:ind w:firstLine="525"/>
    </w:pPr>
    <w:rPr>
      <w:rFonts w:ascii="宋体"/>
      <w:kern w:val="0"/>
      <w:sz w:val="20"/>
      <w:szCs w:val="20"/>
    </w:rPr>
  </w:style>
  <w:style w:type="paragraph" w:styleId="28">
    <w:name w:val="Balloon Text"/>
    <w:basedOn w:val="1"/>
    <w:link w:val="77"/>
    <w:qFormat/>
    <w:uiPriority w:val="0"/>
    <w:rPr>
      <w:sz w:val="18"/>
      <w:szCs w:val="18"/>
    </w:rPr>
  </w:style>
  <w:style w:type="paragraph" w:styleId="29">
    <w:name w:val="footer"/>
    <w:basedOn w:val="1"/>
    <w:link w:val="78"/>
    <w:qFormat/>
    <w:uiPriority w:val="99"/>
    <w:pPr>
      <w:tabs>
        <w:tab w:val="center" w:pos="4153"/>
        <w:tab w:val="right" w:pos="8306"/>
      </w:tabs>
      <w:snapToGrid w:val="0"/>
      <w:jc w:val="left"/>
    </w:pPr>
    <w:rPr>
      <w:sz w:val="18"/>
      <w:szCs w:val="18"/>
    </w:rPr>
  </w:style>
  <w:style w:type="paragraph" w:styleId="30">
    <w:name w:val="header"/>
    <w:basedOn w:val="1"/>
    <w:link w:val="79"/>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ind w:left="1260" w:leftChars="600"/>
    </w:pPr>
    <w:rPr>
      <w:rFonts w:ascii="Calibri" w:hAnsi="Calibri"/>
      <w:szCs w:val="22"/>
    </w:rPr>
  </w:style>
  <w:style w:type="paragraph" w:styleId="33">
    <w:name w:val="Subtitle"/>
    <w:basedOn w:val="1"/>
    <w:next w:val="1"/>
    <w:link w:val="80"/>
    <w:qFormat/>
    <w:uiPriority w:val="0"/>
    <w:pPr>
      <w:spacing w:before="240" w:after="60" w:line="312" w:lineRule="auto"/>
      <w:jc w:val="center"/>
      <w:outlineLvl w:val="1"/>
    </w:pPr>
    <w:rPr>
      <w:rFonts w:ascii="Cambria" w:hAnsi="Cambria"/>
      <w:b/>
      <w:bCs/>
      <w:kern w:val="28"/>
      <w:sz w:val="32"/>
      <w:szCs w:val="32"/>
    </w:rPr>
  </w:style>
  <w:style w:type="paragraph" w:styleId="34">
    <w:name w:val="footnote text"/>
    <w:basedOn w:val="1"/>
    <w:link w:val="81"/>
    <w:unhideWhenUsed/>
    <w:qFormat/>
    <w:uiPriority w:val="0"/>
    <w:pPr>
      <w:snapToGrid w:val="0"/>
      <w:jc w:val="left"/>
    </w:pPr>
    <w:rPr>
      <w:sz w:val="18"/>
      <w:szCs w:val="18"/>
    </w:rPr>
  </w:style>
  <w:style w:type="paragraph" w:styleId="35">
    <w:name w:val="toc 6"/>
    <w:basedOn w:val="1"/>
    <w:next w:val="1"/>
    <w:unhideWhenUsed/>
    <w:qFormat/>
    <w:uiPriority w:val="39"/>
    <w:pPr>
      <w:ind w:left="2100" w:leftChars="1000"/>
    </w:pPr>
    <w:rPr>
      <w:rFonts w:ascii="Calibri" w:hAnsi="Calibri"/>
      <w:szCs w:val="22"/>
    </w:rPr>
  </w:style>
  <w:style w:type="paragraph" w:styleId="36">
    <w:name w:val="Body Text Indent 3"/>
    <w:basedOn w:val="1"/>
    <w:link w:val="82"/>
    <w:qFormat/>
    <w:uiPriority w:val="0"/>
    <w:pPr>
      <w:spacing w:after="120"/>
      <w:ind w:left="420" w:leftChars="200"/>
    </w:pPr>
    <w:rPr>
      <w:sz w:val="16"/>
      <w:szCs w:val="20"/>
    </w:rPr>
  </w:style>
  <w:style w:type="paragraph" w:styleId="37">
    <w:name w:val="toc 2"/>
    <w:basedOn w:val="1"/>
    <w:next w:val="1"/>
    <w:qFormat/>
    <w:uiPriority w:val="39"/>
    <w:pPr>
      <w:ind w:left="420" w:leftChars="200"/>
    </w:pPr>
    <w:rPr>
      <w:rFonts w:ascii="Calibri" w:hAnsi="Calibri"/>
      <w:szCs w:val="22"/>
    </w:rPr>
  </w:style>
  <w:style w:type="paragraph" w:styleId="38">
    <w:name w:val="toc 9"/>
    <w:basedOn w:val="1"/>
    <w:next w:val="1"/>
    <w:unhideWhenUsed/>
    <w:qFormat/>
    <w:uiPriority w:val="39"/>
    <w:pPr>
      <w:ind w:left="3360" w:leftChars="1600"/>
    </w:pPr>
    <w:rPr>
      <w:rFonts w:ascii="Calibri" w:hAnsi="Calibri"/>
      <w:szCs w:val="22"/>
    </w:rPr>
  </w:style>
  <w:style w:type="paragraph" w:styleId="39">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1">
    <w:name w:val="index 1"/>
    <w:basedOn w:val="1"/>
    <w:next w:val="1"/>
    <w:qFormat/>
    <w:uiPriority w:val="0"/>
    <w:pPr>
      <w:spacing w:line="220" w:lineRule="exact"/>
      <w:jc w:val="center"/>
    </w:pPr>
    <w:rPr>
      <w:rFonts w:ascii="仿宋_GB2312" w:hAnsi="Calibri" w:eastAsia="仿宋_GB2312"/>
      <w:szCs w:val="22"/>
    </w:rPr>
  </w:style>
  <w:style w:type="paragraph" w:styleId="42">
    <w:name w:val="Title"/>
    <w:basedOn w:val="1"/>
    <w:link w:val="84"/>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3">
    <w:name w:val="annotation subject"/>
    <w:basedOn w:val="17"/>
    <w:next w:val="17"/>
    <w:link w:val="85"/>
    <w:qFormat/>
    <w:uiPriority w:val="0"/>
    <w:rPr>
      <w:b/>
      <w:bCs/>
    </w:rPr>
  </w:style>
  <w:style w:type="table" w:styleId="45">
    <w:name w:val="Table Grid"/>
    <w:basedOn w:val="4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7">
    <w:name w:val="Strong"/>
    <w:qFormat/>
    <w:uiPriority w:val="0"/>
    <w:rPr>
      <w:rFonts w:cs="Times New Roman"/>
      <w:b/>
    </w:rPr>
  </w:style>
  <w:style w:type="character" w:styleId="48">
    <w:name w:val="page number"/>
    <w:qFormat/>
    <w:uiPriority w:val="0"/>
    <w:rPr>
      <w:rFonts w:eastAsia="宋体"/>
      <w:b/>
      <w:spacing w:val="0"/>
      <w:kern w:val="2"/>
      <w:sz w:val="24"/>
      <w:szCs w:val="24"/>
      <w:lang w:val="en-US" w:eastAsia="zh-CN" w:bidi="ar-SA"/>
    </w:rPr>
  </w:style>
  <w:style w:type="character" w:styleId="49">
    <w:name w:val="FollowedHyperlink"/>
    <w:qFormat/>
    <w:uiPriority w:val="0"/>
    <w:rPr>
      <w:color w:val="800080"/>
      <w:u w:val="single"/>
    </w:rPr>
  </w:style>
  <w:style w:type="character" w:styleId="50">
    <w:name w:val="Emphasis"/>
    <w:qFormat/>
    <w:uiPriority w:val="0"/>
    <w:rPr>
      <w:color w:val="CC0000"/>
    </w:rPr>
  </w:style>
  <w:style w:type="character" w:styleId="51">
    <w:name w:val="HTML Definition"/>
    <w:unhideWhenUsed/>
    <w:qFormat/>
    <w:uiPriority w:val="99"/>
    <w:rPr>
      <w:i/>
    </w:rPr>
  </w:style>
  <w:style w:type="character" w:styleId="52">
    <w:name w:val="Hyperlink"/>
    <w:qFormat/>
    <w:uiPriority w:val="99"/>
    <w:rPr>
      <w:color w:val="0000FF"/>
      <w:u w:val="single"/>
    </w:rPr>
  </w:style>
  <w:style w:type="character" w:styleId="53">
    <w:name w:val="HTML Code"/>
    <w:unhideWhenUsed/>
    <w:qFormat/>
    <w:uiPriority w:val="99"/>
    <w:rPr>
      <w:rFonts w:ascii="Consolas" w:hAnsi="Consolas" w:eastAsia="Consolas" w:cs="Consolas"/>
      <w:color w:val="C7254E"/>
      <w:sz w:val="21"/>
      <w:szCs w:val="21"/>
      <w:shd w:val="clear" w:color="auto" w:fill="F9F2F4"/>
    </w:rPr>
  </w:style>
  <w:style w:type="character" w:styleId="54">
    <w:name w:val="annotation reference"/>
    <w:qFormat/>
    <w:uiPriority w:val="99"/>
    <w:rPr>
      <w:sz w:val="21"/>
      <w:szCs w:val="21"/>
    </w:rPr>
  </w:style>
  <w:style w:type="character" w:styleId="55">
    <w:name w:val="HTML Cite"/>
    <w:qFormat/>
    <w:uiPriority w:val="0"/>
    <w:rPr>
      <w:color w:val="008000"/>
    </w:rPr>
  </w:style>
  <w:style w:type="character" w:styleId="56">
    <w:name w:val="footnote reference"/>
    <w:unhideWhenUsed/>
    <w:qFormat/>
    <w:uiPriority w:val="0"/>
    <w:rPr>
      <w:vertAlign w:val="superscript"/>
    </w:rPr>
  </w:style>
  <w:style w:type="character" w:styleId="57">
    <w:name w:val="HTML Keyboard"/>
    <w:unhideWhenUsed/>
    <w:qFormat/>
    <w:uiPriority w:val="99"/>
    <w:rPr>
      <w:rFonts w:hint="default" w:ascii="Consolas" w:hAnsi="Consolas" w:eastAsia="Consolas" w:cs="Consolas"/>
      <w:color w:val="FFFFFF"/>
      <w:sz w:val="21"/>
      <w:szCs w:val="21"/>
      <w:shd w:val="clear" w:color="auto" w:fill="333333"/>
    </w:rPr>
  </w:style>
  <w:style w:type="character" w:styleId="58">
    <w:name w:val="HTML Sample"/>
    <w:unhideWhenUsed/>
    <w:qFormat/>
    <w:uiPriority w:val="99"/>
    <w:rPr>
      <w:rFonts w:hint="default" w:ascii="Consolas" w:hAnsi="Consolas" w:eastAsia="Consolas" w:cs="Consolas"/>
      <w:sz w:val="21"/>
      <w:szCs w:val="21"/>
    </w:rPr>
  </w:style>
  <w:style w:type="character" w:customStyle="1" w:styleId="59">
    <w:name w:val="标题 1 Char"/>
    <w:basedOn w:val="46"/>
    <w:qFormat/>
    <w:uiPriority w:val="0"/>
    <w:rPr>
      <w:rFonts w:ascii="Times New Roman" w:hAnsi="Times New Roman" w:eastAsia="宋体" w:cs="Times New Roman"/>
      <w:b/>
      <w:bCs/>
      <w:kern w:val="44"/>
      <w:sz w:val="44"/>
      <w:szCs w:val="44"/>
    </w:rPr>
  </w:style>
  <w:style w:type="character" w:customStyle="1" w:styleId="60">
    <w:name w:val="标题 2 Char"/>
    <w:basedOn w:val="46"/>
    <w:link w:val="4"/>
    <w:qFormat/>
    <w:uiPriority w:val="0"/>
    <w:rPr>
      <w:rFonts w:ascii="Cambria" w:hAnsi="Cambria" w:eastAsia="宋体" w:cs="Times New Roman"/>
      <w:b/>
      <w:bCs/>
      <w:sz w:val="32"/>
      <w:szCs w:val="32"/>
    </w:rPr>
  </w:style>
  <w:style w:type="character" w:customStyle="1" w:styleId="61">
    <w:name w:val="标题 3 Char"/>
    <w:basedOn w:val="46"/>
    <w:link w:val="5"/>
    <w:qFormat/>
    <w:uiPriority w:val="0"/>
    <w:rPr>
      <w:rFonts w:ascii="Times New Roman" w:hAnsi="Times New Roman" w:eastAsia="宋体" w:cs="Times New Roman"/>
      <w:b/>
      <w:bCs/>
      <w:sz w:val="32"/>
      <w:szCs w:val="32"/>
    </w:rPr>
  </w:style>
  <w:style w:type="character" w:customStyle="1" w:styleId="62">
    <w:name w:val="标题 4 Char"/>
    <w:basedOn w:val="46"/>
    <w:link w:val="6"/>
    <w:qFormat/>
    <w:uiPriority w:val="0"/>
    <w:rPr>
      <w:rFonts w:ascii="Cambria" w:hAnsi="Cambria" w:eastAsia="宋体" w:cs="Times New Roman"/>
      <w:b/>
      <w:bCs/>
      <w:sz w:val="28"/>
      <w:szCs w:val="28"/>
    </w:rPr>
  </w:style>
  <w:style w:type="character" w:customStyle="1" w:styleId="63">
    <w:name w:val="标题 5 Char"/>
    <w:basedOn w:val="46"/>
    <w:link w:val="7"/>
    <w:qFormat/>
    <w:uiPriority w:val="0"/>
    <w:rPr>
      <w:rFonts w:ascii="Times New Roman" w:hAnsi="Times New Roman" w:eastAsia="宋体" w:cs="Times New Roman"/>
      <w:b/>
      <w:bCs/>
      <w:sz w:val="28"/>
      <w:szCs w:val="28"/>
    </w:rPr>
  </w:style>
  <w:style w:type="character" w:customStyle="1" w:styleId="64">
    <w:name w:val="标题 6 Char"/>
    <w:basedOn w:val="46"/>
    <w:link w:val="8"/>
    <w:qFormat/>
    <w:uiPriority w:val="0"/>
    <w:rPr>
      <w:rFonts w:ascii="Cambria" w:hAnsi="Cambria" w:eastAsia="宋体" w:cs="Times New Roman"/>
      <w:b/>
      <w:bCs/>
      <w:sz w:val="24"/>
      <w:szCs w:val="24"/>
    </w:rPr>
  </w:style>
  <w:style w:type="character" w:customStyle="1" w:styleId="65">
    <w:name w:val="标题 7 Char"/>
    <w:basedOn w:val="46"/>
    <w:link w:val="9"/>
    <w:qFormat/>
    <w:uiPriority w:val="0"/>
    <w:rPr>
      <w:rFonts w:ascii="Times New Roman" w:hAnsi="Times New Roman" w:eastAsia="宋体" w:cs="Times New Roman"/>
      <w:b/>
      <w:bCs/>
      <w:sz w:val="24"/>
      <w:szCs w:val="24"/>
    </w:rPr>
  </w:style>
  <w:style w:type="character" w:customStyle="1" w:styleId="66">
    <w:name w:val="标题 8 Char"/>
    <w:basedOn w:val="46"/>
    <w:link w:val="10"/>
    <w:qFormat/>
    <w:uiPriority w:val="0"/>
    <w:rPr>
      <w:rFonts w:ascii="Cambria" w:hAnsi="Cambria" w:eastAsia="宋体" w:cs="Times New Roman"/>
      <w:sz w:val="24"/>
      <w:szCs w:val="24"/>
    </w:rPr>
  </w:style>
  <w:style w:type="character" w:customStyle="1" w:styleId="67">
    <w:name w:val="标题 9 Char"/>
    <w:basedOn w:val="46"/>
    <w:link w:val="11"/>
    <w:qFormat/>
    <w:uiPriority w:val="0"/>
    <w:rPr>
      <w:rFonts w:ascii="Cambria" w:hAnsi="Cambria" w:eastAsia="宋体" w:cs="Times New Roman"/>
      <w:szCs w:val="21"/>
    </w:rPr>
  </w:style>
  <w:style w:type="character" w:customStyle="1" w:styleId="68">
    <w:name w:val="标题 1 Char1"/>
    <w:link w:val="3"/>
    <w:qFormat/>
    <w:uiPriority w:val="0"/>
    <w:rPr>
      <w:rFonts w:ascii="Times New Roman" w:hAnsi="Times New Roman" w:eastAsia="宋体" w:cs="Times New Roman"/>
      <w:b/>
      <w:bCs/>
      <w:kern w:val="44"/>
      <w:sz w:val="32"/>
      <w:szCs w:val="44"/>
    </w:rPr>
  </w:style>
  <w:style w:type="character" w:customStyle="1" w:styleId="69">
    <w:name w:val="文档结构图 Char"/>
    <w:basedOn w:val="46"/>
    <w:link w:val="16"/>
    <w:qFormat/>
    <w:uiPriority w:val="0"/>
    <w:rPr>
      <w:rFonts w:ascii="宋体" w:hAnsi="Times New Roman" w:eastAsia="宋体" w:cs="Times New Roman"/>
      <w:sz w:val="18"/>
      <w:szCs w:val="18"/>
    </w:rPr>
  </w:style>
  <w:style w:type="character" w:customStyle="1" w:styleId="70">
    <w:name w:val="批注文字 Char"/>
    <w:basedOn w:val="46"/>
    <w:link w:val="17"/>
    <w:qFormat/>
    <w:uiPriority w:val="0"/>
    <w:rPr>
      <w:rFonts w:ascii="Times New Roman" w:hAnsi="Times New Roman" w:eastAsia="宋体" w:cs="Times New Roman"/>
      <w:szCs w:val="24"/>
    </w:rPr>
  </w:style>
  <w:style w:type="character" w:customStyle="1" w:styleId="71">
    <w:name w:val="正文文本 3 Char"/>
    <w:basedOn w:val="46"/>
    <w:link w:val="18"/>
    <w:qFormat/>
    <w:uiPriority w:val="0"/>
    <w:rPr>
      <w:rFonts w:ascii="宋体" w:hAnsi="Times New Roman" w:eastAsia="宋体" w:cs="Times New Roman"/>
      <w:sz w:val="24"/>
      <w:szCs w:val="20"/>
    </w:rPr>
  </w:style>
  <w:style w:type="character" w:customStyle="1" w:styleId="72">
    <w:name w:val="正文文本 Char"/>
    <w:basedOn w:val="46"/>
    <w:link w:val="19"/>
    <w:qFormat/>
    <w:uiPriority w:val="0"/>
    <w:rPr>
      <w:rFonts w:ascii="Times New Roman" w:hAnsi="Times New Roman" w:eastAsia="幼圆" w:cs="Times New Roman"/>
      <w:b/>
      <w:bCs/>
      <w:sz w:val="44"/>
      <w:szCs w:val="24"/>
    </w:rPr>
  </w:style>
  <w:style w:type="character" w:customStyle="1" w:styleId="73">
    <w:name w:val="正文文本缩进 Char"/>
    <w:basedOn w:val="46"/>
    <w:link w:val="20"/>
    <w:qFormat/>
    <w:uiPriority w:val="0"/>
    <w:rPr>
      <w:rFonts w:ascii="Times New Roman" w:hAnsi="Times New Roman" w:eastAsia="宋体" w:cs="Times New Roman"/>
      <w:szCs w:val="24"/>
    </w:rPr>
  </w:style>
  <w:style w:type="character" w:customStyle="1" w:styleId="74">
    <w:name w:val="纯文本 Char"/>
    <w:basedOn w:val="46"/>
    <w:link w:val="24"/>
    <w:qFormat/>
    <w:uiPriority w:val="99"/>
    <w:rPr>
      <w:rFonts w:ascii="Ari" w:hAnsi="Times New Roman" w:eastAsia="宋体" w:cs="Times New Roman"/>
      <w:kern w:val="0"/>
      <w:sz w:val="20"/>
      <w:szCs w:val="20"/>
    </w:rPr>
  </w:style>
  <w:style w:type="character" w:customStyle="1" w:styleId="75">
    <w:name w:val="日期 Char"/>
    <w:basedOn w:val="46"/>
    <w:link w:val="26"/>
    <w:qFormat/>
    <w:uiPriority w:val="0"/>
    <w:rPr>
      <w:rFonts w:ascii="Times New Roman" w:hAnsi="Times New Roman" w:eastAsia="宋体" w:cs="Times New Roman"/>
      <w:szCs w:val="24"/>
    </w:rPr>
  </w:style>
  <w:style w:type="character" w:customStyle="1" w:styleId="76">
    <w:name w:val="正文文本缩进 2 Char"/>
    <w:basedOn w:val="46"/>
    <w:link w:val="27"/>
    <w:qFormat/>
    <w:uiPriority w:val="99"/>
    <w:rPr>
      <w:rFonts w:ascii="宋体" w:hAnsi="Times New Roman" w:eastAsia="宋体" w:cs="Times New Roman"/>
      <w:kern w:val="0"/>
      <w:sz w:val="20"/>
      <w:szCs w:val="20"/>
    </w:rPr>
  </w:style>
  <w:style w:type="character" w:customStyle="1" w:styleId="77">
    <w:name w:val="批注框文本 Char"/>
    <w:basedOn w:val="46"/>
    <w:link w:val="28"/>
    <w:qFormat/>
    <w:uiPriority w:val="0"/>
    <w:rPr>
      <w:rFonts w:ascii="Times New Roman" w:hAnsi="Times New Roman" w:eastAsia="宋体" w:cs="Times New Roman"/>
      <w:sz w:val="18"/>
      <w:szCs w:val="18"/>
    </w:rPr>
  </w:style>
  <w:style w:type="character" w:customStyle="1" w:styleId="78">
    <w:name w:val="页脚 Char"/>
    <w:basedOn w:val="46"/>
    <w:link w:val="29"/>
    <w:qFormat/>
    <w:uiPriority w:val="99"/>
    <w:rPr>
      <w:rFonts w:ascii="Times New Roman" w:hAnsi="Times New Roman" w:eastAsia="宋体" w:cs="Times New Roman"/>
      <w:sz w:val="18"/>
      <w:szCs w:val="18"/>
    </w:rPr>
  </w:style>
  <w:style w:type="character" w:customStyle="1" w:styleId="79">
    <w:name w:val="页眉 Char"/>
    <w:basedOn w:val="46"/>
    <w:link w:val="30"/>
    <w:qFormat/>
    <w:uiPriority w:val="99"/>
    <w:rPr>
      <w:rFonts w:ascii="Times New Roman" w:hAnsi="Times New Roman" w:eastAsia="宋体" w:cs="Times New Roman"/>
      <w:sz w:val="18"/>
      <w:szCs w:val="18"/>
    </w:rPr>
  </w:style>
  <w:style w:type="character" w:customStyle="1" w:styleId="80">
    <w:name w:val="副标题 Char"/>
    <w:basedOn w:val="46"/>
    <w:link w:val="33"/>
    <w:qFormat/>
    <w:uiPriority w:val="0"/>
    <w:rPr>
      <w:rFonts w:ascii="Cambria" w:hAnsi="Cambria" w:eastAsia="宋体" w:cs="Times New Roman"/>
      <w:b/>
      <w:bCs/>
      <w:kern w:val="28"/>
      <w:sz w:val="32"/>
      <w:szCs w:val="32"/>
    </w:rPr>
  </w:style>
  <w:style w:type="character" w:customStyle="1" w:styleId="81">
    <w:name w:val="脚注文本 Char"/>
    <w:basedOn w:val="46"/>
    <w:link w:val="34"/>
    <w:qFormat/>
    <w:uiPriority w:val="0"/>
    <w:rPr>
      <w:rFonts w:ascii="Times New Roman" w:hAnsi="Times New Roman" w:eastAsia="宋体" w:cs="Times New Roman"/>
      <w:sz w:val="18"/>
      <w:szCs w:val="18"/>
    </w:rPr>
  </w:style>
  <w:style w:type="character" w:customStyle="1" w:styleId="82">
    <w:name w:val="正文文本缩进 3 Char"/>
    <w:basedOn w:val="46"/>
    <w:link w:val="36"/>
    <w:qFormat/>
    <w:uiPriority w:val="0"/>
    <w:rPr>
      <w:rFonts w:ascii="Times New Roman" w:hAnsi="Times New Roman" w:eastAsia="宋体" w:cs="Times New Roman"/>
      <w:sz w:val="16"/>
      <w:szCs w:val="20"/>
    </w:rPr>
  </w:style>
  <w:style w:type="character" w:customStyle="1" w:styleId="83">
    <w:name w:val="HTML 预设格式 Char"/>
    <w:basedOn w:val="46"/>
    <w:link w:val="39"/>
    <w:qFormat/>
    <w:uiPriority w:val="99"/>
    <w:rPr>
      <w:rFonts w:ascii="宋体" w:hAnsi="宋体" w:eastAsia="宋体" w:cs="Times New Roman"/>
      <w:kern w:val="0"/>
      <w:sz w:val="24"/>
      <w:szCs w:val="24"/>
    </w:rPr>
  </w:style>
  <w:style w:type="character" w:customStyle="1" w:styleId="84">
    <w:name w:val="标题 Char"/>
    <w:basedOn w:val="46"/>
    <w:link w:val="42"/>
    <w:qFormat/>
    <w:uiPriority w:val="0"/>
    <w:rPr>
      <w:rFonts w:ascii="Arial" w:hAnsi="Arial" w:eastAsia="宋体" w:cs="Times New Roman"/>
      <w:b/>
      <w:kern w:val="0"/>
      <w:sz w:val="32"/>
      <w:szCs w:val="20"/>
    </w:rPr>
  </w:style>
  <w:style w:type="character" w:customStyle="1" w:styleId="85">
    <w:name w:val="批注主题 Char"/>
    <w:basedOn w:val="70"/>
    <w:link w:val="43"/>
    <w:qFormat/>
    <w:uiPriority w:val="0"/>
    <w:rPr>
      <w:rFonts w:ascii="Times New Roman" w:hAnsi="Times New Roman" w:eastAsia="宋体" w:cs="Times New Roman"/>
      <w:b/>
      <w:bCs/>
      <w:szCs w:val="24"/>
    </w:rPr>
  </w:style>
  <w:style w:type="character" w:customStyle="1" w:styleId="86">
    <w:name w:val="引用 Char2"/>
    <w:qFormat/>
    <w:uiPriority w:val="99"/>
    <w:rPr>
      <w:i/>
      <w:iCs/>
      <w:color w:val="000000"/>
      <w:kern w:val="2"/>
      <w:sz w:val="21"/>
      <w:szCs w:val="24"/>
    </w:rPr>
  </w:style>
  <w:style w:type="character" w:customStyle="1" w:styleId="87">
    <w:name w:val="日期 Char2"/>
    <w:semiHidden/>
    <w:qFormat/>
    <w:uiPriority w:val="99"/>
    <w:rPr>
      <w:rFonts w:ascii="Calibri" w:hAnsi="Calibri" w:eastAsia="宋体" w:cs="Times New Roman"/>
    </w:rPr>
  </w:style>
  <w:style w:type="character" w:customStyle="1" w:styleId="88">
    <w:name w:val="批注框文本 Char2"/>
    <w:semiHidden/>
    <w:qFormat/>
    <w:uiPriority w:val="99"/>
    <w:rPr>
      <w:rFonts w:ascii="Calibri" w:hAnsi="Calibri" w:eastAsia="宋体" w:cs="Times New Roman"/>
      <w:sz w:val="18"/>
      <w:szCs w:val="18"/>
    </w:rPr>
  </w:style>
  <w:style w:type="character" w:customStyle="1" w:styleId="89">
    <w:name w:val="标题4 Char Char"/>
    <w:link w:val="90"/>
    <w:qFormat/>
    <w:uiPriority w:val="0"/>
    <w:rPr>
      <w:rFonts w:ascii="Arial" w:hAnsi="Arial"/>
      <w:b/>
      <w:bCs/>
      <w:sz w:val="24"/>
      <w:szCs w:val="32"/>
    </w:rPr>
  </w:style>
  <w:style w:type="paragraph" w:customStyle="1" w:styleId="90">
    <w:name w:val="标题4"/>
    <w:basedOn w:val="4"/>
    <w:next w:val="21"/>
    <w:link w:val="89"/>
    <w:qFormat/>
    <w:uiPriority w:val="0"/>
    <w:pPr>
      <w:numPr>
        <w:ilvl w:val="0"/>
        <w:numId w:val="0"/>
      </w:numPr>
      <w:spacing w:line="413" w:lineRule="auto"/>
    </w:pPr>
    <w:rPr>
      <w:rFonts w:ascii="Arial" w:hAnsi="Arial" w:eastAsiaTheme="minorEastAsia" w:cstheme="minorBidi"/>
      <w:sz w:val="24"/>
    </w:rPr>
  </w:style>
  <w:style w:type="character" w:customStyle="1" w:styleId="91">
    <w:name w:val="引用 Char"/>
    <w:link w:val="92"/>
    <w:qFormat/>
    <w:uiPriority w:val="0"/>
    <w:rPr>
      <w:i/>
      <w:iCs/>
      <w:color w:val="000000"/>
    </w:rPr>
  </w:style>
  <w:style w:type="paragraph" w:customStyle="1" w:styleId="92">
    <w:name w:val="引用1"/>
    <w:basedOn w:val="1"/>
    <w:next w:val="1"/>
    <w:link w:val="91"/>
    <w:qFormat/>
    <w:uiPriority w:val="0"/>
    <w:rPr>
      <w:rFonts w:asciiTheme="minorHAnsi" w:hAnsiTheme="minorHAnsi" w:eastAsiaTheme="minorEastAsia" w:cstheme="minorBidi"/>
      <w:i/>
      <w:iCs/>
      <w:color w:val="000000"/>
      <w:szCs w:val="22"/>
    </w:rPr>
  </w:style>
  <w:style w:type="character" w:customStyle="1" w:styleId="93">
    <w:name w:val="font21"/>
    <w:qFormat/>
    <w:uiPriority w:val="0"/>
    <w:rPr>
      <w:rFonts w:hint="eastAsia" w:ascii="宋体" w:hAnsi="宋体" w:eastAsia="宋体" w:cs="宋体"/>
      <w:color w:val="000000"/>
      <w:sz w:val="20"/>
      <w:szCs w:val="20"/>
      <w:u w:val="none"/>
    </w:rPr>
  </w:style>
  <w:style w:type="character" w:customStyle="1" w:styleId="94">
    <w:name w:val="正文文本缩进 3 Char1"/>
    <w:semiHidden/>
    <w:qFormat/>
    <w:uiPriority w:val="99"/>
    <w:rPr>
      <w:kern w:val="2"/>
      <w:sz w:val="16"/>
      <w:szCs w:val="16"/>
    </w:rPr>
  </w:style>
  <w:style w:type="character" w:customStyle="1" w:styleId="95">
    <w:name w:val="明显引用 Char"/>
    <w:link w:val="96"/>
    <w:qFormat/>
    <w:uiPriority w:val="0"/>
    <w:rPr>
      <w:b/>
      <w:bCs/>
      <w:i/>
      <w:iCs/>
      <w:color w:val="4F81BD"/>
    </w:rPr>
  </w:style>
  <w:style w:type="paragraph" w:customStyle="1" w:styleId="96">
    <w:name w:val="明显引用1"/>
    <w:basedOn w:val="1"/>
    <w:next w:val="1"/>
    <w:link w:val="95"/>
    <w:qFormat/>
    <w:uiPriority w:val="0"/>
    <w:pPr>
      <w:pBdr>
        <w:bottom w:val="single" w:color="4F81BD" w:sz="4" w:space="4"/>
      </w:pBdr>
      <w:spacing w:before="200" w:after="280"/>
      <w:ind w:left="936" w:right="936"/>
    </w:pPr>
    <w:rPr>
      <w:rFonts w:asciiTheme="minorHAnsi" w:hAnsiTheme="minorHAnsi" w:eastAsiaTheme="minorEastAsia" w:cstheme="minorBidi"/>
      <w:b/>
      <w:bCs/>
      <w:i/>
      <w:iCs/>
      <w:color w:val="4F81BD"/>
      <w:szCs w:val="22"/>
    </w:rPr>
  </w:style>
  <w:style w:type="character" w:customStyle="1" w:styleId="97">
    <w:name w:val="书籍标题1"/>
    <w:qFormat/>
    <w:uiPriority w:val="0"/>
    <w:rPr>
      <w:b/>
      <w:bCs/>
      <w:smallCaps/>
      <w:spacing w:val="5"/>
    </w:rPr>
  </w:style>
  <w:style w:type="character" w:customStyle="1" w:styleId="98">
    <w:name w:val="批注主题 Char1"/>
    <w:qFormat/>
    <w:uiPriority w:val="0"/>
    <w:rPr>
      <w:b/>
      <w:bCs/>
      <w:kern w:val="2"/>
      <w:sz w:val="21"/>
      <w:szCs w:val="22"/>
    </w:rPr>
  </w:style>
  <w:style w:type="character" w:customStyle="1" w:styleId="99">
    <w:name w:val="不明显强调1"/>
    <w:qFormat/>
    <w:uiPriority w:val="0"/>
    <w:rPr>
      <w:i/>
      <w:iCs/>
      <w:color w:val="808080"/>
    </w:rPr>
  </w:style>
  <w:style w:type="character" w:customStyle="1" w:styleId="100">
    <w:name w:val="页眉 Char1"/>
    <w:semiHidden/>
    <w:qFormat/>
    <w:uiPriority w:val="99"/>
    <w:rPr>
      <w:rFonts w:ascii="Calibri" w:hAnsi="Calibri" w:eastAsia="宋体" w:cs="Times New Roman"/>
      <w:sz w:val="18"/>
      <w:szCs w:val="18"/>
    </w:rPr>
  </w:style>
  <w:style w:type="character" w:customStyle="1" w:styleId="101">
    <w:name w:val="hover14"/>
    <w:qFormat/>
    <w:uiPriority w:val="0"/>
    <w:rPr>
      <w:color w:val="FFFFFF"/>
      <w:shd w:val="clear" w:color="auto" w:fill="00C1B3"/>
    </w:rPr>
  </w:style>
  <w:style w:type="character" w:customStyle="1" w:styleId="102">
    <w:name w:val="列出段落 Char"/>
    <w:link w:val="103"/>
    <w:qFormat/>
    <w:locked/>
    <w:uiPriority w:val="0"/>
    <w:rPr>
      <w:szCs w:val="24"/>
    </w:rPr>
  </w:style>
  <w:style w:type="paragraph" w:customStyle="1" w:styleId="103">
    <w:name w:val="List Paragraph1"/>
    <w:basedOn w:val="1"/>
    <w:link w:val="102"/>
    <w:qFormat/>
    <w:uiPriority w:val="0"/>
    <w:pPr>
      <w:ind w:firstLine="420" w:firstLineChars="200"/>
    </w:pPr>
    <w:rPr>
      <w:rFonts w:asciiTheme="minorHAnsi" w:hAnsiTheme="minorHAnsi" w:eastAsiaTheme="minorEastAsia" w:cstheme="minorBidi"/>
    </w:rPr>
  </w:style>
  <w:style w:type="character" w:customStyle="1" w:styleId="104">
    <w:name w:val="超链接_0"/>
    <w:qFormat/>
    <w:uiPriority w:val="99"/>
    <w:rPr>
      <w:rFonts w:ascii="Calibri" w:hAnsi="Calibri"/>
      <w:color w:val="0000FF"/>
      <w:u w:val="single"/>
    </w:rPr>
  </w:style>
  <w:style w:type="character" w:customStyle="1" w:styleId="105">
    <w:name w:val="明显引用 Char2"/>
    <w:qFormat/>
    <w:uiPriority w:val="99"/>
    <w:rPr>
      <w:b/>
      <w:bCs/>
      <w:i/>
      <w:iCs/>
      <w:color w:val="4F81BD"/>
      <w:kern w:val="2"/>
      <w:sz w:val="21"/>
      <w:szCs w:val="24"/>
    </w:rPr>
  </w:style>
  <w:style w:type="character" w:customStyle="1" w:styleId="106">
    <w:name w:val="正文文本 Char2"/>
    <w:semiHidden/>
    <w:qFormat/>
    <w:uiPriority w:val="99"/>
    <w:rPr>
      <w:rFonts w:ascii="Calibri" w:hAnsi="Calibri" w:eastAsia="宋体" w:cs="Times New Roman"/>
    </w:rPr>
  </w:style>
  <w:style w:type="character" w:customStyle="1" w:styleId="107">
    <w:name w:val="hover13"/>
    <w:qFormat/>
    <w:uiPriority w:val="0"/>
    <w:rPr>
      <w:color w:val="FFFFFF"/>
      <w:shd w:val="clear" w:color="auto" w:fill="00C1B3"/>
    </w:rPr>
  </w:style>
  <w:style w:type="character" w:customStyle="1" w:styleId="108">
    <w:name w:val="标题 1 Char_0"/>
    <w:link w:val="109"/>
    <w:qFormat/>
    <w:uiPriority w:val="0"/>
    <w:rPr>
      <w:b/>
      <w:bCs/>
      <w:kern w:val="44"/>
      <w:sz w:val="44"/>
      <w:szCs w:val="44"/>
    </w:rPr>
  </w:style>
  <w:style w:type="paragraph" w:customStyle="1" w:styleId="109">
    <w:name w:val="标题 1_0"/>
    <w:basedOn w:val="110"/>
    <w:next w:val="110"/>
    <w:link w:val="108"/>
    <w:qFormat/>
    <w:uiPriority w:val="0"/>
    <w:pPr>
      <w:keepNext/>
      <w:keepLines/>
      <w:spacing w:before="340" w:after="330" w:line="578" w:lineRule="auto"/>
      <w:outlineLvl w:val="0"/>
    </w:pPr>
    <w:rPr>
      <w:rFonts w:asciiTheme="minorHAnsi" w:hAnsiTheme="minorHAnsi" w:eastAsiaTheme="minorEastAsia" w:cstheme="minorBidi"/>
      <w:b/>
      <w:bCs/>
      <w:kern w:val="44"/>
      <w:sz w:val="44"/>
      <w:szCs w:val="44"/>
    </w:rPr>
  </w:style>
  <w:style w:type="paragraph" w:customStyle="1" w:styleId="110">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111">
    <w:name w:val="批注主题 Char2"/>
    <w:qFormat/>
    <w:uiPriority w:val="0"/>
    <w:rPr>
      <w:b/>
      <w:bCs/>
      <w:kern w:val="2"/>
      <w:sz w:val="21"/>
    </w:rPr>
  </w:style>
  <w:style w:type="character" w:customStyle="1" w:styleId="112">
    <w:name w:val="t-tree-icon"/>
    <w:basedOn w:val="46"/>
    <w:qFormat/>
    <w:uiPriority w:val="0"/>
  </w:style>
  <w:style w:type="character" w:customStyle="1" w:styleId="113">
    <w:name w:val="标题 3 Char_0"/>
    <w:link w:val="114"/>
    <w:qFormat/>
    <w:uiPriority w:val="0"/>
    <w:rPr>
      <w:b/>
      <w:bCs/>
      <w:sz w:val="32"/>
      <w:szCs w:val="32"/>
    </w:rPr>
  </w:style>
  <w:style w:type="paragraph" w:customStyle="1" w:styleId="114">
    <w:name w:val="标题 3_0"/>
    <w:basedOn w:val="110"/>
    <w:next w:val="110"/>
    <w:link w:val="113"/>
    <w:qFormat/>
    <w:uiPriority w:val="0"/>
    <w:pPr>
      <w:keepNext/>
      <w:keepLines/>
      <w:spacing w:before="260" w:after="260" w:line="416" w:lineRule="auto"/>
      <w:outlineLvl w:val="2"/>
    </w:pPr>
    <w:rPr>
      <w:rFonts w:asciiTheme="minorHAnsi" w:hAnsiTheme="minorHAnsi" w:eastAsiaTheme="minorEastAsia" w:cstheme="minorBidi"/>
      <w:b/>
      <w:bCs/>
      <w:sz w:val="32"/>
      <w:szCs w:val="32"/>
    </w:rPr>
  </w:style>
  <w:style w:type="character" w:customStyle="1" w:styleId="115">
    <w:name w:val="t-tree-expanded"/>
    <w:basedOn w:val="46"/>
    <w:qFormat/>
    <w:uiPriority w:val="0"/>
  </w:style>
  <w:style w:type="character" w:customStyle="1" w:styleId="116">
    <w:name w:val="标题 5 Char_0"/>
    <w:link w:val="117"/>
    <w:qFormat/>
    <w:uiPriority w:val="0"/>
    <w:rPr>
      <w:rFonts w:ascii="Calibri" w:hAnsi="Calibri"/>
      <w:b/>
      <w:bCs/>
      <w:sz w:val="28"/>
      <w:szCs w:val="28"/>
    </w:rPr>
  </w:style>
  <w:style w:type="paragraph" w:customStyle="1" w:styleId="117">
    <w:name w:val="标题 5_0"/>
    <w:basedOn w:val="110"/>
    <w:next w:val="110"/>
    <w:link w:val="116"/>
    <w:qFormat/>
    <w:uiPriority w:val="0"/>
    <w:pPr>
      <w:keepNext/>
      <w:keepLines/>
      <w:spacing w:before="280" w:after="290" w:line="372" w:lineRule="auto"/>
      <w:outlineLvl w:val="4"/>
    </w:pPr>
    <w:rPr>
      <w:rFonts w:ascii="Calibri" w:hAnsi="Calibri" w:eastAsiaTheme="minorEastAsia" w:cstheme="minorBidi"/>
      <w:b/>
      <w:bCs/>
      <w:sz w:val="28"/>
      <w:szCs w:val="28"/>
    </w:rPr>
  </w:style>
  <w:style w:type="character" w:customStyle="1" w:styleId="118">
    <w:name w:val="副标题 Char2"/>
    <w:qFormat/>
    <w:uiPriority w:val="11"/>
    <w:rPr>
      <w:rFonts w:ascii="Cambria" w:hAnsi="Cambria" w:cs="Times New Roman"/>
      <w:b/>
      <w:bCs/>
      <w:kern w:val="28"/>
      <w:sz w:val="32"/>
      <w:szCs w:val="32"/>
    </w:rPr>
  </w:style>
  <w:style w:type="character" w:customStyle="1" w:styleId="119">
    <w:name w:val="正文文本 3 Char1"/>
    <w:semiHidden/>
    <w:qFormat/>
    <w:uiPriority w:val="99"/>
    <w:rPr>
      <w:kern w:val="2"/>
      <w:sz w:val="16"/>
      <w:szCs w:val="16"/>
    </w:rPr>
  </w:style>
  <w:style w:type="character" w:customStyle="1" w:styleId="120">
    <w:name w:val="rvts11"/>
    <w:qFormat/>
    <w:uiPriority w:val="0"/>
    <w:rPr>
      <w:rFonts w:hint="default" w:ascii="KNLe" w:hAnsi="KNLe"/>
      <w:sz w:val="24"/>
      <w:szCs w:val="24"/>
      <w:u w:val="single"/>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textcontents"/>
    <w:qFormat/>
    <w:uiPriority w:val="0"/>
    <w:rPr>
      <w:rFonts w:cs="Times New Roman"/>
    </w:rPr>
  </w:style>
  <w:style w:type="character" w:customStyle="1" w:styleId="123">
    <w:name w:val="文档结构图 Char2"/>
    <w:semiHidden/>
    <w:qFormat/>
    <w:uiPriority w:val="99"/>
    <w:rPr>
      <w:rFonts w:ascii="宋体" w:hAnsi="Calibri" w:eastAsia="宋体" w:cs="Times New Roman"/>
      <w:sz w:val="18"/>
      <w:szCs w:val="18"/>
    </w:rPr>
  </w:style>
  <w:style w:type="character" w:customStyle="1" w:styleId="124">
    <w:name w:val="明显强调1"/>
    <w:qFormat/>
    <w:uiPriority w:val="0"/>
    <w:rPr>
      <w:b/>
      <w:bCs/>
      <w:i/>
      <w:iCs/>
      <w:color w:val="4F81BD"/>
    </w:rPr>
  </w:style>
  <w:style w:type="character" w:customStyle="1" w:styleId="125">
    <w:name w:val="批注文字 Char1"/>
    <w:qFormat/>
    <w:uiPriority w:val="0"/>
    <w:rPr>
      <w:rFonts w:ascii="Calibri" w:hAnsi="Calibri" w:eastAsia="宋体" w:cs="Times New Roman"/>
    </w:rPr>
  </w:style>
  <w:style w:type="character" w:customStyle="1" w:styleId="126">
    <w:name w:val="文档结构图 Char1"/>
    <w:qFormat/>
    <w:uiPriority w:val="0"/>
    <w:rPr>
      <w:rFonts w:ascii="宋体" w:hAnsi="Calibri" w:eastAsia="宋体" w:cs="Times New Roman"/>
      <w:sz w:val="18"/>
      <w:szCs w:val="18"/>
    </w:rPr>
  </w:style>
  <w:style w:type="character" w:customStyle="1" w:styleId="127">
    <w:name w:val="批注文字 Char2"/>
    <w:qFormat/>
    <w:uiPriority w:val="0"/>
    <w:rPr>
      <w:kern w:val="2"/>
      <w:sz w:val="21"/>
    </w:rPr>
  </w:style>
  <w:style w:type="character" w:customStyle="1" w:styleId="128">
    <w:name w:val="标题 4 Char_0"/>
    <w:link w:val="129"/>
    <w:qFormat/>
    <w:uiPriority w:val="0"/>
    <w:rPr>
      <w:rFonts w:ascii="Arial" w:hAnsi="Arial" w:eastAsia="黑体"/>
      <w:b/>
      <w:bCs/>
      <w:sz w:val="28"/>
      <w:szCs w:val="28"/>
    </w:rPr>
  </w:style>
  <w:style w:type="paragraph" w:customStyle="1" w:styleId="129">
    <w:name w:val="标题 4_0"/>
    <w:basedOn w:val="110"/>
    <w:next w:val="110"/>
    <w:link w:val="128"/>
    <w:qFormat/>
    <w:uiPriority w:val="0"/>
    <w:pPr>
      <w:keepNext/>
      <w:keepLines/>
      <w:spacing w:before="280" w:after="290" w:line="376" w:lineRule="auto"/>
      <w:outlineLvl w:val="3"/>
    </w:pPr>
    <w:rPr>
      <w:rFonts w:ascii="Arial" w:hAnsi="Arial" w:eastAsia="黑体" w:cstheme="minorBidi"/>
      <w:b/>
      <w:bCs/>
      <w:sz w:val="28"/>
      <w:szCs w:val="28"/>
    </w:rPr>
  </w:style>
  <w:style w:type="character" w:customStyle="1" w:styleId="130">
    <w:name w:val="标题 Char1"/>
    <w:qFormat/>
    <w:uiPriority w:val="10"/>
    <w:rPr>
      <w:rFonts w:ascii="Cambria" w:hAnsi="Cambria" w:eastAsia="宋体" w:cs="Times New Roman"/>
      <w:b/>
      <w:bCs/>
      <w:sz w:val="32"/>
      <w:szCs w:val="32"/>
    </w:rPr>
  </w:style>
  <w:style w:type="character" w:customStyle="1" w:styleId="131">
    <w:name w:val="标题 2 Char_0"/>
    <w:link w:val="132"/>
    <w:qFormat/>
    <w:uiPriority w:val="0"/>
    <w:rPr>
      <w:rFonts w:ascii="Cambria" w:hAnsi="Cambria"/>
      <w:b/>
      <w:bCs/>
      <w:sz w:val="32"/>
      <w:szCs w:val="32"/>
    </w:rPr>
  </w:style>
  <w:style w:type="paragraph" w:customStyle="1" w:styleId="132">
    <w:name w:val="标题 2_0"/>
    <w:basedOn w:val="110"/>
    <w:next w:val="110"/>
    <w:link w:val="131"/>
    <w:unhideWhenUsed/>
    <w:qFormat/>
    <w:uiPriority w:val="0"/>
    <w:pPr>
      <w:keepNext/>
      <w:keepLines/>
      <w:spacing w:before="260" w:after="260" w:line="416" w:lineRule="auto"/>
      <w:outlineLvl w:val="1"/>
    </w:pPr>
    <w:rPr>
      <w:rFonts w:ascii="Cambria" w:hAnsi="Cambria" w:eastAsiaTheme="minorEastAsia" w:cstheme="minorBidi"/>
      <w:b/>
      <w:bCs/>
      <w:sz w:val="32"/>
      <w:szCs w:val="32"/>
    </w:rPr>
  </w:style>
  <w:style w:type="character" w:customStyle="1" w:styleId="133">
    <w:name w:val="批注框文本 Char1"/>
    <w:qFormat/>
    <w:uiPriority w:val="0"/>
    <w:rPr>
      <w:kern w:val="2"/>
      <w:sz w:val="18"/>
      <w:szCs w:val="18"/>
    </w:rPr>
  </w:style>
  <w:style w:type="character" w:customStyle="1" w:styleId="134">
    <w:name w:val="font31"/>
    <w:qFormat/>
    <w:uiPriority w:val="0"/>
    <w:rPr>
      <w:rFonts w:hint="eastAsia" w:ascii="宋体" w:hAnsi="宋体" w:eastAsia="宋体" w:cs="宋体"/>
      <w:color w:val="000000"/>
      <w:sz w:val="20"/>
      <w:szCs w:val="20"/>
      <w:u w:val="none"/>
    </w:rPr>
  </w:style>
  <w:style w:type="character" w:customStyle="1" w:styleId="135">
    <w:name w:val="t-render-object-error"/>
    <w:qFormat/>
    <w:uiPriority w:val="0"/>
    <w:rPr>
      <w:b/>
      <w:i/>
      <w:color w:val="FF0000"/>
    </w:rPr>
  </w:style>
  <w:style w:type="character" w:customStyle="1" w:styleId="136">
    <w:name w:val="t-exception-class-name"/>
    <w:qFormat/>
    <w:uiPriority w:val="0"/>
    <w:rPr>
      <w:b/>
      <w:color w:val="0000FF"/>
      <w:sz w:val="24"/>
      <w:szCs w:val="24"/>
      <w:shd w:val="clear" w:color="auto" w:fill="E1E1E1"/>
    </w:rPr>
  </w:style>
  <w:style w:type="character" w:customStyle="1" w:styleId="137">
    <w:name w:val="表格文字 字符"/>
    <w:link w:val="138"/>
    <w:qFormat/>
    <w:uiPriority w:val="0"/>
    <w:rPr>
      <w:rFonts w:ascii="Calibri" w:hAnsi="Calibri" w:eastAsia="宋体" w:cs="Times New Roman"/>
    </w:rPr>
  </w:style>
  <w:style w:type="paragraph" w:customStyle="1" w:styleId="138">
    <w:name w:val="表格文字"/>
    <w:basedOn w:val="1"/>
    <w:link w:val="137"/>
    <w:qFormat/>
    <w:uiPriority w:val="0"/>
    <w:pPr>
      <w:adjustRightInd w:val="0"/>
      <w:spacing w:line="420" w:lineRule="atLeast"/>
      <w:jc w:val="left"/>
      <w:textAlignment w:val="baseline"/>
    </w:pPr>
    <w:rPr>
      <w:rFonts w:ascii="Calibri" w:hAnsi="Calibri"/>
      <w:szCs w:val="22"/>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副标题 Char1"/>
    <w:qFormat/>
    <w:uiPriority w:val="11"/>
    <w:rPr>
      <w:rFonts w:ascii="Cambria" w:hAnsi="Cambria" w:cs="Times New Roman"/>
      <w:b/>
      <w:bCs/>
      <w:kern w:val="28"/>
      <w:sz w:val="32"/>
      <w:szCs w:val="32"/>
    </w:rPr>
  </w:style>
  <w:style w:type="character" w:customStyle="1" w:styleId="142">
    <w:name w:val="current"/>
    <w:qFormat/>
    <w:uiPriority w:val="0"/>
    <w:rPr>
      <w:color w:val="FFFFFF"/>
      <w:sz w:val="27"/>
      <w:szCs w:val="27"/>
      <w:u w:val="none"/>
      <w:bdr w:val="single" w:color="C0C0C0" w:sz="4" w:space="0"/>
      <w:shd w:val="clear" w:color="auto" w:fill="809FFF"/>
    </w:rPr>
  </w:style>
  <w:style w:type="character" w:customStyle="1" w:styleId="143">
    <w:name w:val="t-exception-stack-controls"/>
    <w:basedOn w:val="46"/>
    <w:qFormat/>
    <w:uiPriority w:val="0"/>
  </w:style>
  <w:style w:type="character" w:customStyle="1" w:styleId="144">
    <w:name w:val="不明显参考1"/>
    <w:qFormat/>
    <w:uiPriority w:val="0"/>
    <w:rPr>
      <w:smallCaps/>
      <w:color w:val="C0504D"/>
      <w:u w:val="single"/>
    </w:rPr>
  </w:style>
  <w:style w:type="character" w:customStyle="1" w:styleId="145">
    <w:name w:val="hover15"/>
    <w:qFormat/>
    <w:uiPriority w:val="0"/>
    <w:rPr>
      <w:sz w:val="16"/>
      <w:szCs w:val="16"/>
    </w:rPr>
  </w:style>
  <w:style w:type="character" w:customStyle="1" w:styleId="146">
    <w:name w:val="font11"/>
    <w:qFormat/>
    <w:uiPriority w:val="0"/>
    <w:rPr>
      <w:rFonts w:hint="eastAsia" w:ascii="宋体" w:hAnsi="宋体" w:eastAsia="宋体" w:cs="宋体"/>
      <w:color w:val="000000"/>
      <w:sz w:val="20"/>
      <w:szCs w:val="20"/>
      <w:u w:val="none"/>
    </w:rPr>
  </w:style>
  <w:style w:type="character" w:customStyle="1" w:styleId="147">
    <w:name w:val="日期 Char1"/>
    <w:qFormat/>
    <w:uiPriority w:val="0"/>
    <w:rPr>
      <w:rFonts w:ascii="Calibri" w:hAnsi="Calibri" w:eastAsia="宋体" w:cs="Times New Roman"/>
    </w:rPr>
  </w:style>
  <w:style w:type="character" w:customStyle="1" w:styleId="148">
    <w:name w:val="bookmark"/>
    <w:basedOn w:val="46"/>
    <w:qFormat/>
    <w:uiPriority w:val="0"/>
  </w:style>
  <w:style w:type="character" w:customStyle="1" w:styleId="149">
    <w:name w:val="正文文本 Char_0"/>
    <w:link w:val="150"/>
    <w:qFormat/>
    <w:uiPriority w:val="0"/>
    <w:rPr>
      <w:szCs w:val="24"/>
    </w:rPr>
  </w:style>
  <w:style w:type="paragraph" w:customStyle="1" w:styleId="150">
    <w:name w:val="正文文本_0"/>
    <w:basedOn w:val="110"/>
    <w:link w:val="149"/>
    <w:qFormat/>
    <w:uiPriority w:val="0"/>
    <w:pPr>
      <w:spacing w:after="120"/>
    </w:pPr>
    <w:rPr>
      <w:rFonts w:asciiTheme="minorHAnsi" w:hAnsiTheme="minorHAnsi" w:eastAsiaTheme="minorEastAsia" w:cstheme="minorBidi"/>
    </w:rPr>
  </w:style>
  <w:style w:type="character" w:customStyle="1" w:styleId="151">
    <w:name w:val="引用 Char1"/>
    <w:qFormat/>
    <w:uiPriority w:val="29"/>
    <w:rPr>
      <w:i/>
      <w:iCs/>
      <w:color w:val="000000"/>
      <w:kern w:val="2"/>
      <w:sz w:val="21"/>
    </w:rPr>
  </w:style>
  <w:style w:type="character" w:customStyle="1" w:styleId="152">
    <w:name w:val="t-ajax-wait"/>
    <w:basedOn w:val="46"/>
    <w:qFormat/>
    <w:uiPriority w:val="0"/>
  </w:style>
  <w:style w:type="character" w:customStyle="1" w:styleId="153">
    <w:name w:val="页脚 Char1"/>
    <w:semiHidden/>
    <w:qFormat/>
    <w:uiPriority w:val="99"/>
    <w:rPr>
      <w:rFonts w:ascii="Calibri" w:hAnsi="Calibri" w:eastAsia="宋体" w:cs="Times New Roman"/>
      <w:sz w:val="18"/>
      <w:szCs w:val="18"/>
    </w:rPr>
  </w:style>
  <w:style w:type="character" w:customStyle="1" w:styleId="154">
    <w:name w:val="标题5 Char Char"/>
    <w:link w:val="155"/>
    <w:qFormat/>
    <w:uiPriority w:val="0"/>
    <w:rPr>
      <w:rFonts w:ascii="Arial" w:hAnsi="Arial"/>
      <w:b/>
      <w:bCs/>
      <w:sz w:val="24"/>
      <w:szCs w:val="32"/>
    </w:rPr>
  </w:style>
  <w:style w:type="paragraph" w:customStyle="1" w:styleId="155">
    <w:name w:val="标题5"/>
    <w:basedOn w:val="5"/>
    <w:link w:val="154"/>
    <w:qFormat/>
    <w:uiPriority w:val="0"/>
    <w:pPr>
      <w:numPr>
        <w:ilvl w:val="0"/>
        <w:numId w:val="0"/>
      </w:numPr>
      <w:spacing w:line="413" w:lineRule="auto"/>
    </w:pPr>
    <w:rPr>
      <w:rFonts w:ascii="Arial" w:hAnsi="Arial" w:eastAsiaTheme="minorEastAsia" w:cstheme="minorBidi"/>
      <w:sz w:val="24"/>
    </w:rPr>
  </w:style>
  <w:style w:type="character" w:customStyle="1" w:styleId="156">
    <w:name w:val="明显参考1"/>
    <w:qFormat/>
    <w:uiPriority w:val="0"/>
    <w:rPr>
      <w:b/>
      <w:bCs/>
      <w:smallCaps/>
      <w:color w:val="C0504D"/>
      <w:spacing w:val="5"/>
      <w:u w:val="single"/>
    </w:rPr>
  </w:style>
  <w:style w:type="character" w:customStyle="1" w:styleId="157">
    <w:name w:val="font161"/>
    <w:qFormat/>
    <w:uiPriority w:val="0"/>
    <w:rPr>
      <w:b/>
      <w:sz w:val="32"/>
    </w:rPr>
  </w:style>
  <w:style w:type="paragraph" w:customStyle="1" w:styleId="158">
    <w:name w:val="TOC 标题1"/>
    <w:basedOn w:val="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59">
    <w:name w:val="正文2"/>
    <w:qFormat/>
    <w:uiPriority w:val="0"/>
    <w:rPr>
      <w:rFonts w:ascii="Times New Roman" w:hAnsi="Times New Roman" w:eastAsia="微软雅黑" w:cs="Times New Roman"/>
      <w:sz w:val="24"/>
      <w:szCs w:val="24"/>
      <w:lang w:val="en-US" w:eastAsia="zh-CN" w:bidi="ar-SA"/>
    </w:rPr>
  </w:style>
  <w:style w:type="paragraph" w:customStyle="1" w:styleId="160">
    <w:name w:val="标题2"/>
    <w:basedOn w:val="4"/>
    <w:next w:val="19"/>
    <w:qFormat/>
    <w:uiPriority w:val="0"/>
    <w:pPr>
      <w:spacing w:before="156" w:after="156" w:line="360" w:lineRule="auto"/>
    </w:pPr>
    <w:rPr>
      <w:bCs w:val="0"/>
      <w:sz w:val="24"/>
    </w:rPr>
  </w:style>
  <w:style w:type="paragraph" w:customStyle="1" w:styleId="161">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6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3">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64">
    <w:name w:val="1"/>
    <w:basedOn w:val="1"/>
    <w:next w:val="1"/>
    <w:qFormat/>
    <w:uiPriority w:val="0"/>
    <w:rPr>
      <w:rFonts w:ascii="Calibri" w:hAnsi="Calibri"/>
      <w:szCs w:val="22"/>
    </w:rPr>
  </w:style>
  <w:style w:type="paragraph" w:customStyle="1" w:styleId="165">
    <w:name w:val="p0"/>
    <w:basedOn w:val="1"/>
    <w:qFormat/>
    <w:uiPriority w:val="0"/>
    <w:pPr>
      <w:widowControl/>
    </w:pPr>
    <w:rPr>
      <w:b/>
      <w:bCs/>
      <w:kern w:val="0"/>
      <w:sz w:val="24"/>
    </w:rPr>
  </w:style>
  <w:style w:type="paragraph" w:customStyle="1" w:styleId="166">
    <w:name w:val="列出段落111"/>
    <w:basedOn w:val="1"/>
    <w:qFormat/>
    <w:uiPriority w:val="0"/>
    <w:pPr>
      <w:widowControl/>
      <w:ind w:left="720"/>
      <w:contextualSpacing/>
      <w:jc w:val="left"/>
    </w:pPr>
    <w:rPr>
      <w:rFonts w:ascii="Arial" w:hAnsi="Arial" w:eastAsia="黑体"/>
      <w:kern w:val="0"/>
      <w:sz w:val="24"/>
      <w:lang w:eastAsia="en-US"/>
    </w:rPr>
  </w:style>
  <w:style w:type="paragraph" w:customStyle="1" w:styleId="16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8">
    <w:name w:val="列出段落4"/>
    <w:basedOn w:val="1"/>
    <w:qFormat/>
    <w:uiPriority w:val="34"/>
    <w:pPr>
      <w:ind w:firstLine="420" w:firstLineChars="200"/>
    </w:pPr>
  </w:style>
  <w:style w:type="paragraph" w:customStyle="1" w:styleId="169">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70">
    <w:name w:val="目录 3_0"/>
    <w:basedOn w:val="110"/>
    <w:next w:val="110"/>
    <w:qFormat/>
    <w:uiPriority w:val="39"/>
    <w:pPr>
      <w:ind w:left="840" w:leftChars="400"/>
    </w:pPr>
    <w:rPr>
      <w:rFonts w:ascii="Calibri" w:hAnsi="Calibri"/>
    </w:rPr>
  </w:style>
  <w:style w:type="paragraph" w:customStyle="1" w:styleId="1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2">
    <w:name w:val="目录 4_0"/>
    <w:basedOn w:val="110"/>
    <w:next w:val="110"/>
    <w:qFormat/>
    <w:uiPriority w:val="39"/>
    <w:pPr>
      <w:ind w:left="1260" w:leftChars="600"/>
    </w:pPr>
    <w:rPr>
      <w:rFonts w:ascii="Calibri" w:hAnsi="Calibri"/>
    </w:rPr>
  </w:style>
  <w:style w:type="paragraph" w:customStyle="1" w:styleId="173">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4">
    <w:name w:val="3方案格式3"/>
    <w:basedOn w:val="175"/>
    <w:qFormat/>
    <w:uiPriority w:val="0"/>
    <w:pPr>
      <w:numPr>
        <w:ilvl w:val="2"/>
      </w:numPr>
      <w:tabs>
        <w:tab w:val="left" w:pos="360"/>
      </w:tabs>
      <w:outlineLvl w:val="2"/>
    </w:pPr>
    <w:rPr>
      <w:sz w:val="32"/>
    </w:rPr>
  </w:style>
  <w:style w:type="paragraph" w:customStyle="1" w:styleId="175">
    <w:name w:val="2方案格式2"/>
    <w:basedOn w:val="176"/>
    <w:qFormat/>
    <w:uiPriority w:val="0"/>
    <w:pPr>
      <w:numPr>
        <w:ilvl w:val="1"/>
      </w:numPr>
      <w:tabs>
        <w:tab w:val="left" w:pos="360"/>
      </w:tabs>
      <w:spacing w:before="50" w:after="50" w:line="240" w:lineRule="auto"/>
      <w:outlineLvl w:val="1"/>
    </w:pPr>
    <w:rPr>
      <w:sz w:val="44"/>
    </w:rPr>
  </w:style>
  <w:style w:type="paragraph" w:customStyle="1" w:styleId="17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77">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78">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7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80">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81">
    <w:name w:val="列出段落2"/>
    <w:basedOn w:val="1"/>
    <w:qFormat/>
    <w:uiPriority w:val="99"/>
    <w:pPr>
      <w:ind w:firstLine="420" w:firstLineChars="200"/>
    </w:pPr>
  </w:style>
  <w:style w:type="paragraph" w:customStyle="1" w:styleId="182">
    <w:name w:val="xl27"/>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Calibri" w:hAnsi="Calibri"/>
      <w:kern w:val="0"/>
      <w:sz w:val="24"/>
    </w:rPr>
  </w:style>
  <w:style w:type="paragraph" w:customStyle="1" w:styleId="183">
    <w:name w:val="样式 纯文本普通文字 Char纯文本 Char普通文字 Char Char标题1 + Times New Roman ..."/>
    <w:basedOn w:val="24"/>
    <w:qFormat/>
    <w:uiPriority w:val="0"/>
    <w:pPr>
      <w:autoSpaceDE w:val="0"/>
      <w:autoSpaceDN w:val="0"/>
      <w:adjustRightInd w:val="0"/>
      <w:spacing w:line="480" w:lineRule="atLeast"/>
      <w:ind w:firstLine="482"/>
    </w:pPr>
    <w:rPr>
      <w:rFonts w:ascii="Times New Roman" w:cs="宋体"/>
      <w:sz w:val="24"/>
    </w:rPr>
  </w:style>
  <w:style w:type="paragraph" w:customStyle="1" w:styleId="18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85">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Char Char Char Char Char Char Char"/>
    <w:basedOn w:val="1"/>
    <w:qFormat/>
    <w:uiPriority w:val="0"/>
    <w:pPr>
      <w:adjustRightInd w:val="0"/>
      <w:spacing w:line="360" w:lineRule="auto"/>
    </w:pPr>
    <w:rPr>
      <w:kern w:val="0"/>
      <w:sz w:val="24"/>
      <w:szCs w:val="20"/>
    </w:rPr>
  </w:style>
  <w:style w:type="paragraph" w:customStyle="1" w:styleId="187">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8">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8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90">
    <w:name w:val="Header Base"/>
    <w:basedOn w:val="1"/>
    <w:qFormat/>
    <w:uiPriority w:val="0"/>
    <w:pPr>
      <w:ind w:right="-360"/>
    </w:pPr>
    <w:rPr>
      <w:rFonts w:ascii="Calibri" w:hAnsi="Calibri"/>
    </w:rPr>
  </w:style>
  <w:style w:type="paragraph" w:customStyle="1" w:styleId="19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2">
    <w:name w:val="纯文本2"/>
    <w:basedOn w:val="1"/>
    <w:qFormat/>
    <w:uiPriority w:val="0"/>
    <w:pPr>
      <w:jc w:val="left"/>
    </w:pPr>
    <w:rPr>
      <w:rFonts w:hint="eastAsia" w:ascii="宋体" w:hAnsi="宋体" w:cs="Courier New"/>
      <w:kern w:val="1"/>
      <w:sz w:val="24"/>
      <w:szCs w:val="20"/>
    </w:rPr>
  </w:style>
  <w:style w:type="paragraph" w:customStyle="1" w:styleId="19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94">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95">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196">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97">
    <w:name w:val="普通正文"/>
    <w:basedOn w:val="1"/>
    <w:link w:val="198"/>
    <w:qFormat/>
    <w:uiPriority w:val="0"/>
    <w:pPr>
      <w:adjustRightInd w:val="0"/>
      <w:spacing w:before="120" w:after="120" w:line="360" w:lineRule="auto"/>
      <w:ind w:firstLine="480"/>
      <w:jc w:val="left"/>
      <w:textAlignment w:val="baseline"/>
    </w:pPr>
    <w:rPr>
      <w:rFonts w:ascii="Arial" w:hAnsi="Arial"/>
      <w:kern w:val="0"/>
      <w:sz w:val="24"/>
    </w:rPr>
  </w:style>
  <w:style w:type="character" w:customStyle="1" w:styleId="198">
    <w:name w:val="普通正文 Char"/>
    <w:link w:val="197"/>
    <w:qFormat/>
    <w:uiPriority w:val="0"/>
    <w:rPr>
      <w:rFonts w:ascii="Arial" w:hAnsi="Arial" w:eastAsia="宋体" w:cs="Times New Roman"/>
      <w:kern w:val="0"/>
      <w:sz w:val="24"/>
      <w:szCs w:val="24"/>
    </w:rPr>
  </w:style>
  <w:style w:type="paragraph" w:customStyle="1" w:styleId="199">
    <w:name w:val="表格"/>
    <w:basedOn w:val="1"/>
    <w:qFormat/>
    <w:uiPriority w:val="0"/>
    <w:pPr>
      <w:jc w:val="center"/>
      <w:textAlignment w:val="center"/>
    </w:pPr>
    <w:rPr>
      <w:rFonts w:ascii="华文细黑" w:hAnsi="华文细黑"/>
      <w:kern w:val="0"/>
      <w:szCs w:val="22"/>
    </w:rPr>
  </w:style>
  <w:style w:type="paragraph" w:customStyle="1" w:styleId="200">
    <w:name w:val="目录 5_0"/>
    <w:basedOn w:val="110"/>
    <w:next w:val="110"/>
    <w:qFormat/>
    <w:uiPriority w:val="39"/>
    <w:pPr>
      <w:ind w:left="1680" w:leftChars="800"/>
    </w:pPr>
    <w:rPr>
      <w:rFonts w:ascii="Calibri" w:hAnsi="Calibri"/>
    </w:rPr>
  </w:style>
  <w:style w:type="paragraph" w:customStyle="1" w:styleId="201">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02">
    <w:name w:val="正文1"/>
    <w:qFormat/>
    <w:uiPriority w:val="0"/>
    <w:pPr>
      <w:widowControl w:val="0"/>
      <w:jc w:val="both"/>
    </w:pPr>
    <w:rPr>
      <w:rFonts w:ascii="Calibri" w:hAnsi="Calibri" w:eastAsia="宋体" w:cs="Times New Roman"/>
      <w:lang w:val="en-US" w:eastAsia="zh-CN" w:bidi="ar-SA"/>
    </w:rPr>
  </w:style>
  <w:style w:type="paragraph" w:customStyle="1" w:styleId="203">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204">
    <w:name w:val="修订2"/>
    <w:unhideWhenUsed/>
    <w:qFormat/>
    <w:uiPriority w:val="99"/>
    <w:rPr>
      <w:rFonts w:ascii="Times New Roman" w:hAnsi="Times New Roman" w:eastAsia="宋体" w:cs="Times New Roman"/>
      <w:kern w:val="2"/>
      <w:sz w:val="21"/>
      <w:szCs w:val="24"/>
      <w:lang w:val="en-US" w:eastAsia="zh-CN" w:bidi="ar-SA"/>
    </w:rPr>
  </w:style>
  <w:style w:type="paragraph" w:customStyle="1" w:styleId="205">
    <w:name w:val="标题 11"/>
    <w:basedOn w:val="202"/>
    <w:next w:val="202"/>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206">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
    <w:name w:val="修订1"/>
    <w:qFormat/>
    <w:uiPriority w:val="0"/>
    <w:rPr>
      <w:rFonts w:ascii="Times New Roman" w:hAnsi="Times New Roman" w:eastAsia="宋体" w:cs="Times New Roman"/>
      <w:kern w:val="2"/>
      <w:sz w:val="21"/>
      <w:szCs w:val="24"/>
      <w:lang w:val="en-US" w:eastAsia="zh-CN" w:bidi="ar-SA"/>
    </w:rPr>
  </w:style>
  <w:style w:type="paragraph" w:customStyle="1" w:styleId="208">
    <w:name w:val="正文11"/>
    <w:qFormat/>
    <w:uiPriority w:val="0"/>
    <w:rPr>
      <w:rFonts w:ascii="Calibri" w:hAnsi="Calibri" w:eastAsia="宋体" w:cs="Calibri"/>
      <w:sz w:val="24"/>
      <w:szCs w:val="24"/>
      <w:lang w:val="en-US" w:eastAsia="zh-CN" w:bidi="ar-SA"/>
    </w:rPr>
  </w:style>
  <w:style w:type="paragraph" w:customStyle="1" w:styleId="209">
    <w:name w:val="正文 + 行距: 固定值 20 磅"/>
    <w:basedOn w:val="1"/>
    <w:qFormat/>
    <w:uiPriority w:val="0"/>
    <w:pPr>
      <w:spacing w:line="400" w:lineRule="exact"/>
      <w:ind w:firstLine="716" w:firstLineChars="341"/>
    </w:pPr>
    <w:rPr>
      <w:rFonts w:ascii="Calibri" w:hAnsi="Calibri"/>
      <w:szCs w:val="22"/>
    </w:rPr>
  </w:style>
  <w:style w:type="paragraph" w:customStyle="1" w:styleId="210">
    <w:name w:val="Blockquote_0"/>
    <w:basedOn w:val="110"/>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211">
    <w:name w:val="style9"/>
    <w:basedOn w:val="1"/>
    <w:qFormat/>
    <w:uiPriority w:val="0"/>
    <w:pPr>
      <w:widowControl/>
      <w:spacing w:before="100" w:beforeAutospacing="1" w:after="100" w:afterAutospacing="1"/>
      <w:jc w:val="left"/>
    </w:pPr>
    <w:rPr>
      <w:rFonts w:ascii="宋体" w:hAnsi="宋体" w:cs="宋体"/>
      <w:kern w:val="0"/>
      <w:sz w:val="24"/>
    </w:rPr>
  </w:style>
  <w:style w:type="paragraph" w:customStyle="1" w:styleId="212">
    <w:name w:val="修订3"/>
    <w:qFormat/>
    <w:uiPriority w:val="71"/>
    <w:rPr>
      <w:rFonts w:ascii="Times New Roman" w:hAnsi="Times New Roman" w:eastAsia="宋体" w:cs="Times New Roman"/>
      <w:kern w:val="2"/>
      <w:sz w:val="21"/>
      <w:szCs w:val="24"/>
      <w:lang w:val="en-US" w:eastAsia="zh-CN" w:bidi="ar-SA"/>
    </w:rPr>
  </w:style>
  <w:style w:type="paragraph" w:customStyle="1" w:styleId="213">
    <w:name w:val="修订4"/>
    <w:hidden/>
    <w:semiHidden/>
    <w:qFormat/>
    <w:uiPriority w:val="99"/>
    <w:rPr>
      <w:rFonts w:ascii="Times New Roman" w:hAnsi="Times New Roman" w:eastAsia="宋体" w:cs="Times New Roman"/>
      <w:kern w:val="2"/>
      <w:sz w:val="21"/>
      <w:szCs w:val="24"/>
      <w:lang w:val="en-US" w:eastAsia="zh-CN" w:bidi="ar-SA"/>
    </w:rPr>
  </w:style>
  <w:style w:type="paragraph" w:styleId="214">
    <w:name w:val="List Paragraph"/>
    <w:basedOn w:val="1"/>
    <w:qFormat/>
    <w:uiPriority w:val="34"/>
    <w:pPr>
      <w:ind w:firstLine="420" w:firstLineChars="200"/>
    </w:pPr>
  </w:style>
  <w:style w:type="character" w:customStyle="1" w:styleId="215">
    <w:name w:val="NormalCharacter"/>
    <w:qFormat/>
    <w:uiPriority w:val="0"/>
  </w:style>
  <w:style w:type="paragraph" w:customStyle="1" w:styleId="216">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17">
    <w:name w:val="正文文本1"/>
    <w:basedOn w:val="1"/>
    <w:next w:val="1"/>
    <w:qFormat/>
    <w:uiPriority w:val="0"/>
    <w:rPr>
      <w:rFonts w:ascii="仿宋_GB2312" w:hAnsi="Arial" w:eastAsia="仿宋_GB2312"/>
      <w:sz w:val="32"/>
    </w:rPr>
  </w:style>
  <w:style w:type="paragraph" w:customStyle="1" w:styleId="218">
    <w:name w:val="标题 21"/>
    <w:basedOn w:val="1"/>
    <w:next w:val="1"/>
    <w:qFormat/>
    <w:uiPriority w:val="0"/>
    <w:pPr>
      <w:keepNext/>
      <w:keepLines/>
      <w:spacing w:line="520" w:lineRule="exact"/>
      <w:jc w:val="center"/>
      <w:outlineLvl w:val="1"/>
    </w:pPr>
    <w:rPr>
      <w:rFonts w:ascii="Arial" w:hAnsi="Arial" w:eastAsia="黑体"/>
      <w:sz w:val="28"/>
    </w:rPr>
  </w:style>
  <w:style w:type="paragraph" w:customStyle="1" w:styleId="219">
    <w:name w:val="纯文本1"/>
    <w:basedOn w:val="1"/>
    <w:next w:val="1"/>
    <w:qFormat/>
    <w:uiPriority w:val="0"/>
    <w:rPr>
      <w:rFonts w:ascii="宋体" w:hAnsi="Courier New"/>
      <w:sz w:val="20"/>
      <w:szCs w:val="21"/>
    </w:rPr>
  </w:style>
  <w:style w:type="paragraph" w:customStyle="1" w:styleId="220">
    <w:name w:val="Table Paragraph"/>
    <w:basedOn w:val="1"/>
    <w:qFormat/>
    <w:uiPriority w:val="1"/>
    <w:pPr>
      <w:jc w:val="left"/>
    </w:pPr>
    <w:rPr>
      <w:rFonts w:ascii="宋体" w:hAnsi="宋体" w:cs="宋体"/>
      <w:sz w:val="22"/>
      <w:szCs w:val="22"/>
      <w:lang w:val="zh-CN" w:bidi="zh-CN"/>
    </w:rPr>
  </w:style>
  <w:style w:type="paragraph" w:customStyle="1" w:styleId="221">
    <w:name w:val="纯文本11"/>
    <w:basedOn w:val="1"/>
    <w:qFormat/>
    <w:uiPriority w:val="0"/>
    <w:rPr>
      <w:rFonts w:ascii="宋体" w:hAnsi="Courier New"/>
      <w:szCs w:val="21"/>
    </w:rPr>
  </w:style>
  <w:style w:type="paragraph" w:customStyle="1" w:styleId="222">
    <w:name w:val="Table Text"/>
    <w:basedOn w:val="1"/>
    <w:semiHidden/>
    <w:qFormat/>
    <w:uiPriority w:val="0"/>
    <w:rPr>
      <w:rFonts w:ascii="宋体" w:hAnsi="宋体" w:cs="宋体"/>
      <w:sz w:val="23"/>
      <w:szCs w:val="23"/>
      <w:lang w:eastAsia="en-US"/>
    </w:rPr>
  </w:style>
  <w:style w:type="paragraph" w:customStyle="1" w:styleId="223">
    <w:name w:val="普通(网站)1"/>
    <w:basedOn w:val="1"/>
    <w:qFormat/>
    <w:uiPriority w:val="0"/>
    <w:pPr>
      <w:widowControl/>
      <w:spacing w:before="100" w:beforeAutospacing="1" w:after="100" w:afterAutospacing="1"/>
      <w:jc w:val="left"/>
    </w:pPr>
    <w:rPr>
      <w:rFonts w:ascii="宋体" w:hAnsi="宋体"/>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BB208C-1B02-4576-9A4D-214C6732FBE1}">
  <ds:schemaRefs/>
</ds:datastoreItem>
</file>

<file path=docProps/app.xml><?xml version="1.0" encoding="utf-8"?>
<Properties xmlns="http://schemas.openxmlformats.org/officeDocument/2006/extended-properties" xmlns:vt="http://schemas.openxmlformats.org/officeDocument/2006/docPropsVTypes">
  <Template>Normal.dotm</Template>
  <Pages>46</Pages>
  <Words>148</Words>
  <Characters>178</Characters>
  <Lines>195</Lines>
  <Paragraphs>55</Paragraphs>
  <TotalTime>44</TotalTime>
  <ScaleCrop>false</ScaleCrop>
  <LinksUpToDate>false</LinksUpToDate>
  <CharactersWithSpaces>198</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2025-11-20T06:37:00Z</dcterms:created>
  <dc:creator>dcx</dc:creator>
  <cp:lastModifiedBy>追逐落日的牛马</cp:lastModifiedBy>
  <cp:lastPrinted>2022-10-31T18:12:00Z</cp:lastPrinted>
  <dcterms:modified xsi:type="dcterms:W3CDTF">2026-10-10T00:30:36Z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4B92C9490A484B25BD0E9CC4371E80C0_13</vt:lpwstr>
  </property>
  <property fmtid="{D5CDD505-2E9C-101B-9397-08002B2CF9AE}" pid="4" name="KSOTemplateDocerSaveRecord">
    <vt:lpwstr>eyJoZGlkIjoiYzE4MTI4NmU5NzBmMmMzNGVkNTFlZmRhMzNlYzdmM2QiLCJ1c2VySWQiOiIyMjc3NTM0NjAifQ==</vt:lpwstr>
  </property>
</Properties>
</file>