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firstLine="1080"/>
        <w:jc w:val="left"/>
        <w:spacing w:line="360" w:lineRule="auto"/>
        <w:tabs>
          <w:tab w:val="left" w:pos="3240" w:leader="none"/>
          <w:tab w:val="left" w:pos="3420" w:leader="none"/>
        </w:tabs>
        <w:rPr>
          <w:rFonts w:hint="eastAsia" w:ascii="宋体" w:hAnsi="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永红派出所食堂食材供货配送项目</w:t>
      </w:r>
      <w:r/>
    </w:p>
    <w:p>
      <w:pPr>
        <w:ind w:firstLine="1080"/>
        <w:jc w:val="left"/>
        <w:spacing w:line="360" w:lineRule="auto"/>
        <w:tabs>
          <w:tab w:val="left" w:pos="3240" w:leader="none"/>
          <w:tab w:val="left" w:pos="3420" w:leader="none"/>
        </w:tabs>
        <w:rPr>
          <w:rFonts w:hint="eastAsia" w:ascii="宋体" w:hAnsi="宋体"/>
          <w:bCs/>
          <w:color w:val="auto"/>
          <w:sz w:val="36"/>
          <w:szCs w:val="36"/>
          <w:highlight w:val="none"/>
          <w:lang w:eastAsia="zh-CN"/>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lang w:eastAsia="zh-CN"/>
        </w:rPr>
        <w:t xml:space="preserve">JSZC-320404004-YTZB-G2026-0044</w:t>
      </w:r>
      <w:r/>
    </w:p>
    <w:p>
      <w:pPr>
        <w:ind w:firstLine="1080"/>
        <w:jc w:val="left"/>
        <w:spacing w:line="360" w:lineRule="auto"/>
        <w:tabs>
          <w:tab w:val="left" w:pos="3240" w:leader="none"/>
          <w:tab w:val="left" w:pos="3420" w:leader="none"/>
        </w:tabs>
        <w:rPr>
          <w:rFonts w:hint="eastAsia" w:ascii="宋体" w:hAnsi="宋体"/>
          <w:bCs/>
          <w:color w:val="auto"/>
          <w:sz w:val="36"/>
          <w:szCs w:val="36"/>
          <w:highlight w:val="none"/>
          <w:lang w:eastAsia="zh-CN"/>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lang w:eastAsia="zh-CN"/>
        </w:rPr>
        <w:t xml:space="preserve">常州市钟楼区永红街道办事处</w:t>
      </w:r>
      <w:r/>
    </w:p>
    <w:p>
      <w:pPr>
        <w:ind w:firstLine="1080"/>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0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0" w:name="_Toc8777"/>
      <w:r/>
      <w:bookmarkStart w:id="1" w:name="_Toc31228"/>
      <w:r/>
      <w:bookmarkStart w:id="2" w:name="_Toc6210"/>
      <w:r/>
      <w:bookmarkStart w:id="3" w:name="_Toc140168422"/>
      <w:r/>
      <w:bookmarkStart w:id="4" w:name="_Toc99301418"/>
      <w:r/>
      <w:bookmarkStart w:id="5" w:name="_Toc146275788"/>
      <w:r/>
      <w:bookmarkStart w:id="6" w:name="_Toc28936"/>
      <w:r/>
      <w:bookmarkStart w:id="7" w:name="_Toc21543"/>
      <w:r>
        <w:rPr>
          <w:rFonts w:ascii="宋体" w:hAnsi="宋体"/>
          <w:b/>
          <w:color w:val="auto"/>
          <w:sz w:val="36"/>
          <w:szCs w:val="36"/>
          <w:highlight w:val="none"/>
        </w:rPr>
        <w:t xml:space="preserve">目      录</w:t>
      </w:r>
      <w:bookmarkEnd w:id="0"/>
      <w:r/>
      <w:bookmarkEnd w:id="1"/>
      <w:r/>
      <w:bookmarkEnd w:id="2"/>
      <w:r/>
      <w:bookmarkEnd w:id="3"/>
      <w:r/>
      <w:bookmarkEnd w:id="4"/>
      <w:r/>
      <w:bookmarkEnd w:id="5"/>
      <w:r/>
      <w:bookmarkEnd w:id="6"/>
      <w:r/>
      <w:bookmarkEnd w:id="7"/>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73"/>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_Toc8697 \h </w:instrText>
      </w:r>
      <w:r>
        <w:rPr>
          <w:color w:val="auto"/>
          <w:sz w:val="28"/>
          <w:szCs w:val="28"/>
          <w:highlight w:val="none"/>
        </w:rPr>
        <w:fldChar w:fldCharType="separate"/>
      </w:r>
      <w:r>
        <w:rPr>
          <w:color w:val="auto"/>
          <w:sz w:val="28"/>
          <w:szCs w:val="28"/>
          <w:highlight w:val="none"/>
        </w:rPr>
        <w:t xml:space="preserve">41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fldChar w:fldCharType="end"/>
      </w:r>
      <w:r>
        <w:rPr>
          <w:color w:val="auto"/>
          <w:sz w:val="28"/>
          <w:szCs w:val="28"/>
          <w:highlight w:val="none"/>
        </w:rPr>
        <w:fldChar w:fldCharType="end"/>
      </w:r>
      <w:r/>
    </w:p>
    <w:p>
      <w:pPr>
        <w:pStyle w:val="1073"/>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8" w:name="_Toc20247"/>
      <w:r>
        <w:rPr>
          <w:rFonts w:ascii="宋体" w:hAnsi="宋体"/>
          <w:b/>
          <w:color w:val="auto"/>
          <w:sz w:val="36"/>
          <w:szCs w:val="36"/>
          <w:highlight w:val="none"/>
        </w:rPr>
        <w:t xml:space="preserve">第一章   投标邀请</w:t>
      </w:r>
      <w:bookmarkEnd w:id="8"/>
      <w:r/>
      <w:r/>
    </w:p>
    <w:p>
      <w:pPr>
        <w:ind w:firstLine="480"/>
        <w:spacing w:line="360" w:lineRule="auto"/>
        <w:rPr>
          <w:rFonts w:ascii="宋体" w:hAnsi="宋体"/>
          <w:color w:val="auto"/>
          <w:sz w:val="24"/>
          <w:highlight w:val="none"/>
        </w:rPr>
      </w:pPr>
      <w:r/>
      <w:bookmarkStart w:id="9" w:name="_Toc28359079"/>
      <w:r/>
      <w:bookmarkStart w:id="10" w:name="_Toc28359002"/>
      <w:r/>
      <w:bookmarkStart w:id="11" w:name="_Toc35393621"/>
      <w:r/>
      <w:bookmarkStart w:id="12" w:name="_Toc35393790"/>
      <w:r/>
      <w:bookmarkStart w:id="13" w:name="_Hlk24379207"/>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9"/>
      <w:r/>
      <w:bookmarkEnd w:id="10"/>
      <w:r/>
      <w:bookmarkEnd w:id="11"/>
      <w:r/>
      <w:bookmarkEnd w:id="12"/>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JSZC-320404004-YTZB-G2026-0044</w:t>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2.项目名称：</w:t>
      </w:r>
      <w:bookmarkEnd w:id="13"/>
      <w:r/>
      <w:bookmarkStart w:id="14" w:name="_Hlk140156648"/>
      <w:r>
        <w:rPr>
          <w:rFonts w:hint="eastAsia" w:ascii="宋体" w:hAnsi="宋体"/>
          <w:color w:val="auto"/>
          <w:sz w:val="24"/>
          <w:highlight w:val="none"/>
          <w:lang w:eastAsia="zh-CN"/>
        </w:rPr>
        <w:t xml:space="preserve">永红派出所食堂食材供货配送项目</w:t>
      </w:r>
      <w:bookmarkEnd w:id="14"/>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项目预算金额：</w:t>
      </w:r>
      <w:r>
        <w:rPr>
          <w:rFonts w:hint="eastAsia" w:ascii="宋体" w:hAnsi="宋体"/>
          <w:color w:val="auto"/>
          <w:sz w:val="24"/>
          <w:highlight w:val="none"/>
        </w:rPr>
        <w:t xml:space="preserve">人民币</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万元/</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年</w:t>
      </w:r>
      <w:r/>
    </w:p>
    <w:p>
      <w:pPr>
        <w:ind w:firstLine="72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项目最高限价（控制价）：</w:t>
      </w:r>
      <w:r>
        <w:rPr>
          <w:rFonts w:hint="eastAsia" w:ascii="宋体" w:hAnsi="宋体"/>
          <w:color w:val="auto"/>
          <w:sz w:val="24"/>
          <w:highlight w:val="none"/>
          <w:lang w:val="en-US" w:eastAsia="zh-CN"/>
        </w:rPr>
        <w:t xml:space="preserve">本项目</w:t>
      </w:r>
      <w:r>
        <w:rPr>
          <w:rFonts w:hint="eastAsia" w:ascii="宋体" w:hAnsi="宋体"/>
          <w:color w:val="auto"/>
          <w:sz w:val="24"/>
          <w:highlight w:val="none"/>
          <w:lang w:eastAsia="zh-CN"/>
        </w:rPr>
        <w:t xml:space="preserve">按常州市官方（价格通）发布的农贸市场菜价平均价的100%</w:t>
      </w:r>
      <w:r>
        <w:rPr>
          <w:rFonts w:hint="eastAsia" w:ascii="宋体" w:hAnsi="宋体"/>
          <w:color w:val="auto"/>
          <w:sz w:val="24"/>
          <w:highlight w:val="none"/>
          <w:lang w:val="en-US" w:eastAsia="zh-CN"/>
        </w:rPr>
        <w:t xml:space="preserve">报优惠率</w:t>
      </w:r>
      <w:r>
        <w:rPr>
          <w:rFonts w:hint="eastAsia" w:ascii="宋体" w:hAnsi="宋体"/>
          <w:color w:val="auto"/>
          <w:sz w:val="24"/>
          <w:highlight w:val="none"/>
          <w:lang w:eastAsia="zh-CN"/>
        </w:rPr>
        <w:t xml:space="preserve">，（网址：https://www.jgtong.org.cn），</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lang w:eastAsia="zh-CN"/>
        </w:rPr>
        <w:t xml:space="preserve">的最终报价优惠率不得小于0%，否则作为无效</w:t>
      </w:r>
      <w:r>
        <w:rPr>
          <w:rFonts w:hint="eastAsia" w:ascii="宋体" w:hAnsi="宋体"/>
          <w:color w:val="auto"/>
          <w:sz w:val="24"/>
          <w:highlight w:val="none"/>
          <w:lang w:val="en-US" w:eastAsia="zh-CN"/>
        </w:rPr>
        <w:t xml:space="preserve">投标</w:t>
      </w:r>
      <w:r>
        <w:rPr>
          <w:rFonts w:hint="eastAsia" w:ascii="宋体" w:hAnsi="宋体"/>
          <w:color w:val="auto"/>
          <w:sz w:val="24"/>
          <w:highlight w:val="none"/>
          <w:lang w:eastAsia="zh-CN"/>
        </w:rPr>
        <w:t xml:space="preserve">处理。</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w:t>
      </w:r>
      <w:r>
        <w:rPr>
          <w:rFonts w:hint="eastAsia" w:ascii="宋体" w:hAnsi="宋体"/>
          <w:color w:val="auto"/>
          <w:sz w:val="24"/>
          <w:highlight w:val="none"/>
          <w:lang w:eastAsia="zh-CN"/>
        </w:rPr>
        <w:t xml:space="preserve">本项目为永红派出所食堂食材采购、打包、配送一体化服务项目，预计每日用餐150人次</w:t>
      </w:r>
      <w:r>
        <w:rPr>
          <w:rFonts w:hint="eastAsia" w:ascii="宋体" w:hAnsi="宋体"/>
          <w:color w:val="auto"/>
          <w:sz w:val="24"/>
          <w:highlight w:val="none"/>
        </w:rPr>
        <w:t xml:space="preserve">，服务范围包括但不限于</w:t>
      </w:r>
      <w:r>
        <w:rPr>
          <w:rFonts w:hint="eastAsia" w:ascii="宋体" w:hAnsi="宋体"/>
          <w:color w:val="auto"/>
          <w:sz w:val="24"/>
          <w:highlight w:val="none"/>
          <w:lang w:val="en-US" w:eastAsia="zh-CN"/>
        </w:rPr>
        <w:t xml:space="preserve">根据采购单位的食堂实际需求</w:t>
      </w:r>
      <w:r>
        <w:rPr>
          <w:rFonts w:hint="eastAsia" w:ascii="宋体" w:hAnsi="宋体"/>
          <w:color w:val="auto"/>
          <w:sz w:val="24"/>
          <w:highlight w:val="none"/>
        </w:rPr>
        <w:t xml:space="preserve">供应</w:t>
      </w:r>
      <w:r>
        <w:rPr>
          <w:rFonts w:hint="eastAsia" w:ascii="宋体" w:hAnsi="宋体"/>
          <w:color w:val="auto"/>
          <w:sz w:val="24"/>
          <w:highlight w:val="none"/>
          <w:lang w:val="en-US" w:eastAsia="zh-CN"/>
        </w:rPr>
        <w:t xml:space="preserve">食材，早餐包含包子、点心、牛奶等食物，中午和晚上按需配送新鲜食材。在特殊情况下，能够满足紧急送货需求，以及完成本项目要求的其他相关内容。</w:t>
      </w:r>
      <w:r>
        <w:rPr>
          <w:rFonts w:hint="eastAsia" w:ascii="宋体" w:hAnsi="宋体"/>
          <w:color w:val="auto"/>
          <w:sz w:val="24"/>
          <w:highlight w:val="none"/>
          <w:lang w:val="en-US" w:eastAsia="zh-CN"/>
        </w:rPr>
        <w:t xml:space="preserve">具体详见公开招标文件。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次采购服务整体周期2年，分两年度执行，合同一年一签。首年服务合同期满，在对应年度预算保障到位且采购人年度履约考核合格的前提下，双方可续签下一年度服务合同；考核不合格、预算无法保障或采购人服务需求发生变化的，采购人有权不予续签、合同到期终止，采购人不承担未续签责任。</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43"/>
        <w:jc w:val="left"/>
        <w:spacing w:before="0" w:line="360" w:lineRule="auto"/>
        <w:rPr>
          <w:rFonts w:ascii="宋体" w:hAnsi="宋体" w:eastAsia="宋体"/>
          <w:color w:val="auto"/>
          <w:sz w:val="24"/>
          <w:szCs w:val="24"/>
          <w:highlight w:val="none"/>
        </w:rPr>
      </w:pPr>
      <w:r/>
      <w:bookmarkStart w:id="15" w:name="_Toc28359003"/>
      <w:r/>
      <w:bookmarkStart w:id="16" w:name="_Toc35393622"/>
      <w:r/>
      <w:bookmarkStart w:id="17" w:name="_Toc35393791"/>
      <w:r/>
      <w:bookmarkStart w:id="18" w:name="_Toc28359080"/>
      <w:r>
        <w:rPr>
          <w:rFonts w:ascii="宋体" w:hAnsi="宋体" w:eastAsia="宋体"/>
          <w:color w:val="auto"/>
          <w:sz w:val="24"/>
          <w:szCs w:val="24"/>
          <w:highlight w:val="none"/>
        </w:rPr>
        <w:t xml:space="preserve">二、申请人的资格要求（须同时满足）</w:t>
      </w:r>
      <w:bookmarkEnd w:id="15"/>
      <w:r/>
      <w:bookmarkEnd w:id="16"/>
      <w:r/>
      <w:bookmarkEnd w:id="17"/>
      <w:r/>
      <w:bookmarkEnd w:id="18"/>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19" w:name="_Toc28359081"/>
      <w:r/>
      <w:bookmarkStart w:id="20" w:name="_Toc28359004"/>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b/>
          <w:bCs/>
          <w:color w:val="auto"/>
          <w:sz w:val="24"/>
          <w:highlight w:val="none"/>
        </w:rPr>
      </w:pPr>
      <w:r>
        <w:rPr>
          <w:rFonts w:ascii="宋体" w:hAnsi="宋体"/>
          <w:color w:val="auto"/>
          <w:sz w:val="24"/>
          <w:highlight w:val="none"/>
        </w:rPr>
        <w:t xml:space="preserve">3.3其他特定资格要求：</w:t>
      </w:r>
      <w:bookmarkEnd w:id="19"/>
      <w:r/>
      <w:bookmarkEnd w:id="20"/>
      <w:r/>
      <w:bookmarkStart w:id="21" w:name="_Toc35393792"/>
      <w:r/>
      <w:bookmarkStart w:id="22" w:name="_Toc35393623"/>
      <w:r>
        <w:rPr>
          <w:rFonts w:hint="eastAsia"/>
          <w:b/>
          <w:bCs/>
          <w:color w:val="auto"/>
          <w:sz w:val="24"/>
          <w:highlight w:val="none"/>
        </w:rPr>
        <w:t xml:space="preserve">投标人须具有</w:t>
      </w:r>
      <w:bookmarkStart w:id="23" w:name="_Hlk133239825"/>
      <w:r>
        <w:rPr>
          <w:rFonts w:hint="eastAsia"/>
          <w:b/>
          <w:bCs/>
          <w:color w:val="auto"/>
          <w:sz w:val="24"/>
          <w:highlight w:val="none"/>
        </w:rPr>
        <w:t xml:space="preserve">有效的《食品经营许可证》</w:t>
      </w:r>
      <w:bookmarkEnd w:id="23"/>
      <w:r>
        <w:rPr>
          <w:rFonts w:hint="eastAsia"/>
          <w:b/>
          <w:bCs/>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1"/>
      <w:r/>
      <w:bookmarkEnd w:id="22"/>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bookmarkStart w:id="24" w:name="_Toc28359005"/>
      <w:r/>
      <w:bookmarkStart w:id="25" w:name="_Toc28359082"/>
      <w:r/>
      <w:bookmarkStart w:id="26" w:name="_Toc35393624"/>
      <w:r/>
      <w:bookmarkStart w:id="27" w:name="_Toc35393793"/>
      <w:r>
        <w:rPr>
          <w:rFonts w:ascii="宋体" w:hAnsi="宋体" w:eastAsia="宋体"/>
          <w:color w:val="auto"/>
          <w:sz w:val="24"/>
          <w:szCs w:val="24"/>
          <w:highlight w:val="none"/>
        </w:rPr>
        <w:t xml:space="preserve">四、提交投标文件</w:t>
      </w:r>
      <w:bookmarkEnd w:id="24"/>
      <w:r/>
      <w:bookmarkEnd w:id="25"/>
      <w:r>
        <w:rPr>
          <w:rFonts w:ascii="宋体" w:hAnsi="宋体" w:eastAsia="宋体"/>
          <w:color w:val="auto"/>
          <w:sz w:val="24"/>
          <w:szCs w:val="24"/>
          <w:highlight w:val="none"/>
        </w:rPr>
        <w:t xml:space="preserve">截止时间、开标时间和地点</w:t>
      </w:r>
      <w:bookmarkEnd w:id="26"/>
      <w:r/>
      <w:bookmarkEnd w:id="27"/>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olor w:val="auto"/>
          <w:sz w:val="24"/>
          <w:highlight w:val="none"/>
          <w:lang w:bidi="ar"/>
        </w:rPr>
        <w:t xml:space="preserve">投标截止时间、开标时间：</w:t>
      </w:r>
      <w:r>
        <w:rPr>
          <w:rFonts w:ascii="宋体" w:hAnsi="宋体"/>
          <w:bCs/>
          <w:color w:val="auto"/>
          <w:sz w:val="24"/>
          <w:highlight w:val="none"/>
          <w:u w:val="single"/>
        </w:rPr>
      </w:r>
      <w:r>
        <w:rPr>
          <w:rFonts w:ascii="SimSun" w:hAnsi="SimSun" w:eastAsia="SimSun" w:cs="SimSun"/>
          <w:color w:val="000000"/>
          <w:sz w:val="24"/>
        </w:rPr>
        <w:t xml:space="preserve">2026年11月3日 09点30分（北京时间）。</w:t>
      </w:r>
      <w:r/>
      <w:r>
        <w:rPr>
          <w:rFonts w:ascii="宋体" w:hAnsi="宋体"/>
          <w:color w:val="auto"/>
          <w:sz w:val="24"/>
          <w:highlight w:val="none"/>
          <w:lang w:bidi="ar"/>
        </w:rPr>
      </w:r>
      <w:r/>
      <w:r/>
      <w:r>
        <w:rPr>
          <w:sz w:val="21"/>
        </w:rP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43"/>
        <w:jc w:val="left"/>
        <w:spacing w:before="0" w:line="360" w:lineRule="auto"/>
        <w:rPr>
          <w:rFonts w:ascii="宋体" w:hAnsi="宋体" w:eastAsia="宋体"/>
          <w:color w:val="auto"/>
          <w:sz w:val="24"/>
          <w:szCs w:val="24"/>
          <w:highlight w:val="none"/>
        </w:rPr>
      </w:pPr>
      <w:r/>
      <w:bookmarkStart w:id="28" w:name="_Toc28359007"/>
      <w:r/>
      <w:bookmarkStart w:id="29" w:name="_Toc28359084"/>
      <w:r/>
      <w:bookmarkStart w:id="30" w:name="_Toc35393625"/>
      <w:r/>
      <w:bookmarkStart w:id="31" w:name="_Toc35393794"/>
      <w:r>
        <w:rPr>
          <w:rFonts w:ascii="宋体" w:hAnsi="宋体" w:eastAsia="宋体"/>
          <w:color w:val="auto"/>
          <w:sz w:val="24"/>
          <w:szCs w:val="24"/>
          <w:highlight w:val="none"/>
        </w:rPr>
        <w:t xml:space="preserve">五、公告期限</w:t>
      </w:r>
      <w:bookmarkEnd w:id="28"/>
      <w:r/>
      <w:bookmarkEnd w:id="29"/>
      <w:r/>
      <w:bookmarkEnd w:id="30"/>
      <w:r/>
      <w:bookmarkEnd w:id="31"/>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rPr>
          <w:rFonts w:ascii="宋体" w:hAnsi="宋体" w:eastAsia="宋体"/>
          <w:color w:val="auto"/>
          <w:sz w:val="24"/>
          <w:szCs w:val="24"/>
          <w:highlight w:val="none"/>
        </w:rPr>
      </w:pPr>
      <w:r/>
      <w:bookmarkStart w:id="32" w:name="_Toc35393626"/>
      <w:r/>
      <w:bookmarkStart w:id="33" w:name="_Toc35393795"/>
      <w:r>
        <w:rPr>
          <w:rFonts w:ascii="宋体" w:hAnsi="宋体" w:eastAsia="宋体"/>
          <w:color w:val="auto"/>
          <w:sz w:val="24"/>
          <w:szCs w:val="24"/>
          <w:highlight w:val="none"/>
        </w:rPr>
        <w:t xml:space="preserve">六、其他补充事宜</w:t>
      </w:r>
      <w:bookmarkEnd w:id="32"/>
      <w:r/>
      <w:bookmarkEnd w:id="33"/>
      <w:r/>
      <w:r/>
    </w:p>
    <w:p>
      <w:pPr>
        <w:ind w:firstLine="480"/>
        <w:spacing w:line="360" w:lineRule="auto"/>
        <w:rPr>
          <w:rFonts w:ascii="宋体" w:hAnsi="宋体"/>
          <w:color w:val="auto"/>
          <w:sz w:val="24"/>
          <w:highlight w:val="none"/>
          <w:lang w:val="zh-TW" w:bidi="ar"/>
        </w:rPr>
      </w:pPr>
      <w:r/>
      <w:bookmarkStart w:id="34" w:name="_Toc35393796"/>
      <w:r/>
      <w:bookmarkStart w:id="35" w:name="_Toc35393627"/>
      <w:r/>
      <w:bookmarkStart w:id="36" w:name="_Toc28359085"/>
      <w:r/>
      <w:bookmarkStart w:id="37" w:name="_Toc28359008"/>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4"/>
      <w:r/>
      <w:bookmarkEnd w:id="35"/>
      <w:r/>
      <w:bookmarkEnd w:id="36"/>
      <w:r/>
      <w:bookmarkEnd w:id="37"/>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hint="eastAsia" w:ascii="宋体" w:hAnsi="宋体" w:eastAsia="宋体"/>
          <w:color w:val="auto"/>
          <w:sz w:val="24"/>
          <w:highlight w:val="none"/>
          <w:lang w:eastAsia="zh-CN"/>
        </w:rPr>
      </w:pPr>
      <w:r/>
      <w:bookmarkStart w:id="38" w:name="_Toc28359086"/>
      <w:r/>
      <w:bookmarkStart w:id="39" w:name="_Toc28359009"/>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常州市钟楼区永红街道办事处</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w:t>
      </w:r>
      <w:r>
        <w:rPr>
          <w:rFonts w:hint="default" w:ascii="宋体" w:hAnsi="宋体" w:eastAsia="宋体" w:cs="Times New Roman"/>
          <w:color w:val="auto"/>
          <w:sz w:val="24"/>
          <w:szCs w:val="24"/>
          <w:highlight w:val="none"/>
          <w:lang w:val="en-US" w:eastAsia="zh-CN"/>
        </w:rPr>
        <w:t xml:space="preserve">江苏省常州市钟楼区清潭路260号</w:t>
      </w:r>
      <w:r/>
    </w:p>
    <w:p>
      <w:pPr>
        <w:ind w:left="1076" w:hanging="297"/>
        <w:jc w:val="left"/>
        <w:spacing w:line="360" w:lineRule="auto"/>
        <w:rPr>
          <w:rFonts w:hint="eastAsia"/>
          <w:color w:val="auto"/>
          <w:sz w:val="24"/>
          <w:highlight w:val="none"/>
        </w:rPr>
      </w:pPr>
      <w:r>
        <w:rPr>
          <w:rFonts w:hint="eastAsia"/>
          <w:color w:val="auto"/>
          <w:sz w:val="24"/>
          <w:highlight w:val="none"/>
        </w:rPr>
        <w:t xml:space="preserve">联系人：</w:t>
      </w:r>
      <w:r>
        <w:rPr>
          <w:rFonts w:hint="eastAsia"/>
          <w:color w:val="auto"/>
          <w:sz w:val="24"/>
          <w:highlight w:val="none"/>
          <w:lang w:val="en-US" w:eastAsia="zh-CN"/>
        </w:rPr>
        <w:t xml:space="preserve">蔡女士</w:t>
      </w:r>
      <w:r>
        <w:rPr>
          <w:rFonts w:hint="eastAsia"/>
          <w:color w:val="auto"/>
          <w:sz w:val="24"/>
          <w:highlight w:val="none"/>
        </w:rPr>
        <w:t xml:space="preserve"> </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hint="eastAsia"/>
          <w:color w:val="auto"/>
          <w:sz w:val="24"/>
          <w:highlight w:val="none"/>
        </w:rPr>
        <w:t xml:space="preserve">联系电话：</w:t>
      </w:r>
      <w:r>
        <w:rPr>
          <w:rFonts w:ascii="Times New Roman" w:hAnsi="Times New Roman" w:eastAsia="Times New Roman" w:cs="Times New Roman"/>
          <w:color w:val="000000"/>
          <w:sz w:val="24"/>
        </w:rPr>
        <w:t xml:space="preserve">0519-81994372</w:t>
      </w:r>
      <w:r>
        <w:rPr>
          <w:rFonts w:ascii="Times New Roman" w:hAnsi="Times New Roman" w:eastAsia="Times New Roman" w:cs="Times New Roman"/>
          <w:sz w:val="21"/>
        </w:rPr>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8"/>
      <w:r/>
      <w:bookmarkEnd w:id="39"/>
      <w:r/>
      <w:r/>
    </w:p>
    <w:p>
      <w:pPr>
        <w:ind w:left="1079" w:hanging="300"/>
        <w:jc w:val="left"/>
        <w:spacing w:line="360" w:lineRule="auto"/>
        <w:rPr>
          <w:rFonts w:ascii="宋体" w:hAnsi="宋体"/>
          <w:color w:val="auto"/>
          <w:sz w:val="24"/>
          <w:highlight w:val="none"/>
        </w:rPr>
      </w:pPr>
      <w:r/>
      <w:bookmarkStart w:id="40" w:name="_Toc28359087"/>
      <w:r/>
      <w:bookmarkStart w:id="41" w:name="_Toc28359010"/>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0"/>
      <w:r/>
      <w:bookmarkEnd w:id="41"/>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2" w:name="_Toc264969275"/>
      <w:r/>
      <w:bookmarkStart w:id="43" w:name="_Toc353825548"/>
      <w:r/>
      <w:bookmarkStart w:id="44" w:name="_Toc195842950"/>
      <w:r/>
      <w:bookmarkStart w:id="45" w:name="_Toc305158928"/>
      <w:r/>
      <w:bookmarkStart w:id="46" w:name="_Toc265228423"/>
      <w:r/>
      <w:bookmarkStart w:id="47" w:name="_Toc127151777"/>
      <w:r/>
      <w:bookmarkStart w:id="48" w:name="_Toc150774783"/>
      <w:r/>
      <w:bookmarkStart w:id="49" w:name="_Toc226965856"/>
      <w:r/>
      <w:bookmarkStart w:id="50" w:name="_Toc305158854"/>
      <w:r/>
      <w:bookmarkStart w:id="51" w:name="_Toc127161488"/>
      <w:r/>
      <w:bookmarkStart w:id="52" w:name="_Toc353873938"/>
      <w:r/>
      <w:bookmarkStart w:id="53" w:name="_Toc512937850"/>
      <w:r>
        <w:rPr>
          <w:rFonts w:ascii="宋体" w:hAnsi="宋体"/>
          <w:b/>
          <w:color w:val="auto"/>
          <w:sz w:val="36"/>
          <w:szCs w:val="36"/>
          <w:highlight w:val="none"/>
        </w:rPr>
        <w:br w:type="page" w:clear="all"/>
      </w:r>
      <w:bookmarkStart w:id="54" w:name="_Toc12395"/>
      <w:r>
        <w:rPr>
          <w:rFonts w:ascii="宋体" w:hAnsi="宋体"/>
          <w:b/>
          <w:color w:val="auto"/>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1043"/>
        <w:spacing w:before="0" w:line="360" w:lineRule="auto"/>
        <w:tabs>
          <w:tab w:val="center" w:pos="4592" w:leader="none"/>
          <w:tab w:val="left" w:pos="7860" w:leader="none"/>
        </w:tabs>
        <w:rPr>
          <w:rFonts w:ascii="宋体" w:hAnsi="宋体" w:eastAsia="宋体"/>
          <w:color w:val="auto"/>
          <w:sz w:val="28"/>
          <w:highlight w:val="none"/>
        </w:rPr>
      </w:pPr>
      <w:r/>
      <w:bookmarkStart w:id="55" w:name="_Toc151193907"/>
      <w:r/>
      <w:bookmarkStart w:id="56" w:name="_Toc150774724"/>
      <w:r/>
      <w:bookmarkStart w:id="57" w:name="_Toc226965792"/>
      <w:r/>
      <w:bookmarkStart w:id="58" w:name="_Toc149720812"/>
      <w:r/>
      <w:bookmarkStart w:id="59" w:name="_Toc226965709"/>
      <w:r/>
      <w:bookmarkStart w:id="60" w:name="_Toc150480757"/>
      <w:r/>
      <w:bookmarkStart w:id="61" w:name="_Toc150774619"/>
      <w:r/>
      <w:bookmarkStart w:id="62" w:name="_Toc151193617"/>
      <w:r/>
      <w:bookmarkStart w:id="63" w:name="_Toc151193833"/>
      <w:r/>
      <w:bookmarkStart w:id="64" w:name="_Toc127151720"/>
      <w:r/>
      <w:bookmarkStart w:id="65" w:name="_Toc127151519"/>
      <w:r/>
      <w:bookmarkStart w:id="66" w:name="_Toc164229360"/>
      <w:r/>
      <w:bookmarkStart w:id="67" w:name="_Toc226309763"/>
      <w:r/>
      <w:bookmarkStart w:id="68" w:name="_Toc164351613"/>
      <w:r/>
      <w:bookmarkStart w:id="69" w:name="_Toc164608788"/>
      <w:r/>
      <w:bookmarkStart w:id="70" w:name="_Toc151193761"/>
      <w:r/>
      <w:bookmarkStart w:id="71" w:name="_Toc226337215"/>
      <w:r/>
      <w:bookmarkStart w:id="72" w:name="_Toc195842884"/>
      <w:r/>
      <w:bookmarkStart w:id="73" w:name="_Toc164608633"/>
      <w:r/>
      <w:bookmarkStart w:id="74" w:name="_Toc151190146"/>
      <w:r/>
      <w:bookmarkStart w:id="75" w:name="_Toc150509270"/>
      <w:r/>
      <w:bookmarkStart w:id="76" w:name="_Toc142311021"/>
      <w:r/>
      <w:bookmarkStart w:id="77" w:name="_Toc151193689"/>
      <w:r/>
      <w:bookmarkStart w:id="78" w:name="_Toc164229214"/>
      <w:r/>
      <w:bookmarkStart w:id="79" w:name="_Toc127161433"/>
      <w:r/>
      <w:bookmarkStart w:id="80" w:name="_Toc520356144"/>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5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6"/>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6"/>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6"/>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234"/>
        </w:trPr>
        <w:tc>
          <w:tcPr>
            <w:tcW w:w="988" w:type="dxa"/>
            <w:vAlign w:val="center"/>
            <w:textDirection w:val="lrTb"/>
            <w:noWrap w:val="false"/>
          </w:tcPr>
          <w:p>
            <w:pPr>
              <w:pStyle w:val="1066"/>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□有，具体情形：_________；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9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rPr>
                <w:rFonts w:hint="eastAsia"/>
                <w:color w:val="auto"/>
                <w:sz w:val="24"/>
                <w:highlight w:val="none"/>
              </w:rPr>
              <w:t xml:space="preserve">招标代理费根据《政府采购代理机构管理暂行办法》（财库〔2018〕2号）第十五条及《政府采购货物和服务招标投标管理办法》（财政部令第87号）第二十条执行，由中标/成交供应商支付。该费用已纳入供应商报价，供应商应在报价中全额包含。</w:t>
            </w:r>
            <w:r/>
          </w:p>
          <w:p>
            <w:pPr>
              <w:pStyle w:val="1124"/>
              <w:rPr>
                <w:rFonts w:hint="eastAsia" w:ascii="Times New Roman" w:hAnsi="Times New Roman" w:cs="Times New Roman"/>
                <w:color w:val="auto"/>
                <w:highlight w:val="none"/>
              </w:rPr>
            </w:pPr>
            <w:r>
              <w:rPr>
                <w:bCs/>
                <w:color w:val="auto"/>
                <w:highlight w:val="none"/>
              </w:rPr>
              <w:t xml:space="preserve"></w:t>
            </w:r>
            <w:r/>
          </w:p>
          <w:tbl>
            <w:tblPr>
              <w:tblStyle w:val="1052"/>
              <w:tblW w:w="5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218"/>
            </w:tblGrid>
            <w:tr>
              <w:trPr>
                <w:jc w:val="center"/>
                <w:trHeight w:val="2157"/>
              </w:trPr>
              <w:tc>
                <w:tcPr>
                  <w:tcW w:w="3027" w:type="dxa"/>
                  <w:vAlign w:val="top"/>
                  <w:textDirection w:val="lrTb"/>
                  <w:noWrap w:val="false"/>
                </w:tcPr>
                <w:p>
                  <w:pPr>
                    <w:ind w:firstLine="1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302895</wp:posOffset>
                            </wp:positionH>
                            <wp:positionV relativeFrom="paragraph">
                              <wp:posOffset>-6350</wp:posOffset>
                            </wp:positionV>
                            <wp:extent cx="1552575" cy="1495425"/>
                            <wp:effectExtent l="3175" t="3175" r="6350" b="6350"/>
                            <wp:wrapNone/>
                            <wp:docPr id="2" name="直接箭头连接符 2"/>
                            <wp:cNvGraphicFramePr/>
                            <a:graphic xmlns:a="http://schemas.openxmlformats.org/drawingml/2006/main">
                              <a:graphicData uri="http://schemas.microsoft.com/office/word/2010/wordprocessingShape">
                                <wps:wsp>
                                  <wps:cNvPr id="0" name=""/>
                                  <wps:cNvSpPr/>
                                  <wps:spPr bwMode="auto">
                                    <a:xfrm>
                                      <a:off x="0" y="0"/>
                                      <a:ext cx="1552575" cy="14954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3.8pt;mso-position-horizontal:absolute;mso-position-vertical-relative:text;margin-top:-0.5pt;mso-position-vertical:absolute;width:122.2pt;height:117.8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eastAsia="宋体" w:cs="宋体"/>
                      <w:bCs/>
                      <w:color w:val="auto"/>
                      <w:sz w:val="24"/>
                      <w:szCs w:val="24"/>
                      <w:highlight w:val="none"/>
                    </w:rPr>
                    <w:t xml:space="preserve">服</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218440</wp:posOffset>
                            </wp:positionV>
                            <wp:extent cx="1914525" cy="676275"/>
                            <wp:effectExtent l="1270" t="4445" r="8255" b="5080"/>
                            <wp:wrapNone/>
                            <wp:docPr id="4" name="直接箭头连接符 3"/>
                            <wp:cNvGraphicFramePr/>
                            <a:graphic xmlns:a="http://schemas.openxmlformats.org/drawingml/2006/main">
                              <a:graphicData uri="http://schemas.microsoft.com/office/word/2010/wordprocessingShape">
                                <wps:wsp>
                                  <wps:cNvPr id="0" name=""/>
                                  <wps:cNvSpPr/>
                                  <wps:spPr bwMode="auto">
                                    <a:xfrm>
                                      <a:off x="0" y="0"/>
                                      <a:ext cx="1914525" cy="6762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5.4pt;mso-position-horizontal:absolute;mso-position-vertical-relative:text;margin-top:17.2pt;mso-position-vertical:absolute;width:150.8pt;height:53.2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w:t xml:space="preserve">　   类</w:t>
                  </w:r>
                  <w:r/>
                </w:p>
                <w:p>
                  <w:pPr>
                    <w:ind w:firstLine="12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rPr>
                      <w:rFonts w:hint="eastAsia" w:ascii="宋体" w:hAnsi="宋体" w:cs="宋体"/>
                      <w:bCs/>
                      <w:color w:val="auto"/>
                      <w:sz w:val="24"/>
                      <w:szCs w:val="24"/>
                      <w:highlight w:val="none"/>
                      <w:lang w:val="en-US" w:eastAsia="zh-CN"/>
                    </w:rPr>
                    <w:t xml:space="preserve">预算</w:t>
                  </w:r>
                  <w:r>
                    <w:rPr>
                      <w:rFonts w:hint="eastAsia" w:ascii="宋体" w:hAnsi="宋体" w:eastAsia="宋体" w:cs="宋体"/>
                      <w:bCs/>
                      <w:color w:val="auto"/>
                      <w:sz w:val="24"/>
                      <w:szCs w:val="24"/>
                      <w:highlight w:val="none"/>
                    </w:rPr>
                    <w:t xml:space="preserve">金额（万元）</w:t>
                  </w:r>
                  <w:r/>
                </w:p>
              </w:tc>
              <w:tc>
                <w:tcPr>
                  <w:tcW w:w="22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服务类</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1</w:t>
                  </w:r>
                  <w:r>
                    <w:rPr>
                      <w:rFonts w:ascii="宋体" w:hAnsi="宋体" w:eastAsia="宋体" w:cs="Times New Roman"/>
                      <w:color w:val="auto"/>
                      <w:sz w:val="24"/>
                      <w:highlight w:val="none"/>
                    </w:rPr>
                    <w:t xml:space="preserve">.5%</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0.8</w:t>
                  </w:r>
                  <w:r>
                    <w:rPr>
                      <w:rFonts w:ascii="宋体" w:hAnsi="宋体" w:eastAsia="宋体" w:cs="Times New Roman"/>
                      <w:color w:val="auto"/>
                      <w:sz w:val="24"/>
                      <w:highlight w:val="none"/>
                    </w:rPr>
                    <w:t xml:space="preserve">%</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2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pStyle w:val="1124"/>
              <w:rPr>
                <w:rFonts w:hint="eastAsia" w:eastAsia="宋体"/>
                <w:bCs/>
                <w:color w:val="auto"/>
                <w:highlight w:val="none"/>
              </w:rPr>
            </w:pPr>
            <w:r>
              <w:rPr>
                <w:rFonts w:hint="eastAsia" w:eastAsia="宋体"/>
                <w:bCs/>
                <w:color w:val="auto"/>
                <w:highlight w:val="none"/>
                <w:lang w:val="en-US" w:eastAsia="zh-CN"/>
              </w:rPr>
              <w:t xml:space="preserve">2</w:t>
            </w:r>
            <w:r>
              <w:rPr>
                <w:rFonts w:hint="eastAsia" w:eastAsia="宋体"/>
                <w:bCs/>
                <w:color w:val="auto"/>
                <w:highlight w:val="none"/>
              </w:rPr>
              <w:t xml:space="preserve">.本项目代理服务收费按差额定率累进法计算</w:t>
            </w:r>
            <w:r>
              <w:rPr>
                <w:rFonts w:hint="eastAsia" w:eastAsia="宋体"/>
                <w:bCs/>
                <w:color w:val="auto"/>
                <w:highlight w:val="none"/>
                <w:lang w:eastAsia="zh-CN"/>
              </w:rPr>
              <w:t xml:space="preserve">，</w:t>
            </w:r>
            <w:r>
              <w:rPr>
                <w:rFonts w:hint="eastAsia" w:eastAsia="宋体"/>
                <w:bCs/>
                <w:color w:val="auto"/>
                <w:highlight w:val="none"/>
              </w:rPr>
              <w:t xml:space="preserve">以</w:t>
            </w:r>
            <w:r>
              <w:rPr>
                <w:rFonts w:hint="eastAsia"/>
                <w:bCs/>
                <w:color w:val="auto"/>
                <w:highlight w:val="none"/>
                <w:lang w:val="en-US" w:eastAsia="zh-CN"/>
              </w:rPr>
              <w:t xml:space="preserve">预算</w:t>
            </w:r>
            <w:r>
              <w:rPr>
                <w:rFonts w:hint="eastAsia" w:eastAsia="宋体"/>
                <w:bCs/>
                <w:color w:val="auto"/>
                <w:highlight w:val="none"/>
              </w:rPr>
              <w:t xml:space="preserve">金额为准，按上述收费标准计算。</w:t>
            </w:r>
            <w:r/>
          </w:p>
          <w:p>
            <w:pPr>
              <w:pStyle w:val="1124"/>
              <w:rPr>
                <w:rFonts w:eastAsia="宋体"/>
                <w:bCs/>
                <w:color w:val="auto"/>
                <w:highlight w:val="none"/>
              </w:rPr>
            </w:pPr>
            <w:r>
              <w:rPr>
                <w:rFonts w:hint="eastAsia" w:eastAsia="宋体"/>
                <w:bCs/>
                <w:color w:val="auto"/>
                <w:highlight w:val="none"/>
                <w:lang w:val="en-US" w:eastAsia="zh-CN"/>
              </w:rPr>
              <w:t xml:space="preserve">3</w:t>
            </w:r>
            <w:r>
              <w:rPr>
                <w:rFonts w:hint="eastAsia" w:eastAsia="宋体"/>
                <w:bCs/>
                <w:color w:val="auto"/>
                <w:highlight w:val="none"/>
              </w:rPr>
              <w:t xml:space="preserve">.代理服务收费按上述计算方法不足人民币</w:t>
            </w:r>
            <w:r>
              <w:rPr>
                <w:rFonts w:hint="eastAsia" w:eastAsia="宋体"/>
                <w:bCs/>
                <w:color w:val="auto"/>
                <w:highlight w:val="none"/>
                <w:lang w:val="en-US" w:eastAsia="zh-CN"/>
              </w:rPr>
              <w:t xml:space="preserve">3000</w:t>
            </w:r>
            <w:r>
              <w:rPr>
                <w:rFonts w:hint="eastAsia" w:eastAsia="宋体"/>
                <w:bCs/>
                <w:color w:val="auto"/>
                <w:highlight w:val="none"/>
              </w:rPr>
              <w:t xml:space="preserve">元的，按人民币</w:t>
            </w:r>
            <w:r>
              <w:rPr>
                <w:rFonts w:hint="eastAsia" w:eastAsia="宋体"/>
                <w:bCs/>
                <w:color w:val="auto"/>
                <w:highlight w:val="none"/>
                <w:lang w:val="en-US" w:eastAsia="zh-CN"/>
              </w:rPr>
              <w:t xml:space="preserve">3000</w:t>
            </w:r>
            <w:r>
              <w:rPr>
                <w:rFonts w:hint="eastAsia" w:eastAsia="宋体"/>
                <w:bCs/>
                <w:color w:val="auto"/>
                <w:highlight w:val="none"/>
              </w:rPr>
              <w:t xml:space="preserve">元收取。</w:t>
            </w:r>
            <w:r/>
          </w:p>
          <w:p>
            <w:pPr>
              <w:pStyle w:val="1124"/>
              <w:rPr>
                <w:bCs/>
                <w:color w:val="auto"/>
                <w:highlight w:val="none"/>
              </w:rPr>
            </w:pPr>
            <w:r>
              <w:rPr>
                <w:rFonts w:hint="eastAsia"/>
                <w:bCs/>
                <w:color w:val="auto"/>
                <w:highlight w:val="none"/>
                <w:lang w:val="en-US" w:eastAsia="zh-CN"/>
              </w:rPr>
              <w:t xml:space="preserve">4</w:t>
            </w: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4"/>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1" w:name="_Toc305158859"/>
      <w:r/>
      <w:bookmarkStart w:id="82" w:name="_Toc226337213"/>
      <w:r/>
      <w:bookmarkStart w:id="83" w:name="_Toc353873662"/>
      <w:r/>
      <w:bookmarkStart w:id="84" w:name="_Toc265228355"/>
      <w:r/>
      <w:bookmarkStart w:id="85" w:name="_Toc127151517"/>
      <w:r/>
      <w:bookmarkStart w:id="86" w:name="_Toc353873932"/>
      <w:r/>
      <w:bookmarkStart w:id="87" w:name="_Toc353825542"/>
      <w:r/>
      <w:bookmarkStart w:id="88" w:name="_Toc150480755"/>
      <w:r/>
      <w:bookmarkStart w:id="89" w:name="_Toc264969207"/>
      <w:r/>
      <w:bookmarkStart w:id="90" w:name="_Toc195842882"/>
      <w:r/>
      <w:bookmarkStart w:id="91" w:name="_Toc226965790"/>
      <w:r/>
      <w:bookmarkStart w:id="92" w:name="_Toc150774722"/>
      <w:r/>
      <w:bookmarkStart w:id="93" w:name="_Toc142311019"/>
      <w:r/>
      <w:bookmarkStart w:id="94" w:name="_Toc305158785"/>
      <w:r>
        <w:rPr>
          <w:rFonts w:ascii="宋体" w:hAnsi="宋体"/>
          <w:b/>
          <w:color w:val="auto"/>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43"/>
        <w:jc w:val="left"/>
        <w:spacing w:before="0" w:line="360" w:lineRule="auto"/>
        <w:tabs>
          <w:tab w:val="center" w:pos="4592" w:leader="none"/>
          <w:tab w:val="left" w:pos="7860" w:leader="none"/>
        </w:tabs>
        <w:rPr>
          <w:rFonts w:ascii="宋体" w:hAnsi="宋体" w:eastAsia="宋体"/>
          <w:color w:val="auto"/>
          <w:sz w:val="28"/>
          <w:highlight w:val="none"/>
        </w:rPr>
      </w:pPr>
      <w:r/>
      <w:bookmarkStart w:id="95" w:name="_Toc127151518"/>
      <w:r/>
      <w:bookmarkStart w:id="96" w:name="_Toc520356143"/>
      <w:r>
        <w:rPr>
          <w:rFonts w:ascii="宋体" w:hAnsi="宋体" w:eastAsia="宋体"/>
          <w:color w:val="auto"/>
          <w:sz w:val="28"/>
          <w:highlight w:val="none"/>
        </w:rPr>
        <w:tab/>
      </w:r>
      <w:bookmarkStart w:id="97" w:name="_Toc142311020"/>
      <w:r/>
      <w:bookmarkStart w:id="98" w:name="_Toc265228356"/>
      <w:r/>
      <w:bookmarkStart w:id="99" w:name="_Toc150480756"/>
      <w:r/>
      <w:bookmarkStart w:id="100" w:name="_Toc195842883"/>
      <w:r/>
      <w:bookmarkStart w:id="101" w:name="_Toc150774618"/>
      <w:r/>
      <w:bookmarkStart w:id="102" w:name="_Toc151193616"/>
      <w:r/>
      <w:bookmarkStart w:id="103" w:name="_Toc305158786"/>
      <w:r/>
      <w:bookmarkStart w:id="104" w:name="_Toc151193760"/>
      <w:r/>
      <w:bookmarkStart w:id="105" w:name="_Toc264969208"/>
      <w:r/>
      <w:bookmarkStart w:id="106" w:name="_Toc151193688"/>
      <w:r/>
      <w:bookmarkStart w:id="107" w:name="_Toc150509269"/>
      <w:r/>
      <w:bookmarkStart w:id="108" w:name="_Toc226309762"/>
      <w:r/>
      <w:bookmarkStart w:id="109" w:name="_Toc226965791"/>
      <w:r/>
      <w:bookmarkStart w:id="110" w:name="_Toc150774723"/>
      <w:r/>
      <w:bookmarkStart w:id="111" w:name="_Toc151193906"/>
      <w:r/>
      <w:bookmarkStart w:id="112" w:name="_Toc226965708"/>
      <w:r/>
      <w:bookmarkStart w:id="113" w:name="_Toc305158860"/>
      <w:r/>
      <w:bookmarkStart w:id="114" w:name="_Toc151190145"/>
      <w:r/>
      <w:bookmarkStart w:id="115" w:name="_Toc226337214"/>
      <w:r/>
      <w:bookmarkStart w:id="116" w:name="_Toc151193832"/>
      <w:r>
        <w:rPr>
          <w:rFonts w:ascii="宋体" w:hAnsi="宋体" w:eastAsia="宋体"/>
          <w:color w:val="auto"/>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7" w:name="_Toc305158787"/>
      <w:r/>
      <w:bookmarkStart w:id="118" w:name="_Toc264969209"/>
      <w:r/>
      <w:bookmarkStart w:id="119" w:name="_Toc265228357"/>
      <w:r/>
      <w:bookmarkStart w:id="120" w:name="_Toc305158861"/>
      <w:r>
        <w:rPr>
          <w:rFonts w:ascii="宋体" w:hAnsi="宋体"/>
          <w:color w:val="auto"/>
          <w:sz w:val="24"/>
          <w:highlight w:val="none"/>
        </w:rPr>
        <w:t xml:space="preserve">采购人、采购代理机构、投标人</w:t>
      </w:r>
      <w:bookmarkEnd w:id="117"/>
      <w:r/>
      <w:bookmarkEnd w:id="118"/>
      <w:r/>
      <w:bookmarkEnd w:id="119"/>
      <w:r/>
      <w:bookmarkEnd w:id="120"/>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1" w:name="_Toc142311022"/>
      <w:r/>
      <w:bookmarkStart w:id="122" w:name="_Toc164608634"/>
      <w:r/>
      <w:bookmarkStart w:id="123" w:name="_Toc149720813"/>
      <w:r/>
      <w:bookmarkStart w:id="124" w:name="_Toc151193834"/>
      <w:r/>
      <w:bookmarkStart w:id="125" w:name="_Toc127151520"/>
      <w:r/>
      <w:bookmarkStart w:id="126" w:name="_Toc226965710"/>
      <w:r/>
      <w:bookmarkStart w:id="127" w:name="_Toc151193762"/>
      <w:r/>
      <w:bookmarkStart w:id="128" w:name="_Toc305158862"/>
      <w:r/>
      <w:bookmarkStart w:id="129" w:name="_Toc151193908"/>
      <w:r/>
      <w:bookmarkStart w:id="130" w:name="_Toc150774725"/>
      <w:r/>
      <w:bookmarkStart w:id="131" w:name="_Toc195842885"/>
      <w:r/>
      <w:bookmarkStart w:id="132" w:name="_Toc150480758"/>
      <w:r/>
      <w:bookmarkStart w:id="133" w:name="_Toc164229215"/>
      <w:r/>
      <w:bookmarkStart w:id="134" w:name="_Toc164229361"/>
      <w:r/>
      <w:bookmarkStart w:id="135" w:name="_Toc226337216"/>
      <w:r/>
      <w:bookmarkStart w:id="136" w:name="_Toc127151721"/>
      <w:r/>
      <w:bookmarkStart w:id="137" w:name="_Toc265228358"/>
      <w:r/>
      <w:bookmarkStart w:id="138" w:name="_Toc151193690"/>
      <w:r/>
      <w:bookmarkStart w:id="139" w:name="_Toc151193618"/>
      <w:r/>
      <w:bookmarkStart w:id="140" w:name="_Toc150774620"/>
      <w:r/>
      <w:bookmarkStart w:id="141" w:name="_Toc164608789"/>
      <w:r/>
      <w:bookmarkStart w:id="142" w:name="_Toc226309764"/>
      <w:r/>
      <w:bookmarkStart w:id="143" w:name="_Toc305158788"/>
      <w:r/>
      <w:bookmarkStart w:id="144" w:name="_Toc226965793"/>
      <w:r/>
      <w:bookmarkStart w:id="145" w:name="_Toc150509271"/>
      <w:r/>
      <w:bookmarkStart w:id="146" w:name="_Toc164351614"/>
      <w:r/>
      <w:bookmarkStart w:id="147" w:name="_Toc127161434"/>
      <w:r/>
      <w:bookmarkStart w:id="148" w:name="_Toc151190147"/>
      <w:r/>
      <w:bookmarkStart w:id="149" w:name="_Toc264969210"/>
      <w:r>
        <w:rPr>
          <w:rFonts w:ascii="宋体" w:hAnsi="宋体"/>
          <w:color w:val="auto"/>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0" w:name="_Toc226337218"/>
      <w:r/>
      <w:bookmarkStart w:id="151" w:name="_Toc265228360"/>
      <w:r/>
      <w:bookmarkStart w:id="152" w:name="_Toc264969212"/>
      <w:r/>
      <w:bookmarkStart w:id="153" w:name="_Toc195842887"/>
      <w:r/>
      <w:bookmarkStart w:id="154" w:name="_Toc305158790"/>
      <w:r/>
      <w:bookmarkStart w:id="155" w:name="_Toc151193836"/>
      <w:r/>
      <w:bookmarkStart w:id="156" w:name="_Toc226965795"/>
      <w:r/>
      <w:bookmarkStart w:id="157" w:name="_Toc151193910"/>
      <w:r/>
      <w:bookmarkStart w:id="158" w:name="_Toc305158864"/>
      <w:r/>
      <w:bookmarkStart w:id="159" w:name="_Toc226309766"/>
      <w:r/>
      <w:bookmarkStart w:id="160" w:name="_Toc151193692"/>
      <w:r/>
      <w:bookmarkStart w:id="161" w:name="_Toc142311024"/>
      <w:r/>
      <w:bookmarkStart w:id="162" w:name="_Toc127151522"/>
      <w:r/>
      <w:bookmarkStart w:id="163" w:name="_Toc151193764"/>
      <w:r/>
      <w:bookmarkStart w:id="164" w:name="_Toc150480760"/>
      <w:r/>
      <w:bookmarkStart w:id="165" w:name="_Toc520356146"/>
      <w:r/>
      <w:bookmarkStart w:id="166" w:name="_Toc150774727"/>
      <w:r/>
      <w:bookmarkStart w:id="167" w:name="_Toc150509273"/>
      <w:r/>
      <w:bookmarkStart w:id="168" w:name="_Toc151190149"/>
      <w:r/>
      <w:bookmarkStart w:id="169" w:name="_Toc151193620"/>
      <w:r/>
      <w:bookmarkStart w:id="170" w:name="_Toc150774622"/>
      <w:r/>
      <w:bookmarkStart w:id="171" w:name="_Toc226965712"/>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color w:val="auto"/>
          <w:sz w:val="24"/>
          <w:highlight w:val="none"/>
        </w:rPr>
      </w:pPr>
      <w:r>
        <w:rPr>
          <w:rFonts w:hint="eastAsia"/>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2" w:name="_1.8_计量单位"/>
      <w:r/>
      <w:bookmarkEnd w:id="172"/>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3" w:name="_Toc150480761"/>
      <w:r/>
      <w:bookmarkStart w:id="174" w:name="_Toc150774728"/>
      <w:r/>
      <w:bookmarkStart w:id="175" w:name="_Toc226309767"/>
      <w:r/>
      <w:bookmarkStart w:id="176" w:name="_Toc264969213"/>
      <w:r/>
      <w:bookmarkStart w:id="177" w:name="_Toc195842888"/>
      <w:r/>
      <w:bookmarkStart w:id="178" w:name="_Toc164351617"/>
      <w:r/>
      <w:bookmarkStart w:id="179" w:name="_Toc520356147"/>
      <w:r/>
      <w:bookmarkStart w:id="180" w:name="_Toc226337219"/>
      <w:r/>
      <w:bookmarkStart w:id="181" w:name="_Toc151193911"/>
      <w:r/>
      <w:bookmarkStart w:id="182" w:name="_Toc150509274"/>
      <w:r/>
      <w:bookmarkStart w:id="183" w:name="_Toc151190150"/>
      <w:r/>
      <w:bookmarkStart w:id="184" w:name="_Toc265228361"/>
      <w:r/>
      <w:bookmarkStart w:id="185" w:name="_Toc150774623"/>
      <w:r/>
      <w:bookmarkStart w:id="186" w:name="_Toc164229364"/>
      <w:r/>
      <w:bookmarkStart w:id="187" w:name="_Toc151193837"/>
      <w:r/>
      <w:bookmarkStart w:id="188" w:name="_Toc149720816"/>
      <w:r/>
      <w:bookmarkStart w:id="189" w:name="_Toc164608637"/>
      <w:r/>
      <w:bookmarkStart w:id="190" w:name="_Toc164608792"/>
      <w:r/>
      <w:bookmarkStart w:id="191" w:name="_Toc127161437"/>
      <w:r/>
      <w:bookmarkStart w:id="192" w:name="_Toc127151724"/>
      <w:r/>
      <w:bookmarkStart w:id="193" w:name="_Toc305158791"/>
      <w:r/>
      <w:bookmarkStart w:id="194" w:name="_Toc164229218"/>
      <w:r/>
      <w:bookmarkStart w:id="195" w:name="_Toc226965796"/>
      <w:r/>
      <w:bookmarkStart w:id="196" w:name="_Toc151193693"/>
      <w:r/>
      <w:bookmarkStart w:id="197" w:name="_Toc142311025"/>
      <w:r/>
      <w:bookmarkStart w:id="198" w:name="_Toc127151523"/>
      <w:r/>
      <w:bookmarkStart w:id="199" w:name="_Toc305158865"/>
      <w:r/>
      <w:bookmarkStart w:id="200" w:name="_Toc151193621"/>
      <w:r/>
      <w:bookmarkStart w:id="201" w:name="_Toc151193765"/>
      <w:r/>
      <w:bookmarkStart w:id="202" w:name="_Toc226965713"/>
      <w:r>
        <w:rPr>
          <w:rFonts w:ascii="宋体" w:hAnsi="宋体"/>
          <w:color w:val="auto"/>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3" w:name="_Toc516367020"/>
      <w:r/>
      <w:bookmarkStart w:id="204" w:name="_Toc151193768"/>
      <w:r/>
      <w:bookmarkStart w:id="205" w:name="_Toc226965799"/>
      <w:r/>
      <w:bookmarkStart w:id="206" w:name="_Toc150774626"/>
      <w:r/>
      <w:bookmarkStart w:id="207" w:name="_Toc226309770"/>
      <w:r/>
      <w:bookmarkStart w:id="208" w:name="_Toc151190153"/>
      <w:r/>
      <w:bookmarkStart w:id="209" w:name="_Toc264969216"/>
      <w:r/>
      <w:bookmarkStart w:id="210" w:name="_Toc305158794"/>
      <w:r/>
      <w:bookmarkStart w:id="211" w:name="_Toc127151526"/>
      <w:r/>
      <w:bookmarkStart w:id="212" w:name="_Toc520356150"/>
      <w:r/>
      <w:bookmarkStart w:id="213" w:name="_Toc265228364"/>
      <w:r/>
      <w:bookmarkStart w:id="214" w:name="_Toc305158868"/>
      <w:r/>
      <w:bookmarkStart w:id="215" w:name="_Toc142311028"/>
      <w:r/>
      <w:bookmarkStart w:id="216" w:name="_Toc226965716"/>
      <w:r/>
      <w:bookmarkStart w:id="217" w:name="_Toc151193840"/>
      <w:r/>
      <w:bookmarkStart w:id="218" w:name="_Toc226337222"/>
      <w:r/>
      <w:bookmarkStart w:id="219" w:name="_Toc151193624"/>
      <w:r/>
      <w:bookmarkStart w:id="220" w:name="_Toc151193914"/>
      <w:r/>
      <w:bookmarkStart w:id="221" w:name="_Toc150774731"/>
      <w:r/>
      <w:bookmarkStart w:id="222" w:name="_Toc151193696"/>
      <w:r/>
      <w:bookmarkStart w:id="223" w:name="_Toc150480764"/>
      <w:r/>
      <w:bookmarkStart w:id="224" w:name="_Toc150509277"/>
      <w:r/>
      <w:bookmarkStart w:id="225" w:name="_Toc195842891"/>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3"/>
      <w:r>
        <w:rPr>
          <w:rFonts w:ascii="宋体" w:hAnsi="宋体" w:eastAsia="宋体"/>
          <w:color w:val="auto"/>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6" w:name="_Toc516367021"/>
      <w:r/>
      <w:bookmarkStart w:id="227" w:name="_Toc150774627"/>
      <w:r/>
      <w:bookmarkStart w:id="228" w:name="_Toc226309771"/>
      <w:r/>
      <w:bookmarkStart w:id="229" w:name="_Toc142311029"/>
      <w:r/>
      <w:bookmarkStart w:id="230" w:name="_Toc305158795"/>
      <w:r/>
      <w:bookmarkStart w:id="231" w:name="_Toc151193841"/>
      <w:r/>
      <w:bookmarkStart w:id="232" w:name="_Toc127161441"/>
      <w:r/>
      <w:bookmarkStart w:id="233" w:name="_Toc226965800"/>
      <w:r/>
      <w:bookmarkStart w:id="234" w:name="_Toc164229222"/>
      <w:r/>
      <w:bookmarkStart w:id="235" w:name="_Toc164608796"/>
      <w:r/>
      <w:bookmarkStart w:id="236" w:name="_Toc150509278"/>
      <w:r/>
      <w:bookmarkStart w:id="237" w:name="_Toc151193697"/>
      <w:r/>
      <w:bookmarkStart w:id="238" w:name="_Toc264969217"/>
      <w:r/>
      <w:bookmarkStart w:id="239" w:name="_Toc149720820"/>
      <w:r/>
      <w:bookmarkStart w:id="240" w:name="_Toc151193769"/>
      <w:r/>
      <w:bookmarkStart w:id="241" w:name="_Toc151193915"/>
      <w:r/>
      <w:bookmarkStart w:id="242" w:name="_Toc195842892"/>
      <w:r/>
      <w:bookmarkStart w:id="243" w:name="_Toc520356151"/>
      <w:r/>
      <w:bookmarkStart w:id="244" w:name="_Toc127151728"/>
      <w:r/>
      <w:bookmarkStart w:id="245" w:name="_Toc164608641"/>
      <w:r/>
      <w:bookmarkStart w:id="246" w:name="_Toc151193625"/>
      <w:r/>
      <w:bookmarkStart w:id="247" w:name="_Toc164229368"/>
      <w:r/>
      <w:bookmarkStart w:id="248" w:name="_Toc151190154"/>
      <w:r/>
      <w:bookmarkStart w:id="249" w:name="_Toc265228365"/>
      <w:r/>
      <w:bookmarkStart w:id="250" w:name="_Toc305158869"/>
      <w:r/>
      <w:bookmarkStart w:id="251" w:name="_Toc150480765"/>
      <w:r/>
      <w:bookmarkStart w:id="252" w:name="_Toc164351621"/>
      <w:r/>
      <w:bookmarkStart w:id="253" w:name="_Toc226965717"/>
      <w:r/>
      <w:bookmarkStart w:id="254" w:name="_Toc226337223"/>
      <w:r/>
      <w:bookmarkStart w:id="255" w:name="_Toc150774732"/>
      <w:r/>
      <w:bookmarkStart w:id="256" w:name="_Toc127151527"/>
      <w:r>
        <w:rPr>
          <w:rFonts w:ascii="宋体" w:hAnsi="宋体"/>
          <w:color w:val="auto"/>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7" w:name="_Toc516367022"/>
      <w:r/>
      <w:bookmarkStart w:id="258" w:name="_Ref467306676"/>
      <w:r/>
      <w:bookmarkStart w:id="259" w:name="_Ref467306195"/>
      <w:r/>
      <w:bookmarkStart w:id="260" w:name="_Toc149720821"/>
      <w:r/>
      <w:bookmarkStart w:id="261" w:name="_Toc305158870"/>
      <w:r/>
      <w:bookmarkStart w:id="262" w:name="_Toc151190155"/>
      <w:r/>
      <w:bookmarkStart w:id="263" w:name="_Toc151193842"/>
      <w:r/>
      <w:bookmarkStart w:id="264" w:name="_Toc226309772"/>
      <w:r/>
      <w:bookmarkStart w:id="265" w:name="_Toc142311030"/>
      <w:r/>
      <w:bookmarkStart w:id="266" w:name="_Toc150509279"/>
      <w:r/>
      <w:bookmarkStart w:id="267" w:name="_Toc265228366"/>
      <w:r/>
      <w:bookmarkStart w:id="268" w:name="_Toc226965801"/>
      <w:r/>
      <w:bookmarkStart w:id="269" w:name="_Toc305158796"/>
      <w:r/>
      <w:bookmarkStart w:id="270" w:name="_Toc226965718"/>
      <w:r/>
      <w:bookmarkStart w:id="271" w:name="_Toc264969218"/>
      <w:r/>
      <w:bookmarkStart w:id="272" w:name="_Toc164608642"/>
      <w:r/>
      <w:bookmarkStart w:id="273" w:name="_Toc164229369"/>
      <w:r/>
      <w:bookmarkStart w:id="274" w:name="_Toc127161442"/>
      <w:r/>
      <w:bookmarkStart w:id="275" w:name="_Toc150480766"/>
      <w:r/>
      <w:bookmarkStart w:id="276" w:name="_Toc164351622"/>
      <w:r/>
      <w:bookmarkStart w:id="277" w:name="_Toc127151528"/>
      <w:r/>
      <w:bookmarkStart w:id="278" w:name="_Toc520356152"/>
      <w:r/>
      <w:bookmarkStart w:id="279" w:name="_Toc151193626"/>
      <w:r/>
      <w:bookmarkStart w:id="280" w:name="_Toc151193698"/>
      <w:r/>
      <w:bookmarkStart w:id="281" w:name="_Toc195842893"/>
      <w:r/>
      <w:bookmarkStart w:id="282" w:name="_Toc151193770"/>
      <w:r/>
      <w:bookmarkStart w:id="283" w:name="_Toc164229223"/>
      <w:r/>
      <w:bookmarkStart w:id="284" w:name="_Toc127151729"/>
      <w:r/>
      <w:bookmarkStart w:id="285" w:name="_Toc150774628"/>
      <w:r/>
      <w:bookmarkStart w:id="286" w:name="_Toc164608797"/>
      <w:r/>
      <w:bookmarkStart w:id="287" w:name="_Toc151193916"/>
      <w:r/>
      <w:bookmarkStart w:id="288" w:name="_Toc150774733"/>
      <w:r/>
      <w:bookmarkStart w:id="289" w:name="_Toc226337224"/>
      <w:r>
        <w:rPr>
          <w:rFonts w:ascii="宋体" w:hAnsi="宋体"/>
          <w:color w:val="auto"/>
          <w:sz w:val="24"/>
          <w:highlight w:val="none"/>
        </w:rPr>
        <w:t xml:space="preserve">投标文件</w:t>
      </w:r>
      <w:bookmarkEnd w:id="257"/>
      <w:r/>
      <w:bookmarkEnd w:id="258"/>
      <w:r/>
      <w:bookmarkEnd w:id="259"/>
      <w:r>
        <w:rPr>
          <w:rFonts w:ascii="宋体" w:hAnsi="宋体"/>
          <w:color w:val="auto"/>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0"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0"/>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1" w:name="_Toc520356155"/>
      <w:r/>
      <w:bookmarkStart w:id="292" w:name="_Toc127151731"/>
      <w:r/>
      <w:bookmarkStart w:id="293" w:name="_Toc151193700"/>
      <w:r/>
      <w:bookmarkStart w:id="294" w:name="_Toc151193844"/>
      <w:r/>
      <w:bookmarkStart w:id="295" w:name="_Toc149720823"/>
      <w:r/>
      <w:bookmarkStart w:id="296" w:name="_Toc150774735"/>
      <w:r/>
      <w:bookmarkStart w:id="297" w:name="_Toc151190157"/>
      <w:r/>
      <w:bookmarkStart w:id="298" w:name="_Toc164229225"/>
      <w:r/>
      <w:bookmarkStart w:id="299" w:name="_Toc150509281"/>
      <w:r/>
      <w:bookmarkStart w:id="300" w:name="_Toc164608644"/>
      <w:r/>
      <w:bookmarkStart w:id="301" w:name="_Toc164608799"/>
      <w:r/>
      <w:bookmarkStart w:id="302" w:name="_Toc150774630"/>
      <w:r/>
      <w:bookmarkStart w:id="303" w:name="_Toc164351624"/>
      <w:r/>
      <w:bookmarkStart w:id="304" w:name="_Toc127151530"/>
      <w:r/>
      <w:bookmarkStart w:id="305" w:name="_Toc142311032"/>
      <w:r/>
      <w:bookmarkStart w:id="306" w:name="_Toc151193628"/>
      <w:r/>
      <w:bookmarkStart w:id="307" w:name="_Toc150480768"/>
      <w:r/>
      <w:bookmarkStart w:id="308" w:name="_Toc151193918"/>
      <w:r/>
      <w:bookmarkStart w:id="309" w:name="_Toc195842895"/>
      <w:r/>
      <w:bookmarkStart w:id="310" w:name="_Toc127161444"/>
      <w:r/>
      <w:bookmarkStart w:id="311" w:name="_Toc164229371"/>
      <w:r/>
      <w:bookmarkStart w:id="312" w:name="_Toc151193772"/>
      <w:r>
        <w:rPr>
          <w:rFonts w:ascii="宋体" w:hAnsi="宋体"/>
          <w:color w:val="auto"/>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3" w:name="_Toc226337227"/>
      <w:r/>
      <w:bookmarkStart w:id="314" w:name="_Toc226309775"/>
      <w:r/>
      <w:bookmarkStart w:id="315" w:name="_Toc164229226"/>
      <w:r/>
      <w:bookmarkStart w:id="316" w:name="_Toc226965721"/>
      <w:r/>
      <w:bookmarkStart w:id="317" w:name="_Toc265228369"/>
      <w:r/>
      <w:bookmarkStart w:id="318" w:name="_Toc150509282"/>
      <w:r/>
      <w:bookmarkStart w:id="319" w:name="_Toc150774631"/>
      <w:r/>
      <w:bookmarkStart w:id="320" w:name="_Toc264969221"/>
      <w:r/>
      <w:bookmarkStart w:id="321" w:name="_Toc150774736"/>
      <w:r/>
      <w:bookmarkStart w:id="322" w:name="_Toc151190158"/>
      <w:r/>
      <w:bookmarkStart w:id="323" w:name="_Toc305158873"/>
      <w:r/>
      <w:bookmarkStart w:id="324" w:name="_Toc151193919"/>
      <w:r/>
      <w:bookmarkStart w:id="325" w:name="_Toc150480769"/>
      <w:r/>
      <w:bookmarkStart w:id="326" w:name="_Toc164608645"/>
      <w:r/>
      <w:bookmarkStart w:id="327" w:name="_Toc520356156"/>
      <w:r/>
      <w:bookmarkStart w:id="328" w:name="_Toc127151732"/>
      <w:r/>
      <w:bookmarkStart w:id="329" w:name="_Toc164229372"/>
      <w:r/>
      <w:bookmarkStart w:id="330" w:name="_Toc151193773"/>
      <w:r/>
      <w:bookmarkStart w:id="331" w:name="_Toc151193845"/>
      <w:r/>
      <w:bookmarkStart w:id="332" w:name="_Toc127161445"/>
      <w:r/>
      <w:bookmarkStart w:id="333" w:name="_Ref467306513"/>
      <w:r/>
      <w:bookmarkStart w:id="334" w:name="_Toc164608800"/>
      <w:r/>
      <w:bookmarkStart w:id="335" w:name="_Toc164351625"/>
      <w:r/>
      <w:bookmarkStart w:id="336" w:name="_Toc151193701"/>
      <w:r/>
      <w:bookmarkStart w:id="337" w:name="_Toc226965804"/>
      <w:r/>
      <w:bookmarkStart w:id="338" w:name="_Toc149720824"/>
      <w:r/>
      <w:bookmarkStart w:id="339" w:name="_Toc195842896"/>
      <w:r/>
      <w:bookmarkStart w:id="340" w:name="_Toc142311033"/>
      <w:r/>
      <w:bookmarkStart w:id="341" w:name="_Toc305158799"/>
      <w:r/>
      <w:bookmarkStart w:id="342" w:name="_Toc151193629"/>
      <w:r/>
      <w:bookmarkStart w:id="343" w:name="_Toc127151531"/>
      <w:r>
        <w:rPr>
          <w:rFonts w:ascii="宋体" w:hAnsi="宋体"/>
          <w:color w:val="auto"/>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4" w:name="_Toc164608801"/>
      <w:r/>
      <w:bookmarkStart w:id="345" w:name="_Toc150774632"/>
      <w:r/>
      <w:bookmarkStart w:id="346" w:name="_Toc151190159"/>
      <w:r/>
      <w:bookmarkStart w:id="347" w:name="_Toc226337228"/>
      <w:r/>
      <w:bookmarkStart w:id="348" w:name="_Toc305158874"/>
      <w:r/>
      <w:bookmarkStart w:id="349" w:name="_Toc127151733"/>
      <w:r/>
      <w:bookmarkStart w:id="350" w:name="_Toc150509283"/>
      <w:r/>
      <w:bookmarkStart w:id="351" w:name="_Toc195842897"/>
      <w:r/>
      <w:bookmarkStart w:id="352" w:name="_Toc226965722"/>
      <w:r/>
      <w:bookmarkStart w:id="353" w:name="_Toc151193630"/>
      <w:r/>
      <w:bookmarkStart w:id="354" w:name="_Toc164229227"/>
      <w:r/>
      <w:bookmarkStart w:id="355" w:name="_Toc127151532"/>
      <w:r/>
      <w:bookmarkStart w:id="356" w:name="_Toc226965805"/>
      <w:r/>
      <w:bookmarkStart w:id="357" w:name="_Toc226309776"/>
      <w:r/>
      <w:bookmarkStart w:id="358" w:name="_Toc151193920"/>
      <w:r/>
      <w:bookmarkStart w:id="359" w:name="_Toc164608646"/>
      <w:r/>
      <w:bookmarkStart w:id="360" w:name="_Toc150480770"/>
      <w:r/>
      <w:bookmarkStart w:id="361" w:name="_Toc127161446"/>
      <w:r/>
      <w:bookmarkStart w:id="362" w:name="_Toc149720825"/>
      <w:r/>
      <w:bookmarkStart w:id="363" w:name="_Toc151193846"/>
      <w:r/>
      <w:bookmarkStart w:id="364" w:name="_Toc142311034"/>
      <w:r/>
      <w:bookmarkStart w:id="365" w:name="_Toc164229373"/>
      <w:r/>
      <w:bookmarkStart w:id="366" w:name="_Toc150774737"/>
      <w:r/>
      <w:bookmarkStart w:id="367" w:name="_Toc151193702"/>
      <w:r/>
      <w:bookmarkStart w:id="368" w:name="_Toc264969222"/>
      <w:r/>
      <w:bookmarkStart w:id="369" w:name="_Toc305158800"/>
      <w:r/>
      <w:bookmarkStart w:id="370" w:name="_Toc520356157"/>
      <w:r/>
      <w:bookmarkStart w:id="371" w:name="_Toc265228370"/>
      <w:r/>
      <w:bookmarkStart w:id="372" w:name="_Toc164351626"/>
      <w:r/>
      <w:bookmarkStart w:id="373" w:name="_Toc151193774"/>
      <w:r>
        <w:rPr>
          <w:rFonts w:ascii="宋体" w:hAnsi="宋体"/>
          <w:color w:val="auto"/>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4" w:name="_Toc151190160"/>
      <w:r/>
      <w:bookmarkStart w:id="375" w:name="_Toc127161447"/>
      <w:r/>
      <w:bookmarkStart w:id="376" w:name="_Toc150774738"/>
      <w:r/>
      <w:bookmarkStart w:id="377" w:name="_Toc164229374"/>
      <w:r/>
      <w:bookmarkStart w:id="378" w:name="_Toc164351627"/>
      <w:r/>
      <w:bookmarkStart w:id="379" w:name="_Toc164229228"/>
      <w:r/>
      <w:bookmarkStart w:id="380" w:name="_Toc150774633"/>
      <w:r/>
      <w:bookmarkStart w:id="381" w:name="_Toc150480771"/>
      <w:r/>
      <w:bookmarkStart w:id="382" w:name="_Toc150509284"/>
      <w:r/>
      <w:bookmarkStart w:id="383" w:name="_Toc151193631"/>
      <w:r/>
      <w:bookmarkStart w:id="384" w:name="_Toc226965806"/>
      <w:r/>
      <w:bookmarkStart w:id="385" w:name="_Toc265228371"/>
      <w:r/>
      <w:bookmarkStart w:id="386" w:name="_Toc151193703"/>
      <w:r/>
      <w:bookmarkStart w:id="387" w:name="_Toc142311035"/>
      <w:r/>
      <w:bookmarkStart w:id="388" w:name="_Toc151193775"/>
      <w:r/>
      <w:bookmarkStart w:id="389" w:name="_Toc226309777"/>
      <w:r/>
      <w:bookmarkStart w:id="390" w:name="_Toc264969223"/>
      <w:r/>
      <w:bookmarkStart w:id="391" w:name="_Toc149720826"/>
      <w:r/>
      <w:bookmarkStart w:id="392" w:name="_Toc127151533"/>
      <w:r/>
      <w:bookmarkStart w:id="393" w:name="_Toc151193921"/>
      <w:r/>
      <w:bookmarkStart w:id="394" w:name="_Toc164608802"/>
      <w:r/>
      <w:bookmarkStart w:id="395" w:name="_Toc164608647"/>
      <w:r/>
      <w:bookmarkStart w:id="396" w:name="_Toc127151734"/>
      <w:r/>
      <w:bookmarkStart w:id="397" w:name="_Toc305158801"/>
      <w:r/>
      <w:bookmarkStart w:id="398" w:name="_Toc226965723"/>
      <w:r/>
      <w:bookmarkStart w:id="399" w:name="_Toc151193847"/>
      <w:r/>
      <w:bookmarkStart w:id="400" w:name="_Toc305158875"/>
      <w:r/>
      <w:bookmarkStart w:id="401" w:name="_Toc520356158"/>
      <w:r/>
      <w:bookmarkStart w:id="402" w:name="_Toc226337229"/>
      <w:r/>
      <w:bookmarkStart w:id="403" w:name="_Toc195842898"/>
      <w:r>
        <w:rPr>
          <w:rFonts w:ascii="宋体" w:hAnsi="宋体"/>
          <w:color w:val="auto"/>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4" w:name="_Toc520356159"/>
      <w:r/>
      <w:bookmarkStart w:id="405" w:name="_Toc305158876"/>
      <w:r/>
      <w:bookmarkStart w:id="406" w:name="_Toc150480772"/>
      <w:r/>
      <w:bookmarkStart w:id="407" w:name="_Toc264969224"/>
      <w:r/>
      <w:bookmarkStart w:id="408" w:name="_Toc305158802"/>
      <w:r/>
      <w:bookmarkStart w:id="409" w:name="_Toc265228372"/>
      <w:r/>
      <w:bookmarkStart w:id="410" w:name="_Toc150774634"/>
      <w:r/>
      <w:bookmarkStart w:id="411" w:name="_Toc226965724"/>
      <w:r/>
      <w:bookmarkStart w:id="412" w:name="_Toc127151534"/>
      <w:r/>
      <w:bookmarkStart w:id="413" w:name="_Toc151193632"/>
      <w:r/>
      <w:bookmarkStart w:id="414" w:name="_Toc151193848"/>
      <w:r/>
      <w:bookmarkStart w:id="415" w:name="_Toc151193704"/>
      <w:r/>
      <w:bookmarkStart w:id="416" w:name="_Toc151193922"/>
      <w:r/>
      <w:bookmarkStart w:id="417" w:name="_Toc150509285"/>
      <w:r/>
      <w:bookmarkStart w:id="418" w:name="_Toc150774739"/>
      <w:r/>
      <w:bookmarkStart w:id="419" w:name="_Toc151190161"/>
      <w:r/>
      <w:bookmarkStart w:id="420" w:name="_Toc195842899"/>
      <w:r/>
      <w:bookmarkStart w:id="421" w:name="_Toc226965807"/>
      <w:r/>
      <w:bookmarkStart w:id="422" w:name="_Toc226309778"/>
      <w:r/>
      <w:bookmarkStart w:id="423" w:name="_Toc142311036"/>
      <w:r/>
      <w:bookmarkStart w:id="424" w:name="_Toc226337230"/>
      <w:r/>
      <w:bookmarkStart w:id="425" w:name="_Toc151193776"/>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6" w:name="_Toc226337231"/>
      <w:r/>
      <w:bookmarkStart w:id="427" w:name="_Toc164351629"/>
      <w:r/>
      <w:bookmarkStart w:id="428" w:name="_Toc151193849"/>
      <w:r/>
      <w:bookmarkStart w:id="429" w:name="_Toc265228373"/>
      <w:r/>
      <w:bookmarkStart w:id="430" w:name="_Toc127151535"/>
      <w:r/>
      <w:bookmarkStart w:id="431" w:name="_Toc127151736"/>
      <w:r/>
      <w:bookmarkStart w:id="432" w:name="_Toc264969225"/>
      <w:r/>
      <w:bookmarkStart w:id="433" w:name="_Toc150509286"/>
      <w:r/>
      <w:bookmarkStart w:id="434" w:name="_Toc149720828"/>
      <w:r/>
      <w:bookmarkStart w:id="435" w:name="_Toc305158803"/>
      <w:r/>
      <w:bookmarkStart w:id="436" w:name="_Toc127161449"/>
      <w:r/>
      <w:bookmarkStart w:id="437" w:name="_Toc150480773"/>
      <w:r/>
      <w:bookmarkStart w:id="438" w:name="_Toc151193923"/>
      <w:r/>
      <w:bookmarkStart w:id="439" w:name="_Toc151193777"/>
      <w:r/>
      <w:bookmarkStart w:id="440" w:name="_Toc164608649"/>
      <w:r/>
      <w:bookmarkStart w:id="441" w:name="_Toc164229376"/>
      <w:r/>
      <w:bookmarkStart w:id="442" w:name="_Toc142311037"/>
      <w:r/>
      <w:bookmarkStart w:id="443" w:name="_Toc226965808"/>
      <w:r/>
      <w:bookmarkStart w:id="444" w:name="_Toc151193705"/>
      <w:r/>
      <w:bookmarkStart w:id="445" w:name="_Toc164229230"/>
      <w:r/>
      <w:bookmarkStart w:id="446" w:name="_Toc150774740"/>
      <w:r/>
      <w:bookmarkStart w:id="447" w:name="_Toc520356160"/>
      <w:r/>
      <w:bookmarkStart w:id="448" w:name="_Toc164608804"/>
      <w:r/>
      <w:bookmarkStart w:id="449" w:name="_Toc151190162"/>
      <w:r/>
      <w:bookmarkStart w:id="450" w:name="_Toc151193633"/>
      <w:r/>
      <w:bookmarkStart w:id="451" w:name="_Toc150774635"/>
      <w:r/>
      <w:bookmarkStart w:id="452" w:name="_Toc226965725"/>
      <w:r/>
      <w:bookmarkStart w:id="453" w:name="_Toc195842900"/>
      <w:r/>
      <w:bookmarkStart w:id="454" w:name="_Toc305158877"/>
      <w:r/>
      <w:bookmarkStart w:id="455" w:name="_Toc226309779"/>
      <w:r>
        <w:rPr>
          <w:rFonts w:ascii="宋体" w:hAnsi="宋体"/>
          <w:color w:val="auto"/>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6" w:name="_Toc265228374"/>
      <w:r/>
      <w:bookmarkStart w:id="457" w:name="_Toc164608650"/>
      <w:r/>
      <w:bookmarkStart w:id="458" w:name="_Toc305158878"/>
      <w:r/>
      <w:bookmarkStart w:id="459" w:name="_Toc226337232"/>
      <w:r/>
      <w:bookmarkStart w:id="460" w:name="_Toc151193924"/>
      <w:r/>
      <w:bookmarkStart w:id="461" w:name="_Toc151193706"/>
      <w:r/>
      <w:bookmarkStart w:id="462" w:name="_Toc127161450"/>
      <w:r/>
      <w:bookmarkStart w:id="463" w:name="_Toc164229377"/>
      <w:r/>
      <w:bookmarkStart w:id="464" w:name="_Toc150509287"/>
      <w:r/>
      <w:bookmarkStart w:id="465" w:name="_Toc520356161"/>
      <w:r/>
      <w:bookmarkStart w:id="466" w:name="_Toc150774636"/>
      <w:r/>
      <w:bookmarkStart w:id="467" w:name="_Toc142311038"/>
      <w:r/>
      <w:bookmarkStart w:id="468" w:name="_Toc151193850"/>
      <w:r/>
      <w:bookmarkStart w:id="469" w:name="_Toc226309780"/>
      <w:r/>
      <w:bookmarkStart w:id="470" w:name="_Toc226965809"/>
      <w:r/>
      <w:bookmarkStart w:id="471" w:name="_Toc264969226"/>
      <w:r/>
      <w:bookmarkStart w:id="472" w:name="_Toc226965726"/>
      <w:r/>
      <w:bookmarkStart w:id="473" w:name="_Toc127151536"/>
      <w:r/>
      <w:bookmarkStart w:id="474" w:name="_Toc164608805"/>
      <w:r/>
      <w:bookmarkStart w:id="475" w:name="_Toc164229231"/>
      <w:r/>
      <w:bookmarkStart w:id="476" w:name="_Toc151190163"/>
      <w:r/>
      <w:bookmarkStart w:id="477" w:name="_Toc305158804"/>
      <w:r/>
      <w:bookmarkStart w:id="478" w:name="_Toc195842901"/>
      <w:r/>
      <w:bookmarkStart w:id="479" w:name="_Toc127151737"/>
      <w:r/>
      <w:bookmarkStart w:id="480" w:name="_Toc151193634"/>
      <w:r/>
      <w:bookmarkStart w:id="481" w:name="_Toc150774741"/>
      <w:r/>
      <w:bookmarkStart w:id="482" w:name="_Toc149720829"/>
      <w:r/>
      <w:bookmarkStart w:id="483" w:name="_Toc150480774"/>
      <w:r/>
      <w:bookmarkStart w:id="484" w:name="_Toc164351630"/>
      <w:r/>
      <w:bookmarkStart w:id="485" w:name="_Toc151193778"/>
      <w:r>
        <w:rPr>
          <w:rFonts w:ascii="宋体" w:hAnsi="宋体"/>
          <w:color w:val="auto"/>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6" w:name="_Toc151193779"/>
      <w:r/>
      <w:bookmarkStart w:id="487" w:name="_Toc151190164"/>
      <w:r/>
      <w:bookmarkStart w:id="488" w:name="_Toc226337233"/>
      <w:r/>
      <w:bookmarkStart w:id="489" w:name="_Toc305158879"/>
      <w:r/>
      <w:bookmarkStart w:id="490" w:name="_Toc195842902"/>
      <w:r/>
      <w:bookmarkStart w:id="491" w:name="_Toc226965727"/>
      <w:r/>
      <w:bookmarkStart w:id="492" w:name="_Toc265228375"/>
      <w:r/>
      <w:bookmarkStart w:id="493" w:name="_Toc142311039"/>
      <w:r/>
      <w:bookmarkStart w:id="494" w:name="_Toc164229232"/>
      <w:r/>
      <w:bookmarkStart w:id="495" w:name="_Toc150509288"/>
      <w:r/>
      <w:bookmarkStart w:id="496" w:name="_Toc151193635"/>
      <w:r/>
      <w:bookmarkStart w:id="497" w:name="_Toc305158805"/>
      <w:r/>
      <w:bookmarkStart w:id="498" w:name="_Toc164229378"/>
      <w:r/>
      <w:bookmarkStart w:id="499" w:name="_Toc226965810"/>
      <w:r/>
      <w:bookmarkStart w:id="500" w:name="_Toc520356162"/>
      <w:r/>
      <w:bookmarkStart w:id="501" w:name="_Toc151193851"/>
      <w:r/>
      <w:bookmarkStart w:id="502" w:name="_Toc150774637"/>
      <w:r/>
      <w:bookmarkStart w:id="503" w:name="_Toc164608651"/>
      <w:r/>
      <w:bookmarkStart w:id="504" w:name="_Toc127151738"/>
      <w:r/>
      <w:bookmarkStart w:id="505" w:name="_Toc264969227"/>
      <w:r/>
      <w:bookmarkStart w:id="506" w:name="_Toc164608806"/>
      <w:r/>
      <w:bookmarkStart w:id="507" w:name="_Toc226309781"/>
      <w:r/>
      <w:bookmarkStart w:id="508" w:name="_Toc127161451"/>
      <w:r/>
      <w:bookmarkStart w:id="509" w:name="_Toc127151537"/>
      <w:r/>
      <w:bookmarkStart w:id="510" w:name="_Toc151193707"/>
      <w:r/>
      <w:bookmarkStart w:id="511" w:name="_Toc150774742"/>
      <w:r/>
      <w:bookmarkStart w:id="512" w:name="_Toc150480775"/>
      <w:r/>
      <w:bookmarkStart w:id="513" w:name="_Toc151193925"/>
      <w:r/>
      <w:bookmarkStart w:id="514" w:name="_Toc149720830"/>
      <w:r/>
      <w:bookmarkStart w:id="515" w:name="_Toc164351631"/>
      <w:r>
        <w:rPr>
          <w:rFonts w:ascii="宋体" w:hAnsi="宋体"/>
          <w:color w:val="auto"/>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516" w:name="_Toc150774743"/>
      <w:r/>
      <w:bookmarkStart w:id="517" w:name="_Toc151193636"/>
      <w:r/>
      <w:bookmarkStart w:id="518" w:name="_Toc151193852"/>
      <w:r/>
      <w:bookmarkStart w:id="519" w:name="_Toc226309782"/>
      <w:r/>
      <w:bookmarkStart w:id="520" w:name="_Toc264969228"/>
      <w:r/>
      <w:bookmarkStart w:id="521" w:name="_Toc151190165"/>
      <w:r/>
      <w:bookmarkStart w:id="522" w:name="_Toc305158806"/>
      <w:r/>
      <w:bookmarkStart w:id="523" w:name="_Toc151193708"/>
      <w:r/>
      <w:bookmarkStart w:id="524" w:name="_Toc226965728"/>
      <w:r/>
      <w:bookmarkStart w:id="525" w:name="_Toc150774638"/>
      <w:r/>
      <w:bookmarkStart w:id="526" w:name="_Toc520356163"/>
      <w:r/>
      <w:bookmarkStart w:id="527" w:name="_Toc150509289"/>
      <w:r/>
      <w:bookmarkStart w:id="528" w:name="_Toc195842903"/>
      <w:r/>
      <w:bookmarkStart w:id="529" w:name="_Toc226337234"/>
      <w:r/>
      <w:bookmarkStart w:id="530" w:name="_Toc150480776"/>
      <w:r/>
      <w:bookmarkStart w:id="531" w:name="_Toc142311040"/>
      <w:r/>
      <w:bookmarkStart w:id="532" w:name="_Toc151193926"/>
      <w:r/>
      <w:bookmarkStart w:id="533" w:name="_Toc151193780"/>
      <w:r/>
      <w:bookmarkStart w:id="534" w:name="_Toc265228376"/>
      <w:r/>
      <w:bookmarkStart w:id="535" w:name="_Toc226965811"/>
      <w:r/>
      <w:bookmarkStart w:id="536" w:name="_Toc127151538"/>
      <w:r/>
      <w:bookmarkStart w:id="537" w:name="_Toc305158880"/>
      <w:r>
        <w:rPr>
          <w:rFonts w:ascii="宋体" w:hAnsi="宋体" w:eastAsia="宋体"/>
          <w:color w:val="auto"/>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8" w:name="_Toc149720832"/>
      <w:r/>
      <w:bookmarkStart w:id="539" w:name="_Toc127151539"/>
      <w:r/>
      <w:bookmarkStart w:id="540" w:name="_Toc150774744"/>
      <w:r/>
      <w:bookmarkStart w:id="541" w:name="_Toc151193853"/>
      <w:r/>
      <w:bookmarkStart w:id="542" w:name="_Toc164608808"/>
      <w:r/>
      <w:bookmarkStart w:id="543" w:name="_Toc305158807"/>
      <w:r/>
      <w:bookmarkStart w:id="544" w:name="_Toc150509290"/>
      <w:r/>
      <w:bookmarkStart w:id="545" w:name="_Toc164608653"/>
      <w:r/>
      <w:bookmarkStart w:id="546" w:name="_Toc127161453"/>
      <w:r/>
      <w:bookmarkStart w:id="547" w:name="_Toc226309783"/>
      <w:r/>
      <w:bookmarkStart w:id="548" w:name="_Toc226337235"/>
      <w:r/>
      <w:bookmarkStart w:id="549" w:name="_Toc164229234"/>
      <w:r/>
      <w:bookmarkStart w:id="550" w:name="_Toc164229380"/>
      <w:r/>
      <w:bookmarkStart w:id="551" w:name="_Toc150774639"/>
      <w:r/>
      <w:bookmarkStart w:id="552" w:name="_Toc151190166"/>
      <w:r/>
      <w:bookmarkStart w:id="553" w:name="_Toc305158881"/>
      <w:r/>
      <w:bookmarkStart w:id="554" w:name="_Toc142311041"/>
      <w:r/>
      <w:bookmarkStart w:id="555" w:name="_Toc264969229"/>
      <w:r/>
      <w:bookmarkStart w:id="556" w:name="_Toc151193637"/>
      <w:r/>
      <w:bookmarkStart w:id="557" w:name="_Toc164351633"/>
      <w:r/>
      <w:bookmarkStart w:id="558" w:name="_Toc520356164"/>
      <w:r/>
      <w:bookmarkStart w:id="559" w:name="_Toc151193781"/>
      <w:r/>
      <w:bookmarkStart w:id="560" w:name="_Toc127151740"/>
      <w:r/>
      <w:bookmarkStart w:id="561" w:name="_Toc226965812"/>
      <w:r/>
      <w:bookmarkStart w:id="562" w:name="_Toc151193709"/>
      <w:r/>
      <w:bookmarkStart w:id="563" w:name="_Toc151193927"/>
      <w:r/>
      <w:bookmarkStart w:id="564" w:name="_Toc265228377"/>
      <w:r/>
      <w:bookmarkStart w:id="565" w:name="_Toc150480777"/>
      <w:r/>
      <w:bookmarkStart w:id="566" w:name="_Toc226965729"/>
      <w:r/>
      <w:bookmarkStart w:id="567" w:name="_Toc195842904"/>
      <w:r>
        <w:rPr>
          <w:rFonts w:ascii="宋体" w:hAnsi="宋体"/>
          <w:color w:val="auto"/>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8"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保持操作计算机前有相关责任人</w:t>
      </w:r>
      <w:r>
        <w:rPr>
          <w:rFonts w:hint="eastAsia" w:ascii="宋体" w:hAnsi="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69" w:name="_Toc305158808"/>
      <w:r/>
      <w:bookmarkStart w:id="570" w:name="_Toc164351634"/>
      <w:r/>
      <w:bookmarkStart w:id="571" w:name="_Toc150480778"/>
      <w:r/>
      <w:bookmarkStart w:id="572" w:name="_Toc226309784"/>
      <w:r/>
      <w:bookmarkStart w:id="573" w:name="_Toc265228378"/>
      <w:r/>
      <w:bookmarkStart w:id="574" w:name="_Toc127161454"/>
      <w:r/>
      <w:bookmarkStart w:id="575" w:name="_Toc151193928"/>
      <w:r/>
      <w:bookmarkStart w:id="576" w:name="_Toc305158882"/>
      <w:r/>
      <w:bookmarkStart w:id="577" w:name="_Toc164229381"/>
      <w:r/>
      <w:bookmarkStart w:id="578" w:name="_Toc164608654"/>
      <w:r/>
      <w:bookmarkStart w:id="579" w:name="_Toc127151741"/>
      <w:r/>
      <w:bookmarkStart w:id="580" w:name="_Toc151193638"/>
      <w:r/>
      <w:bookmarkStart w:id="581" w:name="_Toc164229235"/>
      <w:r/>
      <w:bookmarkStart w:id="582" w:name="_Toc151193854"/>
      <w:r/>
      <w:bookmarkStart w:id="583" w:name="_Toc150774745"/>
      <w:r/>
      <w:bookmarkStart w:id="584" w:name="_Toc127151540"/>
      <w:r/>
      <w:bookmarkStart w:id="585" w:name="_Toc150509291"/>
      <w:r/>
      <w:bookmarkStart w:id="586" w:name="_Toc150774640"/>
      <w:r/>
      <w:bookmarkStart w:id="587" w:name="_Toc264969230"/>
      <w:r/>
      <w:bookmarkStart w:id="588" w:name="_Toc226337236"/>
      <w:r/>
      <w:bookmarkStart w:id="589" w:name="_Toc226965730"/>
      <w:r/>
      <w:bookmarkStart w:id="590" w:name="_Toc149720833"/>
      <w:r/>
      <w:bookmarkStart w:id="591" w:name="_Toc142311042"/>
      <w:r/>
      <w:bookmarkStart w:id="592" w:name="_Toc151190167"/>
      <w:r/>
      <w:bookmarkStart w:id="593" w:name="_Toc195842905"/>
      <w:r/>
      <w:bookmarkStart w:id="594" w:name="_Toc226965813"/>
      <w:r/>
      <w:bookmarkStart w:id="595" w:name="_Toc151193710"/>
      <w:r/>
      <w:bookmarkStart w:id="596" w:name="_Toc151193782"/>
      <w:r/>
      <w:bookmarkStart w:id="597" w:name="_Toc164608809"/>
      <w:r>
        <w:rPr>
          <w:rFonts w:ascii="宋体" w:hAnsi="宋体"/>
          <w:color w:val="auto"/>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600" w:name="_Toc264969235"/>
      <w:r/>
      <w:bookmarkStart w:id="601" w:name="_Toc151193933"/>
      <w:r/>
      <w:bookmarkStart w:id="602" w:name="_Toc151193643"/>
      <w:r/>
      <w:bookmarkStart w:id="603" w:name="_Toc151193787"/>
      <w:r/>
      <w:bookmarkStart w:id="604" w:name="_Toc127151545"/>
      <w:r/>
      <w:bookmarkStart w:id="605" w:name="_Toc195842910"/>
      <w:r/>
      <w:bookmarkStart w:id="606" w:name="_Toc226309789"/>
      <w:r/>
      <w:bookmarkStart w:id="607" w:name="_Toc305158887"/>
      <w:r/>
      <w:bookmarkStart w:id="608" w:name="_Toc142311047"/>
      <w:r/>
      <w:bookmarkStart w:id="609" w:name="_Toc226965818"/>
      <w:r/>
      <w:bookmarkStart w:id="610" w:name="_Toc151193859"/>
      <w:r/>
      <w:bookmarkStart w:id="611" w:name="_Toc150774750"/>
      <w:r/>
      <w:bookmarkStart w:id="612" w:name="_Toc226337241"/>
      <w:r/>
      <w:bookmarkStart w:id="613" w:name="_Toc305158813"/>
      <w:r/>
      <w:bookmarkStart w:id="614" w:name="_Toc151190172"/>
      <w:r/>
      <w:bookmarkStart w:id="615" w:name="_Toc150509296"/>
      <w:r/>
      <w:bookmarkStart w:id="616" w:name="_Toc265228383"/>
      <w:r/>
      <w:bookmarkStart w:id="617" w:name="_Toc150774645"/>
      <w:r/>
      <w:bookmarkStart w:id="618" w:name="_Toc150480783"/>
      <w:r/>
      <w:bookmarkStart w:id="619" w:name="_Toc151193715"/>
      <w:r/>
      <w:bookmarkStart w:id="620" w:name="_Toc226965735"/>
      <w:r>
        <w:rPr>
          <w:rFonts w:ascii="宋体" w:hAnsi="宋体" w:eastAsia="宋体"/>
          <w:color w:val="auto"/>
          <w:sz w:val="28"/>
          <w:highlight w:val="none"/>
        </w:rPr>
        <w:t xml:space="preserve">六   </w:t>
      </w:r>
      <w:bookmarkEnd w:id="599"/>
      <w:r>
        <w:rPr>
          <w:rFonts w:ascii="宋体" w:hAnsi="宋体" w:eastAsia="宋体"/>
          <w:color w:val="auto"/>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50509298"/>
      <w:r/>
      <w:bookmarkStart w:id="622" w:name="_Toc195842912"/>
      <w:r/>
      <w:bookmarkStart w:id="623" w:name="_Toc149720840"/>
      <w:r/>
      <w:bookmarkStart w:id="624" w:name="_Toc150774647"/>
      <w:r/>
      <w:bookmarkStart w:id="625" w:name="_Toc150774752"/>
      <w:r/>
      <w:bookmarkStart w:id="626" w:name="_Toc264969237"/>
      <w:r/>
      <w:bookmarkStart w:id="627" w:name="_Toc164608816"/>
      <w:r/>
      <w:bookmarkStart w:id="628" w:name="_Toc226337243"/>
      <w:r/>
      <w:bookmarkStart w:id="629" w:name="_Toc226965737"/>
      <w:r/>
      <w:bookmarkStart w:id="630" w:name="_Toc151193717"/>
      <w:r/>
      <w:bookmarkStart w:id="631" w:name="_Toc164229388"/>
      <w:r/>
      <w:bookmarkStart w:id="632" w:name="_Toc151193789"/>
      <w:r/>
      <w:bookmarkStart w:id="633" w:name="_Toc127151748"/>
      <w:r/>
      <w:bookmarkStart w:id="634" w:name="_Toc265228385"/>
      <w:r/>
      <w:bookmarkStart w:id="635" w:name="_Toc164229242"/>
      <w:r/>
      <w:bookmarkStart w:id="636" w:name="_Toc226309791"/>
      <w:r/>
      <w:bookmarkStart w:id="637" w:name="_Toc164608661"/>
      <w:r/>
      <w:bookmarkStart w:id="638" w:name="_Toc226965820"/>
      <w:r/>
      <w:bookmarkStart w:id="639" w:name="_Toc164351641"/>
      <w:r/>
      <w:bookmarkStart w:id="640" w:name="_Toc150480785"/>
      <w:r/>
      <w:bookmarkStart w:id="641" w:name="_Toc305158889"/>
      <w:r/>
      <w:bookmarkStart w:id="642" w:name="_Toc151190174"/>
      <w:r/>
      <w:bookmarkStart w:id="643" w:name="_Toc151193861"/>
      <w:r/>
      <w:bookmarkStart w:id="644" w:name="_Toc151193935"/>
      <w:r/>
      <w:bookmarkStart w:id="645" w:name="_Toc305158815"/>
      <w:r/>
      <w:bookmarkStart w:id="646" w:name="_Toc151193645"/>
      <w:r/>
      <w:bookmarkStart w:id="647" w:name="_Toc127161461"/>
      <w:r/>
      <w:bookmarkStart w:id="648" w:name="_Toc142311049"/>
      <w:r/>
      <w:bookmarkStart w:id="649" w:name="_Toc127151547"/>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0" w:name="_Toc305158817"/>
      <w:r/>
      <w:bookmarkStart w:id="651" w:name="_Toc305158891"/>
      <w:r/>
      <w:bookmarkStart w:id="652" w:name="_Toc150774649"/>
      <w:r/>
      <w:bookmarkStart w:id="653" w:name="_Toc164351643"/>
      <w:r/>
      <w:bookmarkStart w:id="654" w:name="_Toc127151750"/>
      <w:r/>
      <w:bookmarkStart w:id="655" w:name="_Toc151190176"/>
      <w:r/>
      <w:bookmarkStart w:id="656" w:name="_Toc150774754"/>
      <w:r/>
      <w:bookmarkStart w:id="657" w:name="_Toc164229244"/>
      <w:r/>
      <w:bookmarkStart w:id="658" w:name="_Toc127151549"/>
      <w:r/>
      <w:bookmarkStart w:id="659" w:name="_Toc226965822"/>
      <w:r/>
      <w:bookmarkStart w:id="660" w:name="_Toc226337245"/>
      <w:r/>
      <w:bookmarkStart w:id="661" w:name="_Toc151193719"/>
      <w:r/>
      <w:bookmarkStart w:id="662" w:name="_Toc195842914"/>
      <w:r/>
      <w:bookmarkStart w:id="663" w:name="_Toc264969239"/>
      <w:r/>
      <w:bookmarkStart w:id="664" w:name="_Toc150480787"/>
      <w:r/>
      <w:bookmarkStart w:id="665" w:name="_Toc142311051"/>
      <w:r/>
      <w:bookmarkStart w:id="666" w:name="_Toc151193647"/>
      <w:r/>
      <w:bookmarkStart w:id="667" w:name="_Toc164608663"/>
      <w:r/>
      <w:bookmarkStart w:id="668" w:name="_Toc151193937"/>
      <w:r/>
      <w:bookmarkStart w:id="669" w:name="_Toc127161463"/>
      <w:r/>
      <w:bookmarkStart w:id="670" w:name="_Toc149720842"/>
      <w:r/>
      <w:bookmarkStart w:id="671" w:name="_Toc226309793"/>
      <w:r/>
      <w:bookmarkStart w:id="672" w:name="_Toc164229390"/>
      <w:r/>
      <w:bookmarkStart w:id="673" w:name="_Toc265228387"/>
      <w:r/>
      <w:bookmarkStart w:id="674" w:name="_Toc151193863"/>
      <w:r/>
      <w:bookmarkStart w:id="675" w:name="_Toc164608818"/>
      <w:r/>
      <w:bookmarkStart w:id="676" w:name="_Toc226965739"/>
      <w:r/>
      <w:bookmarkStart w:id="677" w:name="_Toc150509300"/>
      <w:r/>
      <w:bookmarkStart w:id="678" w:name="_Toc151193791"/>
      <w:r/>
      <w:bookmarkStart w:id="679" w:name="_Toc520356176"/>
      <w:r/>
      <w:bookmarkStart w:id="680" w:name="_Ref467307090"/>
      <w:r/>
      <w:bookmarkStart w:id="681" w:name="_Ref467306425"/>
      <w:r>
        <w:rPr>
          <w:rFonts w:ascii="宋体" w:hAnsi="宋体"/>
          <w:color w:val="auto"/>
          <w:sz w:val="24"/>
          <w:highlight w:val="none"/>
        </w:rPr>
        <w:t xml:space="preserve">中标公告与中标通知书</w:t>
      </w:r>
      <w:bookmarkEnd w:id="650"/>
      <w:r/>
      <w:bookmarkEnd w:id="651"/>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2" w:name="_Toc149720843"/>
      <w:r/>
      <w:bookmarkStart w:id="683" w:name="_Toc226965740"/>
      <w:r/>
      <w:bookmarkStart w:id="684" w:name="_Ref467306377"/>
      <w:r/>
      <w:bookmarkStart w:id="685" w:name="_Toc127161464"/>
      <w:r/>
      <w:bookmarkStart w:id="686" w:name="_Ref467307204"/>
      <w:r/>
      <w:bookmarkStart w:id="687" w:name="_Toc127151751"/>
      <w:r/>
      <w:bookmarkStart w:id="688" w:name="_Toc151193864"/>
      <w:r/>
      <w:bookmarkStart w:id="689" w:name="_Toc151193792"/>
      <w:r/>
      <w:bookmarkStart w:id="690" w:name="_Toc264969240"/>
      <w:r/>
      <w:bookmarkStart w:id="691" w:name="_Toc265228388"/>
      <w:r/>
      <w:bookmarkStart w:id="692" w:name="_Toc150509301"/>
      <w:r/>
      <w:bookmarkStart w:id="693" w:name="_Toc164608664"/>
      <w:r/>
      <w:bookmarkStart w:id="694" w:name="_Toc151193648"/>
      <w:r/>
      <w:bookmarkStart w:id="695" w:name="_Toc226309794"/>
      <w:r/>
      <w:bookmarkStart w:id="696" w:name="_Toc164608819"/>
      <w:r/>
      <w:bookmarkStart w:id="697" w:name="_Toc151190177"/>
      <w:r/>
      <w:bookmarkStart w:id="698" w:name="_Toc150480788"/>
      <w:r/>
      <w:bookmarkStart w:id="699" w:name="_Toc151193938"/>
      <w:r/>
      <w:bookmarkStart w:id="700" w:name="_Toc142311052"/>
      <w:r/>
      <w:bookmarkStart w:id="701" w:name="_Toc226965823"/>
      <w:r/>
      <w:bookmarkStart w:id="702" w:name="_Toc127151550"/>
      <w:r/>
      <w:bookmarkStart w:id="703" w:name="_Toc164351644"/>
      <w:r/>
      <w:bookmarkStart w:id="704" w:name="_Toc151193720"/>
      <w:r/>
      <w:bookmarkStart w:id="705" w:name="_Toc520356175"/>
      <w:r/>
      <w:bookmarkStart w:id="706" w:name="_Toc150774650"/>
      <w:r/>
      <w:bookmarkStart w:id="707" w:name="_Ref467306978"/>
      <w:r/>
      <w:bookmarkStart w:id="708" w:name="_Toc164229245"/>
      <w:r/>
      <w:bookmarkStart w:id="709" w:name="_Toc150774755"/>
      <w:r/>
      <w:bookmarkStart w:id="710" w:name="_Toc305158818"/>
      <w:r/>
      <w:bookmarkStart w:id="711" w:name="_Toc164229391"/>
      <w:r/>
      <w:bookmarkStart w:id="712" w:name="_Ref467307062"/>
      <w:r/>
      <w:bookmarkStart w:id="713" w:name="_Toc195842915"/>
      <w:r/>
      <w:bookmarkStart w:id="714" w:name="_Toc305158892"/>
      <w:r/>
      <w:bookmarkStart w:id="715" w:name="_Toc226337246"/>
      <w:r>
        <w:rPr>
          <w:rFonts w:ascii="宋体" w:hAnsi="宋体"/>
          <w:color w:val="auto"/>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79"/>
      <w:r/>
      <w:bookmarkEnd w:id="680"/>
      <w:r/>
      <w:bookmarkEnd w:id="68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4"/>
          <w:rFonts w:ascii="宋体" w:hAnsi="宋体"/>
          <w:color w:val="auto"/>
          <w:highlight w:val="none"/>
        </w:rPr>
        <w:t xml:space="preserve">http://gk</w:t>
      </w:r>
      <w:bookmarkStart w:id="716" w:name="_Hlt100654014"/>
      <w:r>
        <w:rPr>
          <w:rStyle w:val="1094"/>
          <w:rFonts w:ascii="宋体" w:hAnsi="宋体"/>
          <w:color w:val="auto"/>
          <w:highlight w:val="none"/>
        </w:rPr>
        <w:t xml:space="preserve">s</w:t>
      </w:r>
      <w:bookmarkEnd w:id="716"/>
      <w:r>
        <w:rPr>
          <w:rStyle w:val="1094"/>
          <w:rFonts w:ascii="宋体" w:hAnsi="宋体"/>
          <w:color w:val="auto"/>
          <w:highlight w:val="none"/>
        </w:rPr>
        <w:t xml:space="preserve">.m</w:t>
      </w:r>
      <w:bookmarkStart w:id="717" w:name="_Hlt100653994"/>
      <w:r/>
      <w:bookmarkStart w:id="718" w:name="_Hlt100653993"/>
      <w:r>
        <w:rPr>
          <w:rStyle w:val="1094"/>
          <w:rFonts w:ascii="宋体" w:hAnsi="宋体"/>
          <w:color w:val="auto"/>
          <w:highlight w:val="none"/>
        </w:rPr>
        <w:t xml:space="preserve">o</w:t>
      </w:r>
      <w:bookmarkEnd w:id="717"/>
      <w:r/>
      <w:bookmarkEnd w:id="718"/>
      <w:r>
        <w:rPr>
          <w:rStyle w:val="1094"/>
          <w:rFonts w:ascii="宋体" w:hAnsi="宋体"/>
          <w:color w:val="auto"/>
          <w:highlight w:val="none"/>
        </w:rPr>
        <w:t xml:space="preserve">f.gov.cn/ztztz/zhengfucaigouguanli/201802/t20180201_2804589.htm</w:t>
      </w:r>
      <w:r>
        <w:rPr>
          <w:rStyle w:val="1094"/>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19" w:name="_Toc150480792"/>
      <w:r/>
      <w:bookmarkStart w:id="720" w:name="_Toc305158896"/>
      <w:r/>
      <w:bookmarkStart w:id="721" w:name="_Toc265228392"/>
      <w:r/>
      <w:bookmarkStart w:id="722" w:name="_Toc226337250"/>
      <w:r/>
      <w:bookmarkStart w:id="723" w:name="_Toc353873934"/>
      <w:r/>
      <w:bookmarkStart w:id="724" w:name="_Toc353873664"/>
      <w:r/>
      <w:bookmarkStart w:id="725" w:name="_Toc150774759"/>
      <w:r/>
      <w:bookmarkStart w:id="726" w:name="_Toc353825544"/>
      <w:r/>
      <w:bookmarkStart w:id="727" w:name="_Toc305158822"/>
      <w:r/>
      <w:bookmarkStart w:id="728" w:name="_Toc127151554"/>
      <w:r/>
      <w:bookmarkStart w:id="729" w:name="_Toc264969244"/>
      <w:r/>
      <w:bookmarkStart w:id="730" w:name="_Toc226965827"/>
      <w:r/>
      <w:bookmarkStart w:id="731" w:name="_Toc142311056"/>
      <w:r>
        <w:rPr>
          <w:rFonts w:ascii="宋体" w:hAnsi="宋体"/>
          <w:color w:val="auto"/>
          <w:sz w:val="24"/>
          <w:highlight w:val="none"/>
        </w:rPr>
        <w:br w:type="page" w:clear="all"/>
      </w:r>
      <w:bookmarkStart w:id="732" w:name="_Toc15721"/>
      <w:r>
        <w:rPr>
          <w:rFonts w:ascii="宋体" w:hAnsi="宋体"/>
          <w:b/>
          <w:color w:val="auto"/>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b/>
          <w:color w:val="auto"/>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4" w:name="_Toc99301422"/>
      <w:r>
        <w:rPr>
          <w:rFonts w:ascii="宋体" w:hAnsi="宋体"/>
          <w:b/>
          <w:color w:val="auto"/>
          <w:sz w:val="24"/>
          <w:highlight w:val="none"/>
        </w:rPr>
        <w:t xml:space="preserve">一、资格审查程序</w:t>
      </w:r>
      <w:bookmarkEnd w:id="734"/>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933"/>
        <w:gridCol w:w="4706"/>
        <w:gridCol w:w="1599"/>
      </w:tblGrid>
      <w:tr>
        <w:trPr>
          <w:cantSplit/>
          <w:trHeight w:val="468"/>
          <w:tblHeader/>
        </w:trPr>
        <w:tc>
          <w:tcPr>
            <w:tcW w:w="454" w:type="pct"/>
            <w:vAlign w:val="center"/>
            <w:textDirection w:val="lrTb"/>
            <w:noWrap w:val="false"/>
          </w:tcPr>
          <w:p>
            <w:pPr>
              <w:jc w:val="center"/>
              <w:tabs>
                <w:tab w:val="left" w:pos="1080" w:leader="none"/>
              </w:tabs>
              <w:rPr>
                <w:rFonts w:ascii="宋体" w:hAnsi="宋体"/>
                <w:b/>
                <w:color w:val="auto"/>
                <w:sz w:val="24"/>
                <w:highlight w:val="none"/>
              </w:rPr>
            </w:pPr>
            <w:r/>
            <w:bookmarkStart w:id="735" w:name="_Hlt487972895"/>
            <w:r/>
            <w:bookmarkEnd w:id="735"/>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color w:val="auto"/>
                <w:sz w:val="24"/>
              </w:rPr>
            </w:pPr>
            <w:r>
              <w:rPr>
                <w:color w:val="auto"/>
                <w:sz w:val="24"/>
              </w:rPr>
              <w:t xml:space="preserve">2-1</w:t>
            </w:r>
            <w:r/>
          </w:p>
        </w:tc>
        <w:tc>
          <w:tcPr>
            <w:tcW w:w="1066" w:type="pct"/>
            <w:vAlign w:val="center"/>
            <w:textDirection w:val="lrTb"/>
            <w:noWrap w:val="false"/>
          </w:tcPr>
          <w:p>
            <w:pPr>
              <w:tabs>
                <w:tab w:val="left" w:pos="1080" w:leader="none"/>
              </w:tabs>
              <w:rPr>
                <w:color w:val="auto"/>
                <w:sz w:val="24"/>
              </w:rPr>
            </w:pPr>
            <w:r>
              <w:rPr>
                <w:color w:val="auto"/>
                <w:sz w:val="24"/>
              </w:rPr>
              <w:t xml:space="preserve">中小企业声明函</w:t>
            </w:r>
            <w:r/>
          </w:p>
        </w:tc>
        <w:tc>
          <w:tcPr>
            <w:tcW w:w="2596" w:type="pct"/>
            <w:vAlign w:val="center"/>
            <w:textDirection w:val="lrTb"/>
            <w:noWrap w:val="false"/>
          </w:tcPr>
          <w:p>
            <w:pPr>
              <w:tabs>
                <w:tab w:val="left" w:pos="1080" w:leader="none"/>
              </w:tabs>
              <w:rPr>
                <w:color w:val="auto"/>
                <w:sz w:val="24"/>
              </w:rPr>
            </w:pPr>
            <w:r>
              <w:rPr>
                <w:rFonts w:hint="eastAsia"/>
                <w:color w:val="auto"/>
                <w:sz w:val="24"/>
              </w:rPr>
              <w:t xml:space="preserve">1、投标人单独投标的，应提供中小企业声明函；如为监狱企业或</w:t>
            </w:r>
            <w:r>
              <w:rPr>
                <w:color w:val="auto"/>
                <w:sz w:val="24"/>
              </w:rPr>
              <w:t xml:space="preserve">残疾人福利性单位</w:t>
            </w:r>
            <w:r>
              <w:rPr>
                <w:rFonts w:hint="eastAsia"/>
                <w:color w:val="auto"/>
                <w:sz w:val="24"/>
              </w:rPr>
              <w:t xml:space="preserve">，不必提供中小企业声明函，但须按注1或注2要求提供证明材料。</w:t>
            </w:r>
            <w:r/>
          </w:p>
          <w:p>
            <w:pPr>
              <w:tabs>
                <w:tab w:val="left" w:pos="1080" w:leader="none"/>
              </w:tabs>
              <w:rPr>
                <w:color w:val="auto"/>
                <w:sz w:val="24"/>
              </w:rPr>
            </w:pPr>
            <w:r>
              <w:rPr>
                <w:rFonts w:hint="eastAsia"/>
                <w:color w:val="auto"/>
                <w:sz w:val="24"/>
              </w:rPr>
              <w:t xml:space="preserve">2、如招标文件</w:t>
            </w:r>
            <w:r>
              <w:rPr>
                <w:color w:val="auto"/>
                <w:sz w:val="24"/>
              </w:rPr>
              <w:t xml:space="preserve">要求以联合体形式参加或者要求合同分包的，</w:t>
            </w:r>
            <w:r>
              <w:rPr>
                <w:rFonts w:hint="eastAsia"/>
                <w:color w:val="auto"/>
                <w:sz w:val="24"/>
              </w:rPr>
              <w:t xml:space="preserve">且投标人为联合体或拟进行合同分包的，则</w:t>
            </w:r>
            <w:r>
              <w:rPr>
                <w:color w:val="auto"/>
                <w:sz w:val="24"/>
              </w:rPr>
              <w:t xml:space="preserve">联合体中的中小企业、签订分包意向协议的中小企业具体情况须在《中小企业声明函》中如实填报。</w:t>
            </w:r>
            <w:r>
              <w:rPr>
                <w:rFonts w:hint="eastAsia"/>
                <w:color w:val="auto"/>
                <w:sz w:val="24"/>
              </w:rPr>
              <w:t xml:space="preserve">上述中小企业如为监狱企业或</w:t>
            </w:r>
            <w:r>
              <w:rPr>
                <w:color w:val="auto"/>
                <w:sz w:val="24"/>
              </w:rPr>
              <w:t xml:space="preserve">残疾人福利性单位</w:t>
            </w:r>
            <w:r>
              <w:rPr>
                <w:rFonts w:hint="eastAsia"/>
                <w:color w:val="auto"/>
                <w:sz w:val="24"/>
              </w:rPr>
              <w:t xml:space="preserve">应在声明函中如实列明单位性质，并按注1或注2要求提供证明材料。</w:t>
            </w:r>
            <w:r/>
          </w:p>
          <w:p>
            <w:pPr>
              <w:tabs>
                <w:tab w:val="left" w:pos="1080" w:leader="none"/>
              </w:tabs>
              <w:rPr>
                <w:color w:val="auto"/>
                <w:sz w:val="24"/>
              </w:rPr>
            </w:pPr>
            <w:r>
              <w:rPr>
                <w:color w:val="auto"/>
                <w:sz w:val="24"/>
              </w:rPr>
            </w:r>
            <w:r/>
          </w:p>
          <w:p>
            <w:pPr>
              <w:tabs>
                <w:tab w:val="left" w:pos="1080" w:leader="none"/>
              </w:tabs>
              <w:rPr>
                <w:color w:val="auto"/>
                <w:sz w:val="24"/>
              </w:rPr>
            </w:pPr>
            <w:r>
              <w:rPr>
                <w:rFonts w:hint="eastAsia"/>
                <w:color w:val="auto"/>
                <w:sz w:val="24"/>
              </w:rPr>
              <w:t xml:space="preserve">注1：</w:t>
            </w:r>
            <w:r>
              <w:rPr>
                <w:color w:val="auto"/>
                <w:sz w:val="24"/>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rPr>
            </w:pPr>
            <w:r>
              <w:rPr>
                <w:rFonts w:hint="eastAsia"/>
                <w:color w:val="auto"/>
                <w:sz w:val="24"/>
              </w:rPr>
              <w:t xml:space="preserve">注2：</w:t>
            </w:r>
            <w:r>
              <w:rPr>
                <w:color w:val="auto"/>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color w:val="auto"/>
                <w:sz w:val="24"/>
              </w:rPr>
            </w:pPr>
            <w:r>
              <w:rPr>
                <w:color w:val="auto"/>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hint="eastAsia"/>
                <w:color w:val="auto"/>
                <w:sz w:val="24"/>
                <w:highlight w:val="none"/>
              </w:rPr>
              <w:t xml:space="preserve">投标人须具有有效的《食品经营许可证》。</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3"/>
            <w:r/>
            <w:r/>
          </w:p>
        </w:tc>
      </w:tr>
    </w:tbl>
    <w:p>
      <w:pPr>
        <w:jc w:val="left"/>
        <w:widowControl/>
        <w:rPr>
          <w:rFonts w:ascii="宋体" w:hAnsi="宋体"/>
          <w:color w:val="auto"/>
          <w:sz w:val="24"/>
          <w:highlight w:val="none"/>
        </w:rPr>
      </w:pPr>
      <w:r/>
      <w:bookmarkStart w:id="736" w:name="_Toc353825550"/>
      <w:r/>
      <w:bookmarkStart w:id="737" w:name="_Toc127151779"/>
      <w:r/>
      <w:bookmarkStart w:id="738" w:name="_Toc127161490"/>
      <w:r/>
      <w:bookmarkStart w:id="739" w:name="_Toc226965858"/>
      <w:r/>
      <w:bookmarkStart w:id="740" w:name="_Toc353873940"/>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1" w:name="_Toc2798"/>
      <w:r>
        <w:rPr>
          <w:rFonts w:ascii="宋体" w:hAnsi="宋体"/>
          <w:b/>
          <w:color w:val="auto"/>
          <w:sz w:val="36"/>
          <w:szCs w:val="36"/>
          <w:highlight w:val="none"/>
        </w:rPr>
        <w:t xml:space="preserve">第四章   </w:t>
      </w:r>
      <w:bookmarkEnd w:id="736"/>
      <w:r/>
      <w:bookmarkEnd w:id="737"/>
      <w:r/>
      <w:bookmarkEnd w:id="738"/>
      <w:r/>
      <w:bookmarkEnd w:id="739"/>
      <w:r/>
      <w:bookmarkEnd w:id="740"/>
      <w:r/>
      <w:bookmarkStart w:id="742" w:name="_Hlt164229061"/>
      <w:r/>
      <w:bookmarkEnd w:id="742"/>
      <w:r>
        <w:rPr>
          <w:rFonts w:ascii="宋体" w:hAnsi="宋体"/>
          <w:b/>
          <w:color w:val="auto"/>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3" w:name="_Toc195842906"/>
      <w:r/>
      <w:bookmarkStart w:id="744" w:name="_Toc151193711"/>
      <w:r/>
      <w:bookmarkStart w:id="745" w:name="_Toc226309785"/>
      <w:r/>
      <w:bookmarkStart w:id="746" w:name="_Toc150480779"/>
      <w:r/>
      <w:bookmarkStart w:id="747" w:name="_Toc151193929"/>
      <w:r/>
      <w:bookmarkStart w:id="748" w:name="_Toc151193783"/>
      <w:r/>
      <w:bookmarkStart w:id="749" w:name="_Toc265228379"/>
      <w:r/>
      <w:bookmarkStart w:id="750" w:name="_Toc164351635"/>
      <w:r/>
      <w:bookmarkStart w:id="751" w:name="_Toc127151742"/>
      <w:r/>
      <w:bookmarkStart w:id="752" w:name="_Toc164229382"/>
      <w:r/>
      <w:bookmarkStart w:id="753" w:name="_Toc149720834"/>
      <w:r/>
      <w:bookmarkStart w:id="754" w:name="_Toc150509292"/>
      <w:r/>
      <w:bookmarkStart w:id="755" w:name="_Toc226965731"/>
      <w:r/>
      <w:bookmarkStart w:id="756" w:name="_Toc150774641"/>
      <w:r/>
      <w:bookmarkStart w:id="757" w:name="_Toc164229236"/>
      <w:r/>
      <w:bookmarkStart w:id="758" w:name="_Toc305158809"/>
      <w:r/>
      <w:bookmarkStart w:id="759" w:name="_Toc151193855"/>
      <w:r/>
      <w:bookmarkStart w:id="760" w:name="_Toc150774746"/>
      <w:r/>
      <w:bookmarkStart w:id="761" w:name="_Toc127161455"/>
      <w:r/>
      <w:bookmarkStart w:id="762" w:name="_Toc151190168"/>
      <w:r/>
      <w:bookmarkStart w:id="763" w:name="_Toc164608810"/>
      <w:r/>
      <w:bookmarkStart w:id="764" w:name="_Toc226337237"/>
      <w:r/>
      <w:bookmarkStart w:id="765" w:name="_Toc142311043"/>
      <w:r/>
      <w:bookmarkStart w:id="766" w:name="_Toc226965814"/>
      <w:r/>
      <w:bookmarkStart w:id="767" w:name="_Toc164608655"/>
      <w:r/>
      <w:bookmarkStart w:id="768" w:name="_Toc127151541"/>
      <w:r/>
      <w:bookmarkStart w:id="769" w:name="_Toc151193639"/>
      <w:r/>
      <w:bookmarkStart w:id="770" w:name="_Toc305158883"/>
      <w:r/>
      <w:bookmarkStart w:id="771" w:name="_Toc264969231"/>
      <w:r/>
      <w:bookmarkStart w:id="772" w:name="_Toc353825551"/>
      <w:r/>
      <w:bookmarkStart w:id="773" w:name="_Toc353873941"/>
      <w:r/>
      <w:bookmarkStart w:id="774" w:name="_Toc353873665"/>
      <w:r/>
      <w:bookmarkStart w:id="775" w:name="_Toc195842920"/>
      <w:r/>
      <w:bookmarkStart w:id="776" w:name="_Toc305158897"/>
      <w:r/>
      <w:bookmarkStart w:id="777" w:name="_Toc305158823"/>
      <w:r/>
      <w:bookmarkStart w:id="778" w:name="_Toc353825545"/>
      <w:r/>
      <w:bookmarkStart w:id="779" w:name="_Toc127151555"/>
      <w:r/>
      <w:bookmarkStart w:id="780" w:name="_Toc265228393"/>
      <w:r/>
      <w:bookmarkStart w:id="781" w:name="_Toc264969245"/>
      <w:r/>
      <w:bookmarkStart w:id="782" w:name="_Toc150480793"/>
      <w:r/>
      <w:bookmarkStart w:id="783" w:name="_Toc150774760"/>
      <w:r/>
      <w:bookmarkStart w:id="784" w:name="_Toc226965828"/>
      <w:r/>
      <w:bookmarkStart w:id="785" w:name="_Toc142311057"/>
      <w:r/>
      <w:bookmarkStart w:id="786" w:name="_Toc226337251"/>
      <w:r/>
      <w:bookmarkStart w:id="787" w:name="_Toc353873935"/>
      <w:r>
        <w:rPr>
          <w:rFonts w:ascii="宋体" w:hAnsi="宋体"/>
          <w:color w:val="auto"/>
          <w:sz w:val="24"/>
          <w:highlight w:val="none"/>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8"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8"/>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auto"/>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rPr>
        <w:t xml:space="preserve">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1135"/>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2"/>
      <w:r/>
      <w:bookmarkEnd w:id="773"/>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89" w:name="_Toc226965819"/>
      <w:r/>
      <w:bookmarkStart w:id="790" w:name="_Toc305158814"/>
      <w:r/>
      <w:bookmarkStart w:id="791" w:name="_Toc150480784"/>
      <w:r/>
      <w:bookmarkStart w:id="792" w:name="_Toc265228384"/>
      <w:r/>
      <w:bookmarkStart w:id="793" w:name="_Toc305158888"/>
      <w:r/>
      <w:bookmarkStart w:id="794" w:name="_Toc164229387"/>
      <w:r/>
      <w:bookmarkStart w:id="795" w:name="_Toc195842911"/>
      <w:r/>
      <w:bookmarkStart w:id="796" w:name="_Toc164608815"/>
      <w:r/>
      <w:bookmarkStart w:id="797" w:name="_Toc520356170"/>
      <w:r/>
      <w:bookmarkStart w:id="798" w:name="_Toc164351640"/>
      <w:r/>
      <w:bookmarkStart w:id="799" w:name="_Toc151193934"/>
      <w:r/>
      <w:bookmarkStart w:id="800" w:name="_Ref467307010"/>
      <w:r/>
      <w:bookmarkStart w:id="801" w:name="_Toc151193644"/>
      <w:r/>
      <w:bookmarkStart w:id="802" w:name="_Toc149720839"/>
      <w:r/>
      <w:bookmarkStart w:id="803" w:name="_Toc127151747"/>
      <w:r/>
      <w:bookmarkStart w:id="804" w:name="_Toc142311048"/>
      <w:r/>
      <w:bookmarkStart w:id="805" w:name="_Toc127161460"/>
      <w:r/>
      <w:bookmarkStart w:id="806" w:name="_Toc164229241"/>
      <w:r/>
      <w:bookmarkStart w:id="807" w:name="_Toc151190173"/>
      <w:r/>
      <w:bookmarkStart w:id="808" w:name="_Toc264969236"/>
      <w:r/>
      <w:bookmarkStart w:id="809" w:name="_Toc151193716"/>
      <w:r/>
      <w:bookmarkStart w:id="810" w:name="_Toc150509297"/>
      <w:r/>
      <w:bookmarkStart w:id="811" w:name="_Toc150774751"/>
      <w:r/>
      <w:bookmarkStart w:id="812" w:name="_Toc127151546"/>
      <w:r/>
      <w:bookmarkStart w:id="813" w:name="_Toc151193860"/>
      <w:r/>
      <w:bookmarkStart w:id="814" w:name="_Toc226965736"/>
      <w:r/>
      <w:bookmarkStart w:id="815" w:name="_Toc151193788"/>
      <w:r/>
      <w:bookmarkStart w:id="816" w:name="_Toc226337242"/>
      <w:r/>
      <w:bookmarkStart w:id="817" w:name="_Toc150774646"/>
      <w:r/>
      <w:bookmarkStart w:id="818" w:name="_Toc226309790"/>
      <w:r/>
      <w:bookmarkStart w:id="819" w:name="_Toc164608660"/>
      <w:r>
        <w:rPr>
          <w:rFonts w:ascii="宋体" w:hAnsi="宋体"/>
          <w:color w:val="auto"/>
          <w:sz w:val="24"/>
          <w:highlight w:val="none"/>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6"/>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5"/>
        </w:numPr>
        <w:widowControl/>
        <w:rPr>
          <w:rFonts w:ascii="宋体" w:hAnsi="宋体"/>
          <w:b/>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评标标准</w:t>
      </w:r>
      <w:r/>
    </w:p>
    <w:tbl>
      <w:tblPr>
        <w:tblStyle w:val="1052"/>
        <w:tblW w:w="6047"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219"/>
        <w:gridCol w:w="770"/>
        <w:gridCol w:w="7308"/>
      </w:tblGrid>
      <w:tr>
        <w:trPr>
          <w:trHeight w:val="510"/>
        </w:trPr>
        <w:tc>
          <w:tcPr>
            <w:tcW w:w="363" w:type="pct"/>
            <w:vAlign w:val="center"/>
            <w:textDirection w:val="lrTb"/>
            <w:noWrap w:val="false"/>
          </w:tcPr>
          <w:p>
            <w:pPr>
              <w:ind w:firstLine="28"/>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608" w:type="pct"/>
            <w:vAlign w:val="center"/>
            <w:textDirection w:val="lrTb"/>
            <w:noWrap w:val="false"/>
          </w:tcPr>
          <w:p>
            <w:pPr>
              <w:ind w:firstLine="28"/>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评分因素</w:t>
            </w:r>
            <w:r/>
          </w:p>
        </w:tc>
        <w:tc>
          <w:tcPr>
            <w:tcW w:w="384" w:type="pct"/>
            <w:vAlign w:val="center"/>
            <w:textDirection w:val="lrTb"/>
            <w:noWrap w:val="false"/>
          </w:tcPr>
          <w:p>
            <w:pPr>
              <w:ind w:firstLine="28"/>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分值</w:t>
            </w:r>
            <w:r/>
          </w:p>
        </w:tc>
        <w:tc>
          <w:tcPr>
            <w:tcW w:w="3644" w:type="pct"/>
            <w:vAlign w:val="center"/>
            <w:textDirection w:val="lrTb"/>
            <w:noWrap w:val="false"/>
          </w:tcPr>
          <w:p>
            <w:pPr>
              <w:ind w:firstLine="28"/>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trHeight w:val="90"/>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采用低价优先法计算，即满足招标文件要求且</w:t>
            </w:r>
            <w:r>
              <w:rPr>
                <w:rFonts w:hint="eastAsia" w:ascii="宋体" w:hAnsi="宋体" w:cs="宋体"/>
                <w:bCs/>
                <w:color w:val="auto"/>
                <w:sz w:val="24"/>
                <w:highlight w:val="none"/>
                <w:lang w:val="en-US" w:eastAsia="zh-CN" w:bidi="ar-SA"/>
              </w:rPr>
              <w:t xml:space="preserve">投标</w:t>
            </w:r>
            <w:r>
              <w:rPr>
                <w:rFonts w:hint="eastAsia" w:ascii="宋体" w:hAnsi="宋体" w:eastAsia="宋体" w:cs="宋体"/>
                <w:bCs/>
                <w:color w:val="auto"/>
                <w:sz w:val="24"/>
                <w:highlight w:val="none"/>
                <w:lang w:val="en-US" w:eastAsia="zh-CN" w:bidi="ar-SA"/>
              </w:rPr>
              <w:t xml:space="preserve">优惠率最高的报价为评标基准优惠率，该投标人报价得分为满分10分。其他投标人的报价得分统一按照下列公式计算（计算结果四舍五入保留两位小数）：</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报价得分=（</w:t>
            </w:r>
            <w:r>
              <w:rPr>
                <w:rFonts w:hint="eastAsia" w:ascii="宋体" w:hAnsi="宋体" w:cs="宋体"/>
                <w:bCs/>
                <w:color w:val="auto"/>
                <w:sz w:val="24"/>
                <w:highlight w:val="none"/>
                <w:lang w:val="en-US" w:eastAsia="zh-CN" w:bidi="ar-SA"/>
              </w:rPr>
              <w:t xml:space="preserve">1-</w:t>
            </w:r>
            <w:r>
              <w:rPr>
                <w:rFonts w:hint="eastAsia" w:ascii="宋体" w:hAnsi="宋体" w:eastAsia="宋体" w:cs="宋体"/>
                <w:bCs/>
                <w:color w:val="auto"/>
                <w:sz w:val="24"/>
                <w:highlight w:val="none"/>
                <w:lang w:val="en-US" w:eastAsia="zh-CN" w:bidi="ar-SA"/>
              </w:rPr>
              <w:t xml:space="preserve">评标基准优惠率）/（</w:t>
            </w:r>
            <w:r>
              <w:rPr>
                <w:rFonts w:hint="eastAsia" w:ascii="宋体" w:hAnsi="宋体" w:cs="宋体"/>
                <w:bCs/>
                <w:color w:val="auto"/>
                <w:sz w:val="24"/>
                <w:highlight w:val="none"/>
                <w:lang w:val="en-US" w:eastAsia="zh-CN" w:bidi="ar-SA"/>
              </w:rPr>
              <w:t xml:space="preserve">1-</w:t>
            </w:r>
            <w:r>
              <w:rPr>
                <w:rFonts w:hint="eastAsia" w:ascii="宋体" w:hAnsi="宋体" w:eastAsia="宋体" w:cs="宋体"/>
                <w:bCs/>
                <w:color w:val="auto"/>
                <w:sz w:val="24"/>
                <w:highlight w:val="none"/>
                <w:lang w:val="en-US" w:eastAsia="zh-CN" w:bidi="ar-SA"/>
              </w:rPr>
              <w:t xml:space="preserve">投标优惠率）×10%×100。</w:t>
            </w:r>
            <w:r/>
          </w:p>
        </w:tc>
      </w:tr>
      <w:tr>
        <w:trPr>
          <w:trHeight w:val="419"/>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商务</w:t>
            </w:r>
            <w:r>
              <w:rPr>
                <w:rFonts w:hint="eastAsia" w:ascii="宋体" w:hAnsi="宋体" w:eastAsia="宋体" w:cs="宋体"/>
                <w:color w:val="auto"/>
                <w:sz w:val="24"/>
                <w:szCs w:val="24"/>
                <w:highlight w:val="none"/>
                <w:lang w:val="en-US" w:eastAsia="zh-CN" w:bidi="ar-SA"/>
              </w:rPr>
              <w:t xml:space="preserve">分</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r>
            <w:r/>
          </w:p>
        </w:tc>
      </w:tr>
      <w:tr>
        <w:trPr>
          <w:trHeight w:val="178"/>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w:t>
            </w:r>
            <w:r/>
          </w:p>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综合实力</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投标人具有有效期内的质量管理体系、环境管理体系、职业健康安全管理体系、食品安全管理体系、危害分析与关键控制点（HACCP）体系，每有1个得1分，最高得</w:t>
            </w:r>
            <w:r>
              <w:rPr>
                <w:rFonts w:hint="eastAsia" w:ascii="宋体" w:hAnsi="宋体" w:cs="宋体"/>
                <w:bCs/>
                <w:color w:val="auto"/>
                <w:sz w:val="24"/>
                <w:highlight w:val="none"/>
                <w:lang w:val="en-US" w:eastAsia="zh-CN" w:bidi="ar-SA"/>
              </w:rPr>
              <w:t xml:space="preserve">5</w:t>
            </w:r>
            <w:r>
              <w:rPr>
                <w:rFonts w:hint="eastAsia" w:ascii="宋体" w:hAnsi="宋体" w:eastAsia="宋体" w:cs="宋体"/>
                <w:bCs/>
                <w:color w:val="auto"/>
                <w:sz w:val="24"/>
                <w:highlight w:val="none"/>
                <w:lang w:val="en-US" w:eastAsia="zh-CN" w:bidi="ar-SA"/>
              </w:rPr>
              <w:t xml:space="preserve">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注：电子投标文件中提供有效认证证书扫描件</w:t>
            </w:r>
            <w:r>
              <w:rPr>
                <w:rFonts w:hint="eastAsia" w:ascii="宋体" w:hAnsi="宋体" w:cs="宋体"/>
                <w:b/>
                <w:bCs w:val="0"/>
                <w:color w:val="auto"/>
                <w:sz w:val="24"/>
                <w:highlight w:val="none"/>
                <w:lang w:val="en-US" w:eastAsia="zh-CN" w:bidi="ar-SA"/>
              </w:rPr>
              <w:t xml:space="preserve">及</w:t>
            </w:r>
            <w:r>
              <w:rPr>
                <w:rFonts w:hint="eastAsia" w:ascii="宋体" w:hAnsi="宋体" w:eastAsia="宋体" w:cs="宋体"/>
                <w:b/>
                <w:bCs w:val="0"/>
                <w:color w:val="auto"/>
                <w:sz w:val="24"/>
                <w:highlight w:val="none"/>
                <w:lang w:val="en-US" w:eastAsia="zh-CN" w:bidi="ar-SA"/>
              </w:rPr>
              <w:t xml:space="preserve">国家认监委官网的认证截图并加盖投标人电子公章，认证证书须在有效期内，未按要求提供不得分。</w:t>
            </w:r>
            <w:r/>
          </w:p>
        </w:tc>
      </w:tr>
      <w:tr>
        <w:trPr>
          <w:trHeight w:val="3480"/>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w:t>
            </w:r>
            <w:r/>
          </w:p>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投标人自2023年1月1日至本项目招标公告发布之日止（以合同签订时间为准），有食材配送项目业绩的，每提供 1 份有效业绩</w:t>
            </w:r>
            <w:r>
              <w:rPr>
                <w:rFonts w:hint="eastAsia" w:ascii="宋体" w:hAnsi="宋体" w:cs="宋体"/>
                <w:bCs/>
                <w:color w:val="auto"/>
                <w:sz w:val="24"/>
                <w:highlight w:val="none"/>
                <w:lang w:val="en-US" w:eastAsia="zh-CN" w:bidi="ar-SA"/>
              </w:rPr>
              <w:t xml:space="preserve">合同</w:t>
            </w:r>
            <w:r>
              <w:rPr>
                <w:rFonts w:hint="eastAsia" w:ascii="宋体" w:hAnsi="宋体" w:eastAsia="宋体" w:cs="宋体"/>
                <w:bCs/>
                <w:color w:val="auto"/>
                <w:sz w:val="24"/>
                <w:highlight w:val="none"/>
                <w:lang w:val="en-US" w:eastAsia="zh-CN" w:bidi="ar-SA"/>
              </w:rPr>
              <w:t xml:space="preserve">得 2 分，本项最高得 12分。同一采购人的食材配送项目业绩，仅按一份业绩计算。</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注：电子投标文件中同时提供</w:t>
            </w:r>
            <w:r>
              <w:rPr>
                <w:rFonts w:hint="eastAsia" w:ascii="宋体" w:hAnsi="宋体" w:cs="宋体"/>
                <w:b/>
                <w:bCs w:val="0"/>
                <w:color w:val="auto"/>
                <w:sz w:val="24"/>
                <w:highlight w:val="none"/>
                <w:lang w:val="en-US" w:eastAsia="zh-CN" w:bidi="ar-SA"/>
              </w:rPr>
              <w:t xml:space="preserve">有效</w:t>
            </w:r>
            <w:r>
              <w:rPr>
                <w:rFonts w:hint="eastAsia" w:ascii="宋体" w:hAnsi="宋体" w:eastAsia="宋体" w:cs="宋体"/>
                <w:b/>
                <w:bCs w:val="0"/>
                <w:color w:val="auto"/>
                <w:sz w:val="24"/>
                <w:highlight w:val="none"/>
                <w:lang w:val="en-US" w:eastAsia="zh-CN" w:bidi="ar-SA"/>
              </w:rPr>
              <w:t xml:space="preserve">业绩合同扫描件及结算发票扫描件并加盖投标人电子公章，未提供或不符合要求的不得分。</w:t>
            </w:r>
            <w:r/>
          </w:p>
        </w:tc>
      </w:tr>
      <w:tr>
        <w:trPr>
          <w:trHeight w:val="419"/>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608"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服务评价</w:t>
            </w:r>
            <w:r/>
          </w:p>
        </w:tc>
        <w:tc>
          <w:tcPr>
            <w:tcW w:w="384"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投标人提供的</w:t>
            </w:r>
            <w:r>
              <w:rPr>
                <w:rFonts w:hint="eastAsia" w:ascii="宋体" w:hAnsi="宋体" w:cs="宋体"/>
                <w:bCs/>
                <w:color w:val="auto"/>
                <w:sz w:val="24"/>
                <w:highlight w:val="none"/>
                <w:lang w:val="en-US" w:eastAsia="zh-CN" w:bidi="ar-SA"/>
              </w:rPr>
              <w:t xml:space="preserve">上述</w:t>
            </w:r>
            <w:r>
              <w:rPr>
                <w:rFonts w:hint="eastAsia" w:ascii="宋体" w:hAnsi="宋体" w:eastAsia="宋体" w:cs="宋体"/>
                <w:bCs/>
                <w:color w:val="auto"/>
                <w:sz w:val="24"/>
                <w:highlight w:val="none"/>
                <w:lang w:val="en-US" w:eastAsia="zh-CN" w:bidi="ar-SA"/>
              </w:rPr>
              <w:t xml:space="preserve">食材配送项目业绩，对应有效得分业绩中食材采购人对供应商服务的满意度评价，如为打分的，得分≥98 分，得 1 分；95 分≤综合得分＜98 分，得 0.5 分；综合得分＜95 分，不得分，如为优秀评价的，得1分，良好得0.5分，其余不得分。本项累计最高得6分。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注：电子投标文件中提供加盖采购人公章的服务评价表扫描件，未提供或不符合要求的不得分。</w:t>
            </w:r>
            <w:r/>
          </w:p>
        </w:tc>
      </w:tr>
      <w:tr>
        <w:trPr>
          <w:trHeight w:val="419"/>
        </w:trPr>
        <w:tc>
          <w:tcPr>
            <w:tcW w:w="363"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W w:w="608"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物资场地</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具备符合《食品安全法》及食品经营相关规范的室内经营场地，场地包含仓储区域、分拣区、物资分发区、检测室、冷冻冷藏区、筐箱清洁消毒区、车辆装卸场地，各功能区域划分清晰、布局合理，可完全满足本项目食材存储、分拣、清洗消毒、装卸作业要求的，得3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场地包含大部分上述功能区域，布局基本合理，能够满足本项目配送作业基本要求，得2分；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场地具备基础仓储、分拣、装卸区域，基础条件可满足本项目最低配送需求，得1分；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功能区域缺失较多，无法满足食材配送作业要求或未按要求提供材料的，本项不得分。</w:t>
            </w:r>
            <w:r/>
          </w:p>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注：如为自有场地：电子投标文件中提供房产证明</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及现场照片；如为租赁场地：电子投标文件中提供租赁合同</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、租赁发票</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及现场照片，未按要求提供不得分。</w:t>
            </w:r>
            <w:r/>
          </w:p>
        </w:tc>
      </w:tr>
      <w:tr>
        <w:trPr>
          <w:trHeight w:val="419"/>
        </w:trPr>
        <w:tc>
          <w:tcPr>
            <w:tcW w:w="363"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冷藏贮藏设备</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投标人具备满足食材保鲜存储要求的冷藏、冷冻贮藏设施，冷库分区合理，具备温度监测、记录、超温报警功能，设备运行稳定，可完全满足本项目食材存储保鲜需求的，得3分；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具备冷藏冷冻设施，基础温控功能齐全，基本满足本项目食材存储需求，得2分；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具备基础冷藏设施，可满足本项目最低食材保鲜存储要求，得1分；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无冷藏贮藏设施，无法满足食材保鲜要求或未按要求提供材料的，本项不得分。</w:t>
            </w:r>
            <w:r/>
          </w:p>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注：如为自有：电子投标文件中提供设备购买发票</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及现场照片；如为租赁：电子投标文件中提供租赁合同</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、租赁发票</w:t>
            </w:r>
            <w:r>
              <w:rPr>
                <w:rFonts w:hint="eastAsia" w:ascii="宋体" w:hAnsi="宋体" w:cs="宋体"/>
                <w:b/>
                <w:bCs w:val="0"/>
                <w:color w:val="auto"/>
                <w:sz w:val="24"/>
                <w:highlight w:val="none"/>
                <w:lang w:val="en-US" w:eastAsia="zh-CN" w:bidi="ar-SA"/>
              </w:rPr>
              <w:t xml:space="preserve">扫描件</w:t>
            </w:r>
            <w:r>
              <w:rPr>
                <w:rFonts w:hint="eastAsia" w:ascii="宋体" w:hAnsi="宋体" w:eastAsia="宋体" w:cs="宋体"/>
                <w:b/>
                <w:bCs w:val="0"/>
                <w:color w:val="auto"/>
                <w:sz w:val="24"/>
                <w:highlight w:val="none"/>
                <w:lang w:val="en-US" w:eastAsia="zh-CN" w:bidi="ar-SA"/>
              </w:rPr>
              <w:t xml:space="preserve">及现场照片</w:t>
            </w:r>
            <w:r>
              <w:rPr>
                <w:rFonts w:hint="eastAsia" w:ascii="宋体" w:hAnsi="宋体" w:cs="宋体"/>
                <w:b/>
                <w:bCs w:val="0"/>
                <w:color w:val="auto"/>
                <w:sz w:val="24"/>
                <w:highlight w:val="none"/>
                <w:lang w:val="en-US" w:eastAsia="zh-CN" w:bidi="ar-SA"/>
              </w:rPr>
              <w:t xml:space="preserve">，</w:t>
            </w:r>
            <w:r>
              <w:rPr>
                <w:rFonts w:hint="eastAsia" w:ascii="宋体" w:hAnsi="宋体" w:eastAsia="宋体" w:cs="宋体"/>
                <w:b/>
                <w:bCs w:val="0"/>
                <w:color w:val="auto"/>
                <w:sz w:val="24"/>
                <w:highlight w:val="none"/>
                <w:lang w:val="en-US" w:eastAsia="zh-CN" w:bidi="ar-SA"/>
              </w:rPr>
              <w:t xml:space="preserve">未按要求提供不得分。</w:t>
            </w:r>
            <w:r/>
          </w:p>
        </w:tc>
      </w:tr>
      <w:tr>
        <w:trPr>
          <w:trHeight w:val="419"/>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6</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运输车辆</w:t>
            </w:r>
            <w:r/>
          </w:p>
        </w:tc>
        <w:tc>
          <w:tcPr>
            <w:tcW w:w="384"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投标人自有或租赁冷藏运输车，</w:t>
            </w:r>
            <w:r>
              <w:rPr>
                <w:rFonts w:hint="eastAsia" w:ascii="宋体" w:hAnsi="宋体" w:cs="宋体"/>
                <w:bCs/>
                <w:color w:val="auto"/>
                <w:sz w:val="24"/>
                <w:highlight w:val="none"/>
                <w:lang w:val="en-US" w:eastAsia="zh-CN" w:bidi="ar-SA"/>
              </w:rPr>
              <w:t xml:space="preserve">每</w:t>
            </w:r>
            <w:r>
              <w:rPr>
                <w:rFonts w:hint="eastAsia" w:ascii="宋体" w:hAnsi="宋体" w:eastAsia="宋体" w:cs="宋体"/>
                <w:bCs/>
                <w:color w:val="auto"/>
                <w:sz w:val="24"/>
                <w:highlight w:val="none"/>
                <w:lang w:val="en-US" w:eastAsia="zh-CN" w:bidi="ar-SA"/>
              </w:rPr>
              <w:t xml:space="preserve">有一辆自有的得1分，本项最高得</w:t>
            </w:r>
            <w:r>
              <w:rPr>
                <w:rFonts w:hint="eastAsia" w:ascii="宋体" w:hAnsi="宋体" w:cs="宋体"/>
                <w:bCs/>
                <w:color w:val="auto"/>
                <w:sz w:val="24"/>
                <w:highlight w:val="none"/>
                <w:lang w:val="en-US" w:eastAsia="zh-CN" w:bidi="ar-SA"/>
              </w:rPr>
              <w:t xml:space="preserve">5</w:t>
            </w:r>
            <w:r>
              <w:rPr>
                <w:rFonts w:hint="eastAsia" w:ascii="宋体" w:hAnsi="宋体" w:eastAsia="宋体" w:cs="宋体"/>
                <w:bCs/>
                <w:color w:val="auto"/>
                <w:sz w:val="24"/>
                <w:highlight w:val="none"/>
                <w:lang w:val="en-US" w:eastAsia="zh-CN" w:bidi="ar-SA"/>
              </w:rPr>
              <w:t xml:space="preserve">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须提供冷藏运输车清单和彩色图片，自有车辆需同时提供购置发票及车辆行驶证和权属登记证扫描件；租赁车辆需同时提供租赁合同、租赁费发票、车辆行驶证、权属登记证扫描件均加盖投标人电子公章，租赁合同有效期须不小于六个月（且至本项目开标之日仍在有效期内的），未提供或不符合要求的不得分。</w:t>
            </w:r>
            <w:r/>
          </w:p>
        </w:tc>
      </w:tr>
      <w:tr>
        <w:trPr>
          <w:trHeight w:val="419"/>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7</w:t>
            </w:r>
            <w:r/>
          </w:p>
        </w:tc>
        <w:tc>
          <w:tcPr>
            <w:tcW w:w="608"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食品安全责任保险</w:t>
            </w:r>
            <w:r/>
          </w:p>
        </w:tc>
        <w:tc>
          <w:tcPr>
            <w:tcW w:w="384"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供应商投保《食品安全责任保险》，保额达到2000万元（含）得1分，2000-5000万元（含）得3分，5000万元（不含）以上得5分。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注：电子投标文件中提供保险单及发票扫描件并加盖投标单位电子公章，未提供或不符合要求的不得分。</w:t>
            </w:r>
            <w:r/>
          </w:p>
        </w:tc>
      </w:tr>
      <w:tr>
        <w:trPr>
          <w:trHeight w:val="419"/>
        </w:trPr>
        <w:tc>
          <w:tcPr>
            <w:tcW w:w="363"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8</w:t>
            </w:r>
            <w:r/>
          </w:p>
        </w:tc>
        <w:tc>
          <w:tcPr>
            <w:tcW w:w="608" w:type="pct"/>
            <w:vAlign w:val="center"/>
            <w:textDirection w:val="lrTb"/>
            <w:noWrap w:val="false"/>
          </w:tcPr>
          <w:p>
            <w:pPr>
              <w:jc w:val="center"/>
              <w:spacing w:line="360" w:lineRule="exact"/>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应急需求</w:t>
            </w:r>
            <w:r/>
          </w:p>
        </w:tc>
        <w:tc>
          <w:tcPr>
            <w:tcW w:w="384" w:type="pct"/>
            <w:vAlign w:val="center"/>
            <w:textDirection w:val="lrTb"/>
            <w:noWrap w:val="false"/>
          </w:tcPr>
          <w:p>
            <w:pPr>
              <w:jc w:val="center"/>
              <w:spacing w:line="360" w:lineRule="exact"/>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tcW w:w="3644" w:type="pct"/>
            <w:vAlign w:val="center"/>
            <w:textDirection w:val="lrTb"/>
            <w:noWrap w:val="false"/>
          </w:tcPr>
          <w:p>
            <w:pPr>
              <w:jc w:val="left"/>
              <w:spacing w:line="500" w:lineRule="exact"/>
              <w:rPr>
                <w:rFonts w:hint="eastAsia" w:ascii="宋体" w:hAnsi="宋体" w:eastAsia="宋体" w:cs="宋体"/>
                <w:bCs/>
                <w:color w:val="auto"/>
                <w:sz w:val="24"/>
                <w:highlight w:val="none"/>
                <w:lang w:val="zh-CN" w:eastAsia="zh-CN" w:bidi="ar-SA"/>
              </w:rPr>
            </w:pPr>
            <w:r>
              <w:rPr>
                <w:rFonts w:hint="eastAsia" w:ascii="宋体" w:hAnsi="宋体" w:eastAsia="宋体" w:cs="宋体"/>
                <w:bCs/>
                <w:color w:val="auto"/>
                <w:sz w:val="24"/>
                <w:highlight w:val="none"/>
                <w:lang w:val="en-US" w:eastAsia="zh-CN" w:bidi="ar-SA"/>
              </w:rPr>
              <w:t xml:space="preserve">投标人</w:t>
            </w:r>
            <w:r>
              <w:rPr>
                <w:rFonts w:hint="eastAsia" w:ascii="宋体" w:hAnsi="宋体" w:eastAsia="宋体" w:cs="宋体"/>
                <w:bCs/>
                <w:color w:val="auto"/>
                <w:sz w:val="24"/>
                <w:highlight w:val="none"/>
                <w:lang w:val="zh-CN" w:eastAsia="zh-CN" w:bidi="ar-SA"/>
              </w:rPr>
              <w:t xml:space="preserve">提供</w:t>
            </w:r>
            <w:r>
              <w:rPr>
                <w:rFonts w:hint="eastAsia" w:ascii="宋体" w:hAnsi="宋体" w:cs="宋体"/>
                <w:bCs/>
                <w:color w:val="auto"/>
                <w:sz w:val="24"/>
                <w:highlight w:val="none"/>
                <w:lang w:val="en-US" w:eastAsia="zh-CN" w:bidi="ar-SA"/>
              </w:rPr>
              <w:t xml:space="preserve">承诺，</w:t>
            </w:r>
            <w:r>
              <w:rPr>
                <w:rFonts w:hint="eastAsia" w:ascii="宋体" w:hAnsi="宋体" w:eastAsia="宋体" w:cs="宋体"/>
                <w:bCs/>
                <w:color w:val="auto"/>
                <w:sz w:val="24"/>
                <w:highlight w:val="none"/>
                <w:lang w:val="zh-CN" w:eastAsia="zh-CN" w:bidi="ar-SA"/>
              </w:rPr>
              <w:t xml:space="preserve">配合采购人临时应急加送货</w:t>
            </w:r>
            <w:r>
              <w:rPr>
                <w:rFonts w:hint="eastAsia" w:ascii="宋体" w:hAnsi="宋体" w:eastAsia="宋体" w:cs="宋体"/>
                <w:bCs/>
                <w:color w:val="auto"/>
                <w:sz w:val="24"/>
                <w:highlight w:val="none"/>
                <w:lang w:val="en-US" w:eastAsia="zh-CN" w:bidi="ar-SA"/>
              </w:rPr>
              <w:t xml:space="preserve">承诺的</w:t>
            </w:r>
            <w:r>
              <w:rPr>
                <w:rFonts w:hint="eastAsia" w:ascii="宋体" w:hAnsi="宋体" w:eastAsia="宋体" w:cs="宋体"/>
                <w:bCs/>
                <w:color w:val="auto"/>
                <w:sz w:val="24"/>
                <w:highlight w:val="none"/>
                <w:lang w:val="zh-CN" w:eastAsia="zh-CN" w:bidi="ar-SA"/>
              </w:rPr>
              <w:t xml:space="preserve">得</w:t>
            </w:r>
            <w:r>
              <w:rPr>
                <w:rFonts w:hint="eastAsia" w:ascii="宋体" w:hAnsi="宋体" w:eastAsia="宋体" w:cs="宋体"/>
                <w:bCs/>
                <w:color w:val="auto"/>
                <w:sz w:val="24"/>
                <w:highlight w:val="none"/>
                <w:lang w:val="en-US" w:eastAsia="zh-CN" w:bidi="ar-SA"/>
              </w:rPr>
              <w:t xml:space="preserve">1</w:t>
            </w:r>
            <w:r>
              <w:rPr>
                <w:rFonts w:hint="eastAsia" w:ascii="宋体" w:hAnsi="宋体" w:eastAsia="宋体" w:cs="宋体"/>
                <w:bCs/>
                <w:color w:val="auto"/>
                <w:sz w:val="24"/>
                <w:highlight w:val="none"/>
                <w:lang w:val="zh-CN" w:eastAsia="zh-CN" w:bidi="ar-SA"/>
              </w:rPr>
              <w:t xml:space="preserve">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注：电子投标文件中</w:t>
            </w:r>
            <w:r>
              <w:rPr>
                <w:rFonts w:hint="eastAsia" w:ascii="宋体" w:hAnsi="宋体" w:eastAsia="宋体" w:cs="宋体"/>
                <w:b/>
                <w:bCs w:val="0"/>
                <w:color w:val="auto"/>
                <w:sz w:val="24"/>
                <w:highlight w:val="none"/>
                <w:lang w:val="zh-CN" w:eastAsia="zh-CN" w:bidi="ar-SA"/>
              </w:rPr>
              <w:t xml:space="preserve">提供《应急加送货承诺书》（</w:t>
            </w:r>
            <w:r>
              <w:rPr>
                <w:rFonts w:hint="eastAsia" w:ascii="宋体" w:hAnsi="宋体" w:eastAsia="宋体" w:cs="宋体"/>
                <w:b/>
                <w:bCs w:val="0"/>
                <w:color w:val="auto"/>
                <w:sz w:val="24"/>
                <w:highlight w:val="none"/>
                <w:lang w:val="en-US" w:eastAsia="zh-CN" w:bidi="ar-SA"/>
              </w:rPr>
              <w:t xml:space="preserve">格式</w:t>
            </w:r>
            <w:r>
              <w:rPr>
                <w:rFonts w:hint="eastAsia" w:ascii="宋体" w:hAnsi="宋体" w:cs="宋体"/>
                <w:b/>
                <w:bCs w:val="0"/>
                <w:color w:val="auto"/>
                <w:sz w:val="24"/>
                <w:highlight w:val="none"/>
                <w:lang w:val="en-US" w:eastAsia="zh-CN" w:bidi="ar-SA"/>
              </w:rPr>
              <w:t xml:space="preserve">见附件</w:t>
            </w:r>
            <w:r>
              <w:rPr>
                <w:rFonts w:hint="eastAsia" w:ascii="宋体" w:hAnsi="宋体" w:eastAsia="宋体" w:cs="宋体"/>
                <w:b/>
                <w:bCs w:val="0"/>
                <w:color w:val="auto"/>
                <w:sz w:val="24"/>
                <w:highlight w:val="none"/>
                <w:lang w:val="zh-CN" w:eastAsia="zh-CN" w:bidi="ar-SA"/>
              </w:rPr>
              <w:t xml:space="preserve">）</w:t>
            </w:r>
            <w:r>
              <w:rPr>
                <w:rFonts w:hint="eastAsia" w:ascii="宋体" w:hAnsi="宋体" w:eastAsia="宋体" w:cs="宋体"/>
                <w:b/>
                <w:bCs w:val="0"/>
                <w:color w:val="auto"/>
                <w:sz w:val="24"/>
                <w:highlight w:val="none"/>
                <w:lang w:val="en-US" w:eastAsia="zh-CN" w:bidi="ar-SA"/>
              </w:rPr>
              <w:t xml:space="preserve">并加盖投标人电子公章</w:t>
            </w:r>
            <w:r>
              <w:rPr>
                <w:rFonts w:hint="eastAsia" w:ascii="宋体" w:hAnsi="宋体" w:cs="宋体"/>
                <w:b/>
                <w:bCs w:val="0"/>
                <w:color w:val="auto"/>
                <w:sz w:val="24"/>
                <w:highlight w:val="none"/>
                <w:lang w:val="zh-CN" w:eastAsia="zh-CN" w:bidi="ar-SA"/>
              </w:rPr>
              <w:t xml:space="preserve">，</w:t>
            </w:r>
            <w:r>
              <w:rPr>
                <w:rFonts w:hint="eastAsia" w:ascii="宋体" w:hAnsi="宋体" w:eastAsia="宋体" w:cs="宋体"/>
                <w:b/>
                <w:bCs w:val="0"/>
                <w:color w:val="auto"/>
                <w:sz w:val="24"/>
                <w:highlight w:val="none"/>
                <w:lang w:val="zh-CN" w:eastAsia="zh-CN" w:bidi="ar-SA"/>
              </w:rPr>
              <w:t xml:space="preserve">未提供的不得分。</w:t>
            </w:r>
            <w:r/>
          </w:p>
        </w:tc>
      </w:tr>
      <w:tr>
        <w:trPr>
          <w:trHeight w:val="419"/>
        </w:trPr>
        <w:tc>
          <w:tcPr>
            <w:tcW w:w="363"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608" w:type="pct"/>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技术</w:t>
            </w:r>
            <w:r>
              <w:rPr>
                <w:rFonts w:hint="eastAsia" w:ascii="宋体" w:hAnsi="宋体" w:eastAsia="宋体" w:cs="宋体"/>
                <w:color w:val="auto"/>
                <w:sz w:val="24"/>
                <w:szCs w:val="24"/>
                <w:highlight w:val="none"/>
                <w:lang w:val="en-US" w:eastAsia="zh-CN" w:bidi="ar-SA"/>
              </w:rPr>
              <w:t xml:space="preserve">分</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50</w:t>
            </w:r>
            <w:r/>
          </w:p>
        </w:tc>
        <w:tc>
          <w:tcPr>
            <w:tcW w:w="3644" w:type="pct"/>
            <w:vAlign w:val="center"/>
            <w:textDirection w:val="lrTb"/>
            <w:noWrap w:val="false"/>
          </w:tcPr>
          <w:p>
            <w:pPr>
              <w:ind w:firstLine="24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7"/>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w:t>
            </w:r>
            <w:r/>
          </w:p>
        </w:tc>
        <w:tc>
          <w:tcPr>
            <w:tcW w:w="608" w:type="pct"/>
            <w:vAlign w:val="center"/>
            <w:textDirection w:val="lrTb"/>
            <w:noWrap w:val="false"/>
          </w:tcPr>
          <w:p>
            <w:pPr>
              <w:ind w:firstLine="28"/>
              <w:jc w:val="center"/>
              <w:widowControl w:val="off"/>
              <w:rPr>
                <w:rFonts w:hint="eastAsia" w:ascii="宋体" w:hAnsi="宋体" w:eastAsia="宋体" w:cs="宋体"/>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组织制度、岗位职责方案</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评委根据投标人针对本项目提供的组织制度、岗位职责等内容进行综合评分：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制度体系完整，岗位职责划分清晰，匹配本项目食堂食材配送、节假日加工配送场景，可落地性强，得10分；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制度较为完整，岗位职责较合理，具备较强可实施性，得7分；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制度基本完整，岗位职责基本合理，可实施性一般，得4分；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制度残缺，岗位职责设置不合理，可实施性弱，得1分；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未提供不得分。</w:t>
            </w:r>
            <w:r/>
          </w:p>
        </w:tc>
      </w:tr>
      <w:tr>
        <w:trPr>
          <w:trHeight w:val="178"/>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r/>
          </w:p>
        </w:tc>
        <w:tc>
          <w:tcPr>
            <w:tcW w:w="608" w:type="pct"/>
            <w:vAlign w:val="center"/>
            <w:textDirection w:val="lrTb"/>
            <w:noWrap w:val="false"/>
          </w:tcPr>
          <w:p>
            <w:pPr>
              <w:ind w:firstLine="28"/>
              <w:jc w:val="center"/>
              <w:widowControl w:val="off"/>
              <w:rPr>
                <w:rFonts w:hint="eastAsia" w:ascii="宋体" w:hAnsi="宋体" w:eastAsia="宋体" w:cs="宋体"/>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质量控制方案</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评委根据投标人针对本项目提供的产品质量控制方案，由评标小组综合评分：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方案完整详实，覆盖食材采购、验收、溯源、不合格品处置，贴合本项目食堂食材管控要求，可行性强，得10分；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方案较完整，管控要点较齐全，可行性较强，得7分；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方案简单，具备一定的可行性，得4分；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方案粗糙，关键管控缺失</w:t>
            </w:r>
            <w:r>
              <w:rPr>
                <w:rFonts w:hint="eastAsia" w:ascii="宋体" w:hAnsi="宋体" w:cs="宋体"/>
                <w:bCs/>
                <w:color w:val="auto"/>
                <w:sz w:val="24"/>
                <w:highlight w:val="none"/>
                <w:lang w:val="en-US" w:eastAsia="zh-CN" w:bidi="ar-SA"/>
              </w:rPr>
              <w:t xml:space="preserve">，</w:t>
            </w:r>
            <w:r>
              <w:rPr>
                <w:rFonts w:hint="eastAsia" w:ascii="宋体" w:hAnsi="宋体" w:eastAsia="宋体" w:cs="宋体"/>
                <w:bCs/>
                <w:color w:val="auto"/>
                <w:sz w:val="24"/>
                <w:highlight w:val="none"/>
                <w:lang w:val="en-US" w:eastAsia="zh-CN" w:bidi="ar-SA"/>
              </w:rPr>
              <w:t xml:space="preserve">可行性较差，得1分；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未提供不得分。</w:t>
            </w:r>
            <w:r/>
          </w:p>
        </w:tc>
      </w:tr>
      <w:tr>
        <w:trPr>
          <w:trHeight w:val="178"/>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w:t>
            </w:r>
            <w:r/>
          </w:p>
        </w:tc>
        <w:tc>
          <w:tcPr>
            <w:tcW w:w="608" w:type="pct"/>
            <w:vAlign w:val="center"/>
            <w:textDirection w:val="lrTb"/>
            <w:noWrap w:val="false"/>
          </w:tcPr>
          <w:p>
            <w:pPr>
              <w:ind w:firstLine="28"/>
              <w:jc w:val="center"/>
              <w:widowControl w:val="off"/>
              <w:rPr>
                <w:rFonts w:hint="eastAsia" w:ascii="宋体" w:hAnsi="宋体" w:eastAsia="宋体" w:cs="宋体"/>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食材配送方案</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评委根据投标人针对本项目提供的食材配送方案（包括但不限于供货计划、供货时间、送货形式、配送时效、保证措施等）及服务支撑，由评标小组综合评分：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方案科学合理，内容完善，保障措施到位，针对本项目食堂需求的承诺明确，可落地性强</w:t>
            </w:r>
            <w:r>
              <w:rPr>
                <w:rFonts w:hint="eastAsia" w:ascii="宋体" w:hAnsi="宋体" w:cs="宋体"/>
                <w:bCs/>
                <w:color w:val="auto"/>
                <w:sz w:val="24"/>
                <w:highlight w:val="none"/>
                <w:lang w:val="en-US" w:eastAsia="zh-CN" w:bidi="ar-SA"/>
              </w:rPr>
              <w:t xml:space="preserve">，</w:t>
            </w:r>
            <w:r>
              <w:rPr>
                <w:rFonts w:hint="eastAsia" w:ascii="宋体" w:hAnsi="宋体" w:eastAsia="宋体" w:cs="宋体"/>
                <w:bCs/>
                <w:color w:val="auto"/>
                <w:sz w:val="24"/>
                <w:highlight w:val="none"/>
                <w:lang w:val="en-US" w:eastAsia="zh-CN" w:bidi="ar-SA"/>
              </w:rPr>
              <w:t xml:space="preserve">得10分；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方案内容完整</w:t>
            </w:r>
            <w:r>
              <w:rPr>
                <w:rFonts w:hint="eastAsia" w:ascii="宋体" w:hAnsi="宋体" w:cs="宋体"/>
                <w:bCs/>
                <w:color w:val="auto"/>
                <w:sz w:val="24"/>
                <w:highlight w:val="none"/>
                <w:lang w:val="en-US" w:eastAsia="zh-CN" w:bidi="ar-SA"/>
              </w:rPr>
              <w:t xml:space="preserve">，</w:t>
            </w:r>
            <w:r>
              <w:rPr>
                <w:rFonts w:hint="eastAsia" w:ascii="宋体" w:hAnsi="宋体" w:eastAsia="宋体" w:cs="宋体"/>
                <w:bCs/>
                <w:color w:val="auto"/>
                <w:sz w:val="24"/>
                <w:highlight w:val="none"/>
                <w:lang w:val="en-US" w:eastAsia="zh-CN" w:bidi="ar-SA"/>
              </w:rPr>
              <w:t xml:space="preserve">有关承诺明确</w:t>
            </w:r>
            <w:r>
              <w:rPr>
                <w:rFonts w:hint="eastAsia" w:ascii="宋体" w:hAnsi="宋体" w:cs="宋体"/>
                <w:bCs/>
                <w:color w:val="auto"/>
                <w:sz w:val="24"/>
                <w:highlight w:val="none"/>
                <w:lang w:val="en-US" w:eastAsia="zh-CN" w:bidi="ar-SA"/>
              </w:rPr>
              <w:t xml:space="preserve">，</w:t>
            </w:r>
            <w:r>
              <w:rPr>
                <w:rFonts w:hint="eastAsia" w:ascii="宋体" w:hAnsi="宋体" w:eastAsia="宋体" w:cs="宋体"/>
                <w:bCs/>
                <w:color w:val="auto"/>
                <w:sz w:val="24"/>
                <w:highlight w:val="none"/>
                <w:lang w:val="en-US" w:eastAsia="zh-CN" w:bidi="ar-SA"/>
              </w:rPr>
              <w:t xml:space="preserve">可行性较强，得7分；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方案内容简单，有关承诺具有一定的可行性，得4分；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方案粗糙，关键保障缺失，可行性较差，得1分；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未提供不得分。</w:t>
            </w:r>
            <w:r/>
          </w:p>
        </w:tc>
      </w:tr>
      <w:tr>
        <w:trPr>
          <w:trHeight w:val="178"/>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p>
        </w:tc>
        <w:tc>
          <w:tcPr>
            <w:tcW w:w="608" w:type="pct"/>
            <w:vAlign w:val="center"/>
            <w:textDirection w:val="lrTb"/>
            <w:noWrap w:val="false"/>
          </w:tcPr>
          <w:p>
            <w:pPr>
              <w:ind w:firstLine="28"/>
              <w:jc w:val="center"/>
              <w:widowControl w:val="off"/>
              <w:rPr>
                <w:rFonts w:hint="eastAsia" w:ascii="宋体" w:hAnsi="宋体" w:eastAsia="宋体" w:cs="宋体"/>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卫生管理控制方案</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评委根据投标人针对本项目提供的卫生管理控制方案（食品卫生，人员卫生，环境卫生等），由评标小组综合评分：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方案科学详细，覆盖人员健康管理、加工环境、运输消杀、餐盒包装管控，完善可行，得10分；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方案较详细，管控要点较齐全，可行性较强，得7分；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方案简单，具备一定的可行性，得4分；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方案粗糙，关键卫生管控缺失，可行性较差，得1分；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未提供不得分。</w:t>
            </w:r>
            <w:r/>
          </w:p>
        </w:tc>
      </w:tr>
      <w:tr>
        <w:trPr/>
        <w:tc>
          <w:tcPr>
            <w:tcW w:w="363" w:type="pct"/>
            <w:vAlign w:val="center"/>
            <w:textDirection w:val="lrTb"/>
            <w:noWrap w:val="false"/>
          </w:tcPr>
          <w:p>
            <w:pPr>
              <w:jc w:val="center"/>
              <w:spacing w:line="3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w:t>
            </w:r>
            <w:r/>
          </w:p>
        </w:tc>
        <w:tc>
          <w:tcPr>
            <w:tcW w:w="608" w:type="pct"/>
            <w:vAlign w:val="center"/>
            <w:textDirection w:val="lrTb"/>
            <w:noWrap w:val="false"/>
          </w:tcPr>
          <w:p>
            <w:pPr>
              <w:ind w:firstLine="28"/>
              <w:jc w:val="center"/>
              <w:widowControl w:val="off"/>
              <w:rPr>
                <w:rFonts w:hint="eastAsia" w:ascii="宋体" w:hAnsi="宋体" w:eastAsia="宋体" w:cs="宋体"/>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应急预案</w:t>
            </w:r>
            <w:r/>
          </w:p>
        </w:tc>
        <w:tc>
          <w:tcPr>
            <w:tcW w:w="384" w:type="pct"/>
            <w:vAlign w:val="center"/>
            <w:textDirection w:val="lrTb"/>
            <w:noWrap w:val="false"/>
          </w:tcPr>
          <w:p>
            <w:pPr>
              <w:jc w:val="center"/>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644" w:type="pct"/>
            <w:vAlign w:val="center"/>
            <w:textDirection w:val="lrTb"/>
            <w:noWrap w:val="false"/>
          </w:tcPr>
          <w:p>
            <w:pPr>
              <w:jc w:val="left"/>
              <w:spacing w:line="500" w:lineRule="exact"/>
              <w:rPr>
                <w:rFonts w:hint="eastAsia" w:ascii="宋体" w:hAnsi="宋体" w:eastAsia="宋体" w:cs="宋体"/>
                <w:b/>
                <w:bCs w:val="0"/>
                <w:color w:val="auto"/>
                <w:sz w:val="24"/>
                <w:highlight w:val="none"/>
                <w:lang w:val="en-US" w:eastAsia="zh-CN" w:bidi="ar-SA"/>
              </w:rPr>
            </w:pPr>
            <w:r>
              <w:rPr>
                <w:rFonts w:hint="eastAsia" w:ascii="宋体" w:hAnsi="宋体" w:eastAsia="宋体" w:cs="宋体"/>
                <w:b/>
                <w:bCs w:val="0"/>
                <w:color w:val="auto"/>
                <w:sz w:val="24"/>
                <w:highlight w:val="none"/>
                <w:lang w:val="en-US" w:eastAsia="zh-CN" w:bidi="ar-SA"/>
              </w:rPr>
              <w:t xml:space="preserve">评委根据投标人提供的应急预案：遇到突发事件（如恶劣天气、公共卫生等）或重大事件的应急措施方案，由评标小组综合评分：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预案体系完善，处置流程规范，处置措施贴合本项目实际，操作性强，得10分； </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预案较完善，流程较为规范，操作性较强，得7分； </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应急措施方案基本完善、程序基本规范、操作性可行性一般，得4分；</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应急措施方案不够完善、程序不够规范、操作性可行性欠缺，得1分； </w:t>
            </w:r>
            <w:r/>
          </w:p>
          <w:p>
            <w:pPr>
              <w:jc w:val="left"/>
              <w:spacing w:line="500" w:lineRule="exact"/>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未提供不得分。</w:t>
            </w:r>
            <w:r/>
          </w:p>
        </w:tc>
      </w:tr>
    </w:tbl>
    <w:p>
      <w:pPr>
        <w:keepLines w:val="0"/>
        <w:keepNext w:val="0"/>
        <w:pageBreakBefore w:val="0"/>
        <w:spacing w:line="160" w:lineRule="exact"/>
        <w:widowControl w:val="off"/>
        <w:rPr>
          <w:rFonts w:hint="eastAsia"/>
          <w:color w:val="auto"/>
        </w:rPr>
      </w:pPr>
      <w:r>
        <w:rPr>
          <w:rFonts w:hint="eastAsia"/>
          <w:color w:val="auto"/>
        </w:rPr>
      </w:r>
      <w:r/>
    </w:p>
    <w:p>
      <w:pPr>
        <w:ind w:firstLine="482"/>
        <w:jc w:val="left"/>
        <w:spacing w:line="400" w:lineRule="atLeast"/>
        <w:rPr>
          <w:rFonts w:hint="eastAsia" w:ascii="宋体" w:hAnsi="宋体" w:cs="宋体"/>
          <w:bCs/>
          <w:color w:val="auto"/>
          <w:sz w:val="24"/>
          <w:highlight w:val="none"/>
        </w:rPr>
      </w:pPr>
      <w:r>
        <w:rPr>
          <w:rFonts w:hint="eastAsia" w:ascii="宋体" w:hAnsi="宋体" w:cs="宋体"/>
          <w:b/>
          <w:bCs w:val="0"/>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1.评分细则中要求提供的证明文件及资料等在投标文件中提供扫描件，并加盖公章。</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3.为便于评审，请投标人按系统招标文件模版样式，结合招标文件项目需求和评分标准，逐条对应编制投标文件。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0" w:name="_Toc28307"/>
      <w:r>
        <w:rPr>
          <w:rFonts w:ascii="宋体" w:hAnsi="宋体"/>
          <w:b/>
          <w:color w:val="auto"/>
          <w:sz w:val="36"/>
          <w:szCs w:val="36"/>
          <w:highlight w:val="none"/>
        </w:rPr>
        <w:t xml:space="preserve">第五章   采购需求</w:t>
      </w:r>
      <w:bookmarkEnd w:id="820"/>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rPr>
        <w:t xml:space="preserve">一、项目</w:t>
      </w:r>
      <w:r>
        <w:rPr>
          <w:rFonts w:hint="eastAsia" w:ascii="宋体" w:hAnsi="宋体" w:eastAsia="宋体" w:cs="宋体"/>
          <w:b/>
          <w:bCs/>
          <w:color w:val="auto"/>
          <w:sz w:val="24"/>
          <w:highlight w:val="none"/>
          <w:lang w:val="en-US" w:eastAsia="zh-CN"/>
        </w:rPr>
        <w:t xml:space="preserve">概况</w:t>
      </w:r>
      <w:r/>
    </w:p>
    <w:p>
      <w:pPr>
        <w:ind w:firstLine="480"/>
        <w:jc w:val="both"/>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本项目为永红派出所食堂食材采购、打包、配送一体化服务项目，食堂预估日均就餐150人次。中标供应商根据采购人每日实际用餐订单，提供全品类食堂食材配送服务；早餐包含包子、点心、牛奶等食物，午、晚餐按需配送新鲜食材。</w:t>
      </w:r>
      <w:r/>
    </w:p>
    <w:p>
      <w:pPr>
        <w:ind w:firstLine="480"/>
        <w:jc w:val="both"/>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履约全程须建立应急供货机制，可快速响应采购人临时紧急补货需求，全面完成本项目约定全部服务内容。</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二、商务要求</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 交付（实施）的时间（期限）和地点（范围）</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服务期限：</w:t>
      </w:r>
      <w:r>
        <w:rPr>
          <w:rFonts w:hint="eastAsia" w:ascii="宋体" w:hAnsi="宋体"/>
          <w:color w:val="auto"/>
          <w:sz w:val="24"/>
          <w:highlight w:val="none"/>
          <w:lang w:val="en-US" w:eastAsia="zh-CN"/>
        </w:rPr>
        <w:t xml:space="preserve">本次采购服务整体周期2年，分两年度执行，合同一年一签。首年服务合同期满，在对应年度预算保障到位且采购人年度履约考核合格的前提下，双方可续签下一年度服务合同；考核不合格、预算无法保障或采购人服务需求发生变化的，采购人有权不予续签、合同到期终止，采购人不承担未续签责任</w:t>
      </w:r>
      <w:r>
        <w:rPr>
          <w:rFonts w:hint="eastAsia" w:ascii="宋体" w:hAnsi="宋体" w:eastAsia="宋体" w:cs="宋体"/>
          <w:bCs/>
          <w:color w:val="auto"/>
          <w:sz w:val="24"/>
          <w:szCs w:val="24"/>
          <w:highlight w:val="none"/>
          <w:lang w:val="en-US" w:eastAsia="zh-CN"/>
        </w:rPr>
        <w:t xml:space="preserve">。</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进场时间：</w:t>
      </w:r>
      <w:r>
        <w:rPr>
          <w:rFonts w:hint="eastAsia" w:ascii="宋体" w:hAnsi="宋体" w:eastAsia="宋体" w:cs="宋体"/>
          <w:bCs/>
          <w:color w:val="auto"/>
          <w:sz w:val="24"/>
          <w:szCs w:val="24"/>
          <w:highlight w:val="none"/>
          <w:lang w:val="en-US" w:eastAsia="zh-CN"/>
        </w:rPr>
        <w:t xml:space="preserve">实际进场配送起始时间以采购人书面通知为准。</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配送地点：永红派出所指定食堂点位。</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 付款条件（进度和方式）</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食材费用：结算时以每日“价格通”农贸菜场菜价均价（单价）为结算单价，采购人验收入库数量作为结算数量。结算价格包含了货物价款、包装物、装卸车费、途中运输费、途中损耗费、检测、验收费、保险费、税金等全部费用。服务期内，优惠率及结算费率不因市场价格变化而调整。</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结算费率=1-优惠率。</w:t>
      </w:r>
      <w:r/>
    </w:p>
    <w:p>
      <w:pPr>
        <w:ind w:firstLine="480"/>
        <w:jc w:val="both"/>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结算价=当日常州市权威部门（价格通）发布的农贸菜场菜价均价（单价）*结算费率*食材入库数量+5*实际送餐份数</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（2）每月15日前采购人与中标人在食材采购系统中完成上月订单结算对账（遇节假日或特殊情况时顺延），确认无误后，中标人根据采购人要求开具发票，采购人收到发票后支付货款。</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（3）因中标人提供的食材不符合合同约定和采购人要求的，采购人有权延期付款。</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 履约保证金要求：</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（1）中标人必须在合同签订之日起5日内，向采购人提供金额为人民币壹万捌仟元整（¥18000.00）的履约保证金。</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（2）如中标人违约、出现被扣罚情况或因过失导致采购人或第三方损失时，采购人可随时对履约保证金进行处置、扣减，如履约保证金不足以赔偿甲方或第三方损失时，采购人还有权继续对乙方进行追讨。</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因处置、扣减履约保证金而使履约保证金数额没达到本项目要求时，采购人有权要求乙方补足保证金。中标人须在接到甲方通知之日起的5个工作日内补足履约保证金，中标人未按时补足履约保证金的，采购人有权解除合同，并没收余下履约保证金。</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(4)合同期满，中标人全部合同义务履行完毕，无违约责任或违约责任已处理完成，采购人在30日内减去处置、扣减金额（如有）后无息退回履约保证金给中标人。</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三、服务内容及服务要求</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（一）采购类别</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1.本项目采购类别主要包括但不限于蔬菜及杂品类、水产类、肉类、禽蛋类、冻品类、豆制品类、粮油类、调味品类、面制品类、乳制品类、水果类等。</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2.具体釆购类别及数量以食材实际采购情况为准。</w:t>
      </w:r>
      <w:r/>
    </w:p>
    <w:p>
      <w:pPr>
        <w:ind w:firstLine="480"/>
        <w:jc w:val="both"/>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供货类别及数量：投标人提供类别及数量以采购人需求的类别及数量为准，若供货类别及数量不足则以实际类别及数量核算，若供货类别及数量超出采购人需求类别及数量则以采购人需求类别及数量为准。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（二）安全、质量、卫生要求：</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1.投标人供应的食材必须符合相关的卫生、食品安全、环保等国家标准，并根据协议约定和食堂提出的品种、规格、品牌、数量、质量要求在规定的时间内及时送到。</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投标人应当在合同履行期间向采购人无条件开放其食品质量安全可溯源管理系统，以便接受采购人监督核查。所有预包装食品要求具备 SC 标志，每批次送货时须提供产品合格证，能够完全承担因所供商品质量等原因所引起的一切责任。</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2.投标人严禁提供以下食品</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（1）无品名、产地、厂名、生产日期、保质期及中文标识及原料说明的定型包装 食品（除蔬菜、面点、早点等非定型包装食品）； </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（2）超过保质期限或不符合食品标签规定的定型包装食品；</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（3）腐败变质、油脂酸败、霉变、生虫、污秽不洁、混有异物或者其他感官性状 异常，含有毒、有害物质或者被有毒、有害物质污染，可能对人体健康有害的食品；</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（4）病死、死因不明或从疫区采购的水产品、畜、禽及其制品，不合格调味品， 工业用盐，非碘盐或非食品原料和滥用食品添加剂，农药残留超标的水果、蔬菜等； </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其他不符合食品卫生标准和要求的食品。如因食品的质量问题引起食物中毒等食源性疾病的发生或其他事故，由投标人负全部责任，并承担由此而引起的全部经济损失及相关法律责任。情节较为严重的，采购人有权立即终止供货协议，并按相关法律处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（三）配送要求：</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正常情况每天送货一次，应急配送的在收到通知后半小时内响应，1小时内完成或提出解决方案。如不能及时响应采购人需求的，则采购人可选择自行采购、开具投标人抬头的发票后，在投标人货款中直接扣除该次应急采购货款。 </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2.投标人必须仔细核对采购清单，确保食堂所需的食品原材料品种、规格、品牌、数量、质量等准确无误，并在规定时间内及时送达。投标人必须按采购人要求提供商品，并按采购人要求格式提供 A4 纸打印的供货表，严禁擅自更换商品品牌、规格。</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3.运输要求：投标人的物资配送车辆做到专车专用，有需要冷藏保鲜的食物应做到保鲜措施运送，防止食物二次污染。货物运输费用及途中产生的费用和风险，由中标人负责。</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4.人员要求：投标人须配备专职信息管理员。</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食材拣配、配送人员均应持有健康证。合同期间配送服务人员应固定，如投标人因故需要调整人员的，须事先书面征得采购人同意并提供健康证明报采购人备案。调整后的服务人员素质、资格标准不得低于原服务人员的标准，投标人应当为新调整的服务人员缴纳社保。如投标人未按上述要求擅自调整服务人员、或指派人员低于原服务人员的标准、或未按国家规定缴纳服务人员社会保险的，采购人有权单方面终止合同。</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（四）验收标准及要求</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1.中标人交货时应同时附上打印的采购订单明细表。</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2.中标人食材送达采购人时，采购人派专人负责进行过秤验收，确认验收入库数量后，双方在采购订单明细表上签字确认。</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采购人在食材使用过程中发现食材质量存在问题的有权提出异议，并要求中标人退换货。采购人在验收时发现送达食材与下单的品种、品牌、规格型号及标准要求、计量单位、采购数量不符，有权提出异议，并要求中标人退换货。</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四、考核管理</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1.考核有下列情形之一者采购人有权立即终止投标人的配送工作，并终止与之签订食材采购合同，并可要求乙方支付相当于前三个月总货款的违约金： </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原材料问题引起的食物中毒等食源性疾病的发生；</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任一月份食材供应评价得分85分（不含）以下；</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被政府监管部门查到故意销售假冒伪劣商品；</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经查实，将部分配送工作分包或转包给他人或其他单位。</w:t>
      </w:r>
      <w:r/>
    </w:p>
    <w:p>
      <w:pPr>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2.考核评价表（采购人有权根据食材采购及配送工作实际情况对相关考核进行细化调整）</w:t>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食材供应评价表</w:t>
      </w:r>
      <w:r/>
    </w:p>
    <w:tbl>
      <w:tblPr>
        <w:tblStyle w:val="1088"/>
        <w:tblW w:w="5364"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2"/>
        <w:gridCol w:w="5788"/>
        <w:gridCol w:w="793"/>
        <w:gridCol w:w="819"/>
      </w:tblGrid>
      <w:tr>
        <w:trPr/>
        <w:tc>
          <w:tcPr>
            <w:tcW w:w="839"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rPr>
              <w:t xml:space="preserve">名称</w:t>
            </w:r>
            <w:r/>
          </w:p>
        </w:tc>
        <w:tc>
          <w:tcPr>
            <w:gridSpan w:val="3"/>
            <w:tcW w:w="4160"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839"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食材采购人名称</w:t>
            </w:r>
            <w:r/>
          </w:p>
        </w:tc>
        <w:tc>
          <w:tcPr>
            <w:gridSpan w:val="3"/>
            <w:tcW w:w="4160"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食材品类</w:t>
            </w:r>
            <w:r/>
          </w:p>
        </w:tc>
        <w:tc>
          <w:tcPr>
            <w:gridSpan w:val="3"/>
            <w:tcW w:w="4160"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蔬菜及杂品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水产</w:t>
            </w:r>
            <w:r>
              <w:rPr>
                <w:rFonts w:hint="eastAsia" w:ascii="宋体" w:hAnsi="宋体" w:eastAsia="宋体" w:cs="宋体"/>
                <w:color w:val="auto"/>
                <w:sz w:val="24"/>
                <w:szCs w:val="24"/>
                <w:highlight w:val="none"/>
                <w:lang w:val="en-US"/>
              </w:rPr>
              <w:tab/>
            </w:r>
            <w:r>
              <w:rPr>
                <w:rFonts w:hint="eastAsia" w:ascii="宋体" w:hAnsi="宋体" w:eastAsia="宋体" w:cs="宋体"/>
                <w:color w:val="auto"/>
                <w:sz w:val="24"/>
                <w:szCs w:val="24"/>
                <w:highlight w:val="none"/>
                <w:lang w:val="en-US"/>
              </w:rPr>
              <w:t xml:space="preserve"></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肉</w:t>
            </w:r>
            <w:r>
              <w:rPr>
                <w:rFonts w:hint="eastAsia" w:ascii="宋体" w:hAnsi="宋体" w:eastAsia="宋体" w:cs="宋体"/>
                <w:color w:val="auto"/>
                <w:sz w:val="24"/>
                <w:szCs w:val="24"/>
                <w:highlight w:val="none"/>
                <w:lang w:val="en-US"/>
              </w:rPr>
              <w:tab/>
            </w:r>
            <w:r>
              <w:rPr>
                <w:rFonts w:hint="eastAsia" w:ascii="宋体" w:hAnsi="宋体" w:eastAsia="宋体" w:cs="宋体"/>
                <w:color w:val="auto"/>
                <w:sz w:val="24"/>
                <w:szCs w:val="24"/>
                <w:highlight w:val="none"/>
                <w:lang w:val="en-US"/>
              </w:rPr>
              <w:t xml:space="preserve"></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禽蛋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冻品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豆制品</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粮油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调味品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面制品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乳制品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水果</w:t>
            </w:r>
            <w:r/>
          </w:p>
        </w:tc>
      </w:tr>
      <w:tr>
        <w:trPr/>
        <w:tc>
          <w:tcPr>
            <w:tcW w:w="839" w:type="pct"/>
            <w:vAlign w:val="top"/>
            <w:textDirection w:val="lrTb"/>
            <w:noWrap w:val="false"/>
          </w:tcPr>
          <w:p>
            <w:pPr>
              <w:pStyle w:val="1087"/>
              <w:ind w:left="0" w:firstLine="0"/>
              <w:jc w:val="center"/>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供应时间</w:t>
            </w:r>
            <w:r/>
          </w:p>
        </w:tc>
        <w:tc>
          <w:tcPr>
            <w:gridSpan w:val="3"/>
            <w:tcW w:w="4160" w:type="pct"/>
            <w:vAlign w:val="top"/>
            <w:textDirection w:val="lrTb"/>
            <w:noWrap w:val="false"/>
          </w:tcPr>
          <w:p>
            <w:pPr>
              <w:pStyle w:val="1087"/>
              <w:ind w:firstLine="0"/>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自    年    月    日起至    年    月    日止</w:t>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指标</w:t>
            </w:r>
            <w:r/>
          </w:p>
        </w:tc>
        <w:tc>
          <w:tcPr>
            <w:tcW w:w="3254"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评价说明</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得分</w:t>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备注</w:t>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送货及时性评价</w:t>
            </w:r>
            <w:r/>
          </w:p>
        </w:tc>
        <w:tc>
          <w:tcPr>
            <w:tcW w:w="3254"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1.几乎总是早于约定时间或在约定时间及时送到，得 18-20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2.偶尔比约定时间晚，但不耽误食堂工作，得13-17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3.送货经常不守时，耽误食堂工作，得 0-12 分。</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食材质量</w:t>
            </w:r>
            <w:r/>
          </w:p>
        </w:tc>
        <w:tc>
          <w:tcPr>
            <w:tcW w:w="3254"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1.物资新鲜，干净卫生，无瑕疵，无污染，得25-30分；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2.经常送存货来，但都可使用，未变质，影响口感，得21-24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3.质量不好，瑕疵品多，有时会送变质过期食品，得0-20 分。</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食材数量</w:t>
            </w:r>
            <w:r/>
          </w:p>
        </w:tc>
        <w:tc>
          <w:tcPr>
            <w:tcW w:w="3254"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1.重量总是足称，不缺斤少两，得 25-30 分； </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2.偶尔有重量不合格现象，但有证据显示不是有意的，得21-24分；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3.重量经常不达标，有意缺斤短两者，得 0-20分。</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83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服务态度评价</w:t>
            </w:r>
            <w:r/>
          </w:p>
        </w:tc>
        <w:tc>
          <w:tcPr>
            <w:tcW w:w="3254"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1.与</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rPr>
              <w:t xml:space="preserve">联系，态度良好、诚恳，有问题及时改正，得 18-20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2.态度一般，但与之合作基本不影响食堂工作，有问题整改稍有拖延，得 13-17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3.态度恶劣，有欺诈、怠慢行为，影响食堂工作，有问题严重拖延整改，得 0-12 分。</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rHeight w:val="677"/>
        </w:trPr>
        <w:tc>
          <w:tcPr>
            <w:gridSpan w:val="2"/>
            <w:tcW w:w="4093"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综合得分</w:t>
            </w:r>
            <w:r/>
          </w:p>
        </w:tc>
        <w:tc>
          <w:tcPr>
            <w:tcW w:w="446"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5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bl>
    <w:p>
      <w:pPr>
        <w:ind w:firstLine="3840"/>
        <w:jc w:val="left"/>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食材采购人名称（盖章）：</w:t>
      </w:r>
      <w:r/>
    </w:p>
    <w:p>
      <w:pPr>
        <w:ind w:firstLine="3840"/>
        <w:jc w:val="left"/>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rPr>
        <w:tab/>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违约、违规处理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必须接受采购人的监督，采购人将以定期检查、不定期抽查、举报核查的方式，对食材品质、卫生检疫、人员健康、食材重量、配送时间、服务质量、价款结算等内容进行查验监督检查。</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（1）违约情形的认定</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无正当理由拒绝配送采购人指定食材，超过一次的；不按合同规定提供服务或因延误配送时间影响采购人正常使用，超过三次的；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未按照合同规定要求擅自抬高收费价格，超过一次的；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所送的产品质量、品牌、规格等与承诺不符的；存在假冒伪劣产品的；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 存在虚报、瞒报食材重量或以假充真等手段配送食材，经查实的；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 被采购人书面要求退货、换货后，仍拒不履行的；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⑥ 擅自将食材配送业务转包、分包给第三人经营，经查实的；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⑦ 通过给予回扣或变相给予回扣等方式谋取不当利益，经查实的；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⑧ 发生质量纠纷时，拒不履行检测义务的；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⑨ 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原因造成食品安全责任事故的；因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原因给采购人造成负面社会影响，或负面舆论的；因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原因在采购人区域内造成安全事故，且影响恶劣的；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⑩ 其它违反法律、法规的行为。</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（2）违约处罚</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在服务期间，如出现违约情形之一者，经查实并报采购人后，将对违约单位作如下处理（酌情进行单项处罚或并处）：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采购人对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实行履约管理，每次从货款中扣除相应金额；</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情节严重的采购人可取消其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供货资格；</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对采购人造成损失的，由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负责赔偿，因此产生的法律责任由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 取消其参与下一轮食材</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采购项目的投标资格；</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 情节恶劣造成严重负面影响的，采购人将其不诚信行为报送采购主管部门，并将其列入政府采购黑名单。</w:t>
      </w:r>
      <w:r/>
    </w:p>
    <w:p>
      <w:pPr>
        <w:ind w:firstLine="482"/>
        <w:spacing w:line="360" w:lineRule="auto"/>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lang w:val="en-US" w:eastAsia="zh-CN"/>
        </w:rPr>
        <w:t xml:space="preserve">五、其他</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如出现</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自身管理或沟通不利使员工通过各类渠道或以其他方式对采购人的声誉造成不利影响，以及因</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服务质量或员工素质等原因有损采购人的社会公众形象、口碑等情况，</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必须第一时间负责将不利影响降到最低并及时妥善处理，同时承担由此造成的声誉损失后果。采购人保留从经济、法律或其他形式向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追究责任的权利。</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擅自将服务合同转包、分包给第三人的或委托其他单位经营管理的，以及</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违反法律法规、规章或其他相关规范性文件的规定，影响合同履行的，采购人有权无条件终止本项目合同而无须向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支付任何费用或承担其他任何责任，由此产生的经济损失和法律责任均由</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承担。</w:t>
      </w:r>
      <w:r/>
    </w:p>
    <w:p>
      <w:pPr>
        <w:pStyle w:val="1044"/>
        <w:numPr>
          <w:ilvl w:val="0"/>
          <w:numId w:val="0"/>
        </w:numPr>
        <w:rPr>
          <w:rFonts w:hint="eastAsia"/>
          <w:color w:val="auto"/>
        </w:rPr>
      </w:pPr>
      <w:r>
        <w:rPr>
          <w:rFonts w:hint="eastAsia"/>
          <w:color w:val="auto"/>
        </w:rPr>
      </w:r>
      <w:r/>
    </w:p>
    <w:p>
      <w:pPr>
        <w:pStyle w:val="1044"/>
        <w:rPr>
          <w:rFonts w:hint="eastAsia"/>
          <w:color w:val="auto"/>
        </w:rPr>
      </w:pPr>
      <w:r>
        <w:rPr>
          <w:rFonts w:hint="eastAsia"/>
          <w:color w:val="auto"/>
        </w:rPr>
      </w:r>
      <w:r/>
    </w:p>
    <w:p>
      <w:pPr>
        <w:rPr>
          <w:rFonts w:ascii="宋体" w:hAnsi="宋体"/>
          <w:b/>
          <w:color w:val="auto"/>
          <w:sz w:val="36"/>
          <w:szCs w:val="36"/>
          <w:highlight w:val="none"/>
        </w:rPr>
      </w:pPr>
      <w:r>
        <w:rPr>
          <w:rFonts w:ascii="宋体" w:hAnsi="宋体" w:eastAsia="宋体" w:cs="仿宋"/>
          <w:color w:val="auto"/>
          <w:sz w:val="24"/>
          <w:szCs w:val="24"/>
          <w:highlight w:val="none"/>
        </w:rPr>
        <w:br w:type="page" w:clear="all"/>
      </w:r>
      <w:bookmarkStart w:id="821" w:name="_Toc8697"/>
      <w:r/>
      <w:r/>
    </w:p>
    <w:p>
      <w:pPr>
        <w:jc w:val="center"/>
        <w:spacing w:line="440" w:lineRule="exact"/>
        <w:rPr>
          <w:rFonts w:ascii="宋体" w:hAnsi="宋体"/>
          <w:b/>
          <w:color w:val="auto"/>
          <w:sz w:val="36"/>
          <w:szCs w:val="36"/>
          <w:highlight w:val="none"/>
        </w:rPr>
      </w:pPr>
      <w:r>
        <w:rPr>
          <w:rFonts w:ascii="宋体" w:hAnsi="宋体"/>
          <w:b/>
          <w:color w:val="auto"/>
          <w:sz w:val="36"/>
          <w:szCs w:val="36"/>
          <w:highlight w:val="none"/>
        </w:rPr>
        <w:t xml:space="preserve">第六章   拟签订的合同文本</w:t>
      </w:r>
      <w:bookmarkEnd w:id="821"/>
      <w:r/>
      <w:r/>
    </w:p>
    <w:p>
      <w:pPr>
        <w:ind w:firstLine="480"/>
        <w:spacing w:line="360" w:lineRule="auto"/>
        <w:rPr>
          <w:color w:val="auto"/>
          <w:sz w:val="24"/>
          <w:highlight w:val="none"/>
        </w:rPr>
      </w:pPr>
      <w:r/>
      <w:bookmarkStart w:id="822"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2"/>
      <w:r/>
      <w:r/>
    </w:p>
    <w:p>
      <w:pPr>
        <w:pStyle w:val="1066"/>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甲、乙双方依据《中华人民共和国民法典》以及有关法律、法规的规定，经协商一致，订立本合同，以便共同遵守。</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一、项目概况 </w:t>
      </w:r>
      <w:r/>
    </w:p>
    <w:p>
      <w:pPr>
        <w:ind w:firstLine="480"/>
        <w:jc w:val="left"/>
        <w:spacing w:line="360" w:lineRule="auto"/>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t xml:space="preserve">1、项目名称：</w:t>
      </w:r>
      <w:r>
        <w:rPr>
          <w:rFonts w:hint="eastAsia" w:ascii="宋体" w:hAnsi="宋体" w:cs="宋体"/>
          <w:color w:val="auto"/>
          <w:sz w:val="24"/>
          <w:highlight w:val="none"/>
          <w:lang w:eastAsia="zh-CN" w:bidi="ar"/>
        </w:rPr>
        <w:t xml:space="preserve">永红派出所食堂食材供货配送项目</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项目内容：</w:t>
      </w:r>
      <w:r>
        <w:rPr>
          <w:rFonts w:hint="eastAsia" w:ascii="宋体" w:hAnsi="宋体" w:eastAsia="宋体" w:cs="宋体"/>
          <w:color w:val="auto"/>
          <w:sz w:val="24"/>
          <w:highlight w:val="none"/>
          <w:lang w:eastAsia="zh-CN" w:bidi="ar"/>
        </w:rPr>
        <w:t xml:space="preserve">本项目为</w:t>
      </w:r>
      <w:r>
        <w:rPr>
          <w:rFonts w:hint="eastAsia" w:ascii="宋体" w:hAnsi="宋体" w:cs="宋体"/>
          <w:color w:val="auto"/>
          <w:sz w:val="24"/>
          <w:highlight w:val="none"/>
          <w:lang w:eastAsia="zh-CN" w:bidi="ar"/>
        </w:rPr>
        <w:t xml:space="preserve">永红派出所食堂食材供货配送项目</w:t>
      </w:r>
      <w:r>
        <w:rPr>
          <w:rFonts w:hint="eastAsia" w:ascii="宋体" w:hAnsi="宋体" w:eastAsia="宋体" w:cs="宋体"/>
          <w:color w:val="auto"/>
          <w:sz w:val="24"/>
          <w:highlight w:val="none"/>
          <w:lang w:eastAsia="zh-CN" w:bidi="ar"/>
        </w:rPr>
        <w:t xml:space="preserve">，预计每日用餐150人次</w:t>
      </w:r>
      <w:r>
        <w:rPr>
          <w:rFonts w:hint="eastAsia" w:ascii="宋体" w:hAnsi="宋体" w:eastAsia="宋体" w:cs="宋体"/>
          <w:color w:val="auto"/>
          <w:sz w:val="24"/>
          <w:highlight w:val="none"/>
          <w:lang w:bidi="ar"/>
        </w:rPr>
        <w:t xml:space="preserve">，服务范围包括但不限于</w:t>
      </w:r>
      <w:r>
        <w:rPr>
          <w:rFonts w:hint="eastAsia" w:ascii="宋体" w:hAnsi="宋体" w:eastAsia="宋体" w:cs="宋体"/>
          <w:color w:val="auto"/>
          <w:sz w:val="24"/>
          <w:highlight w:val="none"/>
          <w:lang w:val="en-US" w:eastAsia="zh-CN" w:bidi="ar"/>
        </w:rPr>
        <w:t xml:space="preserve">根据采购单位的食堂实际需求</w:t>
      </w:r>
      <w:r>
        <w:rPr>
          <w:rFonts w:hint="eastAsia" w:ascii="宋体" w:hAnsi="宋体" w:eastAsia="宋体" w:cs="宋体"/>
          <w:color w:val="auto"/>
          <w:sz w:val="24"/>
          <w:highlight w:val="none"/>
          <w:lang w:bidi="ar"/>
        </w:rPr>
        <w:t xml:space="preserve">供应</w:t>
      </w:r>
      <w:r>
        <w:rPr>
          <w:rFonts w:hint="eastAsia" w:ascii="宋体" w:hAnsi="宋体" w:eastAsia="宋体" w:cs="宋体"/>
          <w:color w:val="auto"/>
          <w:sz w:val="24"/>
          <w:highlight w:val="none"/>
          <w:lang w:val="en-US" w:eastAsia="zh-CN" w:bidi="ar"/>
        </w:rPr>
        <w:t xml:space="preserve">食材，早餐包含包子、点心、牛奶等食物，中午和晚上按需配送新鲜食材。在特殊情况下，能够满足紧急送货需求，以及完成本项目要求的其他相关内容。</w:t>
      </w:r>
      <w:r/>
    </w:p>
    <w:p>
      <w:pPr>
        <w:numPr>
          <w:ilvl w:val="0"/>
          <w:numId w:val="0"/>
        </w:num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3、配送地点：永红派出所</w:t>
      </w:r>
      <w:r>
        <w:rPr>
          <w:rFonts w:hint="eastAsia" w:ascii="宋体" w:hAnsi="宋体" w:eastAsia="宋体" w:cs="宋体"/>
          <w:color w:val="auto"/>
          <w:sz w:val="24"/>
          <w:highlight w:val="none"/>
          <w:lang w:eastAsia="zh-CN" w:bidi="ar"/>
        </w:rPr>
        <w:t xml:space="preserve">食堂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二、服务期限 </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s="宋体"/>
          <w:color w:val="auto"/>
          <w:sz w:val="24"/>
          <w:highlight w:val="none"/>
          <w:lang w:bidi="ar"/>
        </w:rPr>
        <w:t xml:space="preserve">1、服务期限：</w:t>
      </w:r>
      <w:r>
        <w:rPr>
          <w:rFonts w:hint="eastAsia" w:ascii="宋体" w:hAnsi="宋体"/>
          <w:color w:val="auto"/>
          <w:sz w:val="24"/>
          <w:highlight w:val="none"/>
          <w:lang w:val="en-US" w:eastAsia="zh-CN"/>
        </w:rPr>
        <w:t xml:space="preserve">本次采购服务整体周期2年，分两年度执行，合同一年一签。首年服务合同期满，在对应年度预算保障到位且甲方年度履约考核合格的前提下，双方可续签下一年度服务合同；考核不合格、预算无法保障或甲方服务需求发生变化的，甲方有权不予续签、合同到期终止，甲方不承担未续签责任。</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2、本合同执行</w:t>
      </w:r>
      <w:r>
        <w:rPr>
          <w:rFonts w:hint="eastAsia" w:ascii="宋体" w:hAnsi="宋体" w:cs="宋体"/>
          <w:color w:val="auto"/>
          <w:sz w:val="24"/>
          <w:highlight w:val="none"/>
          <w:lang w:val="en-US" w:eastAsia="zh-CN" w:bidi="ar"/>
        </w:rPr>
        <w:t xml:space="preserve">期：</w:t>
      </w:r>
      <w:r>
        <w:rPr>
          <w:rFonts w:hint="eastAsia" w:ascii="宋体" w:hAnsi="宋体" w:cs="宋体"/>
          <w:color w:val="auto"/>
          <w:sz w:val="24"/>
          <w:highlight w:val="none"/>
          <w:lang w:bidi="ar"/>
        </w:rPr>
        <w:t xml:space="preserve">自20</w:t>
      </w:r>
      <w:r>
        <w:rPr>
          <w:rFonts w:hint="eastAsia" w:ascii="宋体" w:hAnsi="宋体" w:cs="宋体"/>
          <w:color w:val="auto"/>
          <w:sz w:val="24"/>
          <w:highlight w:val="none"/>
          <w:lang w:val="en-US" w:eastAsia="zh-CN" w:bidi="ar"/>
        </w:rPr>
        <w:t xml:space="preserve">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日起至20</w:t>
      </w:r>
      <w:r>
        <w:rPr>
          <w:rFonts w:hint="eastAsia" w:ascii="宋体" w:hAnsi="宋体" w:cs="宋体"/>
          <w:color w:val="auto"/>
          <w:sz w:val="24"/>
          <w:highlight w:val="none"/>
          <w:lang w:val="en-US" w:eastAsia="zh-CN" w:bidi="ar"/>
        </w:rPr>
        <w:t xml:space="preserve">27</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日止。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三、合同组成部分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下列文件为本合同不可分割部分：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（1）中标通知书；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（2）乙方的</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文件；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（3）乙方在招投标过程中所作的其它承诺、声明、书面澄清等；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（4）采购文件及其附件；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（5）合同附件。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以上文件与本合同具有同等法律效力。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四、合同价格及费用结算 </w:t>
      </w:r>
      <w:r/>
    </w:p>
    <w:p>
      <w:pPr>
        <w:contextualSpacing/>
        <w:ind w:firstLine="420"/>
        <w:keepLines w:val="0"/>
        <w:keepNext w:val="0"/>
        <w:pageBreakBefore w:val="0"/>
        <w:spacing w:line="360" w:lineRule="auto"/>
        <w:shd w:val="clear" w:color="auto" w:fill="auto"/>
        <w:widowControl w:val="off"/>
        <w:rPr>
          <w:rFonts w:hint="eastAsia"/>
          <w:color w:val="auto"/>
          <w:highlight w:val="none"/>
          <w:lang w:val="en-US" w:eastAsia="zh-CN"/>
        </w:rPr>
      </w:pPr>
      <w:r>
        <w:rPr>
          <w:rFonts w:hint="eastAsia"/>
          <w:color w:val="auto"/>
          <w:sz w:val="24"/>
          <w:szCs w:val="32"/>
          <w:highlight w:val="none"/>
        </w:rPr>
        <w:t xml:space="preserve">（1）</w:t>
      </w:r>
      <w:r>
        <w:rPr>
          <w:rFonts w:hint="eastAsia"/>
          <w:color w:val="auto"/>
          <w:sz w:val="24"/>
          <w:szCs w:val="32"/>
          <w:highlight w:val="none"/>
          <w:lang w:val="en-US" w:eastAsia="zh-CN"/>
        </w:rPr>
        <w:t xml:space="preserve">食材费用：</w:t>
      </w:r>
      <w:r>
        <w:rPr>
          <w:rFonts w:hint="eastAsia" w:ascii="Times New Roman" w:hAnsi="Times New Roman" w:cs="Times New Roman"/>
          <w:color w:val="auto"/>
          <w:sz w:val="24"/>
          <w:highlight w:val="none"/>
        </w:rPr>
        <w:t xml:space="preserve">结算时以每日“价格通”</w:t>
      </w:r>
      <w:r>
        <w:rPr>
          <w:rFonts w:hint="eastAsia" w:ascii="Times New Roman" w:hAnsi="Times New Roman" w:eastAsia="宋体" w:cs="Times New Roman"/>
          <w:color w:val="auto"/>
          <w:sz w:val="24"/>
          <w:highlight w:val="none"/>
        </w:rPr>
        <w:t xml:space="preserve">农贸菜场菜价均价（单价）为结算单价</w:t>
      </w:r>
      <w:r>
        <w:rPr>
          <w:rFonts w:hint="eastAsia" w:ascii="Times New Roman" w:hAnsi="Times New Roman"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甲方</w:t>
      </w:r>
      <w:r>
        <w:rPr>
          <w:rFonts w:hint="eastAsia" w:ascii="Times New Roman" w:hAnsi="Times New Roman" w:cs="Times New Roman"/>
          <w:color w:val="auto"/>
          <w:sz w:val="24"/>
          <w:highlight w:val="none"/>
        </w:rPr>
        <w:t xml:space="preserve">验收入库数量作为结算数量。结算价格包含了货物价款、包装物、装卸车费、途中运输费、途中损耗费、检测、验收费、保险费、税金等全部费</w:t>
      </w:r>
      <w:r>
        <w:rPr>
          <w:rFonts w:hint="eastAsia" w:ascii="Times New Roman" w:hAnsi="Times New Roman" w:eastAsia="宋体" w:cs="Times New Roman"/>
          <w:color w:val="auto"/>
          <w:sz w:val="24"/>
          <w:highlight w:val="none"/>
        </w:rPr>
        <w:t xml:space="preserve">用。</w:t>
      </w:r>
      <w:r>
        <w:rPr>
          <w:rFonts w:hint="eastAsia" w:ascii="Times New Roman" w:hAnsi="Times New Roman" w:eastAsia="宋体" w:cs="Times New Roman"/>
          <w:color w:val="auto"/>
          <w:sz w:val="24"/>
          <w:highlight w:val="none"/>
          <w:lang w:val="en-US" w:eastAsia="zh-CN"/>
        </w:rPr>
        <w:t xml:space="preserve">服务期内，优惠率及结算费率不因市场价格变化而调整。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本合同优惠率为</w:t>
      </w:r>
      <w:r>
        <w:rPr>
          <w:rFonts w:hint="eastAsia" w:ascii="Times New Roman" w:hAnsi="Times New Roman" w:eastAsia="宋体" w:cs="Times New Roman"/>
          <w:color w:val="auto"/>
          <w:sz w:val="24"/>
          <w:highlight w:val="none"/>
          <w:u w:val="none"/>
          <w:lang w:val="en-US" w:eastAsia="zh-CN"/>
        </w:rPr>
        <w:t xml:space="preserve">：</w:t>
      </w:r>
      <w:r>
        <w:rPr>
          <w:rFonts w:hint="eastAsia" w:ascii="Times New Roman" w:hAnsi="Times New Roman" w:eastAsia="宋体" w:cs="Times New Roman"/>
          <w:color w:val="auto"/>
          <w:sz w:val="24"/>
          <w:highlight w:val="none"/>
          <w:u w:val="single"/>
          <w:lang w:val="en-US" w:eastAsia="zh-CN"/>
        </w:rPr>
        <w:t xml:space="preserve">        % </w:t>
      </w:r>
      <w:r>
        <w:rPr>
          <w:rFonts w:hint="eastAsia" w:ascii="Times New Roman" w:hAnsi="Times New Roman" w:eastAsia="宋体" w:cs="Times New Roman"/>
          <w:color w:val="auto"/>
          <w:sz w:val="24"/>
          <w:highlight w:val="none"/>
          <w:lang w:val="en-US" w:eastAsia="zh-CN"/>
        </w:rPr>
        <w:t xml:space="preserve">，即结算费率为：</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lang w:val="en-US" w:eastAsia="zh-CN"/>
        </w:rPr>
        <w:t xml:space="preserve"> 。结算费率=1-优惠率。</w:t>
      </w:r>
      <w:r/>
    </w:p>
    <w:p>
      <w:pPr>
        <w:contextualSpacing/>
        <w:ind w:firstLine="420"/>
        <w:keepLines w:val="0"/>
        <w:keepNext w:val="0"/>
        <w:pageBreakBefore w:val="0"/>
        <w:spacing w:line="360" w:lineRule="auto"/>
        <w:shd w:val="clear" w:color="auto" w:fill="auto"/>
        <w:widowControl w:val="off"/>
        <w:rPr>
          <w:rFonts w:hint="eastAsia"/>
          <w:color w:val="auto"/>
          <w:highlight w:val="none"/>
          <w:lang w:val="en-US" w:eastAsia="zh-CN"/>
        </w:rPr>
      </w:pPr>
      <w:r>
        <w:rPr>
          <w:rFonts w:hint="eastAsia" w:ascii="Times New Roman" w:hAnsi="Times New Roman" w:eastAsia="宋体" w:cs="Times New Roman"/>
          <w:color w:val="auto"/>
          <w:sz w:val="24"/>
          <w:highlight w:val="none"/>
          <w:lang w:val="en-US" w:eastAsia="zh-CN"/>
        </w:rPr>
        <w:t xml:space="preserve">结算价=当日常州市权威部门（价格通）发布的农贸菜场菜价均价（单价）*结算费率*食材入库数量+5*实际送餐份数</w:t>
      </w:r>
      <w:r/>
    </w:p>
    <w:p>
      <w:pPr>
        <w:pStyle w:val="1087"/>
        <w:numPr>
          <w:ilvl w:val="0"/>
          <w:numId w:val="0"/>
        </w:numPr>
        <w:ind w:firstLine="480"/>
        <w:spacing w:line="360" w:lineRule="auto"/>
        <w:rPr>
          <w:rFonts w:hint="eastAsia"/>
          <w:color w:val="auto"/>
          <w:highlight w:val="none"/>
          <w:lang w:eastAsia="zh-CN"/>
        </w:rPr>
      </w:pPr>
      <w:r>
        <w:rPr>
          <w:rFonts w:hint="eastAsia"/>
          <w:color w:val="auto"/>
          <w:sz w:val="24"/>
          <w:szCs w:val="32"/>
          <w:highlight w:val="none"/>
        </w:rPr>
        <w:t xml:space="preserve">（</w:t>
      </w:r>
      <w:r>
        <w:rPr>
          <w:rFonts w:hint="eastAsia"/>
          <w:color w:val="auto"/>
          <w:sz w:val="24"/>
          <w:szCs w:val="32"/>
          <w:highlight w:val="none"/>
          <w:lang w:val="en-US" w:eastAsia="zh-CN"/>
        </w:rPr>
        <w:t xml:space="preserve">2</w:t>
      </w:r>
      <w:r>
        <w:rPr>
          <w:rFonts w:hint="eastAsia"/>
          <w:color w:val="auto"/>
          <w:sz w:val="24"/>
          <w:szCs w:val="32"/>
          <w:highlight w:val="none"/>
        </w:rPr>
        <w:t xml:space="preserve">）</w:t>
      </w:r>
      <w:r>
        <w:rPr>
          <w:rFonts w:hint="eastAsia" w:ascii="Times New Roman" w:hAnsi="Times New Roman" w:eastAsia="宋体" w:cs="Times New Roman"/>
          <w:color w:val="auto"/>
          <w:sz w:val="24"/>
          <w:szCs w:val="24"/>
          <w:highlight w:val="none"/>
          <w:lang w:val="en-US" w:eastAsia="zh-CN" w:bidi="ar-SA"/>
        </w:rPr>
        <w:t xml:space="preserve">每月15日前甲方与乙方在食材采购系统中完成上月订单结算对账（遇节假日或特殊情况时顺延），确认无误后，乙方根据甲方要求开具发票，甲方收到发票后支付货款。</w:t>
      </w:r>
      <w:r/>
    </w:p>
    <w:p>
      <w:pPr>
        <w:pStyle w:val="1087"/>
        <w:numPr>
          <w:ilvl w:val="0"/>
          <w:numId w:val="0"/>
        </w:numPr>
        <w:ind w:firstLine="480"/>
        <w:spacing w:line="360" w:lineRule="auto"/>
        <w:rPr>
          <w:rFonts w:hint="eastAsia"/>
          <w:color w:val="auto"/>
          <w:highlight w:val="none"/>
          <w:lang w:eastAsia="zh-CN"/>
        </w:rPr>
      </w:pPr>
      <w:r>
        <w:rPr>
          <w:rFonts w:hint="eastAsia"/>
          <w:color w:val="auto"/>
          <w:sz w:val="24"/>
          <w:szCs w:val="32"/>
          <w:highlight w:val="none"/>
        </w:rPr>
        <w:t xml:space="preserve">（</w:t>
      </w:r>
      <w:r>
        <w:rPr>
          <w:rFonts w:hint="eastAsia"/>
          <w:color w:val="auto"/>
          <w:sz w:val="24"/>
          <w:szCs w:val="32"/>
          <w:highlight w:val="none"/>
          <w:lang w:val="en-US" w:eastAsia="zh-CN"/>
        </w:rPr>
        <w:t xml:space="preserve">3</w:t>
      </w:r>
      <w:r>
        <w:rPr>
          <w:rFonts w:hint="eastAsia"/>
          <w:color w:val="auto"/>
          <w:sz w:val="24"/>
          <w:szCs w:val="32"/>
          <w:highlight w:val="none"/>
        </w:rPr>
        <w:t xml:space="preserve">）</w:t>
      </w:r>
      <w:r>
        <w:rPr>
          <w:rFonts w:hint="eastAsia" w:ascii="Times New Roman" w:hAnsi="Times New Roman" w:eastAsia="宋体" w:cs="Times New Roman"/>
          <w:color w:val="auto"/>
          <w:sz w:val="24"/>
          <w:szCs w:val="32"/>
          <w:highlight w:val="none"/>
          <w:lang w:val="en-US" w:eastAsia="zh-CN" w:bidi="ar-SA"/>
        </w:rPr>
        <w:t xml:space="preserve">因乙方提供的食材不符合合同约定和甲方要求的，甲方有权延期付款。</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五、履约保证金 </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1、乙方必须在</w:t>
      </w:r>
      <w:r>
        <w:rPr>
          <w:rFonts w:hint="eastAsia" w:ascii="宋体" w:hAnsi="宋体" w:eastAsia="宋体" w:cs="宋体"/>
          <w:b w:val="0"/>
          <w:bCs/>
          <w:color w:val="auto"/>
          <w:sz w:val="24"/>
          <w:szCs w:val="24"/>
          <w:highlight w:val="none"/>
        </w:rPr>
        <w:t xml:space="preserve">合同签订之日起5日内</w:t>
      </w:r>
      <w:r>
        <w:rPr>
          <w:rFonts w:hint="eastAsia" w:ascii="宋体" w:hAnsi="宋体" w:eastAsia="宋体" w:cs="宋体"/>
          <w:bCs/>
          <w:color w:val="auto"/>
          <w:sz w:val="24"/>
          <w:szCs w:val="24"/>
          <w:highlight w:val="none"/>
        </w:rPr>
        <w:t xml:space="preserve">，向甲方提供金额为</w:t>
      </w:r>
      <w:r>
        <w:rPr>
          <w:rFonts w:hint="eastAsia" w:ascii="宋体" w:hAnsi="宋体" w:eastAsia="宋体" w:cs="宋体"/>
          <w:b/>
          <w:color w:val="auto"/>
          <w:sz w:val="24"/>
          <w:szCs w:val="24"/>
          <w:highlight w:val="none"/>
          <w:u w:val="single"/>
        </w:rPr>
        <w:t xml:space="preserve">人民币</w:t>
      </w:r>
      <w:r>
        <w:rPr>
          <w:rFonts w:hint="eastAsia" w:ascii="宋体" w:hAnsi="宋体" w:cs="宋体"/>
          <w:b/>
          <w:color w:val="auto"/>
          <w:sz w:val="24"/>
          <w:szCs w:val="24"/>
          <w:highlight w:val="none"/>
          <w:u w:val="single"/>
          <w:lang w:val="en-US" w:eastAsia="zh-CN"/>
        </w:rPr>
        <w:t xml:space="preserve">壹万捌仟</w:t>
      </w:r>
      <w:r>
        <w:rPr>
          <w:rFonts w:hint="eastAsia" w:ascii="宋体" w:hAnsi="宋体" w:eastAsia="宋体" w:cs="宋体"/>
          <w:b/>
          <w:color w:val="auto"/>
          <w:sz w:val="24"/>
          <w:szCs w:val="24"/>
          <w:highlight w:val="none"/>
          <w:u w:val="single"/>
        </w:rPr>
        <w:t xml:space="preserve">元整（¥</w:t>
      </w:r>
      <w:r>
        <w:rPr>
          <w:rFonts w:hint="eastAsia" w:ascii="宋体" w:hAnsi="宋体" w:cs="宋体"/>
          <w:b/>
          <w:color w:val="auto"/>
          <w:sz w:val="24"/>
          <w:szCs w:val="24"/>
          <w:highlight w:val="none"/>
          <w:u w:val="single"/>
          <w:lang w:val="en-US" w:eastAsia="zh-CN"/>
        </w:rPr>
        <w:t xml:space="preserve">18000</w:t>
      </w:r>
      <w:r>
        <w:rPr>
          <w:rFonts w:hint="eastAsia" w:ascii="宋体" w:hAnsi="宋体" w:eastAsia="宋体" w:cs="宋体"/>
          <w:b/>
          <w:color w:val="auto"/>
          <w:sz w:val="24"/>
          <w:szCs w:val="24"/>
          <w:highlight w:val="none"/>
          <w:u w:val="single"/>
        </w:rPr>
        <w:t xml:space="preserve">.00）</w:t>
      </w:r>
      <w:r>
        <w:rPr>
          <w:rFonts w:hint="eastAsia" w:ascii="宋体" w:hAnsi="宋体" w:eastAsia="宋体" w:cs="宋体"/>
          <w:bCs/>
          <w:color w:val="auto"/>
          <w:sz w:val="24"/>
          <w:szCs w:val="24"/>
          <w:highlight w:val="none"/>
        </w:rPr>
        <w:t xml:space="preserve">的履约保证金。</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2、如乙方违约、出现被扣罚情况或因过失导致甲方或第三方损失时，甲方可随时对履约保证金进行处置、扣减，如履约保证金不足以赔偿甲方或第三方损失时，甲方还有权继续对乙方进行追讨。</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因处置、扣减履约保证金而使履约保证金数额没达到本项目要求时，甲方有权要求乙方补足保证金。乙方须在接到甲方通知之日起的5个工作日内补足履约保证金，乙方未按时补足履约保证金的，甲方有权解除合同，并没收余下履约保证金。</w:t>
      </w:r>
      <w:r/>
    </w:p>
    <w:p>
      <w:pPr>
        <w:ind w:firstLine="480"/>
        <w:spacing w:line="360" w:lineRule="auto"/>
        <w:rPr>
          <w:rFonts w:hint="eastAsia" w:ascii="宋体" w:hAnsi="宋体" w:eastAsia="宋体" w:cs="宋体"/>
          <w:b/>
          <w:bCs/>
          <w:color w:val="auto"/>
          <w:sz w:val="24"/>
          <w:highlight w:val="none"/>
          <w:lang w:bidi="ar"/>
        </w:rPr>
        <w:outlineLvl w:val="9"/>
      </w:pPr>
      <w:r>
        <w:rPr>
          <w:rFonts w:hint="eastAsia" w:ascii="宋体" w:hAnsi="宋体" w:eastAsia="宋体" w:cs="宋体"/>
          <w:bCs/>
          <w:color w:val="auto"/>
          <w:sz w:val="24"/>
          <w:szCs w:val="24"/>
          <w:highlight w:val="none"/>
        </w:rPr>
        <w:t xml:space="preserve">4、合同期满，乙方全部合同义务履行完毕，无违约责任或违约责任已处理完成，甲方在30日内减去处置、扣减金额（如有）后无息退回履约保证金给乙方。</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六、甲、乙双方的责任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（一）甲方责任：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1、合同有效期内，采购单位根据食堂实际情况下单采购乙方提供的食材并由乙方配</w:t>
      </w:r>
      <w:r>
        <w:rPr>
          <w:rFonts w:hint="eastAsia" w:ascii="宋体" w:hAnsi="宋体" w:cs="宋体"/>
          <w:color w:val="auto"/>
          <w:sz w:val="24"/>
          <w:highlight w:val="none"/>
          <w:lang w:val="en-US" w:eastAsia="zh-CN" w:bidi="ar"/>
        </w:rPr>
        <w:t xml:space="preserve">送。</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2、食材每日送货一次。验收货物时清单必须仔细核对，确保所需食材项目、数量、质量准确无误。食堂遇特殊配送要求时，应视情提前与乙方联系。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3、甲方须配备食品安全管理员，相关人员需做到专人专岗、挂牌上岗、定期轮岗， 严格落实相关工作流程，严格履行索证制度有关规定，设立开放监督席，填写验收环节相关表单，做到台账齐全。验收时须仔细核对采购清单，认真把好质量、数量、规格、退货、送货单核对签字等环节，严格执行验货标准、入出库和索证制度，向乙方索取食材的检验合格证或者化验单，并做好索证登记工作；确认无误后，在乙方的送货单上签收并留一份存档； 发现乙方违规，应按照合同相关条款处理，并记录在案。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4、甲方加强教育宣传工作：食堂工作人员要支持、配合乙方工作，使食堂配送工作有序有效进行。对乙方做到不索要，不为难，不马虎。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5、甲方有权参与配送工作的全程监督与管理，及时收集意见，积极加强与乙方的业务联系。如有需要，可约见乙方，当面商定进一步完善工作的措施。每个月做好对乙方的考核工作。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6、甲方明确卫生负责人，负责检查配送食材的卫生安全情况，并做好 24 小时的食物留样，若出现问题，可提供有力证据。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（二）乙方责任：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1、乙方必须严格履行投标时的一切承诺。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2、乙方承接甲方的食材配送工作，须拥有正规合法的配送运输设备及车辆，采取相关措施确保所配送的食材保持新鲜优质（特别是炎热天气）。食材分拣和配送人员须持健康证上岗。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3、乙方应服从政府相关职能部门的业务指导和监管，服从甲方的管理，听取和接受甲方对食材配送情况的意见和建议，对符合合同规定的相关要求，乙方须无条件执行。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乙方根据投标书的有关承诺条款，联系配送工作的具体情况，严格执行食品法的规定，建立并自觉履行食品卫生安全和食品质量的保障机制，确保安全。乙方对当天配送的所有食材均应留样待查，以便出现问题后进行反查。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5、乙方必须根据协议约定和甲方提出的品种、规格、品牌、数量、质量要求送货，并在规定的时间内及时送到。每日的配送清单须是打印稿。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6、乙方所供食材，必须符合食品法标准，如发现产品质量问题或者以次充好，按违约责任相关条款处理。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7、乙方在供货时应提供食品检验合格证、化验单或者溯源证明。如肉类制品必须是定点屠宰且经检疫合格。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8、乙方所配送的食材根据采购人需求须经过粗加工。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9、乙方供货时不得提供以下食品：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(1)无品名、产地、厂名、生产日期、保质期及中文标识及原料说明的定型包装食品；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(2)超过保质期限或不符合食品标签规定的定型包装食品；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(3)腐败变质、油脂酸败、霉变、生虫、污秽不洁、混有异物或者其他感官性状异常，含有毒、有害物质或者被有毒、有害物质污染，可能对人体健康有害的食品；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(4)病死、死因不明或从疫区采购的水产品、畜、禽及其制品，不合格调味品，工业用盐，非碘盐或非食品原料和滥用食品添加剂，农药残留超标的水果、蔬菜等；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(5)其他不符合食品卫生标准和要求的食品。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10、乙方严禁擅自更换食材品牌、规格或者擅自提价。如甲方另有所需食材而食材采购系统中未包括的，乙方应先与甲方商定该食材品牌、规格、等地、数量、质量、价格（批发价）、提供实样等事项后再进行配送。</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11、乙方凡有短斤缺两、擅自涨价、质量问题以及其它违规行为均记入诚信档案，作为影响以后招投标的重要因素。情节较为严重的，甲方有权中止供货协议，并按相关法律处理。</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12、乙方与甲方签订供货协议时，乙方向甲方交纳履约保证金。因所供应食材的质量问题引起人员食物中毒等食源性疾病的发生或引起其他事故由供货方负全部责任，承担由此而引起的全部经济损失及相关法律责任，并终止与乙方签署的协议。合同期内无服务质量问题，合同期满无息归还履约保证金。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13、乙方自觉遵守国家有关法律、法规。接受政府有关职能部门以及甲方的监管。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14、乙方建立台帐制度，对配送的食材做到证货同行、证货相符。坚持配送的严格性、严肃性、严密性。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15、乙方保证每天在甲方指定的时间内将食材配送到各个点，无特殊情况不得延误配送时间，不能及时送达要当即与甲方联系。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16、有下列情形之一者甲方有权立即终止乙方的配送工作，并终止与之签订食材采购合同，并可要求乙方支付相当于前三个月总货款的违约金：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（1）原材料问题引起的食物中毒等食源性疾病的发生； </w:t>
      </w:r>
      <w:r/>
    </w:p>
    <w:p>
      <w:pPr>
        <w:ind w:firstLine="48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 w:val="24"/>
          <w:highlight w:val="none"/>
          <w:lang w:bidi="ar"/>
        </w:rPr>
        <w:t xml:space="preserve">（2）</w:t>
      </w:r>
      <w:r>
        <w:rPr>
          <w:rFonts w:hint="eastAsia" w:ascii="宋体" w:hAnsi="宋体" w:eastAsia="宋体" w:cs="宋体"/>
          <w:color w:val="auto"/>
          <w:sz w:val="24"/>
          <w:szCs w:val="24"/>
          <w:highlight w:val="none"/>
        </w:rPr>
        <w:t xml:space="preserve">任一月份食材</w:t>
      </w:r>
      <w:r>
        <w:rPr>
          <w:rFonts w:hint="eastAsia" w:ascii="宋体" w:hAnsi="宋体" w:eastAsia="宋体" w:cs="宋体"/>
          <w:color w:val="auto"/>
          <w:sz w:val="24"/>
          <w:szCs w:val="24"/>
          <w:highlight w:val="none"/>
          <w:lang w:val="en-US" w:eastAsia="zh-CN"/>
        </w:rPr>
        <w:t xml:space="preserve">供应评价</w:t>
      </w:r>
      <w:r>
        <w:rPr>
          <w:rFonts w:hint="eastAsia" w:ascii="宋体" w:hAnsi="宋体" w:eastAsia="宋体" w:cs="宋体"/>
          <w:color w:val="auto"/>
          <w:sz w:val="24"/>
          <w:szCs w:val="24"/>
          <w:highlight w:val="none"/>
        </w:rPr>
        <w:t xml:space="preserve">得分85分（不含）以下</w:t>
      </w:r>
      <w:r>
        <w:rPr>
          <w:rFonts w:hint="eastAsia" w:ascii="宋体" w:hAnsi="宋体" w:cs="宋体"/>
          <w:color w:val="auto"/>
          <w:sz w:val="24"/>
          <w:highlight w:val="none"/>
          <w:lang w:bidi="ar"/>
        </w:rPr>
        <w:t xml:space="preserve"> </w:t>
      </w:r>
      <w:r>
        <w:rPr>
          <w:rFonts w:hint="eastAsia" w:ascii="宋体" w:hAnsi="宋体" w:cs="宋体"/>
          <w:color w:val="auto"/>
          <w:sz w:val="24"/>
          <w:highlight w:val="none"/>
          <w:lang w:eastAsia="zh-CN" w:bidi="ar"/>
        </w:rPr>
        <w:t xml:space="preserve">；</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（3）被政府监管部门查到故意销售假冒伪劣商品；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（4）经查实，将部分配送工作分包或转包给他人或其他单位。 </w:t>
      </w:r>
      <w:r/>
    </w:p>
    <w:p>
      <w:pPr>
        <w:pStyle w:val="1124"/>
        <w:ind w:firstLine="480"/>
        <w:rPr>
          <w:rFonts w:hint="eastAsia"/>
          <w:color w:val="auto"/>
          <w:highlight w:val="none"/>
        </w:rPr>
      </w:pPr>
      <w:r>
        <w:rPr>
          <w:rFonts w:hint="eastAsia"/>
          <w:color w:val="auto"/>
          <w:highlight w:val="none"/>
          <w:lang w:val="en-US" w:eastAsia="zh-CN"/>
        </w:rPr>
        <w:t xml:space="preserve">17、</w:t>
      </w:r>
      <w:r>
        <w:rPr>
          <w:rFonts w:hint="eastAsia"/>
          <w:color w:val="auto"/>
          <w:highlight w:val="none"/>
        </w:rPr>
        <w:t xml:space="preserve">所有食材加工、餐饮必须由供应商自行完成，不得分包，一经发现，采购人有权解除合同。</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七、违约责任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由于食材配送对安全性、及时性要求很高，为加强配送质量，提供配送效益，强化双方责任意识，现明确有关违约责任如下：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（一）甲方违约责任区分及处罚：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1、由于甲方工作失误，没有及时通知乙方配送采购计划，导致乙方无法正常配送的，后果由甲方承担。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2、在结算经费时，由于甲方工作失误，没有及时告知乙方原因，导致乙方不能及时收到货款的，由甲方按支付结算金额每日 0.1%交付滞纳金。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3、甲方故意刁难乙方，造成配送工作不能正常开展工作的，乙方有权终止合同。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（二）乙方违约责任区分及处罚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乙方必须接受甲方的监督，甲方将以定期检查、不定期抽查、举报核查的方式，对食材品质、卫生检疫、人员健康、食材重量、配送时间、服务质量、价款结算等内容进行查验监督检查。</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1、违约情形的认定</w:t>
      </w:r>
      <w:r>
        <w:rPr>
          <w:rFonts w:hint="eastAsia" w:ascii="宋体" w:hAnsi="宋体" w:cs="宋体"/>
          <w:color w:val="auto"/>
          <w:sz w:val="24"/>
          <w:highlight w:val="none"/>
          <w:lang w:val="en-US" w:eastAsia="zh-CN" w:bidi="ar"/>
        </w:rPr>
        <w:t xml:space="preserve">及处罚</w:t>
      </w:r>
      <w:r>
        <w:rPr>
          <w:rFonts w:hint="eastAsia" w:ascii="宋体" w:hAnsi="宋体" w:cs="宋体"/>
          <w:color w:val="auto"/>
          <w:sz w:val="24"/>
          <w:highlight w:val="none"/>
          <w:lang w:bidi="ar"/>
        </w:rPr>
        <w:t xml:space="preserve">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（1）无正当理由拒绝配送甲方指定食材，超过一次的；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（2）不按合同规定提供服务或因延误配送时间影响甲方正常使用，超过三次的；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（3）未按照合同规定要求擅自抬高收费价格，超过一次的；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（4）所送的产品质量、品牌、规格等与承诺不符的；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（5）存在假冒伪劣产品的；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（6）存在虚报、瞒报食材重量或以假充真等手段配送食材，经查实的；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（7）被甲方书面要求退货、换货后，仍拒不履行的；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（8）擅自将食材配送业务转包、分包给第三人经营，经查实的；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（9）通过给予回扣或变相给予回扣等方式谋取不当利益，经查实的；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（10）发生质量纠纷时，拒不履行检测义务的；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（11）因乙方原因造成食品安全责任事故的；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（12）因乙方原因给甲方造成负面社会影响，或负面舆论的；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（13）因乙方原因在甲方区域内造成安全事故，且影响恶劣的；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（14）其它违反法律、法规的行为。 </w:t>
      </w:r>
      <w:r/>
    </w:p>
    <w:p>
      <w:pPr>
        <w:ind w:firstLine="480"/>
        <w:jc w:val="left"/>
        <w:spacing w:line="360" w:lineRule="auto"/>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违约处罚</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在服务期间，乙方如出现</w:t>
      </w:r>
      <w:r>
        <w:rPr>
          <w:rFonts w:hint="eastAsia" w:ascii="宋体" w:hAnsi="宋体" w:cs="宋体"/>
          <w:color w:val="auto"/>
          <w:sz w:val="24"/>
          <w:highlight w:val="none"/>
          <w:lang w:val="en-US" w:eastAsia="zh-CN" w:bidi="ar"/>
        </w:rPr>
        <w:t xml:space="preserve">以上</w:t>
      </w:r>
      <w:r>
        <w:rPr>
          <w:rFonts w:hint="eastAsia" w:ascii="宋体" w:hAnsi="宋体" w:cs="宋体"/>
          <w:color w:val="auto"/>
          <w:sz w:val="24"/>
          <w:highlight w:val="none"/>
          <w:lang w:bidi="ar"/>
        </w:rPr>
        <w:t xml:space="preserve">违约情形之一者，经查实并报甲方后，将对乙方作如下处理 （酌情进行单项处罚或并处）： </w:t>
      </w:r>
      <w:r/>
    </w:p>
    <w:p>
      <w:pPr>
        <w:numPr>
          <w:ilvl w:val="0"/>
          <w:numId w:val="16"/>
        </w:numPr>
        <w:ind w:firstLine="480"/>
        <w:jc w:val="left"/>
        <w:spacing w:line="360" w:lineRule="auto"/>
        <w:widowControl/>
        <w:rPr>
          <w:rFonts w:hint="eastAsia" w:ascii="宋体" w:hAnsi="宋体" w:cs="宋体"/>
          <w:color w:val="auto"/>
          <w:sz w:val="24"/>
          <w:highlight w:val="none"/>
          <w:lang w:eastAsia="zh-CN" w:bidi="ar"/>
        </w:rPr>
      </w:pPr>
      <w:r>
        <w:rPr>
          <w:rFonts w:hint="eastAsia" w:ascii="宋体" w:hAnsi="宋体" w:cs="宋体"/>
          <w:color w:val="auto"/>
          <w:sz w:val="24"/>
          <w:highlight w:val="none"/>
          <w:lang w:bidi="ar"/>
        </w:rPr>
        <w:t xml:space="preserve">甲方对供应商实行履约管</w:t>
      </w:r>
      <w:r>
        <w:rPr>
          <w:rFonts w:hint="eastAsia" w:ascii="宋体" w:hAnsi="宋体" w:eastAsia="宋体" w:cs="宋体"/>
          <w:color w:val="auto"/>
          <w:sz w:val="24"/>
          <w:highlight w:val="none"/>
          <w:lang w:bidi="ar"/>
        </w:rPr>
        <w:t xml:space="preserve">理，每次从</w:t>
      </w:r>
      <w:r>
        <w:rPr>
          <w:rFonts w:hint="eastAsia" w:ascii="宋体" w:hAnsi="宋体" w:eastAsia="宋体" w:cs="宋体"/>
          <w:color w:val="auto"/>
          <w:sz w:val="24"/>
          <w:highlight w:val="none"/>
          <w:lang w:val="en-US" w:eastAsia="zh-CN" w:bidi="ar"/>
        </w:rPr>
        <w:t xml:space="preserve">履约保证金中</w:t>
      </w:r>
      <w:r>
        <w:rPr>
          <w:rFonts w:hint="eastAsia" w:ascii="宋体" w:hAnsi="宋体" w:eastAsia="宋体" w:cs="宋体"/>
          <w:color w:val="auto"/>
          <w:sz w:val="24"/>
          <w:highlight w:val="none"/>
          <w:lang w:bidi="ar"/>
        </w:rPr>
        <w:t xml:space="preserve">扣除</w:t>
      </w:r>
      <w:r>
        <w:rPr>
          <w:rFonts w:hint="eastAsia" w:ascii="宋体" w:hAnsi="宋体" w:cs="宋体"/>
          <w:color w:val="auto"/>
          <w:sz w:val="24"/>
          <w:highlight w:val="none"/>
          <w:lang w:bidi="ar"/>
        </w:rPr>
        <w:t xml:space="preserve">相应金额</w:t>
      </w:r>
      <w:r>
        <w:rPr>
          <w:rFonts w:hint="eastAsia" w:ascii="宋体" w:hAnsi="宋体" w:cs="宋体"/>
          <w:color w:val="auto"/>
          <w:sz w:val="24"/>
          <w:highlight w:val="none"/>
          <w:lang w:eastAsia="zh-CN" w:bidi="ar"/>
        </w:rPr>
        <w:t xml:space="preserve">。</w:t>
      </w:r>
      <w:r/>
    </w:p>
    <w:p>
      <w:pPr>
        <w:numPr>
          <w:ilvl w:val="0"/>
          <w:numId w:val="0"/>
        </w:num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上述“1、</w:t>
      </w:r>
      <w:r>
        <w:rPr>
          <w:rFonts w:hint="eastAsia" w:ascii="宋体" w:hAnsi="宋体" w:eastAsia="宋体" w:cs="宋体"/>
          <w:color w:val="auto"/>
          <w:sz w:val="24"/>
          <w:highlight w:val="none"/>
          <w:lang w:bidi="ar"/>
        </w:rPr>
        <w:t xml:space="preserve">违约情形的认定</w:t>
      </w:r>
      <w:r>
        <w:rPr>
          <w:rFonts w:hint="eastAsia" w:ascii="宋体" w:hAnsi="宋体" w:eastAsia="宋体" w:cs="宋体"/>
          <w:color w:val="auto"/>
          <w:sz w:val="24"/>
          <w:highlight w:val="none"/>
          <w:lang w:val="en-US" w:eastAsia="zh-CN" w:bidi="ar"/>
        </w:rPr>
        <w:t xml:space="preserve">”情形（1）至（4）中每发生一次，扣除履约保证金1000元；（5）至（7）中每发生一次，扣除履约保证金3000元；（8）至（10）中每发生一次，扣除履约保证金5000元；（11）至（13）中每发生一次，扣除履约保证金10000元。</w:t>
      </w:r>
      <w:r/>
    </w:p>
    <w:p>
      <w:pPr>
        <w:numPr>
          <w:ilvl w:val="0"/>
          <w:numId w:val="0"/>
        </w:num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（2）情节严重的甲方可取消其供应商资格；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（3）对甲方造成损失的，由乙方负责赔偿，因此产生的法律责任由乙方承担；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（4）取消其参与下一轮食材供应商采购项目的投标资格；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（5）情节恶劣造成严重负面影响的，甲方将其不诚信行为报送采购主管部门，并将其列入政府采购黑名单。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八、合同的解除和转让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1、合同的解除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（1）有下列情形之一，合同一方可以解除合同：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① 因不可抗力致使不能实现合同目的，未受不可抗力影响的一方有权解除合同；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② 因合同一方违约导致合同不能履行，另一方有权解除合同；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（2）有权解除合同的一方，应当在违约事实或不可抗力发生之后三十天内书面通知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对方以主张解除合同，合同在书面通知到达对方时解除。</w:t>
      </w:r>
      <w:r>
        <w:rPr>
          <w:rFonts w:hint="eastAsia" w:ascii="宋体" w:hAnsi="宋体" w:cs="宋体"/>
          <w:color w:val="auto"/>
          <w:sz w:val="19"/>
          <w:szCs w:val="19"/>
          <w:highlight w:val="none"/>
          <w:lang w:bidi="ar"/>
        </w:rPr>
        <w:t xml:space="preserve">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2、合同的转让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合同的部分和全部都不得转让。 </w:t>
      </w:r>
      <w:r/>
    </w:p>
    <w:p>
      <w:pPr>
        <w:ind w:firstLine="482"/>
        <w:jc w:val="left"/>
        <w:spacing w:line="360" w:lineRule="auto"/>
        <w:widowControl/>
        <w:rPr>
          <w:rFonts w:hint="eastAsia" w:ascii="宋体" w:hAnsi="宋体" w:cs="宋体"/>
          <w:color w:val="auto"/>
          <w:highlight w:val="none"/>
        </w:rPr>
      </w:pPr>
      <w:r>
        <w:rPr>
          <w:rFonts w:hint="eastAsia" w:ascii="宋体" w:hAnsi="宋体" w:cs="宋体"/>
          <w:b/>
          <w:bCs/>
          <w:color w:val="auto"/>
          <w:sz w:val="24"/>
          <w:highlight w:val="none"/>
          <w:lang w:bidi="ar"/>
        </w:rPr>
        <w:t xml:space="preserve">九、争议解决 </w:t>
      </w:r>
      <w:r/>
    </w:p>
    <w:p>
      <w:pPr>
        <w:ind w:firstLine="480"/>
        <w:jc w:val="left"/>
        <w:spacing w:line="360" w:lineRule="auto"/>
        <w:widowControl/>
        <w:rPr>
          <w:rFonts w:hint="eastAsia" w:ascii="宋体" w:hAnsi="宋体" w:cs="宋体"/>
          <w:color w:val="auto"/>
          <w:highlight w:val="none"/>
        </w:rPr>
      </w:pPr>
      <w:r>
        <w:rPr>
          <w:rFonts w:hint="eastAsia" w:ascii="宋体" w:hAnsi="宋体" w:cs="宋体"/>
          <w:color w:val="auto"/>
          <w:sz w:val="24"/>
          <w:highlight w:val="none"/>
          <w:lang w:bidi="ar"/>
        </w:rPr>
        <w:t xml:space="preserve">因履行本合同发生争议协商解决不成的提交</w:t>
      </w:r>
      <w:r>
        <w:rPr>
          <w:rFonts w:hint="eastAsia" w:ascii="宋体" w:hAnsi="宋体" w:cs="宋体"/>
          <w:color w:val="auto"/>
          <w:sz w:val="24"/>
          <w:highlight w:val="none"/>
          <w:lang w:val="en-US" w:eastAsia="zh-CN" w:bidi="ar"/>
        </w:rPr>
        <w:t xml:space="preserve">常州</w:t>
      </w:r>
      <w:r>
        <w:rPr>
          <w:rFonts w:hint="eastAsia" w:ascii="宋体" w:hAnsi="宋体" w:cs="宋体"/>
          <w:color w:val="auto"/>
          <w:sz w:val="24"/>
          <w:highlight w:val="none"/>
          <w:lang w:bidi="ar"/>
        </w:rPr>
        <w:t xml:space="preserve">仲裁委员会仲裁。因本合同产生的以及与本合同有关的一切纠纷，均由</w:t>
      </w:r>
      <w:r>
        <w:rPr>
          <w:rFonts w:hint="eastAsia" w:ascii="宋体" w:hAnsi="宋体" w:cs="宋体"/>
          <w:color w:val="auto"/>
          <w:sz w:val="24"/>
          <w:highlight w:val="none"/>
          <w:lang w:val="en-US" w:eastAsia="zh-CN" w:bidi="ar"/>
        </w:rPr>
        <w:t xml:space="preserve">常州</w:t>
      </w:r>
      <w:r>
        <w:rPr>
          <w:rFonts w:hint="eastAsia" w:ascii="宋体" w:hAnsi="宋体" w:cs="宋体"/>
          <w:color w:val="auto"/>
          <w:sz w:val="24"/>
          <w:highlight w:val="none"/>
          <w:lang w:bidi="ar"/>
        </w:rPr>
        <w:t xml:space="preserve">仲裁委员会仲裁。该仲裁是终局的，对双方均具有约束力。 </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 合同生效及其他</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rPr>
          <w:rFonts w:hint="eastAsia"/>
          <w:color w:val="auto"/>
        </w:rPr>
      </w:pPr>
      <w:r>
        <w:rPr>
          <w:rFonts w:hint="eastAsia"/>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银行帐号：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ind w:firstLine="482"/>
        <w:jc w:val="left"/>
        <w:keepLines w:val="0"/>
        <w:keepNext w:val="0"/>
        <w:pageBreakBefore w:val="0"/>
        <w:spacing w:line="240" w:lineRule="auto"/>
        <w:widowControl/>
        <w:rPr>
          <w:rFonts w:hint="eastAsia" w:ascii="宋体" w:hAnsi="宋体" w:eastAsia="宋体" w:cs="宋体"/>
          <w:b/>
          <w:bCs/>
          <w:color w:val="auto"/>
          <w:sz w:val="24"/>
          <w:highlight w:val="none"/>
          <w:lang w:bidi="ar"/>
        </w:rPr>
      </w:pPr>
      <w:r>
        <w:rPr>
          <w:rFonts w:hint="eastAsia" w:ascii="宋体" w:hAnsi="宋体" w:cs="宋体"/>
          <w:b/>
          <w:bCs/>
          <w:color w:val="auto"/>
          <w:sz w:val="24"/>
          <w:highlight w:val="none"/>
          <w:lang w:bidi="ar"/>
        </w:rPr>
        <w:t xml:space="preserve">附件：考核评价表</w:t>
      </w:r>
      <w:r>
        <w:rPr>
          <w:rFonts w:hint="eastAsia" w:ascii="宋体" w:hAnsi="宋体" w:eastAsia="宋体" w:cs="宋体"/>
          <w:b/>
          <w:bCs/>
          <w:color w:val="auto"/>
          <w:sz w:val="24"/>
          <w:highlight w:val="none"/>
          <w:lang w:bidi="ar"/>
        </w:rPr>
        <w:t xml:space="preserve">（采购人有权根据食材采购及配送工作实际情况对相关考核进行细化调整） </w:t>
      </w:r>
      <w:r/>
    </w:p>
    <w:p>
      <w:pPr>
        <w:jc w:val="center"/>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b/>
          <w:color w:val="auto"/>
          <w:sz w:val="24"/>
          <w:szCs w:val="24"/>
          <w:highlight w:val="none"/>
        </w:rPr>
        <w:t xml:space="preserve">食材供应评价表</w:t>
      </w:r>
      <w:r/>
    </w:p>
    <w:tbl>
      <w:tblPr>
        <w:tblStyle w:val="1088"/>
        <w:tblW w:w="5775" w:type="pct"/>
        <w:tblInd w:w="-6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9"/>
        <w:gridCol w:w="6094"/>
        <w:gridCol w:w="787"/>
        <w:gridCol w:w="784"/>
      </w:tblGrid>
      <w:tr>
        <w:trPr/>
        <w:tc>
          <w:tcPr>
            <w:tcW w:w="997"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供应商名称</w:t>
            </w:r>
            <w:r/>
          </w:p>
        </w:tc>
        <w:tc>
          <w:tcPr>
            <w:gridSpan w:val="3"/>
            <w:tcW w:w="4002"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997"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食材采购人名称</w:t>
            </w:r>
            <w:r/>
          </w:p>
        </w:tc>
        <w:tc>
          <w:tcPr>
            <w:gridSpan w:val="3"/>
            <w:tcW w:w="4002" w:type="pct"/>
            <w:vAlign w:val="top"/>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食材品类</w:t>
            </w:r>
            <w:r/>
          </w:p>
        </w:tc>
        <w:tc>
          <w:tcPr>
            <w:gridSpan w:val="3"/>
            <w:tcW w:w="4002"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蔬菜及杂品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水产</w:t>
            </w:r>
            <w:r>
              <w:rPr>
                <w:rFonts w:hint="eastAsia" w:ascii="宋体" w:hAnsi="宋体" w:eastAsia="宋体" w:cs="宋体"/>
                <w:color w:val="auto"/>
                <w:sz w:val="24"/>
                <w:szCs w:val="24"/>
                <w:highlight w:val="none"/>
                <w:lang w:val="en-US"/>
              </w:rPr>
              <w:tab/>
            </w:r>
            <w:r>
              <w:rPr>
                <w:rFonts w:hint="eastAsia" w:ascii="宋体" w:hAnsi="宋体" w:eastAsia="宋体" w:cs="宋体"/>
                <w:color w:val="auto"/>
                <w:sz w:val="24"/>
                <w:szCs w:val="24"/>
                <w:highlight w:val="none"/>
                <w:lang w:val="en-US"/>
              </w:rPr>
              <w:t xml:space="preserve"></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肉</w:t>
            </w:r>
            <w:r>
              <w:rPr>
                <w:rFonts w:hint="eastAsia" w:ascii="宋体" w:hAnsi="宋体" w:eastAsia="宋体" w:cs="宋体"/>
                <w:color w:val="auto"/>
                <w:sz w:val="24"/>
                <w:szCs w:val="24"/>
                <w:highlight w:val="none"/>
                <w:lang w:val="en-US"/>
              </w:rPr>
              <w:tab/>
            </w:r>
            <w:r>
              <w:rPr>
                <w:rFonts w:hint="eastAsia" w:ascii="宋体" w:hAnsi="宋体" w:eastAsia="宋体" w:cs="宋体"/>
                <w:color w:val="auto"/>
                <w:sz w:val="24"/>
                <w:szCs w:val="24"/>
                <w:highlight w:val="none"/>
                <w:lang w:val="en-US"/>
              </w:rPr>
              <w:t xml:space="preserve"></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禽蛋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冻品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豆制品</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粮油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调味品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面制品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乳制品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水果</w:t>
            </w:r>
            <w:r/>
          </w:p>
        </w:tc>
      </w:tr>
      <w:tr>
        <w:trPr/>
        <w:tc>
          <w:tcPr>
            <w:tcW w:w="997" w:type="pct"/>
            <w:vAlign w:val="top"/>
            <w:textDirection w:val="lrTb"/>
            <w:noWrap w:val="false"/>
          </w:tcPr>
          <w:p>
            <w:pPr>
              <w:pStyle w:val="1087"/>
              <w:ind w:left="0" w:firstLine="0"/>
              <w:jc w:val="center"/>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供应时间</w:t>
            </w:r>
            <w:r/>
          </w:p>
        </w:tc>
        <w:tc>
          <w:tcPr>
            <w:gridSpan w:val="3"/>
            <w:tcW w:w="4002" w:type="pct"/>
            <w:vAlign w:val="top"/>
            <w:textDirection w:val="lrTb"/>
            <w:noWrap w:val="false"/>
          </w:tcPr>
          <w:p>
            <w:pPr>
              <w:pStyle w:val="1087"/>
              <w:ind w:firstLine="0"/>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t xml:space="preserve">自    年    月    日起至    年    月    日止</w:t>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指标</w:t>
            </w:r>
            <w:r/>
          </w:p>
        </w:tc>
        <w:tc>
          <w:tcPr>
            <w:tcW w:w="318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评价说明</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得分</w:t>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备注</w:t>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送货及时性评价</w:t>
            </w:r>
            <w:r/>
          </w:p>
        </w:tc>
        <w:tc>
          <w:tcPr>
            <w:tcW w:w="3181"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1.几乎总是早于约定时间或在约定时间及时送到，得 18-20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2.偶尔比约定时间晚，但不耽误食堂工作，得13-17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3.送货经常不守时，耽误食堂工作，得 0-12 分。</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食材质量</w:t>
            </w:r>
            <w:r/>
          </w:p>
        </w:tc>
        <w:tc>
          <w:tcPr>
            <w:tcW w:w="3181"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1.物资新鲜，干净卫生，无瑕疵，无污染，得25-30分；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2.经常送存货来，但都可使用，未变质，影响口感，得21-24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3.质量不好，瑕疵品多，有时会送变质过期食品，得0-20 分。</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食材数量</w:t>
            </w:r>
            <w:r/>
          </w:p>
        </w:tc>
        <w:tc>
          <w:tcPr>
            <w:tcW w:w="3181"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1.重量总是足称，不缺斤少两，得 25-30 分； </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2.偶尔有重量不合格现象，但有证据显示不是有意的，得21-24分；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3.重量经常不达标，有意缺斤短两者，得 0-20分。</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c>
          <w:tcPr>
            <w:tcW w:w="997"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服务态度评价</w:t>
            </w:r>
            <w:r/>
          </w:p>
        </w:tc>
        <w:tc>
          <w:tcPr>
            <w:tcW w:w="3181" w:type="pct"/>
            <w:vAlign w:val="center"/>
            <w:textDirection w:val="lrTb"/>
            <w:noWrap w:val="false"/>
          </w:tcPr>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1.与供应商联系，态度良好、诚恳，有问题及时改正，得 18-20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2.态度一般，但与之合作基本不影响食堂工作，有问题整改稍有拖延，得 13-17 分；</w:t>
            </w:r>
            <w:r/>
          </w:p>
          <w:p>
            <w:pPr>
              <w:pStyle w:val="1291"/>
              <w:jc w:val="left"/>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3.态度恶劣，有欺诈、怠慢行为，影响食堂工作，有问题严重拖延整改，得 0-12 分。</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r>
        <w:trPr>
          <w:trHeight w:val="677"/>
        </w:trPr>
        <w:tc>
          <w:tcPr>
            <w:gridSpan w:val="2"/>
            <w:tcW w:w="417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综合得分</w:t>
            </w:r>
            <w:r/>
          </w:p>
        </w:tc>
        <w:tc>
          <w:tcPr>
            <w:tcW w:w="411"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c>
          <w:tcPr>
            <w:tcW w:w="409" w:type="pct"/>
            <w:vAlign w:val="center"/>
            <w:textDirection w:val="lrTb"/>
            <w:noWrap w:val="false"/>
          </w:tcPr>
          <w:p>
            <w:pPr>
              <w:pStyle w:val="1291"/>
              <w:jc w:val="center"/>
              <w:spacing w:line="4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r>
            <w:r/>
          </w:p>
        </w:tc>
      </w:tr>
    </w:tbl>
    <w:p>
      <w:pPr>
        <w:ind w:firstLine="3840"/>
        <w:jc w:val="left"/>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食材采购人名称（盖章）：</w:t>
      </w:r>
      <w:r/>
    </w:p>
    <w:p>
      <w:pPr>
        <w:contextualSpacing/>
        <w:ind w:firstLine="3840"/>
        <w:spacing w:line="360" w:lineRule="auto"/>
        <w:widowControl/>
        <w:rPr>
          <w:rFonts w:hint="eastAsia" w:ascii="宋体" w:hAnsi="宋体" w:cs="宋体"/>
          <w:b/>
          <w:color w:val="auto"/>
          <w:sz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rPr>
        <w:tab/>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日</w:t>
      </w:r>
      <w:r>
        <w:rPr>
          <w:rFonts w:hint="eastAsia" w:ascii="宋体" w:hAnsi="宋体" w:cs="宋体"/>
          <w:b/>
          <w:color w:val="auto"/>
          <w:sz w:val="24"/>
          <w:highlight w:val="none"/>
        </w:rPr>
        <w:br w:type="page" w:clear="all"/>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t xml:space="preserve">附：             </w:t>
      </w:r>
      <w:r/>
    </w:p>
    <w:p>
      <w:pPr>
        <w:pStyle w:val="104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82"/>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82"/>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82"/>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82"/>
        <w:ind w:firstLine="720"/>
        <w:spacing w:before="0" w:beforeAutospacing="0" w:after="0" w:afterAutospacing="0"/>
        <w:rPr>
          <w:bCs/>
          <w:color w:val="auto"/>
          <w:highlight w:val="none"/>
        </w:rPr>
      </w:pPr>
      <w:r>
        <w:rPr>
          <w:bCs/>
          <w:color w:val="auto"/>
          <w:highlight w:val="none"/>
        </w:rPr>
      </w:r>
      <w:r/>
    </w:p>
    <w:p>
      <w:pPr>
        <w:pStyle w:val="1082"/>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82"/>
        <w:spacing w:before="0" w:beforeAutospacing="0" w:after="0" w:afterAutospacing="0"/>
        <w:rPr>
          <w:bCs/>
          <w:color w:val="auto"/>
          <w:highlight w:val="none"/>
        </w:rPr>
      </w:pPr>
      <w:r>
        <w:rPr>
          <w:rFonts w:hint="eastAsia"/>
          <w:bCs/>
          <w:color w:val="auto"/>
          <w:highlight w:val="none"/>
        </w:rPr>
        <w:t xml:space="preserve">             </w:t>
      </w:r>
      <w:r/>
    </w:p>
    <w:p>
      <w:pPr>
        <w:pStyle w:val="1082"/>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3"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3"/>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3"/>
        <w:ind w:firstLine="480"/>
        <w:spacing w:line="460" w:lineRule="exact"/>
        <w:rPr>
          <w:rFonts w:hAnsi="宋体"/>
          <w:color w:val="auto"/>
          <w:highlight w:val="none"/>
        </w:rPr>
      </w:pPr>
      <w:r>
        <w:rPr>
          <w:rFonts w:hAnsi="宋体"/>
          <w:color w:val="auto"/>
          <w:highlight w:val="none"/>
        </w:rPr>
      </w:r>
      <w:r/>
    </w:p>
    <w:p>
      <w:pPr>
        <w:pStyle w:val="1053"/>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3"/>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3"/>
        <w:ind w:firstLine="480"/>
        <w:spacing w:line="460" w:lineRule="exact"/>
        <w:rPr>
          <w:rFonts w:hAnsi="宋体"/>
          <w:color w:val="auto"/>
          <w:highlight w:val="none"/>
        </w:rPr>
      </w:pPr>
      <w:r>
        <w:rPr>
          <w:rFonts w:hAnsi="宋体"/>
          <w:color w:val="auto"/>
          <w:highlight w:val="none"/>
        </w:rPr>
      </w:r>
      <w:r/>
    </w:p>
    <w:p>
      <w:pPr>
        <w:pStyle w:val="1053"/>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3"/>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3"/>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3"/>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3"/>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3"/>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3"/>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3"/>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3"/>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3"/>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3"/>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3"/>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3"/>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3"/>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3"/>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3"/>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3"/>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3"/>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53"/>
        <w:ind w:firstLine="480"/>
        <w:spacing w:line="460" w:lineRule="exact"/>
        <w:rPr>
          <w:rFonts w:hAnsi="宋体"/>
          <w:b/>
          <w:bCs/>
          <w:color w:val="auto"/>
          <w:highlight w:val="none"/>
        </w:rPr>
      </w:pPr>
      <w:r>
        <w:rPr>
          <w:rFonts w:hint="eastAsia" w:hAnsi="宋体"/>
          <w:b/>
          <w:bCs/>
          <w:color w:val="auto"/>
          <w:highlight w:val="none"/>
        </w:rPr>
        <w:t xml:space="preserve">十、我单位法定代表人的社保缴纳单位为： </w:t>
      </w:r>
      <w:r>
        <w:rPr>
          <w:rFonts w:hint="eastAsia" w:hAnsi="宋体"/>
          <w:b/>
          <w:bCs/>
          <w:color w:val="auto"/>
          <w:highlight w:val="none"/>
          <w:u w:val="single"/>
        </w:rPr>
        <w:t xml:space="preserve">       </w:t>
      </w:r>
      <w:r>
        <w:rPr>
          <w:rFonts w:hint="eastAsia" w:hAnsi="宋体"/>
          <w:b/>
          <w:bCs/>
          <w:color w:val="auto"/>
          <w:highlight w:val="none"/>
        </w:rPr>
        <w:t xml:space="preserve">。（请投标人如实填写）</w:t>
      </w:r>
      <w:r/>
    </w:p>
    <w:p>
      <w:pPr>
        <w:pStyle w:val="1053"/>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3"/>
        <w:ind w:firstLine="480"/>
        <w:spacing w:line="460" w:lineRule="exact"/>
        <w:rPr>
          <w:rFonts w:hAnsi="宋体"/>
          <w:color w:val="auto"/>
          <w:highlight w:val="none"/>
        </w:rPr>
      </w:pPr>
      <w:r>
        <w:rPr>
          <w:rFonts w:hAnsi="宋体"/>
          <w:color w:val="auto"/>
          <w:highlight w:val="none"/>
        </w:rPr>
      </w:r>
      <w:r/>
    </w:p>
    <w:p>
      <w:pPr>
        <w:pStyle w:val="1053"/>
        <w:ind w:firstLine="480"/>
        <w:spacing w:line="460" w:lineRule="exact"/>
        <w:rPr>
          <w:rFonts w:hAnsi="宋体"/>
          <w:color w:val="auto"/>
          <w:highlight w:val="none"/>
        </w:rPr>
      </w:pPr>
      <w:r>
        <w:rPr>
          <w:rFonts w:hAnsi="宋体"/>
          <w:color w:val="auto"/>
          <w:highlight w:val="none"/>
        </w:rPr>
      </w:r>
      <w:r/>
    </w:p>
    <w:p>
      <w:pPr>
        <w:pStyle w:val="1053"/>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3"/>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3"/>
        <w:ind w:firstLine="360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szCs w:val="20"/>
        </w:rPr>
      </w:pPr>
      <w:r>
        <w:rPr>
          <w:color w:val="auto"/>
          <w:sz w:val="24"/>
          <w:szCs w:val="20"/>
        </w:rPr>
        <w:t xml:space="preserve">2-1中小企业声明函</w:t>
      </w:r>
      <w:r/>
    </w:p>
    <w:p>
      <w:pPr>
        <w:spacing w:line="360" w:lineRule="auto"/>
        <w:tabs>
          <w:tab w:val="left" w:pos="5580" w:leader="none"/>
        </w:tabs>
        <w:rPr>
          <w:color w:val="auto"/>
          <w:sz w:val="24"/>
          <w:szCs w:val="20"/>
        </w:rPr>
      </w:pPr>
      <w:r>
        <w:rPr>
          <w:color w:val="auto"/>
          <w:sz w:val="24"/>
          <w:szCs w:val="20"/>
        </w:rPr>
      </w:r>
      <w:r/>
    </w:p>
    <w:p>
      <w:pPr>
        <w:spacing w:line="360" w:lineRule="auto"/>
        <w:tabs>
          <w:tab w:val="left" w:pos="5580" w:leader="none"/>
        </w:tabs>
        <w:rPr>
          <w:color w:val="auto"/>
          <w:sz w:val="24"/>
        </w:rPr>
      </w:pPr>
      <w:r>
        <w:rPr>
          <w:color w:val="auto"/>
          <w:sz w:val="24"/>
        </w:rPr>
        <w:t xml:space="preserve">说明：</w:t>
      </w:r>
      <w:r/>
    </w:p>
    <w:p>
      <w:pPr>
        <w:spacing w:line="360" w:lineRule="auto"/>
        <w:tabs>
          <w:tab w:val="left" w:pos="5580" w:leader="none"/>
        </w:tabs>
        <w:rPr>
          <w:color w:val="auto"/>
          <w:sz w:val="24"/>
        </w:rPr>
      </w:pPr>
      <w:r>
        <w:rPr>
          <w:color w:val="auto"/>
          <w:sz w:val="24"/>
        </w:rPr>
        <w:t xml:space="preserve">（1）如本项目（包）不专门面向中小企业预留采购份额，</w:t>
      </w:r>
      <w:r>
        <w:rPr>
          <w:rFonts w:hint="eastAsia"/>
          <w:color w:val="auto"/>
          <w:sz w:val="24"/>
        </w:rPr>
        <w:t xml:space="preserve">资格证明文件部分</w:t>
      </w:r>
      <w:r>
        <w:rPr>
          <w:color w:val="auto"/>
          <w:sz w:val="24"/>
        </w:rPr>
        <w:t xml:space="preserve">无需提供《中小企业声明函》。</w:t>
      </w:r>
      <w:r/>
    </w:p>
    <w:p>
      <w:pPr>
        <w:spacing w:line="360" w:lineRule="auto"/>
        <w:tabs>
          <w:tab w:val="left" w:pos="5580" w:leader="none"/>
        </w:tabs>
        <w:rPr>
          <w:color w:val="auto"/>
          <w:sz w:val="24"/>
        </w:rPr>
      </w:pPr>
      <w:r>
        <w:rPr>
          <w:color w:val="auto"/>
          <w:sz w:val="24"/>
        </w:rPr>
        <w:t xml:space="preserve">（2）如本项目（包）专门面向中小/小微企业采购，须提供《中小企业声明函》</w:t>
      </w:r>
      <w:r>
        <w:rPr>
          <w:color w:val="auto"/>
          <w:sz w:val="24"/>
          <w:szCs w:val="20"/>
        </w:rPr>
        <w:t xml:space="preserve">（实质性格式）</w:t>
      </w:r>
      <w:r>
        <w:rPr>
          <w:color w:val="auto"/>
          <w:sz w:val="24"/>
        </w:rPr>
        <w:t xml:space="preserve">。</w:t>
      </w:r>
      <w:r/>
    </w:p>
    <w:p>
      <w:pPr>
        <w:spacing w:line="360" w:lineRule="auto"/>
        <w:tabs>
          <w:tab w:val="left" w:pos="5580" w:leader="none"/>
        </w:tabs>
        <w:rPr>
          <w:color w:val="auto"/>
          <w:sz w:val="24"/>
        </w:rPr>
      </w:pPr>
      <w:r>
        <w:rPr>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rPr>
      </w:pPr>
      <w:r>
        <w:rPr>
          <w:rFonts w:hint="eastAsia"/>
          <w:color w:val="auto"/>
          <w:sz w:val="24"/>
        </w:rPr>
        <w:t xml:space="preserve">（4）其他</w:t>
      </w:r>
      <w:r/>
    </w:p>
    <w:p>
      <w:pPr>
        <w:spacing w:line="360" w:lineRule="auto"/>
        <w:tabs>
          <w:tab w:val="left" w:pos="5580" w:leader="none"/>
        </w:tabs>
        <w:rPr>
          <w:color w:val="auto"/>
          <w:sz w:val="24"/>
        </w:rPr>
      </w:pPr>
      <w:r>
        <w:rPr>
          <w:rFonts w:hint="eastAsia"/>
          <w:color w:val="auto"/>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rPr>
      </w:pPr>
      <w:r>
        <w:rPr>
          <w:rFonts w:hint="eastAsia"/>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rFonts w:hint="eastAsia"/>
          <w:color w:val="auto"/>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color w:val="auto"/>
          <w:sz w:val="24"/>
        </w:rPr>
      </w:pPr>
      <w:r>
        <w:rPr>
          <w:rFonts w:hint="eastAsia"/>
          <w:color w:val="auto"/>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rPr>
      </w:pPr>
      <w:r>
        <w:rPr>
          <w:color w:val="auto"/>
          <w:sz w:val="24"/>
        </w:rPr>
      </w:r>
      <w:r/>
    </w:p>
    <w:p>
      <w:pPr>
        <w:jc w:val="left"/>
        <w:widowControl/>
        <w:rPr>
          <w:color w:val="auto"/>
          <w:sz w:val="24"/>
        </w:rPr>
      </w:pPr>
      <w:r>
        <w:rPr>
          <w:color w:val="auto"/>
          <w:sz w:val="24"/>
        </w:rPr>
        <w:br w:type="page" w:clear="all"/>
      </w:r>
      <w:r/>
    </w:p>
    <w:p>
      <w:pPr>
        <w:jc w:val="center"/>
        <w:spacing w:before="240" w:after="240" w:line="360" w:lineRule="auto"/>
        <w:rPr>
          <w:b/>
          <w:bCs/>
          <w:color w:val="auto"/>
          <w:sz w:val="36"/>
          <w:szCs w:val="36"/>
        </w:rPr>
      </w:pPr>
      <w:r>
        <w:rPr>
          <w:rFonts w:hint="eastAsia"/>
          <w:b/>
          <w:bCs/>
          <w:color w:val="auto"/>
          <w:sz w:val="36"/>
          <w:szCs w:val="36"/>
        </w:rPr>
        <w:t xml:space="preserve">中小企业声明函（工程、服务）格式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10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9"/>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left"/>
        <w:rPr>
          <w:color w:val="auto"/>
          <w:szCs w:val="21"/>
          <w:vertAlign w:val="superscript"/>
        </w:rPr>
      </w:pPr>
      <w:r>
        <w:rPr>
          <w:color w:val="auto"/>
          <w:szCs w:val="21"/>
          <w:vertAlign w:val="superscript"/>
        </w:rPr>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r>
      <w:r/>
    </w:p>
    <w:p>
      <w:pPr>
        <w:spacing w:line="360" w:lineRule="auto"/>
        <w:rPr>
          <w:color w:val="auto"/>
          <w:sz w:val="24"/>
          <w:szCs w:val="20"/>
        </w:rPr>
        <w:outlineLvl w:val="2"/>
      </w:pPr>
      <w:r>
        <w:rPr>
          <w:color w:val="auto"/>
          <w:sz w:val="24"/>
          <w:szCs w:val="20"/>
        </w:rPr>
        <w:br w:type="page" w:clear="all"/>
      </w:r>
      <w:r/>
    </w:p>
    <w:p>
      <w:pPr>
        <w:jc w:val="center"/>
        <w:spacing w:before="240" w:after="240" w:line="360" w:lineRule="auto"/>
        <w:rPr>
          <w:b/>
          <w:color w:val="auto"/>
          <w:sz w:val="36"/>
          <w:szCs w:val="36"/>
        </w:rPr>
      </w:pPr>
      <w:r>
        <w:rPr>
          <w:rFonts w:hint="eastAsia"/>
          <w:b/>
          <w:bCs/>
          <w:color w:val="auto"/>
          <w:sz w:val="36"/>
          <w:szCs w:val="36"/>
        </w:rPr>
        <w:t xml:space="preserve">残疾人福利性单位声明函格式</w:t>
      </w:r>
      <w:r>
        <w:rPr>
          <w:b/>
          <w:color w:val="auto"/>
          <w:sz w:val="36"/>
          <w:szCs w:val="36"/>
        </w:rPr>
        <w:t xml:space="preserve">       </w:t>
      </w:r>
      <w:r/>
    </w:p>
    <w:p>
      <w:pPr>
        <w:ind w:firstLine="504"/>
        <w:spacing w:line="588" w:lineRule="exact"/>
        <w:rPr>
          <w:color w:val="auto"/>
          <w:spacing w:val="6"/>
          <w:sz w:val="24"/>
        </w:rPr>
      </w:pPr>
      <w:r>
        <w:rPr>
          <w:color w:val="auto"/>
          <w:spacing w:val="6"/>
          <w:sz w:val="24"/>
        </w:rPr>
        <w:t xml:space="preserve">本单位郑重声明，根据《财政部 民政部 中国残疾人联合会关于促进残疾人就业政府采购政策的通知》（财库</w:t>
      </w:r>
      <w:r>
        <w:rPr>
          <w:color w:val="auto"/>
          <w:sz w:val="24"/>
        </w:rPr>
        <w:t xml:space="preserve">〔2017〕 141</w:t>
      </w:r>
      <w:r>
        <w:rPr>
          <w:color w:val="auto"/>
          <w:spacing w:val="6"/>
          <w:sz w:val="24"/>
        </w:rPr>
        <w:t xml:space="preserve">号）的规定，本单位</w:t>
      </w:r>
      <w:r>
        <w:rPr>
          <w:b/>
          <w:color w:val="auto"/>
          <w:sz w:val="24"/>
        </w:rPr>
        <w:t xml:space="preserve">（请进行勾选）</w:t>
      </w:r>
      <w:r>
        <w:rPr>
          <w:color w:val="auto"/>
          <w:spacing w:val="6"/>
          <w:sz w:val="24"/>
        </w:rPr>
        <w:t xml:space="preserve">：</w:t>
      </w:r>
      <w:r/>
    </w:p>
    <w:p>
      <w:pPr>
        <w:ind w:firstLine="482"/>
        <w:spacing w:line="588" w:lineRule="exact"/>
        <w:rPr>
          <w:b/>
          <w:color w:val="auto"/>
          <w:spacing w:val="6"/>
          <w:sz w:val="24"/>
        </w:rPr>
      </w:pPr>
      <w:r>
        <w:rPr>
          <w:b/>
          <w:color w:val="auto"/>
          <w:sz w:val="24"/>
        </w:rPr>
        <w:t xml:space="preserve">□</w:t>
      </w:r>
      <w:r>
        <w:rPr>
          <w:b/>
          <w:color w:val="auto"/>
          <w:spacing w:val="6"/>
          <w:sz w:val="24"/>
        </w:rPr>
        <w:t xml:space="preserve">不属于符合条件的残疾人福利性单位。</w:t>
      </w:r>
      <w:r/>
    </w:p>
    <w:p>
      <w:pPr>
        <w:ind w:firstLine="482"/>
        <w:spacing w:line="588" w:lineRule="exact"/>
        <w:rPr>
          <w:color w:val="auto"/>
          <w:spacing w:val="6"/>
          <w:sz w:val="24"/>
        </w:rPr>
      </w:pPr>
      <w:r>
        <w:rPr>
          <w:b/>
          <w:color w:val="auto"/>
          <w:sz w:val="24"/>
        </w:rPr>
        <w:t xml:space="preserve">□</w:t>
      </w:r>
      <w:r>
        <w:rPr>
          <w:b/>
          <w:color w:val="auto"/>
          <w:spacing w:val="6"/>
          <w:sz w:val="24"/>
        </w:rPr>
        <w:t xml:space="preserve">属于符合条件的残疾人福利性单位，</w:t>
      </w:r>
      <w:r>
        <w:rPr>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rPr>
      </w:pPr>
      <w:r>
        <w:rPr>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单位名称（加盖公章）：</w:t>
      </w:r>
      <w:r/>
    </w:p>
    <w:p>
      <w:pPr>
        <w:ind w:right="1560" w:firstLine="504"/>
        <w:jc w:val="center"/>
        <w:spacing w:line="588" w:lineRule="exact"/>
        <w:tabs>
          <w:tab w:val="left" w:pos="4860" w:leader="none"/>
        </w:tabs>
        <w:rPr>
          <w:rFonts w:hint="eastAsia"/>
          <w:color w:val="auto"/>
          <w:spacing w:val="6"/>
          <w:sz w:val="24"/>
        </w:rPr>
      </w:pPr>
      <w:r>
        <w:rPr>
          <w:color w:val="auto"/>
          <w:spacing w:val="6"/>
          <w:sz w:val="24"/>
        </w:rPr>
        <w:t xml:space="preserve">       日  期：</w:t>
      </w:r>
      <w:r/>
    </w:p>
    <w:p>
      <w:pPr>
        <w:ind w:right="1560" w:firstLine="504"/>
        <w:jc w:val="center"/>
        <w:spacing w:line="588" w:lineRule="exact"/>
        <w:tabs>
          <w:tab w:val="left" w:pos="4860" w:leader="none"/>
        </w:tabs>
        <w:rPr>
          <w:rFonts w:hint="eastAsia"/>
          <w:color w:val="auto"/>
          <w:spacing w:val="6"/>
          <w:sz w:val="24"/>
        </w:rPr>
      </w:pPr>
      <w:r>
        <w:rPr>
          <w:rFonts w:hint="eastAsia"/>
          <w:color w:val="auto"/>
          <w:spacing w:val="6"/>
          <w:sz w:val="24"/>
        </w:rPr>
      </w:r>
      <w:r/>
    </w:p>
    <w:p>
      <w:pPr>
        <w:ind w:right="1560" w:firstLine="504"/>
        <w:jc w:val="center"/>
        <w:spacing w:line="588" w:lineRule="exact"/>
        <w:tabs>
          <w:tab w:val="left" w:pos="4860" w:leader="none"/>
        </w:tabs>
        <w:rPr>
          <w:rFonts w:hint="eastAsia"/>
          <w:color w:val="auto"/>
          <w:spacing w:val="6"/>
          <w:sz w:val="24"/>
        </w:rPr>
      </w:pPr>
      <w:r>
        <w:rPr>
          <w:rFonts w:hint="eastAsia"/>
          <w:color w:val="auto"/>
          <w:spacing w:val="6"/>
          <w:sz w:val="24"/>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ascii="宋体" w:hAnsi="宋体"/>
          <w:color w:val="auto"/>
          <w:sz w:val="24"/>
          <w:szCs w:val="20"/>
          <w:highlight w:val="none"/>
        </w:rPr>
        <w:br w:type="page" w:clear="all"/>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szCs w:val="20"/>
          <w:highlight w:val="none"/>
        </w:rPr>
      </w:pPr>
      <w:r>
        <w:rPr>
          <w:rFonts w:ascii="宋体" w:hAnsi="宋体"/>
          <w:color w:val="auto"/>
          <w:sz w:val="24"/>
          <w:szCs w:val="20"/>
          <w:highlight w:val="none"/>
        </w:rPr>
        <w:t xml:space="preserve">3-2其他特定资格要求</w:t>
      </w:r>
      <w:r>
        <w:rPr>
          <w:rFonts w:hint="eastAsia" w:ascii="宋体" w:hAnsi="宋体"/>
          <w:color w:val="auto"/>
          <w:sz w:val="24"/>
          <w:szCs w:val="20"/>
          <w:highlight w:val="none"/>
        </w:rPr>
        <w:t xml:space="preserve">：</w:t>
      </w:r>
      <w:r/>
    </w:p>
    <w:p>
      <w:pPr>
        <w:spacing w:line="360" w:lineRule="auto"/>
        <w:rPr>
          <w:rFonts w:ascii="宋体" w:hAnsi="宋体"/>
          <w:color w:val="auto"/>
          <w:sz w:val="24"/>
          <w:szCs w:val="20"/>
          <w:highlight w:val="none"/>
        </w:rPr>
        <w:outlineLvl w:val="2"/>
      </w:pPr>
      <w:r>
        <w:rPr>
          <w:rFonts w:hint="eastAsia" w:ascii="宋体" w:hAnsi="宋体"/>
          <w:b/>
          <w:bCs/>
          <w:color w:val="auto"/>
          <w:sz w:val="24"/>
          <w:szCs w:val="20"/>
          <w:highlight w:val="none"/>
        </w:rPr>
        <w:t xml:space="preserve">投标人须具有有效的《食品经营许可证》。</w:t>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4" w:name="_Toc226309800"/>
      <w:r/>
      <w:bookmarkStart w:id="825" w:name="_Ref467988698"/>
      <w:r/>
      <w:bookmarkStart w:id="826" w:name="_Toc480942349"/>
      <w:r/>
      <w:bookmarkStart w:id="827" w:name="_Toc150480794"/>
      <w:r/>
      <w:bookmarkStart w:id="828" w:name="_Toc142311058"/>
      <w:r/>
      <w:bookmarkStart w:id="829" w:name="_Toc127151556"/>
      <w:r/>
      <w:bookmarkStart w:id="830" w:name="_Toc226965829"/>
      <w:r/>
      <w:bookmarkStart w:id="831" w:name="_Toc520356217"/>
      <w:r/>
      <w:bookmarkStart w:id="832" w:name="_Toc195842921"/>
      <w:r/>
      <w:bookmarkStart w:id="833" w:name="_Toc226337252"/>
      <w:r/>
      <w:bookmarkStart w:id="834" w:name="_Toc150774761"/>
      <w:r/>
      <w:bookmarkStart w:id="835" w:name="_Toc226965746"/>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6" w:name="_Hlt520356243"/>
      <w:r/>
      <w:bookmarkEnd w:id="836"/>
      <w:r/>
      <w:bookmarkStart w:id="837" w:name="_Hlt520355938"/>
      <w:r/>
      <w:bookmarkEnd w:id="837"/>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2"/>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8" w:name="_Hlt520274407"/>
      <w:r/>
      <w:bookmarkEnd w:id="838"/>
      <w:r/>
      <w:bookmarkStart w:id="839" w:name="_Hlt520350918"/>
      <w:r/>
      <w:bookmarkEnd w:id="839"/>
      <w:r/>
      <w:bookmarkStart w:id="840" w:name="_Hlt520271212"/>
      <w:r/>
      <w:bookmarkEnd w:id="840"/>
      <w:r/>
      <w:bookmarkStart w:id="841" w:name="_Hlt520355504"/>
      <w:r/>
      <w:bookmarkEnd w:id="841"/>
      <w:r/>
      <w:bookmarkStart w:id="842" w:name="_Hlt520274065"/>
      <w:r/>
      <w:bookmarkEnd w:id="842"/>
      <w:r/>
      <w:bookmarkStart w:id="843" w:name="_Hlt520273711"/>
      <w:r/>
      <w:bookmarkEnd w:id="843"/>
      <w:r/>
      <w:bookmarkStart w:id="844" w:name="_Hlt520343392"/>
      <w:r/>
      <w:bookmarkEnd w:id="844"/>
      <w:r/>
      <w:bookmarkStart w:id="845" w:name="_Hlt520274121"/>
      <w:r/>
      <w:bookmarkEnd w:id="845"/>
      <w:r/>
      <w:bookmarkStart w:id="846" w:name="_Hlt520274393"/>
      <w:r/>
      <w:bookmarkEnd w:id="846"/>
      <w:r/>
      <w:bookmarkStart w:id="847" w:name="_Hlt520343000"/>
      <w:r/>
      <w:bookmarkEnd w:id="847"/>
      <w:r/>
      <w:bookmarkStart w:id="848" w:name="_Toc150480795"/>
      <w:r/>
      <w:bookmarkStart w:id="849" w:name="_Toc195842922"/>
      <w:r/>
      <w:bookmarkStart w:id="850" w:name="_Toc226337253"/>
      <w:r/>
      <w:bookmarkStart w:id="851" w:name="_Toc142311059"/>
      <w:r/>
      <w:bookmarkStart w:id="852" w:name="_Toc305158825"/>
      <w:r/>
      <w:bookmarkStart w:id="853" w:name="_Toc127151557"/>
      <w:r/>
      <w:bookmarkStart w:id="854" w:name="_Toc520356218"/>
      <w:r/>
      <w:bookmarkStart w:id="855" w:name="_Toc226309801"/>
      <w:r/>
      <w:bookmarkStart w:id="856" w:name="_Toc226965830"/>
      <w:r/>
      <w:bookmarkStart w:id="857" w:name="_Toc264969247"/>
      <w:r/>
      <w:bookmarkStart w:id="858" w:name="_Toc265228395"/>
      <w:r/>
      <w:bookmarkStart w:id="859" w:name="_Toc226965747"/>
      <w:r/>
      <w:bookmarkStart w:id="860" w:name="_Toc150774762"/>
      <w:r/>
      <w:bookmarkStart w:id="861" w:name="_Ref467988705"/>
      <w:r/>
      <w:bookmarkStart w:id="862" w:name="_Toc305158899"/>
      <w:r/>
      <w:bookmarkStart w:id="863" w:name="_Toc480942350"/>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4" w:name="_Toc25548"/>
      <w:r>
        <w:rPr>
          <w:rFonts w:hint="eastAsia" w:ascii="宋体" w:hAnsi="宋体" w:cs="宋体"/>
          <w:b/>
          <w:color w:val="auto"/>
          <w:sz w:val="28"/>
          <w:szCs w:val="28"/>
          <w:highlight w:val="none"/>
        </w:rPr>
        <w:t xml:space="preserve">投标人管理关系或控股关系信息情况表</w:t>
      </w:r>
      <w:bookmarkEnd w:id="864"/>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w:t>
            </w:r>
            <w:r>
              <w:rPr>
                <w:rFonts w:hint="eastAsia" w:ascii="宋体" w:hAnsi="宋体" w:cs="宋体"/>
                <w:color w:val="auto"/>
                <w:sz w:val="24"/>
                <w:highlight w:val="none"/>
                <w:lang w:val="en-US" w:eastAsia="zh-CN"/>
              </w:rPr>
              <w:t xml:space="preserve">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法定代表人（签字名盖章）：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hint="eastAsia" w:ascii="宋体" w:hAnsi="宋体" w:eastAsia="宋体" w:cs="Times New Roman"/>
          <w:color w:val="auto"/>
          <w:sz w:val="24"/>
          <w:szCs w:val="20"/>
          <w:highlight w:val="none"/>
        </w:rPr>
      </w:pPr>
      <w:r>
        <w:rPr>
          <w:rFonts w:hint="eastAsia" w:ascii="宋体" w:hAnsi="宋体"/>
          <w:color w:val="auto"/>
          <w:sz w:val="24"/>
          <w:szCs w:val="20"/>
          <w:highlight w:val="none"/>
        </w:rPr>
        <w:br w:type="page" w:clear="all"/>
      </w:r>
      <w:r>
        <w:rPr>
          <w:rFonts w:hint="eastAsia" w:ascii="宋体" w:hAnsi="宋体" w:eastAsia="宋体" w:cs="Times New Roman"/>
          <w:color w:val="auto"/>
          <w:sz w:val="24"/>
          <w:szCs w:val="20"/>
          <w:highlight w:val="none"/>
        </w:rPr>
        <w:t xml:space="preserve">5</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应急加送货承诺书</w:t>
      </w:r>
      <w:r/>
    </w:p>
    <w:p>
      <w:pPr>
        <w:jc w:val="center"/>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应急加送货承诺书</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我方参加“</w:t>
      </w:r>
      <w:r>
        <w:rPr>
          <w:rFonts w:hint="eastAsia" w:ascii="宋体" w:hAnsi="宋体" w:cs="宋体"/>
          <w:color w:val="auto"/>
          <w:sz w:val="24"/>
          <w:szCs w:val="24"/>
          <w:highlight w:val="none"/>
          <w:lang w:eastAsia="zh-CN"/>
        </w:rPr>
        <w:t xml:space="preserve">永红派出所食堂食材供货配送项目</w:t>
      </w:r>
      <w:r>
        <w:rPr>
          <w:rFonts w:hint="eastAsia" w:ascii="宋体" w:hAnsi="宋体" w:eastAsia="宋体" w:cs="宋体"/>
          <w:color w:val="auto"/>
          <w:sz w:val="24"/>
          <w:szCs w:val="24"/>
          <w:highlight w:val="none"/>
        </w:rPr>
        <w:t xml:space="preserve">”的投标，就应急加送货事项承诺如下：</w:t>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1.提供便利，配合采购人临时应急加送货；</w:t>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2.遇到特殊情况（如上级有关部门检查、台风暴雨等），我方会提前做好供货准备，保证决不误餐；</w:t>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3.我方承诺所有应急加送任务都将积极调配内部资源，以最快速度响应指令， 最大限度方便和满足采购人需求。</w:t>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4.对于特殊要求的应急物资（如防疫物资）我方承诺优先向采购人保障供应，保证特殊需求。</w:t>
      </w:r>
      <w:r/>
    </w:p>
    <w:p>
      <w:pPr>
        <w:pStyle w:val="1087"/>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.如上述相关涉及食材供货内容标准与招标文件、我方投标承诺及国家标准、行业标准等不一的，我方承诺以其中最高标准执行。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如我方</w:t>
      </w:r>
      <w:r>
        <w:rPr>
          <w:rFonts w:hint="eastAsia" w:ascii="宋体" w:hAnsi="宋体" w:eastAsia="宋体" w:cs="宋体"/>
          <w:color w:val="auto"/>
          <w:sz w:val="24"/>
          <w:szCs w:val="24"/>
          <w:highlight w:val="none"/>
        </w:rPr>
        <w:t xml:space="preserve">违反上述</w:t>
      </w:r>
      <w:r>
        <w:rPr>
          <w:rFonts w:hint="eastAsia" w:ascii="宋体" w:hAnsi="宋体" w:eastAsia="宋体" w:cs="宋体"/>
          <w:color w:val="auto"/>
          <w:sz w:val="24"/>
          <w:szCs w:val="24"/>
          <w:highlight w:val="none"/>
          <w:lang w:val="en-US" w:eastAsia="zh-CN"/>
        </w:rPr>
        <w:t xml:space="preserve">任一项</w:t>
      </w:r>
      <w:r>
        <w:rPr>
          <w:rFonts w:hint="eastAsia" w:ascii="宋体" w:hAnsi="宋体" w:eastAsia="宋体" w:cs="宋体"/>
          <w:color w:val="auto"/>
          <w:sz w:val="24"/>
          <w:szCs w:val="24"/>
          <w:highlight w:val="none"/>
        </w:rPr>
        <w:t xml:space="preserve">承诺，</w:t>
      </w:r>
      <w:r>
        <w:rPr>
          <w:rFonts w:hint="eastAsia" w:ascii="宋体" w:hAnsi="宋体" w:eastAsia="宋体" w:cs="宋体"/>
          <w:color w:val="auto"/>
          <w:sz w:val="24"/>
          <w:szCs w:val="24"/>
          <w:highlight w:val="none"/>
          <w:lang w:val="en-US" w:eastAsia="zh-CN"/>
        </w:rPr>
        <w:t xml:space="preserve">我方自愿接受采购人对我方缴纳的履约保证金做出的进行处置、扣减等事宜，我方承担由此对采购人及其他第三方造成的一切法律责任及经济责任。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对上述承诺事项及所提交资料的真实性承担一切法律责任。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投标人名称（加盖公章）</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日期：    年    月    日</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br w:type="page" w:clear="all"/>
      </w:r>
      <w:r/>
    </w:p>
    <w:p>
      <w:pPr>
        <w:jc w:val="left"/>
        <w:widowControl/>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val="en-US" w:eastAsia="zh-CN"/>
        </w:rPr>
        <w:t xml:space="preserve">6  </w:t>
      </w:r>
      <w:r>
        <w:rPr>
          <w:rFonts w:ascii="宋体" w:hAnsi="宋体" w:eastAsia="宋体" w:cs="Times New Roman"/>
          <w:color w:val="auto"/>
          <w:sz w:val="24"/>
          <w:szCs w:val="20"/>
          <w:highlight w:val="none"/>
        </w:rPr>
        <w:t xml:space="preserve">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
    </w:p>
    <w:p>
      <w:pPr>
        <w:jc w:val="center"/>
        <w:spacing w:line="360" w:lineRule="exact"/>
        <w:rPr>
          <w:rFonts w:ascii="宋体" w:hAnsi="宋体"/>
          <w:b/>
          <w:color w:val="auto"/>
          <w:sz w:val="36"/>
          <w:szCs w:val="36"/>
          <w:highlight w:val="none"/>
        </w:rPr>
      </w:pPr>
      <w:r/>
      <w:bookmarkStart w:id="865" w:name="_Toc305158826"/>
      <w:r/>
      <w:bookmarkStart w:id="866" w:name="_Toc226965748"/>
      <w:r/>
      <w:bookmarkStart w:id="867" w:name="_Toc305158900"/>
      <w:r/>
      <w:bookmarkStart w:id="868" w:name="_Toc226337254"/>
      <w:r/>
      <w:bookmarkStart w:id="869" w:name="_Toc164608672"/>
      <w:r/>
      <w:bookmarkStart w:id="870" w:name="_Toc164608827"/>
      <w:r/>
      <w:bookmarkStart w:id="871" w:name="_Toc265228396"/>
      <w:r/>
      <w:bookmarkStart w:id="872" w:name="_Toc264969248"/>
      <w:r/>
      <w:bookmarkStart w:id="873" w:name="_Toc226965831"/>
      <w:r/>
      <w:bookmarkStart w:id="874" w:name="_Toc195842923"/>
      <w:r/>
      <w:bookmarkStart w:id="875" w:name="_Toc226309802"/>
      <w:r>
        <w:rPr>
          <w:rFonts w:hint="eastAsia" w:ascii="宋体" w:hAnsi="宋体"/>
          <w:b/>
          <w:color w:val="auto"/>
          <w:sz w:val="36"/>
          <w:szCs w:val="36"/>
          <w:highlight w:val="none"/>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bookmarkStart w:id="876" w:name="_Toc226965749"/>
      <w:r/>
      <w:bookmarkStart w:id="877" w:name="_Toc265228397"/>
      <w:r/>
      <w:bookmarkStart w:id="878" w:name="_Toc226337255"/>
      <w:r/>
      <w:bookmarkStart w:id="879" w:name="_Toc264969249"/>
      <w:r/>
      <w:bookmarkStart w:id="880" w:name="_Toc150480796"/>
      <w:r/>
      <w:bookmarkStart w:id="881" w:name="_Toc226309803"/>
      <w:r/>
      <w:bookmarkStart w:id="882" w:name="_Toc127151558"/>
      <w:r/>
      <w:bookmarkStart w:id="883" w:name="_Toc305158827"/>
      <w:r/>
      <w:bookmarkStart w:id="884" w:name="_Toc226965832"/>
      <w:r/>
      <w:bookmarkStart w:id="885" w:name="_Toc142311060"/>
      <w:r/>
      <w:bookmarkStart w:id="886" w:name="_Toc305158901"/>
      <w:r/>
      <w:bookmarkStart w:id="887" w:name="_Toc150774763"/>
      <w:r/>
      <w:bookmarkStart w:id="888" w:name="_Toc195842924"/>
      <w:r>
        <w:rPr>
          <w:rFonts w:ascii="宋体" w:hAnsi="宋体"/>
          <w:color w:val="auto"/>
          <w:sz w:val="24"/>
          <w:highlight w:val="none"/>
        </w:rPr>
        <w:t xml:space="preserve">项目编号/包号：________________   项目名称：________________</w:t>
      </w:r>
      <w:r/>
    </w:p>
    <w:tbl>
      <w:tblPr>
        <w:tblStyle w:val="1052"/>
        <w:tblW w:w="9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049"/>
        <w:gridCol w:w="1894"/>
        <w:gridCol w:w="2375"/>
        <w:gridCol w:w="2167"/>
      </w:tblGrid>
      <w:tr>
        <w:trPr>
          <w:cantSplit/>
          <w:jc w:val="center"/>
          <w:trHeight w:val="850"/>
        </w:trPr>
        <w:tc>
          <w:tcPr>
            <w:tcW w:w="189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投标报价</w:t>
            </w:r>
            <w:r/>
          </w:p>
        </w:tc>
        <w:tc>
          <w:tcPr>
            <w:tcW w:w="1049"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类别</w:t>
            </w:r>
            <w:r/>
          </w:p>
        </w:tc>
        <w:tc>
          <w:tcPr>
            <w:tcW w:w="1894"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优惠率</w:t>
            </w:r>
            <w:r/>
          </w:p>
        </w:tc>
        <w:tc>
          <w:tcPr>
            <w:tcW w:w="2375"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结算费率=1-</w:t>
            </w:r>
            <w:r>
              <w:rPr>
                <w:rFonts w:hint="eastAsia" w:ascii="宋体" w:hAnsi="宋体" w:cs="宋体"/>
                <w:color w:val="auto"/>
                <w:sz w:val="24"/>
                <w:szCs w:val="24"/>
                <w:highlight w:val="none"/>
                <w:lang w:val="en-US" w:eastAsia="zh-CN"/>
              </w:rPr>
              <w:t xml:space="preserve">优惠率</w:t>
            </w:r>
            <w:r/>
          </w:p>
        </w:tc>
        <w:tc>
          <w:tcPr>
            <w:tcW w:w="2167"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说明</w:t>
            </w:r>
            <w:r/>
          </w:p>
        </w:tc>
      </w:tr>
      <w:tr>
        <w:trPr>
          <w:cantSplit/>
          <w:jc w:val="center"/>
          <w:trHeight w:val="850"/>
        </w:trPr>
        <w:tc>
          <w:tcPr>
            <w:tcW w:w="189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049"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小写</w:t>
            </w:r>
            <w:r/>
          </w:p>
        </w:tc>
        <w:tc>
          <w:tcPr>
            <w:tcW w:w="1894"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w:t>
            </w:r>
            <w:r/>
          </w:p>
        </w:tc>
        <w:tc>
          <w:tcPr>
            <w:tcW w:w="2375"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w:t>
            </w:r>
            <w:r/>
          </w:p>
        </w:tc>
        <w:tc>
          <w:tcPr>
            <w:tcW w:w="2167" w:type="dxa"/>
            <w:vAlign w:val="center"/>
            <w:vMerge w:val="restart"/>
            <w:textDirection w:val="lrTb"/>
            <w:noWrap w:val="false"/>
          </w:tcPr>
          <w:p>
            <w:pPr>
              <w:ind w:left="0" w:right="0"/>
              <w:jc w:val="left"/>
              <w:keepLines w:val="0"/>
              <w:keepNext w:val="0"/>
              <w:spacing w:before="0" w:beforeAutospacing="0" w:after="0" w:afterAutospacing="0" w:line="360" w:lineRule="auto"/>
              <w:shd w:val="clear" w:color="auto" w:fill="auto"/>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结算费率不得超过本项目最高限价。</w:t>
            </w:r>
            <w:r/>
          </w:p>
        </w:tc>
      </w:tr>
      <w:tr>
        <w:trPr>
          <w:cantSplit/>
          <w:jc w:val="center"/>
          <w:trHeight w:val="850"/>
        </w:trPr>
        <w:tc>
          <w:tcPr>
            <w:tcW w:w="189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049"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cs="宋体"/>
                <w:color w:val="auto"/>
                <w:sz w:val="24"/>
                <w:szCs w:val="24"/>
                <w:highlight w:val="non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大写</w:t>
            </w:r>
            <w:r/>
          </w:p>
        </w:tc>
        <w:tc>
          <w:tcPr>
            <w:tcW w:w="1894" w:type="dxa"/>
            <w:vAlign w:val="center"/>
            <w:textDirection w:val="lrTb"/>
            <w:noWrap w:val="false"/>
          </w:tcPr>
          <w:p>
            <w:pPr>
              <w:ind w:left="0" w:right="0"/>
              <w:jc w:val="left"/>
              <w:keepLines w:val="0"/>
              <w:keepNext w:val="0"/>
              <w:spacing w:before="0" w:beforeAutospacing="0" w:after="0" w:afterAutospacing="0" w:line="360" w:lineRule="auto"/>
              <w:shd w:val="clear" w:color="auto" w:fill="auto"/>
              <w:rPr>
                <w:rFonts w:hint="default" w:ascii="宋体" w:hAnsi="宋体" w:cs="宋体"/>
                <w:color w:val="auto"/>
                <w:sz w:val="24"/>
                <w:szCs w:val="24"/>
                <w:highlight w:val="none"/>
                <w:u w:val="singl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       </w:t>
            </w:r>
            <w:r/>
          </w:p>
        </w:tc>
        <w:tc>
          <w:tcPr>
            <w:tcW w:w="2375" w:type="dxa"/>
            <w:vAlign w:val="center"/>
            <w:textDirection w:val="lrTb"/>
            <w:noWrap w:val="false"/>
          </w:tcPr>
          <w:p>
            <w:pPr>
              <w:ind w:right="0"/>
              <w:jc w:val="left"/>
              <w:keepLines w:val="0"/>
              <w:keepNext w:val="0"/>
              <w:spacing w:before="0" w:beforeAutospacing="0" w:after="0" w:afterAutospacing="0" w:line="360" w:lineRule="auto"/>
              <w:shd w:val="clear" w:color="auto" w:fill="auto"/>
              <w:rPr>
                <w:rFonts w:hint="default" w:ascii="宋体" w:hAnsi="宋体" w:cs="宋体"/>
                <w:color w:val="auto"/>
                <w:sz w:val="24"/>
                <w:szCs w:val="24"/>
                <w:highlight w:val="none"/>
                <w:u w:val="single"/>
                <w:lang w:val="en-US" w:eastAsia="zh-CN" w:bidi="ar-SA"/>
              </w:rPr>
              <w:outlineLvl w:val="9"/>
              <w:suppressLineNumbers w:val="0"/>
            </w:pPr>
            <w:r>
              <w:rPr>
                <w:rFonts w:hint="eastAsia" w:ascii="宋体" w:hAnsi="宋体" w:cs="宋体"/>
                <w:color w:val="auto"/>
                <w:sz w:val="24"/>
                <w:szCs w:val="24"/>
                <w:highlight w:val="non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           </w:t>
            </w:r>
            <w:r/>
          </w:p>
        </w:tc>
        <w:tc>
          <w:tcPr>
            <w:tcW w:w="2167" w:type="dxa"/>
            <w:vAlign w:val="center"/>
            <w:vMerge w:val="continue"/>
            <w:textDirection w:val="lrTb"/>
            <w:noWrap w:val="false"/>
          </w:tcPr>
          <w:p>
            <w:pPr>
              <w:ind w:left="0" w:right="0"/>
              <w:jc w:val="left"/>
              <w:keepLines w:val="0"/>
              <w:keepNext w:val="0"/>
              <w:spacing w:before="0" w:beforeAutospacing="0" w:after="0" w:afterAutospacing="0" w:line="360" w:lineRule="auto"/>
              <w:shd w:val="clear" w:color="auto" w:fill="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r>
            <w:r/>
          </w:p>
        </w:tc>
      </w:tr>
      <w:tr>
        <w:trPr>
          <w:cantSplit/>
          <w:jc w:val="center"/>
          <w:trHeight w:val="850"/>
        </w:trPr>
        <w:tc>
          <w:tcPr>
            <w:tcW w:w="1897"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项目负责人</w:t>
            </w:r>
            <w:r/>
          </w:p>
        </w:tc>
        <w:tc>
          <w:tcPr>
            <w:gridSpan w:val="2"/>
            <w:tcW w:w="2943"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r>
            <w:r/>
          </w:p>
        </w:tc>
        <w:tc>
          <w:tcPr>
            <w:tcW w:w="2375"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联系手机号码</w:t>
            </w:r>
            <w:r/>
          </w:p>
        </w:tc>
        <w:tc>
          <w:tcPr>
            <w:tcW w:w="2167" w:type="dxa"/>
            <w:vAlign w:val="center"/>
            <w:textDirection w:val="lrTb"/>
            <w:noWrap w:val="false"/>
          </w:tcPr>
          <w:p>
            <w:pPr>
              <w:ind w:left="0" w:right="0"/>
              <w:jc w:val="center"/>
              <w:keepLines w:val="0"/>
              <w:keepNext w:val="0"/>
              <w:spacing w:before="0" w:beforeAutospacing="0" w:after="0" w:afterAutospacing="0" w:line="360" w:lineRule="auto"/>
              <w:shd w:val="clear" w:color="auto" w:fill="auto"/>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w:t>
      </w:r>
      <w:r>
        <w:rPr>
          <w:rFonts w:hint="eastAsia" w:ascii="宋体" w:hAnsi="宋体"/>
          <w:color w:val="auto"/>
          <w:sz w:val="24"/>
          <w:szCs w:val="20"/>
          <w:highlight w:val="none"/>
        </w:rPr>
        <w:t xml:space="preserve">项目按优惠率报价，最低优惠率为0.00%。保留小数点后2位。</w:t>
      </w:r>
      <w:r/>
    </w:p>
    <w:p>
      <w:pPr>
        <w:ind w:firstLine="482"/>
        <w:tabs>
          <w:tab w:val="left" w:pos="5580" w:leader="none"/>
        </w:tabs>
        <w:rPr>
          <w:rFonts w:hint="eastAsia" w:ascii="宋体" w:hAnsi="宋体"/>
          <w:b/>
          <w:bCs/>
          <w:color w:val="auto"/>
          <w:sz w:val="24"/>
          <w:szCs w:val="20"/>
          <w:highlight w:val="none"/>
        </w:rPr>
      </w:pPr>
      <w:r>
        <w:rPr>
          <w:rFonts w:ascii="宋体" w:hAnsi="宋体"/>
          <w:b/>
          <w:bCs/>
          <w:color w:val="auto"/>
          <w:sz w:val="24"/>
          <w:szCs w:val="20"/>
          <w:highlight w:val="none"/>
        </w:rPr>
        <w:t xml:space="preserve">2.</w:t>
      </w:r>
      <w:r>
        <w:rPr>
          <w:rFonts w:hint="eastAsia" w:ascii="宋体" w:hAnsi="宋体"/>
          <w:b/>
          <w:bCs/>
          <w:color w:val="auto"/>
          <w:sz w:val="24"/>
          <w:szCs w:val="20"/>
          <w:highlight w:val="none"/>
        </w:rPr>
        <w:t xml:space="preserve">例：优惠率10%，即结算费率90%。结算价=当日常州市权威部门（价格通）发布的农贸菜场菜价均价（单价）*结算费率 90% *食材入库数量+5*实际送餐份数。</w:t>
      </w:r>
      <w:r/>
    </w:p>
    <w:p>
      <w:pPr>
        <w:ind w:firstLine="482"/>
        <w:tabs>
          <w:tab w:val="left" w:pos="558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优惠率80%，即结算费率20%。结算价=当日常州市权威部门（价格通）发布的农贸菜场菜价均价（单价）*结算费率 20% *食材入库数量+5*实际送餐份数。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Start w:id="889" w:name="_Toc226309806"/>
      <w:r/>
      <w:bookmarkStart w:id="890" w:name="_Toc127151562"/>
      <w:r/>
      <w:bookmarkStart w:id="891" w:name="_Toc195842927"/>
      <w:r/>
      <w:bookmarkStart w:id="892" w:name="_Toc142311062"/>
      <w:r/>
      <w:bookmarkStart w:id="893" w:name="_Toc226337258"/>
      <w:r/>
      <w:bookmarkStart w:id="894" w:name="_Toc226965752"/>
      <w:r/>
      <w:bookmarkStart w:id="895" w:name="_Toc226965835"/>
      <w:r/>
      <w:bookmarkStart w:id="896" w:name="_Toc265228400"/>
      <w:r/>
      <w:bookmarkStart w:id="897" w:name="_Toc305158830"/>
      <w:r/>
      <w:bookmarkStart w:id="898" w:name="_Toc305158904"/>
      <w:r/>
      <w:bookmarkStart w:id="899" w:name="_Toc150480798"/>
      <w:r/>
      <w:bookmarkStart w:id="900" w:name="_Toc264969252"/>
      <w:r/>
      <w:bookmarkStart w:id="901" w:name="_Toc150774765"/>
      <w:r/>
      <w:bookmarkStart w:id="902" w:name="_Toc264969251"/>
      <w:r/>
      <w:bookmarkStart w:id="903" w:name="_Toc142311061"/>
      <w:r/>
      <w:bookmarkStart w:id="904" w:name="_Toc150774764"/>
      <w:r/>
      <w:bookmarkStart w:id="905" w:name="_Toc226965834"/>
      <w:r/>
      <w:bookmarkStart w:id="906" w:name="_Toc265228399"/>
      <w:r/>
      <w:bookmarkStart w:id="907" w:name="_Toc226337257"/>
      <w:r/>
      <w:bookmarkStart w:id="908" w:name="_Toc226309805"/>
      <w:r/>
      <w:bookmarkStart w:id="909" w:name="_Toc305158903"/>
      <w:r/>
      <w:bookmarkStart w:id="910" w:name="_Toc127151561"/>
      <w:r/>
      <w:bookmarkStart w:id="911" w:name="_Toc305158829"/>
      <w:r/>
      <w:bookmarkStart w:id="912" w:name="_Toc195842926"/>
      <w:r/>
      <w:bookmarkStart w:id="913" w:name="_Toc226965751"/>
      <w:r/>
      <w:bookmarkStart w:id="914" w:name="_Toc150480797"/>
      <w:r>
        <w:rPr>
          <w:rFonts w:hint="eastAsia" w:ascii="宋体" w:hAnsi="宋体"/>
          <w:color w:val="auto"/>
          <w:sz w:val="24"/>
          <w:szCs w:val="20"/>
          <w:highlight w:val="none"/>
          <w:lang w:val="en-US" w:eastAsia="zh-CN"/>
        </w:rPr>
        <w:t xml:space="preserve">7</w:t>
      </w:r>
      <w:r>
        <w:rPr>
          <w:rFonts w:ascii="宋体" w:hAnsi="宋体"/>
          <w:color w:val="auto"/>
          <w:sz w:val="24"/>
          <w:szCs w:val="20"/>
          <w:highlight w:val="none"/>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ascii="宋体" w:hAnsi="宋体"/>
          <w:color w:val="auto"/>
          <w:sz w:val="24"/>
          <w:szCs w:val="20"/>
          <w:highlight w:val="none"/>
        </w:rPr>
        <w:t xml:space="preserve">（实质性格式）</w:t>
      </w:r>
      <w:r/>
    </w:p>
    <w:p>
      <w:pPr>
        <w:jc w:val="cente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     项目名称：_____________________</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193"/>
        <w:gridCol w:w="1729"/>
        <w:gridCol w:w="1730"/>
        <w:gridCol w:w="2099"/>
        <w:gridCol w:w="729"/>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8</w:t>
      </w:r>
      <w:r>
        <w:rPr>
          <w:rFonts w:ascii="宋体" w:hAnsi="宋体"/>
          <w:color w:val="auto"/>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hint="eastAsia" w:ascii="宋体" w:hAnsi="宋体"/>
          <w:color w:val="auto"/>
          <w:sz w:val="24"/>
          <w:szCs w:val="20"/>
          <w:highlight w:val="none"/>
        </w:rPr>
      </w:pPr>
      <w:r>
        <w:rPr>
          <w:rFonts w:hint="eastAsia" w:ascii="宋体" w:hAnsi="宋体"/>
          <w:color w:val="auto"/>
          <w:sz w:val="24"/>
          <w:szCs w:val="20"/>
          <w:highlight w:val="none"/>
        </w:rPr>
        <w:br w:type="page" w:clear="all"/>
      </w:r>
      <w:r/>
    </w:p>
    <w:p>
      <w:pPr>
        <w:rPr>
          <w:rFonts w:hint="eastAsia"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9</w:t>
      </w:r>
      <w:r>
        <w:rPr>
          <w:rFonts w:hint="eastAsia" w:ascii="宋体" w:hAnsi="宋体" w:eastAsia="宋体"/>
          <w:color w:val="auto"/>
          <w:sz w:val="24"/>
          <w:szCs w:val="20"/>
          <w:highlight w:val="none"/>
        </w:rPr>
        <w:t xml:space="preserve">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lang w:val="en-US" w:eastAsia="zh-CN"/>
        </w:rPr>
        <w:t xml:space="preserve">10</w:t>
      </w:r>
      <w:r>
        <w:rPr>
          <w:rFonts w:hint="eastAsia" w:ascii="宋体" w:hAnsi="宋体"/>
          <w:color w:val="auto"/>
          <w:sz w:val="24"/>
          <w:szCs w:val="20"/>
          <w:highlight w:val="none"/>
        </w:rPr>
        <w:t xml:space="preserve">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5" w:name="_Toc288738839"/>
      <w:r/>
      <w:bookmarkStart w:id="916" w:name="_Toc288738397"/>
      <w:r>
        <w:rPr>
          <w:rFonts w:hint="eastAsia" w:ascii="宋体" w:hAnsi="宋体"/>
          <w:color w:val="auto"/>
          <w:sz w:val="24"/>
          <w:szCs w:val="20"/>
          <w:highlight w:val="none"/>
          <w:lang w:val="en-US" w:eastAsia="zh-CN"/>
        </w:rPr>
        <w:t xml:space="preserve">11</w:t>
      </w:r>
      <w:r>
        <w:rPr>
          <w:rFonts w:hint="eastAsia" w:ascii="宋体" w:hAnsi="宋体"/>
          <w:color w:val="auto"/>
          <w:sz w:val="24"/>
          <w:szCs w:val="20"/>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5"/>
      <w:r/>
      <w:bookmarkEnd w:id="91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12</w:t>
      </w:r>
      <w:r>
        <w:rPr>
          <w:rFonts w:hint="eastAsia" w:ascii="宋体" w:hAnsi="宋体"/>
          <w:color w:val="auto"/>
          <w:sz w:val="24"/>
          <w:szCs w:val="20"/>
          <w:highlight w:val="none"/>
        </w:rPr>
        <w:t xml:space="preserve">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imSun">
    <w:panose1 w:val="02010600030101010101"/>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1091"/>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center" w:y="1"/>
    </w:pPr>
    <w:r>
      <w:fldChar w:fldCharType="begin"/>
    </w:r>
    <w:r>
      <w:rPr>
        <w:rStyle w:val="1091"/>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
  </w:p>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7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2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0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5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4"/>
      <w:isLgl w:val="false"/>
      <w:suff w:val="tab"/>
      <w:lvlText w:val="%1"/>
      <w:lvlJc w:val="left"/>
      <w:pPr>
        <w:ind w:left="680" w:hanging="680"/>
      </w:pPr>
      <w:rPr>
        <w:rFonts w:hint="eastAsia" w:ascii="宋体" w:hAnsi="宋体" w:eastAsia="宋体"/>
      </w:rPr>
    </w:lvl>
    <w:lvl w:ilvl="1">
      <w:start w:val="1"/>
      <w:numFmt w:val="decimal"/>
      <w:pStyle w:val="1255"/>
      <w:isLgl w:val="false"/>
      <w:suff w:val="tab"/>
      <w:lvlText w:val="%1.%2"/>
      <w:lvlJc w:val="left"/>
      <w:pPr>
        <w:ind w:left="851" w:hanging="851"/>
      </w:pPr>
      <w:rPr>
        <w:rFonts w:hint="eastAsia" w:ascii="宋体" w:hAnsi="宋体" w:eastAsia="宋体"/>
        <w:color w:val="auto"/>
      </w:rPr>
    </w:lvl>
    <w:lvl w:ilvl="2">
      <w:start w:val="1"/>
      <w:numFmt w:val="decimal"/>
      <w:pStyle w:val="12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1075"/>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1"/>
    <w:link w:val="1042"/>
    <w:uiPriority w:val="9"/>
    <w:rPr>
      <w:rFonts w:ascii="Arial" w:hAnsi="Arial" w:eastAsia="Arial" w:cs="Arial"/>
      <w:sz w:val="40"/>
      <w:szCs w:val="40"/>
    </w:rPr>
  </w:style>
  <w:style w:type="character" w:styleId="891">
    <w:name w:val="Heading 2 Char"/>
    <w:basedOn w:val="1051"/>
    <w:link w:val="1043"/>
    <w:uiPriority w:val="9"/>
    <w:rPr>
      <w:rFonts w:ascii="Arial" w:hAnsi="Arial" w:eastAsia="Arial" w:cs="Arial"/>
      <w:sz w:val="34"/>
    </w:rPr>
  </w:style>
  <w:style w:type="character" w:styleId="892">
    <w:name w:val="Heading 3 Char"/>
    <w:basedOn w:val="1051"/>
    <w:link w:val="1044"/>
    <w:uiPriority w:val="9"/>
    <w:rPr>
      <w:rFonts w:ascii="Arial" w:hAnsi="Arial" w:eastAsia="Arial" w:cs="Arial"/>
      <w:sz w:val="30"/>
      <w:szCs w:val="30"/>
    </w:rPr>
  </w:style>
  <w:style w:type="character" w:styleId="893">
    <w:name w:val="Heading 4 Char"/>
    <w:basedOn w:val="1051"/>
    <w:link w:val="1045"/>
    <w:uiPriority w:val="9"/>
    <w:rPr>
      <w:rFonts w:ascii="Arial" w:hAnsi="Arial" w:eastAsia="Arial" w:cs="Arial"/>
      <w:b/>
      <w:bCs/>
      <w:sz w:val="26"/>
      <w:szCs w:val="26"/>
    </w:rPr>
  </w:style>
  <w:style w:type="character" w:styleId="894">
    <w:name w:val="Heading 5 Char"/>
    <w:basedOn w:val="1051"/>
    <w:link w:val="1046"/>
    <w:uiPriority w:val="9"/>
    <w:rPr>
      <w:rFonts w:ascii="Arial" w:hAnsi="Arial" w:eastAsia="Arial" w:cs="Arial"/>
      <w:b/>
      <w:bCs/>
      <w:sz w:val="24"/>
      <w:szCs w:val="24"/>
    </w:rPr>
  </w:style>
  <w:style w:type="character" w:styleId="895">
    <w:name w:val="Heading 6 Char"/>
    <w:basedOn w:val="1051"/>
    <w:link w:val="1047"/>
    <w:uiPriority w:val="9"/>
    <w:rPr>
      <w:rFonts w:ascii="Arial" w:hAnsi="Arial" w:eastAsia="Arial" w:cs="Arial"/>
      <w:b/>
      <w:bCs/>
      <w:sz w:val="22"/>
      <w:szCs w:val="22"/>
    </w:rPr>
  </w:style>
  <w:style w:type="character" w:styleId="896">
    <w:name w:val="Heading 7 Char"/>
    <w:basedOn w:val="1051"/>
    <w:link w:val="1048"/>
    <w:uiPriority w:val="9"/>
    <w:rPr>
      <w:rFonts w:ascii="Arial" w:hAnsi="Arial" w:eastAsia="Arial" w:cs="Arial"/>
      <w:b/>
      <w:bCs/>
      <w:i/>
      <w:iCs/>
      <w:sz w:val="22"/>
      <w:szCs w:val="22"/>
    </w:rPr>
  </w:style>
  <w:style w:type="character" w:styleId="897">
    <w:name w:val="Heading 8 Char"/>
    <w:basedOn w:val="1051"/>
    <w:link w:val="1049"/>
    <w:uiPriority w:val="9"/>
    <w:rPr>
      <w:rFonts w:ascii="Arial" w:hAnsi="Arial" w:eastAsia="Arial" w:cs="Arial"/>
      <w:i/>
      <w:iCs/>
      <w:sz w:val="22"/>
      <w:szCs w:val="22"/>
    </w:rPr>
  </w:style>
  <w:style w:type="character" w:styleId="898">
    <w:name w:val="Heading 9 Char"/>
    <w:basedOn w:val="1051"/>
    <w:link w:val="1050"/>
    <w:uiPriority w:val="9"/>
    <w:rPr>
      <w:rFonts w:ascii="Arial" w:hAnsi="Arial" w:eastAsia="Arial" w:cs="Arial"/>
      <w:i/>
      <w:iCs/>
      <w:sz w:val="21"/>
      <w:szCs w:val="21"/>
    </w:rPr>
  </w:style>
  <w:style w:type="character" w:styleId="899">
    <w:name w:val="Title Char"/>
    <w:basedOn w:val="1051"/>
    <w:link w:val="1084"/>
    <w:uiPriority w:val="10"/>
    <w:rPr>
      <w:sz w:val="48"/>
      <w:szCs w:val="48"/>
    </w:rPr>
  </w:style>
  <w:style w:type="character" w:styleId="900">
    <w:name w:val="Subtitle Char"/>
    <w:basedOn w:val="1051"/>
    <w:link w:val="1075"/>
    <w:uiPriority w:val="11"/>
    <w:rPr>
      <w:sz w:val="24"/>
      <w:szCs w:val="24"/>
    </w:rPr>
  </w:style>
  <w:style w:type="paragraph" w:styleId="901">
    <w:name w:val="Quote"/>
    <w:basedOn w:val="1041"/>
    <w:next w:val="1041"/>
    <w:link w:val="902"/>
    <w:uiPriority w:val="29"/>
    <w:qFormat/>
    <w:pPr>
      <w:ind w:left="720" w:right="720"/>
    </w:pPr>
    <w:rPr>
      <w:i/>
    </w:rPr>
  </w:style>
  <w:style w:type="character" w:styleId="902">
    <w:name w:val="Quote Char"/>
    <w:link w:val="901"/>
    <w:uiPriority w:val="29"/>
    <w:rPr>
      <w:i/>
    </w:rPr>
  </w:style>
  <w:style w:type="paragraph" w:styleId="903">
    <w:name w:val="Intense Quote"/>
    <w:basedOn w:val="1041"/>
    <w:next w:val="104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1"/>
    <w:link w:val="1072"/>
    <w:uiPriority w:val="99"/>
  </w:style>
  <w:style w:type="character" w:styleId="906">
    <w:name w:val="Footer Char"/>
    <w:basedOn w:val="1051"/>
    <w:link w:val="1071"/>
    <w:uiPriority w:val="99"/>
  </w:style>
  <w:style w:type="character" w:styleId="907">
    <w:name w:val="Caption Char"/>
    <w:basedOn w:val="1055"/>
    <w:link w:val="1071"/>
    <w:uiPriority w:val="99"/>
  </w:style>
  <w:style w:type="table" w:styleId="908">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4">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5">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6">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7">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8">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9">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0">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1">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2">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3">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6">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7">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8">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9">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0">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0">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1">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2">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3">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4">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7">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8">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9">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0">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1">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2">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4">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5">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6">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7">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8">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9">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1">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2">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3">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4">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5">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6">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1"/>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1"/>
    <w:uiPriority w:val="99"/>
    <w:unhideWhenUsed/>
    <w:rPr>
      <w:vertAlign w:val="superscript"/>
    </w:rPr>
  </w:style>
  <w:style w:type="paragraph" w:styleId="1036">
    <w:name w:val="endnote text"/>
    <w:basedOn w:val="1041"/>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1"/>
    <w:uiPriority w:val="99"/>
    <w:semiHidden/>
    <w:unhideWhenUsed/>
    <w:rPr>
      <w:vertAlign w:val="superscript"/>
    </w:r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097"/>
    <w:uiPriority w:val="0"/>
    <w:qFormat/>
    <w:pPr>
      <w:jc w:val="center"/>
      <w:keepLines/>
      <w:keepNext/>
      <w:spacing w:before="240" w:after="120" w:line="300" w:lineRule="auto"/>
      <w:outlineLvl w:val="0"/>
    </w:pPr>
    <w:rPr>
      <w:rFonts w:ascii="宋体"/>
      <w:b/>
      <w:sz w:val="32"/>
      <w:szCs w:val="20"/>
    </w:rPr>
  </w:style>
  <w:style w:type="paragraph" w:styleId="1043">
    <w:name w:val="Heading 2"/>
    <w:basedOn w:val="1041"/>
    <w:next w:val="1053"/>
    <w:link w:val="1098"/>
    <w:uiPriority w:val="0"/>
    <w:qFormat/>
    <w:pPr>
      <w:jc w:val="center"/>
      <w:keepLines/>
      <w:keepNext/>
      <w:spacing w:before="120" w:line="300" w:lineRule="auto"/>
      <w:outlineLvl w:val="1"/>
    </w:pPr>
    <w:rPr>
      <w:rFonts w:ascii="Arial" w:hAnsi="Arial" w:eastAsia="黑体"/>
      <w:b/>
      <w:sz w:val="30"/>
      <w:szCs w:val="20"/>
    </w:rPr>
  </w:style>
  <w:style w:type="paragraph" w:styleId="1044">
    <w:name w:val="Heading 3"/>
    <w:basedOn w:val="1041"/>
    <w:next w:val="1041"/>
    <w:link w:val="1099"/>
    <w:uiPriority w:val="0"/>
    <w:qFormat/>
    <w:pPr>
      <w:jc w:val="left"/>
      <w:keepLines/>
      <w:keepNext/>
      <w:spacing w:before="360" w:after="120"/>
      <w:outlineLvl w:val="2"/>
    </w:pPr>
    <w:rPr>
      <w:rFonts w:ascii="宋体"/>
      <w:b/>
      <w:sz w:val="24"/>
      <w:szCs w:val="20"/>
      <w:u w:val="single"/>
    </w:rPr>
  </w:style>
  <w:style w:type="paragraph" w:styleId="1045">
    <w:name w:val="Heading 4"/>
    <w:basedOn w:val="1041"/>
    <w:next w:val="1041"/>
    <w:link w:val="1100"/>
    <w:uiPriority w:val="0"/>
    <w:qFormat/>
    <w:pPr>
      <w:keepLines/>
      <w:keepNext/>
      <w:spacing w:before="280" w:after="290" w:line="376" w:lineRule="atLeast"/>
      <w:outlineLvl w:val="3"/>
    </w:pPr>
    <w:rPr>
      <w:rFonts w:ascii="Arial" w:hAnsi="Arial" w:eastAsia="黑体"/>
      <w:b/>
      <w:sz w:val="28"/>
      <w:szCs w:val="20"/>
    </w:rPr>
  </w:style>
  <w:style w:type="paragraph" w:styleId="1046">
    <w:name w:val="Heading 5"/>
    <w:basedOn w:val="1041"/>
    <w:next w:val="1041"/>
    <w:link w:val="1101"/>
    <w:uiPriority w:val="0"/>
    <w:qFormat/>
    <w:pPr>
      <w:keepLines/>
      <w:keepNext/>
      <w:spacing w:before="280" w:after="290" w:line="376" w:lineRule="atLeast"/>
      <w:outlineLvl w:val="4"/>
    </w:pPr>
    <w:rPr>
      <w:b/>
      <w:sz w:val="28"/>
      <w:szCs w:val="20"/>
    </w:rPr>
  </w:style>
  <w:style w:type="paragraph" w:styleId="1047">
    <w:name w:val="Heading 6"/>
    <w:basedOn w:val="1041"/>
    <w:next w:val="1041"/>
    <w:link w:val="1102"/>
    <w:uiPriority w:val="0"/>
    <w:qFormat/>
    <w:pPr>
      <w:keepLines/>
      <w:keepNext/>
      <w:spacing w:before="240" w:after="64" w:line="320" w:lineRule="atLeast"/>
      <w:outlineLvl w:val="5"/>
    </w:pPr>
    <w:rPr>
      <w:rFonts w:ascii="Arial" w:hAnsi="Arial" w:eastAsia="黑体"/>
      <w:b/>
      <w:sz w:val="24"/>
      <w:szCs w:val="20"/>
    </w:rPr>
  </w:style>
  <w:style w:type="paragraph" w:styleId="1048">
    <w:name w:val="Heading 7"/>
    <w:basedOn w:val="1041"/>
    <w:next w:val="1041"/>
    <w:link w:val="1103"/>
    <w:uiPriority w:val="0"/>
    <w:qFormat/>
    <w:pPr>
      <w:keepLines/>
      <w:keepNext/>
      <w:spacing w:before="240" w:after="64" w:line="320" w:lineRule="atLeast"/>
      <w:outlineLvl w:val="6"/>
    </w:pPr>
    <w:rPr>
      <w:b/>
      <w:sz w:val="24"/>
      <w:szCs w:val="20"/>
    </w:rPr>
  </w:style>
  <w:style w:type="paragraph" w:styleId="1049">
    <w:name w:val="Heading 8"/>
    <w:basedOn w:val="1041"/>
    <w:next w:val="1041"/>
    <w:link w:val="1104"/>
    <w:uiPriority w:val="0"/>
    <w:qFormat/>
    <w:pPr>
      <w:keepLines/>
      <w:keepNext/>
      <w:spacing w:before="240" w:after="64" w:line="320" w:lineRule="atLeast"/>
      <w:outlineLvl w:val="7"/>
    </w:pPr>
    <w:rPr>
      <w:rFonts w:ascii="Arial" w:hAnsi="Arial" w:eastAsia="黑体"/>
      <w:sz w:val="24"/>
      <w:szCs w:val="20"/>
    </w:rPr>
  </w:style>
  <w:style w:type="paragraph" w:styleId="1050">
    <w:name w:val="Heading 9"/>
    <w:basedOn w:val="1041"/>
    <w:next w:val="1041"/>
    <w:link w:val="1105"/>
    <w:uiPriority w:val="0"/>
    <w:qFormat/>
    <w:pPr>
      <w:keepLines/>
      <w:keepNext/>
      <w:spacing w:before="240" w:after="64" w:line="320" w:lineRule="atLeast"/>
      <w:outlineLvl w:val="8"/>
    </w:pPr>
    <w:rPr>
      <w:rFonts w:ascii="Arial" w:hAnsi="Arial" w:eastAsia="黑体"/>
      <w:szCs w:val="20"/>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Normal Indent"/>
    <w:basedOn w:val="1041"/>
    <w:link w:val="1106"/>
    <w:uiPriority w:val="0"/>
    <w:qFormat/>
    <w:pPr>
      <w:ind w:firstLine="420"/>
      <w:jc w:val="left"/>
    </w:pPr>
    <w:rPr>
      <w:rFonts w:ascii="宋体"/>
      <w:sz w:val="24"/>
    </w:rPr>
  </w:style>
  <w:style w:type="paragraph" w:styleId="1054">
    <w:name w:val="toc 7"/>
    <w:basedOn w:val="1041"/>
    <w:next w:val="1041"/>
    <w:uiPriority w:val="0"/>
    <w:qFormat/>
    <w:pPr>
      <w:ind w:left="2520"/>
    </w:pPr>
  </w:style>
  <w:style w:type="paragraph" w:styleId="1055">
    <w:name w:val="Caption"/>
    <w:basedOn w:val="1041"/>
    <w:next w:val="1041"/>
    <w:uiPriority w:val="0"/>
    <w:qFormat/>
    <w:pPr>
      <w:spacing w:line="480" w:lineRule="auto"/>
    </w:pPr>
    <w:rPr>
      <w:rFonts w:ascii="华文中宋" w:hAnsi="华文中宋" w:eastAsia="华文中宋"/>
      <w:sz w:val="36"/>
      <w:szCs w:val="20"/>
    </w:rPr>
  </w:style>
  <w:style w:type="paragraph" w:styleId="1056">
    <w:name w:val="Document Map"/>
    <w:basedOn w:val="1041"/>
    <w:link w:val="1107"/>
    <w:uiPriority w:val="0"/>
    <w:qFormat/>
    <w:pPr>
      <w:shd w:val="clear" w:color="auto" w:fill="000080"/>
    </w:pPr>
  </w:style>
  <w:style w:type="paragraph" w:styleId="1057">
    <w:name w:val="annotation text"/>
    <w:basedOn w:val="1041"/>
    <w:link w:val="1108"/>
    <w:uiPriority w:val="99"/>
    <w:qFormat/>
    <w:pPr>
      <w:jc w:val="left"/>
    </w:pPr>
  </w:style>
  <w:style w:type="paragraph" w:styleId="1058">
    <w:name w:val="Body Text 3"/>
    <w:basedOn w:val="1041"/>
    <w:link w:val="1109"/>
    <w:uiPriority w:val="0"/>
    <w:qFormat/>
    <w:pPr>
      <w:spacing w:after="120"/>
    </w:pPr>
    <w:rPr>
      <w:sz w:val="16"/>
      <w:szCs w:val="16"/>
    </w:rPr>
  </w:style>
  <w:style w:type="paragraph" w:styleId="1059">
    <w:name w:val="Body Text"/>
    <w:basedOn w:val="1041"/>
    <w:next w:val="1041"/>
    <w:link w:val="1110"/>
    <w:uiPriority w:val="0"/>
    <w:qFormat/>
    <w:pPr>
      <w:spacing w:before="120" w:line="22" w:lineRule="atLeast"/>
      <w:tabs>
        <w:tab w:val="left" w:pos="567" w:leader="none"/>
      </w:tabs>
    </w:pPr>
    <w:rPr>
      <w:rFonts w:ascii="宋体" w:hAnsi="宋体"/>
      <w:sz w:val="24"/>
    </w:rPr>
  </w:style>
  <w:style w:type="paragraph" w:styleId="1060">
    <w:name w:val="Body Text Indent"/>
    <w:basedOn w:val="1041"/>
    <w:next w:val="1041"/>
    <w:link w:val="1111"/>
    <w:uiPriority w:val="0"/>
    <w:qFormat/>
    <w:pPr>
      <w:ind w:firstLine="570"/>
      <w:spacing w:line="360" w:lineRule="auto"/>
    </w:pPr>
    <w:rPr>
      <w:sz w:val="24"/>
    </w:rPr>
  </w:style>
  <w:style w:type="paragraph" w:styleId="1061">
    <w:name w:val="List 2"/>
    <w:basedOn w:val="1041"/>
    <w:uiPriority w:val="0"/>
    <w:qFormat/>
    <w:pPr>
      <w:ind w:left="100" w:hanging="200"/>
    </w:pPr>
  </w:style>
  <w:style w:type="paragraph" w:styleId="1062">
    <w:name w:val="Block Text"/>
    <w:basedOn w:val="1041"/>
    <w:uiPriority w:val="0"/>
    <w:qFormat/>
    <w:pPr>
      <w:ind w:left="480" w:right="-341" w:firstLine="513"/>
      <w:widowControl/>
    </w:pPr>
    <w:rPr>
      <w:sz w:val="24"/>
      <w:szCs w:val="20"/>
    </w:rPr>
  </w:style>
  <w:style w:type="paragraph" w:styleId="1063">
    <w:name w:val="index 4"/>
    <w:basedOn w:val="1041"/>
    <w:next w:val="1041"/>
    <w:uiPriority w:val="0"/>
    <w:qFormat/>
    <w:pPr>
      <w:ind w:left="600"/>
    </w:pPr>
    <w:rPr>
      <w:rFonts w:ascii="Verdana" w:hAnsi="Verdana"/>
      <w:szCs w:val="20"/>
    </w:rPr>
  </w:style>
  <w:style w:type="paragraph" w:styleId="1064">
    <w:name w:val="toc 5"/>
    <w:basedOn w:val="1041"/>
    <w:next w:val="1041"/>
    <w:uiPriority w:val="0"/>
    <w:qFormat/>
    <w:pPr>
      <w:ind w:left="1680"/>
    </w:pPr>
  </w:style>
  <w:style w:type="paragraph" w:styleId="1065">
    <w:name w:val="toc 3"/>
    <w:basedOn w:val="1041"/>
    <w:next w:val="1041"/>
    <w:uiPriority w:val="39"/>
    <w:qFormat/>
    <w:pPr>
      <w:ind w:left="840"/>
    </w:pPr>
  </w:style>
  <w:style w:type="paragraph" w:styleId="1066">
    <w:name w:val="Plain Text"/>
    <w:basedOn w:val="1041"/>
    <w:next w:val="1053"/>
    <w:link w:val="1112"/>
    <w:uiPriority w:val="99"/>
    <w:qFormat/>
    <w:rPr>
      <w:rFonts w:hint="eastAsia" w:ascii="宋体" w:hAnsi="Courier New"/>
      <w:szCs w:val="20"/>
    </w:rPr>
  </w:style>
  <w:style w:type="paragraph" w:styleId="1067">
    <w:name w:val="toc 8"/>
    <w:basedOn w:val="1041"/>
    <w:next w:val="1041"/>
    <w:uiPriority w:val="0"/>
    <w:qFormat/>
    <w:pPr>
      <w:ind w:left="2940"/>
    </w:pPr>
  </w:style>
  <w:style w:type="paragraph" w:styleId="1068">
    <w:name w:val="Date"/>
    <w:basedOn w:val="1041"/>
    <w:next w:val="1041"/>
    <w:link w:val="1113"/>
    <w:uiPriority w:val="0"/>
    <w:qFormat/>
    <w:pPr>
      <w:ind w:left="100"/>
    </w:pPr>
    <w:rPr>
      <w:rFonts w:ascii="仿宋_GB2312" w:hAnsi="宋体" w:eastAsia="仿宋_GB2312"/>
      <w:color w:val="000000"/>
      <w:sz w:val="24"/>
    </w:rPr>
  </w:style>
  <w:style w:type="paragraph" w:styleId="1069">
    <w:name w:val="Body Text Indent 2"/>
    <w:basedOn w:val="1041"/>
    <w:link w:val="1114"/>
    <w:uiPriority w:val="0"/>
    <w:qFormat/>
    <w:pPr>
      <w:ind w:firstLine="480"/>
    </w:pPr>
    <w:rPr>
      <w:rFonts w:ascii="仿宋_GB2312" w:eastAsia="仿宋_GB2312"/>
      <w:sz w:val="24"/>
    </w:rPr>
  </w:style>
  <w:style w:type="paragraph" w:styleId="1070">
    <w:name w:val="Balloon Text"/>
    <w:basedOn w:val="1041"/>
    <w:link w:val="1115"/>
    <w:uiPriority w:val="0"/>
    <w:qFormat/>
    <w:rPr>
      <w:sz w:val="18"/>
      <w:szCs w:val="18"/>
    </w:rPr>
  </w:style>
  <w:style w:type="paragraph" w:styleId="1071">
    <w:name w:val="Footer"/>
    <w:basedOn w:val="1041"/>
    <w:link w:val="1116"/>
    <w:uiPriority w:val="99"/>
    <w:qFormat/>
    <w:pPr>
      <w:jc w:val="left"/>
      <w:tabs>
        <w:tab w:val="center" w:pos="4153" w:leader="none"/>
        <w:tab w:val="right" w:pos="8306" w:leader="none"/>
      </w:tabs>
    </w:pPr>
    <w:rPr>
      <w:rFonts w:ascii="宋体"/>
      <w:sz w:val="18"/>
      <w:szCs w:val="20"/>
    </w:rPr>
  </w:style>
  <w:style w:type="paragraph" w:styleId="1072">
    <w:name w:val="Header"/>
    <w:basedOn w:val="1041"/>
    <w:link w:val="1117"/>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74">
    <w:name w:val="toc 4"/>
    <w:basedOn w:val="1041"/>
    <w:next w:val="1041"/>
    <w:uiPriority w:val="0"/>
    <w:qFormat/>
    <w:pPr>
      <w:ind w:left="1260"/>
    </w:pPr>
  </w:style>
  <w:style w:type="paragraph" w:styleId="1075">
    <w:name w:val="Subtitle"/>
    <w:basedOn w:val="1041"/>
    <w:next w:val="1041"/>
    <w:uiPriority w:val="0"/>
    <w:qFormat/>
    <w:pPr>
      <w:numPr>
        <w:ilvl w:val="0"/>
        <w:numId w:val="1"/>
      </w:numPr>
      <w:ind w:left="0" w:firstLine="0"/>
      <w:jc w:val="left"/>
      <w:spacing w:before="240" w:after="60"/>
      <w:outlineLvl w:val="0"/>
    </w:pPr>
    <w:rPr>
      <w:rFonts w:ascii="Cambria" w:hAnsi="Cambria"/>
      <w:b/>
      <w:bCs/>
      <w:sz w:val="30"/>
      <w:szCs w:val="32"/>
    </w:rPr>
  </w:style>
  <w:style w:type="paragraph" w:styleId="1076">
    <w:name w:val="List"/>
    <w:basedOn w:val="1041"/>
    <w:uiPriority w:val="0"/>
    <w:qFormat/>
    <w:pPr>
      <w:contextualSpacing/>
      <w:ind w:left="200" w:hanging="200"/>
    </w:pPr>
  </w:style>
  <w:style w:type="paragraph" w:styleId="1077">
    <w:name w:val="toc 6"/>
    <w:basedOn w:val="1041"/>
    <w:next w:val="1041"/>
    <w:uiPriority w:val="0"/>
    <w:qFormat/>
    <w:pPr>
      <w:ind w:left="2100"/>
    </w:pPr>
  </w:style>
  <w:style w:type="paragraph" w:styleId="1078">
    <w:name w:val="Body Text Indent 3"/>
    <w:basedOn w:val="1041"/>
    <w:link w:val="1118"/>
    <w:uiPriority w:val="0"/>
    <w:qFormat/>
    <w:pPr>
      <w:ind w:left="720" w:firstLine="480"/>
      <w:jc w:val="left"/>
      <w:spacing w:before="120" w:line="22" w:lineRule="atLeast"/>
    </w:pPr>
    <w:rPr>
      <w:rFonts w:ascii="宋体"/>
      <w:sz w:val="24"/>
      <w:szCs w:val="20"/>
    </w:rPr>
  </w:style>
  <w:style w:type="paragraph" w:styleId="1079">
    <w:name w:val="toc 2"/>
    <w:basedOn w:val="1041"/>
    <w:next w:val="1041"/>
    <w:uiPriority w:val="39"/>
    <w:qFormat/>
    <w:pPr>
      <w:ind w:left="420"/>
      <w:spacing w:line="312" w:lineRule="auto"/>
      <w:tabs>
        <w:tab w:val="right" w:pos="8937" w:leader="dot"/>
      </w:tabs>
    </w:pPr>
  </w:style>
  <w:style w:type="paragraph" w:styleId="1080">
    <w:name w:val="toc 9"/>
    <w:basedOn w:val="1041"/>
    <w:next w:val="1041"/>
    <w:uiPriority w:val="0"/>
    <w:qFormat/>
    <w:pPr>
      <w:ind w:left="3360"/>
    </w:pPr>
  </w:style>
  <w:style w:type="paragraph" w:styleId="1081">
    <w:name w:val="HTML Preformatted"/>
    <w:basedOn w:val="1041"/>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2">
    <w:name w:val="Normal (Web)"/>
    <w:basedOn w:val="1041"/>
    <w:uiPriority w:val="0"/>
    <w:unhideWhenUsed/>
    <w:qFormat/>
    <w:pPr>
      <w:jc w:val="left"/>
      <w:spacing w:before="100" w:beforeAutospacing="1" w:after="100" w:afterAutospacing="1"/>
      <w:widowControl/>
    </w:pPr>
    <w:rPr>
      <w:rFonts w:ascii="宋体" w:hAnsi="宋体" w:cs="宋体"/>
      <w:sz w:val="24"/>
    </w:rPr>
  </w:style>
  <w:style w:type="paragraph" w:styleId="1083">
    <w:name w:val="index 1"/>
    <w:basedOn w:val="1041"/>
    <w:next w:val="1041"/>
    <w:uiPriority w:val="0"/>
    <w:qFormat/>
    <w:rPr>
      <w:szCs w:val="20"/>
    </w:rPr>
  </w:style>
  <w:style w:type="paragraph" w:styleId="1084">
    <w:name w:val="Title"/>
    <w:basedOn w:val="1041"/>
    <w:link w:val="1120"/>
    <w:uiPriority w:val="0"/>
    <w:qFormat/>
    <w:pPr>
      <w:jc w:val="center"/>
      <w:outlineLvl w:val="0"/>
    </w:pPr>
    <w:rPr>
      <w:b/>
      <w:sz w:val="32"/>
      <w:szCs w:val="20"/>
    </w:rPr>
  </w:style>
  <w:style w:type="paragraph" w:styleId="1085">
    <w:name w:val="annotation subject"/>
    <w:basedOn w:val="1057"/>
    <w:next w:val="1057"/>
    <w:link w:val="1121"/>
    <w:uiPriority w:val="0"/>
    <w:qFormat/>
    <w:rPr>
      <w:b/>
      <w:bCs/>
    </w:rPr>
  </w:style>
  <w:style w:type="paragraph" w:styleId="1086">
    <w:name w:val="Body Text First Indent"/>
    <w:basedOn w:val="1059"/>
    <w:uiPriority w:val="99"/>
    <w:unhideWhenUsed/>
    <w:qFormat/>
    <w:pPr>
      <w:ind w:firstLine="420"/>
    </w:pPr>
  </w:style>
  <w:style w:type="paragraph" w:styleId="1087">
    <w:name w:val="Body Text First Indent 2"/>
    <w:basedOn w:val="1041"/>
    <w:next w:val="1041"/>
    <w:link w:val="1122"/>
    <w:uiPriority w:val="0"/>
    <w:qFormat/>
    <w:pPr>
      <w:ind w:left="420" w:firstLine="420"/>
      <w:spacing w:after="120" w:line="480" w:lineRule="exact"/>
    </w:pPr>
    <w:rPr>
      <w:szCs w:val="20"/>
    </w:rPr>
  </w:style>
  <w:style w:type="table" w:styleId="1088">
    <w:name w:val="Table Grid"/>
    <w:basedOn w:val="10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uiPriority w:val="22"/>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2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character" w:styleId="1097" w:customStyle="1">
    <w:name w:val="标题 1 字符"/>
    <w:link w:val="1042"/>
    <w:uiPriority w:val="0"/>
    <w:qFormat/>
    <w:rPr>
      <w:rFonts w:ascii="宋体"/>
      <w:b/>
      <w:sz w:val="32"/>
    </w:rPr>
  </w:style>
  <w:style w:type="character" w:styleId="1098" w:customStyle="1">
    <w:name w:val="标题 2 字符"/>
    <w:link w:val="1043"/>
    <w:uiPriority w:val="0"/>
    <w:qFormat/>
    <w:rPr>
      <w:rFonts w:ascii="Arial" w:hAnsi="Arial" w:eastAsia="黑体"/>
      <w:b/>
      <w:sz w:val="30"/>
      <w:lang w:val="en-US" w:eastAsia="zh-CN" w:bidi="ar-SA"/>
    </w:rPr>
  </w:style>
  <w:style w:type="character" w:styleId="1099" w:customStyle="1">
    <w:name w:val="标题 3 字符"/>
    <w:link w:val="1044"/>
    <w:uiPriority w:val="0"/>
    <w:qFormat/>
    <w:rPr>
      <w:rFonts w:ascii="宋体" w:eastAsia="宋体"/>
      <w:b/>
      <w:sz w:val="24"/>
      <w:u w:val="single"/>
      <w:lang w:val="en-US" w:eastAsia="zh-CN" w:bidi="ar-SA"/>
    </w:rPr>
  </w:style>
  <w:style w:type="character" w:styleId="1100" w:customStyle="1">
    <w:name w:val="标题 4 字符"/>
    <w:link w:val="1045"/>
    <w:uiPriority w:val="0"/>
    <w:qFormat/>
    <w:rPr>
      <w:rFonts w:ascii="Arial" w:hAnsi="Arial" w:eastAsia="黑体"/>
      <w:b/>
      <w:sz w:val="28"/>
    </w:rPr>
  </w:style>
  <w:style w:type="character" w:styleId="1101" w:customStyle="1">
    <w:name w:val="标题 5 字符"/>
    <w:link w:val="1046"/>
    <w:uiPriority w:val="0"/>
    <w:qFormat/>
    <w:rPr>
      <w:b/>
      <w:sz w:val="28"/>
    </w:rPr>
  </w:style>
  <w:style w:type="character" w:styleId="1102" w:customStyle="1">
    <w:name w:val="标题 6 字符"/>
    <w:link w:val="1047"/>
    <w:uiPriority w:val="0"/>
    <w:qFormat/>
    <w:rPr>
      <w:rFonts w:ascii="Arial" w:hAnsi="Arial" w:eastAsia="黑体"/>
      <w:b/>
      <w:sz w:val="24"/>
    </w:rPr>
  </w:style>
  <w:style w:type="character" w:styleId="1103" w:customStyle="1">
    <w:name w:val="标题 7 字符"/>
    <w:link w:val="1048"/>
    <w:uiPriority w:val="0"/>
    <w:qFormat/>
    <w:rPr>
      <w:b/>
      <w:sz w:val="24"/>
    </w:rPr>
  </w:style>
  <w:style w:type="character" w:styleId="1104" w:customStyle="1">
    <w:name w:val="标题 8 字符"/>
    <w:link w:val="1049"/>
    <w:uiPriority w:val="0"/>
    <w:qFormat/>
    <w:rPr>
      <w:rFonts w:ascii="Arial" w:hAnsi="Arial" w:eastAsia="黑体"/>
      <w:sz w:val="24"/>
    </w:rPr>
  </w:style>
  <w:style w:type="character" w:styleId="1105" w:customStyle="1">
    <w:name w:val="标题 9 字符"/>
    <w:link w:val="1050"/>
    <w:uiPriority w:val="0"/>
    <w:qFormat/>
    <w:rPr>
      <w:rFonts w:ascii="Arial" w:hAnsi="Arial" w:eastAsia="黑体"/>
      <w:sz w:val="21"/>
    </w:rPr>
  </w:style>
  <w:style w:type="character" w:styleId="1106" w:customStyle="1">
    <w:name w:val="正文缩进 字符1"/>
    <w:link w:val="1053"/>
    <w:uiPriority w:val="0"/>
    <w:qFormat/>
    <w:rPr>
      <w:rFonts w:ascii="宋体" w:eastAsia="宋体"/>
      <w:sz w:val="24"/>
      <w:szCs w:val="24"/>
      <w:lang w:val="en-US" w:eastAsia="zh-CN" w:bidi="ar-SA"/>
    </w:rPr>
  </w:style>
  <w:style w:type="character" w:styleId="1107" w:customStyle="1">
    <w:name w:val="文档结构图 字符"/>
    <w:link w:val="1056"/>
    <w:uiPriority w:val="0"/>
    <w:qFormat/>
    <w:rPr>
      <w:sz w:val="21"/>
      <w:szCs w:val="24"/>
      <w:shd w:val="clear" w:color="auto" w:fill="000080"/>
    </w:rPr>
  </w:style>
  <w:style w:type="character" w:styleId="1108" w:customStyle="1">
    <w:name w:val="批注文字 字符1"/>
    <w:link w:val="1057"/>
    <w:uiPriority w:val="99"/>
    <w:qFormat/>
    <w:rPr>
      <w:sz w:val="21"/>
      <w:szCs w:val="24"/>
    </w:rPr>
  </w:style>
  <w:style w:type="character" w:styleId="1109" w:customStyle="1">
    <w:name w:val="正文文本 3 字符"/>
    <w:link w:val="1058"/>
    <w:uiPriority w:val="0"/>
    <w:qFormat/>
    <w:rPr>
      <w:sz w:val="16"/>
      <w:szCs w:val="16"/>
    </w:rPr>
  </w:style>
  <w:style w:type="character" w:styleId="1110" w:customStyle="1">
    <w:name w:val="正文文本 字符"/>
    <w:link w:val="1059"/>
    <w:uiPriority w:val="0"/>
    <w:qFormat/>
    <w:rPr>
      <w:rFonts w:ascii="宋体" w:hAnsi="宋体"/>
      <w:sz w:val="24"/>
      <w:szCs w:val="24"/>
    </w:rPr>
  </w:style>
  <w:style w:type="character" w:styleId="1111" w:customStyle="1">
    <w:name w:val="正文文本缩进 字符"/>
    <w:link w:val="1060"/>
    <w:uiPriority w:val="0"/>
    <w:qFormat/>
    <w:rPr>
      <w:rFonts w:eastAsia="宋体"/>
      <w:sz w:val="24"/>
      <w:szCs w:val="24"/>
      <w:lang w:val="en-US" w:eastAsia="zh-CN" w:bidi="ar-SA"/>
    </w:rPr>
  </w:style>
  <w:style w:type="character" w:styleId="1112" w:customStyle="1">
    <w:name w:val="纯文本 字符2"/>
    <w:link w:val="1066"/>
    <w:uiPriority w:val="0"/>
    <w:qFormat/>
    <w:rPr>
      <w:rFonts w:hint="eastAsia" w:ascii="宋体" w:hAnsi="Courier New" w:eastAsia="宋体" w:cs="宋体"/>
      <w:sz w:val="21"/>
    </w:rPr>
  </w:style>
  <w:style w:type="character" w:styleId="1113" w:customStyle="1">
    <w:name w:val="日期 字符"/>
    <w:link w:val="1068"/>
    <w:uiPriority w:val="0"/>
    <w:qFormat/>
    <w:rPr>
      <w:rFonts w:ascii="仿宋_GB2312" w:hAnsi="宋体" w:eastAsia="仿宋_GB2312"/>
      <w:color w:val="000000"/>
      <w:sz w:val="24"/>
      <w:szCs w:val="24"/>
    </w:rPr>
  </w:style>
  <w:style w:type="character" w:styleId="1114" w:customStyle="1">
    <w:name w:val="正文文本缩进 2 字符"/>
    <w:link w:val="1069"/>
    <w:uiPriority w:val="0"/>
    <w:qFormat/>
    <w:rPr>
      <w:rFonts w:ascii="仿宋_GB2312" w:eastAsia="仿宋_GB2312"/>
      <w:sz w:val="24"/>
      <w:szCs w:val="24"/>
    </w:rPr>
  </w:style>
  <w:style w:type="character" w:styleId="1115" w:customStyle="1">
    <w:name w:val="批注框文本 字符"/>
    <w:link w:val="1070"/>
    <w:uiPriority w:val="0"/>
    <w:qFormat/>
    <w:rPr>
      <w:sz w:val="18"/>
      <w:szCs w:val="18"/>
    </w:rPr>
  </w:style>
  <w:style w:type="character" w:styleId="1116" w:customStyle="1">
    <w:name w:val="页脚 字符"/>
    <w:link w:val="1071"/>
    <w:uiPriority w:val="99"/>
    <w:qFormat/>
    <w:rPr>
      <w:rFonts w:ascii="宋体" w:eastAsia="宋体"/>
      <w:sz w:val="18"/>
      <w:lang w:val="en-US" w:eastAsia="zh-CN" w:bidi="ar-SA"/>
    </w:rPr>
  </w:style>
  <w:style w:type="character" w:styleId="1117" w:customStyle="1">
    <w:name w:val="页眉 字符"/>
    <w:link w:val="1072"/>
    <w:uiPriority w:val="0"/>
    <w:qFormat/>
    <w:rPr>
      <w:rFonts w:eastAsia="宋体"/>
      <w:sz w:val="18"/>
      <w:szCs w:val="18"/>
      <w:lang w:val="en-US" w:eastAsia="zh-CN" w:bidi="ar-SA"/>
    </w:rPr>
  </w:style>
  <w:style w:type="character" w:styleId="1118" w:customStyle="1">
    <w:name w:val="正文文本缩进 3 字符"/>
    <w:link w:val="1078"/>
    <w:uiPriority w:val="0"/>
    <w:qFormat/>
    <w:rPr>
      <w:rFonts w:ascii="宋体"/>
      <w:sz w:val="24"/>
    </w:rPr>
  </w:style>
  <w:style w:type="character" w:styleId="1119" w:customStyle="1">
    <w:name w:val="HTML 预设格式 字符"/>
    <w:link w:val="1081"/>
    <w:uiPriority w:val="0"/>
    <w:qFormat/>
    <w:rPr>
      <w:rFonts w:ascii="宋体" w:hAnsi="宋体" w:cs="宋体"/>
      <w:sz w:val="24"/>
      <w:szCs w:val="24"/>
    </w:rPr>
  </w:style>
  <w:style w:type="character" w:styleId="1120" w:customStyle="1">
    <w:name w:val="标题 字符"/>
    <w:link w:val="1084"/>
    <w:uiPriority w:val="0"/>
    <w:qFormat/>
    <w:rPr>
      <w:b/>
      <w:sz w:val="32"/>
    </w:rPr>
  </w:style>
  <w:style w:type="character" w:styleId="1121" w:customStyle="1">
    <w:name w:val="批注主题 字符"/>
    <w:link w:val="1085"/>
    <w:uiPriority w:val="0"/>
    <w:qFormat/>
    <w:rPr>
      <w:rFonts w:ascii="Times New Roman" w:hAnsi="Times New Roman" w:eastAsia="宋体" w:cs="Times New Roman"/>
      <w:b/>
      <w:bCs/>
      <w:sz w:val="21"/>
      <w:szCs w:val="24"/>
      <w:lang w:val="en-US" w:eastAsia="zh-CN" w:bidi="ar-SA"/>
    </w:rPr>
  </w:style>
  <w:style w:type="character" w:styleId="1122" w:customStyle="1">
    <w:name w:val="正文首行缩进 2 字符"/>
    <w:link w:val="1087"/>
    <w:uiPriority w:val="0"/>
    <w:qFormat/>
    <w:rPr>
      <w:rFonts w:eastAsia="宋体"/>
      <w:sz w:val="24"/>
      <w:szCs w:val="24"/>
      <w:lang w:val="en-US" w:eastAsia="zh-CN" w:bidi="ar-SA"/>
    </w:rPr>
  </w:style>
  <w:style w:type="character" w:styleId="1123" w:customStyle="1">
    <w:name w:val="标题 2 Char"/>
    <w:uiPriority w:val="0"/>
    <w:qFormat/>
    <w:rPr>
      <w:rFonts w:ascii="Arial" w:hAnsi="Arial" w:eastAsia="黑体"/>
      <w:b/>
      <w:sz w:val="30"/>
      <w:lang w:val="en-US" w:eastAsia="zh-CN" w:bidi="ar-SA"/>
    </w:rPr>
  </w:style>
  <w:style w:type="paragraph" w:styleId="1124"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25" w:customStyle="1">
    <w:name w:val="批注文字 字符"/>
    <w:uiPriority w:val="99"/>
    <w:qFormat/>
    <w:rPr>
      <w:rFonts w:ascii="Times New Roman" w:hAnsi="Times New Roman" w:eastAsia="宋体" w:cs="Times New Roman"/>
      <w:sz w:val="24"/>
      <w:lang w:val="en-US" w:eastAsia="zh-CN" w:bidi="ar-SA"/>
    </w:rPr>
  </w:style>
  <w:style w:type="character" w:styleId="1126" w:customStyle="1">
    <w:name w:val="c21"/>
    <w:uiPriority w:val="0"/>
    <w:qFormat/>
    <w:rPr>
      <w:rFonts w:hint="default" w:ascii="ˎ̥" w:hAnsi="ˎ̥"/>
      <w:color w:val="000000"/>
      <w:sz w:val="20"/>
      <w:szCs w:val="20"/>
      <w:u w:val="none"/>
    </w:rPr>
  </w:style>
  <w:style w:type="character" w:styleId="1127" w:customStyle="1">
    <w:name w:val="title4"/>
    <w:uiPriority w:val="0"/>
    <w:qFormat/>
    <w:rPr>
      <w:b/>
      <w:bCs/>
      <w:color w:val="1d87b3"/>
      <w:sz w:val="15"/>
      <w:szCs w:val="15"/>
    </w:rPr>
  </w:style>
  <w:style w:type="character" w:styleId="1128" w:customStyle="1">
    <w:name w:val="标题 2 Char Char"/>
    <w:uiPriority w:val="0"/>
    <w:qFormat/>
    <w:rPr>
      <w:rFonts w:ascii="Arial" w:hAnsi="Arial" w:eastAsia="黑体"/>
      <w:b/>
      <w:bCs/>
      <w:sz w:val="32"/>
      <w:szCs w:val="32"/>
      <w:lang w:val="en-US" w:eastAsia="zh-CN" w:bidi="ar-SA"/>
    </w:rPr>
  </w:style>
  <w:style w:type="character" w:styleId="1129" w:customStyle="1">
    <w:name w:val="black1"/>
    <w:uiPriority w:val="0"/>
    <w:qFormat/>
    <w:rPr>
      <w:color w:val="000000"/>
    </w:rPr>
  </w:style>
  <w:style w:type="character" w:styleId="1130" w:customStyle="1">
    <w:name w:val="street-address"/>
    <w:uiPriority w:val="0"/>
    <w:qFormat/>
  </w:style>
  <w:style w:type="character" w:styleId="1131" w:customStyle="1">
    <w:name w:val="locality"/>
    <w:uiPriority w:val="0"/>
    <w:qFormat/>
  </w:style>
  <w:style w:type="character" w:styleId="1132" w:customStyle="1">
    <w:name w:val="正文文本缩进 Char1"/>
    <w:link w:val="1133"/>
    <w:uiPriority w:val="0"/>
    <w:qFormat/>
    <w:rPr>
      <w:rFonts w:ascii="宋体" w:hAnsi="宋体" w:eastAsia="宋体"/>
      <w:sz w:val="24"/>
      <w:szCs w:val="24"/>
      <w:lang w:bidi="ar-SA"/>
    </w:rPr>
  </w:style>
  <w:style w:type="paragraph" w:styleId="1133" w:customStyle="1">
    <w:name w:val="正文文本缩进1"/>
    <w:basedOn w:val="1041"/>
    <w:link w:val="1132"/>
    <w:uiPriority w:val="0"/>
    <w:qFormat/>
    <w:pPr>
      <w:ind w:firstLine="480"/>
      <w:spacing w:line="480" w:lineRule="exact"/>
    </w:pPr>
    <w:rPr>
      <w:rFonts w:ascii="宋体" w:hAnsi="宋体"/>
      <w:sz w:val="24"/>
    </w:rPr>
  </w:style>
  <w:style w:type="character" w:styleId="1134" w:customStyle="1">
    <w:name w:val="Char Char11"/>
    <w:uiPriority w:val="0"/>
    <w:qFormat/>
    <w:rPr>
      <w:rFonts w:ascii="宋体" w:eastAsia="宋体"/>
      <w:b/>
      <w:sz w:val="24"/>
      <w:u w:val="single"/>
      <w:lang w:val="en-US" w:eastAsia="zh-CN" w:bidi="ar-SA"/>
    </w:rPr>
  </w:style>
  <w:style w:type="character" w:styleId="1135" w:customStyle="1">
    <w:name w:val="txt"/>
    <w:uiPriority w:val="0"/>
    <w:qFormat/>
  </w:style>
  <w:style w:type="character" w:styleId="1136" w:customStyle="1">
    <w:name w:val="正文缩进 Char Char"/>
    <w:link w:val="1137"/>
    <w:uiPriority w:val="0"/>
    <w:qFormat/>
    <w:rPr>
      <w:rFonts w:ascii="宋体" w:eastAsia="宋体"/>
      <w:color w:val="000000"/>
      <w:sz w:val="28"/>
      <w:lang w:bidi="ar-SA"/>
    </w:rPr>
  </w:style>
  <w:style w:type="paragraph" w:styleId="1137" w:customStyle="1">
    <w:name w:val="正文缩进1"/>
    <w:basedOn w:val="1041"/>
    <w:link w:val="1136"/>
    <w:uiPriority w:val="0"/>
    <w:qFormat/>
    <w:pPr>
      <w:ind w:firstLine="567"/>
      <w:spacing w:line="480" w:lineRule="exact"/>
      <w:widowControl/>
    </w:pPr>
    <w:rPr>
      <w:rFonts w:ascii="宋体"/>
      <w:color w:val="000000"/>
      <w:sz w:val="28"/>
      <w:szCs w:val="20"/>
    </w:rPr>
  </w:style>
  <w:style w:type="character" w:styleId="1138" w:customStyle="1">
    <w:name w:val="普通文字1 Char1"/>
    <w:uiPriority w:val="0"/>
    <w:qFormat/>
    <w:rPr>
      <w:rFonts w:ascii="宋体" w:hAnsi="Courier New" w:eastAsia="宋体"/>
      <w:sz w:val="21"/>
      <w:lang w:val="en-US" w:eastAsia="zh-CN" w:bidi="ar-SA"/>
    </w:rPr>
  </w:style>
  <w:style w:type="character" w:styleId="1139" w:customStyle="1">
    <w:name w:val="chanpin1"/>
    <w:uiPriority w:val="0"/>
    <w:qFormat/>
    <w:rPr>
      <w:rFonts w:hint="default" w:ascii="ˎ̥" w:hAnsi="ˎ̥"/>
      <w:color w:val="000000"/>
      <w:sz w:val="20"/>
      <w:szCs w:val="20"/>
      <w:u w:val="none"/>
    </w:rPr>
  </w:style>
  <w:style w:type="character" w:styleId="1140" w:customStyle="1">
    <w:name w:val="列出段落 字符"/>
    <w:link w:val="1141"/>
    <w:uiPriority w:val="34"/>
    <w:qFormat/>
    <w:rPr>
      <w:rFonts w:ascii="Calibri" w:hAnsi="Calibri" w:eastAsia="宋体"/>
      <w:sz w:val="21"/>
      <w:szCs w:val="22"/>
      <w:lang w:val="en-US" w:eastAsia="zh-CN" w:bidi="ar-SA"/>
    </w:rPr>
  </w:style>
  <w:style w:type="paragraph" w:styleId="1141">
    <w:name w:val="List Paragraph"/>
    <w:basedOn w:val="1041"/>
    <w:link w:val="1140"/>
    <w:uiPriority w:val="34"/>
    <w:qFormat/>
    <w:pPr>
      <w:ind w:firstLine="420"/>
    </w:pPr>
    <w:rPr>
      <w:rFonts w:ascii="Calibri" w:hAnsi="Calibri"/>
      <w:szCs w:val="22"/>
    </w:rPr>
  </w:style>
  <w:style w:type="character" w:styleId="1142" w:customStyle="1">
    <w:name w:val="标题 3 Char Char"/>
    <w:uiPriority w:val="0"/>
    <w:qFormat/>
    <w:rPr>
      <w:rFonts w:eastAsia="宋体"/>
      <w:b/>
      <w:bCs/>
      <w:sz w:val="32"/>
      <w:szCs w:val="32"/>
      <w:lang w:val="en-US" w:eastAsia="zh-CN" w:bidi="ar-SA"/>
    </w:rPr>
  </w:style>
  <w:style w:type="character" w:styleId="1143" w:customStyle="1">
    <w:name w:val="段1 Char"/>
    <w:uiPriority w:val="0"/>
    <w:qFormat/>
    <w:rPr>
      <w:rFonts w:ascii="宋体" w:eastAsia="宋体"/>
      <w:sz w:val="24"/>
      <w:lang w:val="en-US" w:eastAsia="zh-CN" w:bidi="ar-SA"/>
    </w:rPr>
  </w:style>
  <w:style w:type="character" w:styleId="1144" w:customStyle="1">
    <w:name w:val="chanpin拷贝"/>
    <w:uiPriority w:val="0"/>
    <w:qFormat/>
  </w:style>
  <w:style w:type="character" w:styleId="1145" w:customStyle="1">
    <w:name w:val="纯文本 Char1"/>
    <w:uiPriority w:val="0"/>
    <w:qFormat/>
    <w:rPr>
      <w:rFonts w:ascii="宋体" w:hAnsi="Courier New" w:eastAsia="宋体"/>
      <w:sz w:val="21"/>
      <w:lang w:val="en-US" w:eastAsia="zh-CN" w:bidi="ar-SA"/>
    </w:rPr>
  </w:style>
  <w:style w:type="character" w:styleId="1146" w:customStyle="1">
    <w:name w:val="apple-style-span"/>
    <w:uiPriority w:val="0"/>
    <w:qFormat/>
    <w:rPr>
      <w:rFonts w:cs="Times New Roman"/>
    </w:rPr>
  </w:style>
  <w:style w:type="paragraph" w:styleId="1147" w:customStyle="1">
    <w:name w:val="二级条标题"/>
    <w:basedOn w:val="1148"/>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8" w:customStyle="1">
    <w:name w:val="一级条标题"/>
    <w:basedOn w:val="1149"/>
    <w:next w:val="1041"/>
    <w:uiPriority w:val="0"/>
    <w:qFormat/>
    <w:pPr>
      <w:numPr>
        <w:ilvl w:val="1"/>
      </w:numPr>
      <w:ind w:left="0" w:hanging="840"/>
      <w:tabs>
        <w:tab w:val="left" w:pos="360" w:leader="none"/>
        <w:tab w:val="left" w:pos="840" w:leader="none"/>
      </w:tabs>
      <w:outlineLvl w:val="1"/>
    </w:pPr>
  </w:style>
  <w:style w:type="paragraph" w:styleId="1149" w:customStyle="1">
    <w:name w:val="章标题"/>
    <w:next w:val="1041"/>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0"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151" w:customStyle="1">
    <w:name w:val="字元 字元"/>
    <w:basedOn w:val="1041"/>
    <w:uiPriority w:val="0"/>
    <w:qFormat/>
    <w:rPr>
      <w:rFonts w:ascii="Tahoma" w:hAnsi="Tahoma"/>
      <w:sz w:val="24"/>
      <w:szCs w:val="20"/>
    </w:rPr>
  </w:style>
  <w:style w:type="paragraph" w:styleId="1152" w:customStyle="1">
    <w:name w:val="Char3 Char Char Char"/>
    <w:basedOn w:val="1041"/>
    <w:uiPriority w:val="0"/>
    <w:qFormat/>
    <w:rPr>
      <w:rFonts w:ascii="Tahoma" w:hAnsi="Tahoma"/>
      <w:sz w:val="24"/>
      <w:szCs w:val="20"/>
    </w:rPr>
  </w:style>
  <w:style w:type="paragraph" w:styleId="1153"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154" w:customStyle="1">
    <w:name w:val="项目编号2"/>
    <w:basedOn w:val="1155"/>
    <w:uiPriority w:val="0"/>
    <w:qFormat/>
    <w:pPr>
      <w:numPr>
        <w:numId w:val="3"/>
      </w:numPr>
    </w:pPr>
  </w:style>
  <w:style w:type="paragraph" w:styleId="1155" w:customStyle="1">
    <w:name w:val="项目编号1"/>
    <w:basedOn w:val="1041"/>
    <w:uiPriority w:val="0"/>
    <w:qFormat/>
    <w:pPr>
      <w:numPr>
        <w:ilvl w:val="0"/>
        <w:numId w:val="4"/>
      </w:numPr>
      <w:spacing w:before="100" w:beforeAutospacing="1" w:after="100" w:afterAutospacing="1" w:line="360" w:lineRule="auto"/>
    </w:pPr>
    <w:rPr>
      <w:sz w:val="24"/>
    </w:rPr>
  </w:style>
  <w:style w:type="paragraph" w:styleId="1156" w:customStyle="1">
    <w:name w:val="图中文字"/>
    <w:basedOn w:val="1041"/>
    <w:uiPriority w:val="0"/>
    <w:qFormat/>
    <w:pPr>
      <w:jc w:val="center"/>
      <w:spacing w:line="0" w:lineRule="atLeast"/>
    </w:pPr>
    <w:rPr>
      <w:sz w:val="24"/>
      <w:szCs w:val="20"/>
    </w:rPr>
  </w:style>
  <w:style w:type="paragraph" w:styleId="1157" w:customStyle="1">
    <w:name w:val="xl46"/>
    <w:basedOn w:val="104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8" w:customStyle="1">
    <w:name w:val="xl25"/>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9" w:customStyle="1">
    <w:name w:val="Char2"/>
    <w:basedOn w:val="1041"/>
    <w:uiPriority w:val="0"/>
    <w:qFormat/>
    <w:rPr>
      <w:rFonts w:ascii="Tahoma" w:hAnsi="Tahoma"/>
      <w:sz w:val="24"/>
      <w:szCs w:val="20"/>
    </w:rPr>
  </w:style>
  <w:style w:type="paragraph" w:styleId="1160"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4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2" w:customStyle="1">
    <w:name w:val="xl5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3" w:customStyle="1">
    <w:name w:val="xl43"/>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4"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165" w:customStyle="1">
    <w:name w:val="Char Char Char Char Char Char Char"/>
    <w:basedOn w:val="1041"/>
    <w:uiPriority w:val="0"/>
    <w:qFormat/>
    <w:pPr>
      <w:ind w:firstLine="200"/>
      <w:spacing w:line="360" w:lineRule="auto"/>
    </w:pPr>
    <w:rPr>
      <w:rFonts w:eastAsia="仿宋_GB2312"/>
      <w:sz w:val="24"/>
    </w:rPr>
  </w:style>
  <w:style w:type="paragraph" w:styleId="1166" w:customStyle="1">
    <w:name w:val="xl38"/>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7"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169" w:customStyle="1">
    <w:name w:val="正文列项_数字"/>
    <w:basedOn w:val="1041"/>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70" w:customStyle="1">
    <w:name w:val="xl3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3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3" w:customStyle="1">
    <w:name w:val="font8"/>
    <w:basedOn w:val="1041"/>
    <w:uiPriority w:val="0"/>
    <w:qFormat/>
    <w:pPr>
      <w:jc w:val="left"/>
      <w:spacing w:before="100" w:beforeAutospacing="1" w:after="100" w:afterAutospacing="1"/>
      <w:widowControl/>
    </w:pPr>
    <w:rPr>
      <w:sz w:val="36"/>
      <w:szCs w:val="36"/>
    </w:rPr>
  </w:style>
  <w:style w:type="paragraph" w:styleId="1174" w:customStyle="1">
    <w:name w:val="Char"/>
    <w:basedOn w:val="1041"/>
    <w:uiPriority w:val="0"/>
    <w:qFormat/>
    <w:pPr>
      <w:tabs>
        <w:tab w:val="left" w:pos="360" w:leader="none"/>
      </w:tabs>
    </w:pPr>
    <w:rPr>
      <w:sz w:val="24"/>
    </w:rPr>
  </w:style>
  <w:style w:type="paragraph" w:styleId="1175"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176" w:customStyle="1">
    <w:name w:val="xl45"/>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7"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Char Char1"/>
    <w:basedOn w:val="1056"/>
    <w:uiPriority w:val="0"/>
    <w:qFormat/>
    <w:rPr>
      <w:rFonts w:ascii="Tahoma" w:hAnsi="Tahoma"/>
      <w:sz w:val="24"/>
    </w:rPr>
  </w:style>
  <w:style w:type="paragraph" w:styleId="1179" w:customStyle="1">
    <w:name w:val="xl26"/>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0" w:customStyle="1">
    <w:name w:val="xl3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1" w:customStyle="1">
    <w:name w:val="xl41"/>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样式 宋体 五号 行距: 单倍行距"/>
    <w:basedOn w:val="1041"/>
    <w:uiPriority w:val="0"/>
    <w:qFormat/>
    <w:pPr>
      <w:jc w:val="left"/>
    </w:pPr>
    <w:rPr>
      <w:rFonts w:ascii="宋体" w:hAnsi="宋体"/>
      <w:szCs w:val="20"/>
    </w:rPr>
  </w:style>
  <w:style w:type="paragraph" w:styleId="1183" w:customStyle="1">
    <w:name w:val="Char1 Char Char Char1"/>
    <w:basedOn w:val="1041"/>
    <w:uiPriority w:val="0"/>
    <w:qFormat/>
    <w:rPr>
      <w:rFonts w:ascii="Tahoma" w:hAnsi="Tahoma" w:cs="仿宋_GB2312"/>
      <w:sz w:val="24"/>
      <w:szCs w:val="28"/>
    </w:rPr>
  </w:style>
  <w:style w:type="paragraph" w:styleId="1184" w:customStyle="1">
    <w:name w:val="四级条标题"/>
    <w:basedOn w:val="1185"/>
    <w:next w:val="1041"/>
    <w:uiPriority w:val="0"/>
    <w:qFormat/>
    <w:pPr>
      <w:numPr>
        <w:ilvl w:val="4"/>
      </w:numPr>
      <w:ind w:left="0" w:hanging="840"/>
      <w:tabs>
        <w:tab w:val="left" w:pos="360" w:leader="none"/>
        <w:tab w:val="left" w:pos="840" w:leader="none"/>
      </w:tabs>
      <w:outlineLvl w:val="4"/>
    </w:pPr>
  </w:style>
  <w:style w:type="paragraph" w:styleId="1185" w:customStyle="1">
    <w:name w:val="三级条标题"/>
    <w:basedOn w:val="1147"/>
    <w:next w:val="1041"/>
    <w:uiPriority w:val="0"/>
    <w:qFormat/>
    <w:pPr>
      <w:numPr>
        <w:ilvl w:val="3"/>
        <w:numId w:val="2"/>
      </w:numPr>
      <w:ind w:left="0" w:hanging="840"/>
      <w:outlineLvl w:val="3"/>
    </w:pPr>
  </w:style>
  <w:style w:type="paragraph" w:styleId="118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7" w:customStyle="1">
    <w:name w:val="样式 标题 2 + 宋体 五号 行距: 单倍行距"/>
    <w:basedOn w:val="1043"/>
    <w:uiPriority w:val="0"/>
    <w:qFormat/>
    <w:pPr>
      <w:numPr>
        <w:ilvl w:val="1"/>
        <w:numId w:val="5"/>
      </w:numPr>
      <w:jc w:val="left"/>
      <w:spacing w:before="260" w:after="260" w:line="240" w:lineRule="auto"/>
    </w:pPr>
    <w:rPr>
      <w:rFonts w:ascii="宋体" w:hAnsi="宋体" w:eastAsia="宋体"/>
      <w:bCs/>
      <w:sz w:val="21"/>
    </w:rPr>
  </w:style>
  <w:style w:type="paragraph" w:styleId="1188" w:customStyle="1">
    <w:name w:val="List Paragraph1"/>
    <w:basedOn w:val="1041"/>
    <w:uiPriority w:val="0"/>
    <w:qFormat/>
    <w:pPr>
      <w:ind w:firstLine="420"/>
    </w:pPr>
    <w:rPr>
      <w:rFonts w:ascii="Calibri" w:hAnsi="Calibri"/>
      <w:szCs w:val="22"/>
    </w:rPr>
  </w:style>
  <w:style w:type="paragraph" w:styleId="1189" w:customStyle="1">
    <w:name w:val="项目符号1"/>
    <w:basedOn w:val="1190"/>
    <w:uiPriority w:val="0"/>
    <w:qFormat/>
    <w:pPr>
      <w:ind w:left="-25" w:firstLine="0"/>
    </w:pPr>
  </w:style>
  <w:style w:type="paragraph" w:styleId="1190" w:customStyle="1">
    <w:name w:val="正文文本样式"/>
    <w:basedOn w:val="1041"/>
    <w:uiPriority w:val="0"/>
    <w:qFormat/>
    <w:pPr>
      <w:ind w:firstLine="482"/>
      <w:spacing w:line="360" w:lineRule="auto"/>
    </w:pPr>
    <w:rPr>
      <w:rFonts w:cs="宋体"/>
      <w:sz w:val="24"/>
      <w:szCs w:val="20"/>
    </w:rPr>
  </w:style>
  <w:style w:type="paragraph" w:styleId="1191" w:customStyle="1">
    <w:name w:val="xl27"/>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2"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193" w:customStyle="1">
    <w:name w:val="五级条标题"/>
    <w:basedOn w:val="1184"/>
    <w:next w:val="1041"/>
    <w:uiPriority w:val="0"/>
    <w:qFormat/>
    <w:pPr>
      <w:numPr>
        <w:ilvl w:val="5"/>
      </w:numPr>
      <w:ind w:left="0" w:hanging="840"/>
      <w:outlineLvl w:val="5"/>
    </w:pPr>
  </w:style>
  <w:style w:type="paragraph" w:styleId="1194" w:customStyle="1">
    <w:name w:val="xl49"/>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5" w:customStyle="1">
    <w:name w:val="文档正文"/>
    <w:basedOn w:val="1041"/>
    <w:uiPriority w:val="0"/>
    <w:qFormat/>
    <w:pPr>
      <w:spacing w:before="120" w:after="120" w:line="180" w:lineRule="auto"/>
    </w:pPr>
    <w:rPr>
      <w:rFonts w:ascii="Arial" w:hAnsi="Arial"/>
      <w:szCs w:val="20"/>
    </w:rPr>
  </w:style>
  <w:style w:type="paragraph" w:styleId="1196" w:customStyle="1">
    <w:name w:val="xl33"/>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7" w:customStyle="1">
    <w:name w:val="xl42"/>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8" w:customStyle="1">
    <w:name w:val="Char Char Char1 Char"/>
    <w:basedOn w:val="1041"/>
    <w:uiPriority w:val="0"/>
    <w:qFormat/>
    <w:rPr>
      <w:rFonts w:ascii="Tahoma" w:hAnsi="Tahoma"/>
      <w:sz w:val="24"/>
      <w:szCs w:val="20"/>
    </w:rPr>
  </w:style>
  <w:style w:type="paragraph" w:styleId="1199" w:customStyle="1">
    <w:name w:val="xl44"/>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0" w:customStyle="1">
    <w:name w:val="1名"/>
    <w:basedOn w:val="1041"/>
    <w:uiPriority w:val="0"/>
    <w:qFormat/>
    <w:pPr>
      <w:numPr>
        <w:ilvl w:val="0"/>
        <w:numId w:val="6"/>
      </w:numPr>
      <w:spacing w:before="120"/>
    </w:pPr>
    <w:rPr>
      <w:rFonts w:ascii="宋体"/>
      <w:sz w:val="28"/>
      <w:szCs w:val="20"/>
    </w:rPr>
  </w:style>
  <w:style w:type="paragraph" w:styleId="1201"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2" w:customStyle="1">
    <w:name w:val="Char Char Char1 Char1"/>
    <w:basedOn w:val="1041"/>
    <w:uiPriority w:val="0"/>
    <w:qFormat/>
    <w:rPr>
      <w:rFonts w:ascii="Tahoma" w:hAnsi="Tahoma"/>
      <w:sz w:val="24"/>
      <w:szCs w:val="20"/>
    </w:rPr>
  </w:style>
  <w:style w:type="paragraph" w:styleId="1203" w:customStyle="1">
    <w:name w:val="Char Char Char Char Char Char Char Char Char Char"/>
    <w:basedOn w:val="1041"/>
    <w:uiPriority w:val="0"/>
    <w:qFormat/>
  </w:style>
  <w:style w:type="paragraph" w:styleId="1204"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205" w:customStyle="1">
    <w:name w:val="Char1"/>
    <w:basedOn w:val="1041"/>
    <w:uiPriority w:val="0"/>
    <w:qFormat/>
    <w:pPr>
      <w:tabs>
        <w:tab w:val="left" w:pos="360" w:leader="none"/>
      </w:tabs>
    </w:pPr>
    <w:rPr>
      <w:sz w:val="24"/>
    </w:rPr>
  </w:style>
  <w:style w:type="paragraph" w:styleId="1206" w:customStyle="1">
    <w:name w:val="正文列项_字母"/>
    <w:basedOn w:val="1041"/>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07" w:customStyle="1">
    <w:name w:val="xl2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8" w:customStyle="1">
    <w:name w:val="xl47"/>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默认段落字体 Para Char Char Char Char"/>
    <w:basedOn w:val="1041"/>
    <w:uiPriority w:val="0"/>
    <w:qFormat/>
    <w:rPr>
      <w:rFonts w:ascii="Arial" w:hAnsi="Arial" w:cs="Arial"/>
      <w:szCs w:val="21"/>
    </w:rPr>
  </w:style>
  <w:style w:type="paragraph" w:styleId="1210" w:customStyle="1">
    <w:name w:val="xl4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1" w:customStyle="1">
    <w:name w:val="xl3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2" w:customStyle="1">
    <w:name w:val="xl53"/>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Char Char Char"/>
    <w:basedOn w:val="1041"/>
    <w:uiPriority w:val="0"/>
    <w:qFormat/>
    <w:rPr>
      <w:rFonts w:ascii="Tahoma" w:hAnsi="Tahoma"/>
      <w:sz w:val="24"/>
      <w:szCs w:val="20"/>
    </w:rPr>
  </w:style>
  <w:style w:type="paragraph" w:styleId="1214" w:customStyle="1">
    <w:name w:val="xl50"/>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5" w:customStyle="1">
    <w:name w:val="缺省文本"/>
    <w:basedOn w:val="1041"/>
    <w:uiPriority w:val="0"/>
    <w:qFormat/>
    <w:pPr>
      <w:jc w:val="left"/>
    </w:pPr>
    <w:rPr>
      <w:sz w:val="24"/>
    </w:rPr>
  </w:style>
  <w:style w:type="paragraph" w:styleId="1216" w:customStyle="1">
    <w:name w:val="Char Char Char1"/>
    <w:basedOn w:val="1041"/>
    <w:uiPriority w:val="0"/>
    <w:qFormat/>
    <w:rPr>
      <w:rFonts w:ascii="Tahoma" w:hAnsi="Tahoma"/>
      <w:sz w:val="24"/>
      <w:szCs w:val="20"/>
    </w:rPr>
  </w:style>
  <w:style w:type="paragraph" w:styleId="1217" w:customStyle="1">
    <w:name w:val="Char Char Char Char Char Char Char1"/>
    <w:basedOn w:val="1041"/>
    <w:uiPriority w:val="0"/>
    <w:qFormat/>
    <w:pPr>
      <w:ind w:firstLine="200"/>
      <w:spacing w:line="360" w:lineRule="auto"/>
    </w:pPr>
    <w:rPr>
      <w:rFonts w:eastAsia="仿宋_GB2312"/>
      <w:sz w:val="24"/>
    </w:rPr>
  </w:style>
  <w:style w:type="paragraph" w:styleId="1218" w:customStyle="1">
    <w:name w:val="xl5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9" w:customStyle="1">
    <w:name w:val="样式2"/>
    <w:basedOn w:val="1083"/>
    <w:uiPriority w:val="0"/>
    <w:qFormat/>
    <w:pPr>
      <w:jc w:val="center"/>
      <w:spacing w:line="360" w:lineRule="auto"/>
    </w:pPr>
    <w:rPr>
      <w:sz w:val="24"/>
    </w:rPr>
  </w:style>
  <w:style w:type="paragraph" w:styleId="1220" w:customStyle="1">
    <w:name w:val="xl24"/>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xl2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2" w:customStyle="1">
    <w:name w:val="正文 + 楷体_GB2312"/>
    <w:basedOn w:val="1041"/>
    <w:uiPriority w:val="0"/>
    <w:qFormat/>
    <w:pPr>
      <w:jc w:val="left"/>
      <w:widowControl/>
    </w:pPr>
    <w:rPr>
      <w:rFonts w:ascii="楷体_GB2312" w:eastAsia="楷体_GB2312" w:cs="Arial"/>
      <w:sz w:val="24"/>
    </w:rPr>
  </w:style>
  <w:style w:type="paragraph" w:styleId="1223" w:customStyle="1">
    <w:name w:val="xl34"/>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4" w:customStyle="1">
    <w:name w:val="1 Char Char Char Char"/>
    <w:basedOn w:val="1041"/>
    <w:uiPriority w:val="0"/>
    <w:qFormat/>
    <w:rPr>
      <w:rFonts w:ascii="Tahoma" w:hAnsi="Tahoma"/>
      <w:sz w:val="24"/>
      <w:szCs w:val="20"/>
    </w:rPr>
  </w:style>
  <w:style w:type="paragraph" w:styleId="1225" w:customStyle="1">
    <w:name w:val="列出段落1"/>
    <w:basedOn w:val="1041"/>
    <w:uiPriority w:val="0"/>
    <w:qFormat/>
    <w:pPr>
      <w:ind w:firstLine="420"/>
    </w:pPr>
    <w:rPr>
      <w:rFonts w:ascii="Calibri" w:hAnsi="Calibri"/>
      <w:szCs w:val="22"/>
    </w:rPr>
  </w:style>
  <w:style w:type="paragraph" w:styleId="1226"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227" w:customStyle="1">
    <w:name w:val="字元 字元1"/>
    <w:basedOn w:val="1041"/>
    <w:uiPriority w:val="0"/>
    <w:qFormat/>
    <w:rPr>
      <w:rFonts w:ascii="Tahoma" w:hAnsi="Tahoma"/>
      <w:sz w:val="24"/>
      <w:szCs w:val="20"/>
    </w:rPr>
  </w:style>
  <w:style w:type="paragraph" w:styleId="1228" w:customStyle="1">
    <w:name w:val="_Style 160"/>
    <w:uiPriority w:val="0"/>
    <w:qFormat/>
    <w:rPr>
      <w:rFonts w:ascii="Times New Roman" w:hAnsi="Times New Roman" w:eastAsia="宋体" w:cs="Times New Roman"/>
      <w:sz w:val="21"/>
      <w:szCs w:val="24"/>
      <w:lang w:val="en-US" w:eastAsia="zh-CN" w:bidi="ar-SA"/>
    </w:rPr>
  </w:style>
  <w:style w:type="paragraph" w:styleId="1229" w:customStyle="1">
    <w:name w:val="项目编号3"/>
    <w:basedOn w:val="1190"/>
    <w:uiPriority w:val="0"/>
    <w:qFormat/>
    <w:pPr>
      <w:numPr>
        <w:ilvl w:val="0"/>
        <w:numId w:val="7"/>
      </w:numPr>
    </w:pPr>
  </w:style>
  <w:style w:type="paragraph" w:styleId="1230" w:customStyle="1">
    <w:name w:val="Char21"/>
    <w:basedOn w:val="1041"/>
    <w:uiPriority w:val="0"/>
    <w:qFormat/>
    <w:rPr>
      <w:rFonts w:ascii="Tahoma" w:hAnsi="Tahoma"/>
      <w:sz w:val="24"/>
      <w:szCs w:val="20"/>
    </w:rPr>
  </w:style>
  <w:style w:type="paragraph" w:styleId="1231" w:customStyle="1">
    <w:name w:val="表格文字"/>
    <w:basedOn w:val="1060"/>
    <w:uiPriority w:val="0"/>
    <w:qFormat/>
    <w:pPr>
      <w:ind w:firstLine="0"/>
      <w:spacing w:before="20" w:after="20" w:line="240" w:lineRule="auto"/>
    </w:pPr>
    <w:rPr>
      <w:rFonts w:ascii="Century Gothic" w:hAnsi="Century Gothic"/>
      <w:sz w:val="20"/>
      <w:szCs w:val="20"/>
    </w:rPr>
  </w:style>
  <w:style w:type="paragraph" w:styleId="1232" w:customStyle="1">
    <w:name w:val="Char Char Char Char Char Char Char Char Char Char1"/>
    <w:basedOn w:val="1041"/>
    <w:uiPriority w:val="0"/>
    <w:qFormat/>
    <w:rPr>
      <w:rFonts w:ascii="宋体" w:hAnsi="宋体" w:cs="Courier New"/>
      <w:sz w:val="32"/>
      <w:szCs w:val="32"/>
    </w:rPr>
  </w:style>
  <w:style w:type="paragraph" w:styleId="1233" w:customStyle="1">
    <w:name w:val="正文文本样式 加粗"/>
    <w:basedOn w:val="1190"/>
    <w:uiPriority w:val="0"/>
    <w:qFormat/>
    <w:rPr>
      <w:b/>
    </w:rPr>
  </w:style>
  <w:style w:type="paragraph" w:styleId="1234" w:customStyle="1">
    <w:name w:val="Char2 Char Char Char Char Char Char"/>
    <w:basedOn w:val="1041"/>
    <w:uiPriority w:val="0"/>
    <w:qFormat/>
    <w:pPr>
      <w:jc w:val="center"/>
      <w:spacing w:line="400" w:lineRule="exact"/>
      <w:widowControl/>
    </w:pPr>
  </w:style>
  <w:style w:type="paragraph" w:styleId="1235" w:customStyle="1">
    <w:name w:val="Char Char4"/>
    <w:basedOn w:val="1041"/>
    <w:uiPriority w:val="0"/>
    <w:qFormat/>
    <w:pPr>
      <w:jc w:val="center"/>
      <w:spacing w:line="400" w:lineRule="exact"/>
      <w:widowControl/>
    </w:pPr>
  </w:style>
  <w:style w:type="paragraph" w:styleId="1236" w:customStyle="1">
    <w:name w:val="Char3 Char Char Char1"/>
    <w:basedOn w:val="1041"/>
    <w:uiPriority w:val="0"/>
    <w:qFormat/>
    <w:rPr>
      <w:rFonts w:ascii="Tahoma" w:hAnsi="Tahoma"/>
      <w:sz w:val="24"/>
      <w:szCs w:val="20"/>
    </w:rPr>
  </w:style>
  <w:style w:type="paragraph" w:styleId="123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22222222222222"/>
    <w:basedOn w:val="1041"/>
    <w:uiPriority w:val="0"/>
    <w:qFormat/>
    <w:pPr>
      <w:ind w:firstLine="480"/>
      <w:jc w:val="left"/>
      <w:spacing w:line="360" w:lineRule="auto"/>
      <w:widowControl/>
    </w:pPr>
    <w:rPr>
      <w:color w:val="ff0000"/>
      <w:sz w:val="24"/>
      <w:szCs w:val="20"/>
    </w:rPr>
  </w:style>
  <w:style w:type="character" w:styleId="1239" w:customStyle="1">
    <w:name w:val="中等深浅网格 1 - 强调文字颜色 2 Char"/>
    <w:link w:val="1240"/>
    <w:uiPriority w:val="0"/>
    <w:qFormat/>
    <w:rPr>
      <w:sz w:val="21"/>
      <w:szCs w:val="24"/>
      <w:lang w:val="zh-CN" w:eastAsia="zh-CN" w:bidi="ar-SA"/>
    </w:rPr>
  </w:style>
  <w:style w:type="paragraph" w:styleId="1240" w:customStyle="1">
    <w:name w:val="1"/>
    <w:link w:val="1239"/>
    <w:uiPriority w:val="0"/>
    <w:qFormat/>
    <w:rPr>
      <w:rFonts w:ascii="Times New Roman" w:hAnsi="Times New Roman" w:eastAsia="宋体" w:cs="Times New Roman"/>
      <w:sz w:val="21"/>
      <w:szCs w:val="24"/>
      <w:lang w:val="zh-CN" w:eastAsia="zh-CN" w:bidi="ar-SA"/>
    </w:rPr>
  </w:style>
  <w:style w:type="paragraph" w:styleId="1241" w:customStyle="1">
    <w:name w:val="图文"/>
    <w:basedOn w:val="1041"/>
    <w:uiPriority w:val="0"/>
    <w:qFormat/>
    <w:pPr>
      <w:spacing w:after="50" w:line="360" w:lineRule="auto"/>
    </w:pPr>
    <w:rPr>
      <w:sz w:val="24"/>
    </w:rPr>
  </w:style>
  <w:style w:type="paragraph" w:styleId="1242" w:customStyle="1">
    <w:name w:val="xl23"/>
    <w:basedOn w:val="1041"/>
    <w:uiPriority w:val="0"/>
    <w:qFormat/>
    <w:pPr>
      <w:spacing w:before="100" w:beforeAutospacing="1" w:after="100" w:afterAutospacing="1" w:line="360" w:lineRule="auto"/>
      <w:widowControl/>
    </w:pPr>
    <w:rPr>
      <w:sz w:val="24"/>
      <w:szCs w:val="20"/>
    </w:rPr>
  </w:style>
  <w:style w:type="paragraph" w:styleId="1243" w:customStyle="1">
    <w:name w:val="正文表格"/>
    <w:basedOn w:val="1041"/>
    <w:link w:val="1244"/>
    <w:uiPriority w:val="0"/>
    <w:qFormat/>
    <w:pPr>
      <w:jc w:val="left"/>
    </w:pPr>
    <w:rPr>
      <w:rFonts w:ascii="宋体" w:hAnsi="宋体"/>
      <w:color w:val="000000"/>
      <w:szCs w:val="21"/>
    </w:rPr>
  </w:style>
  <w:style w:type="character" w:styleId="1244" w:customStyle="1">
    <w:name w:val="正文表格 Char"/>
    <w:link w:val="1243"/>
    <w:uiPriority w:val="0"/>
    <w:qFormat/>
    <w:rPr>
      <w:rFonts w:ascii="宋体" w:hAnsi="宋体"/>
      <w:color w:val="000000"/>
      <w:sz w:val="21"/>
      <w:szCs w:val="21"/>
    </w:rPr>
  </w:style>
  <w:style w:type="paragraph" w:styleId="1245" w:customStyle="1">
    <w:name w:val="正文重点"/>
    <w:basedOn w:val="1041"/>
    <w:link w:val="1246"/>
    <w:uiPriority w:val="0"/>
    <w:qFormat/>
    <w:pPr>
      <w:ind w:firstLine="482"/>
      <w:jc w:val="left"/>
      <w:spacing w:line="360" w:lineRule="auto"/>
    </w:pPr>
    <w:rPr>
      <w:b/>
      <w:sz w:val="24"/>
      <w:szCs w:val="20"/>
    </w:rPr>
  </w:style>
  <w:style w:type="character" w:styleId="1246" w:customStyle="1">
    <w:name w:val="正文重点 Char"/>
    <w:link w:val="1245"/>
    <w:uiPriority w:val="0"/>
    <w:qFormat/>
    <w:rPr>
      <w:b/>
      <w:sz w:val="24"/>
    </w:rPr>
  </w:style>
  <w:style w:type="paragraph" w:styleId="1247" w:customStyle="1">
    <w:name w:val="标题1-附件"/>
    <w:basedOn w:val="1042"/>
    <w:uiPriority w:val="0"/>
    <w:qFormat/>
    <w:pPr>
      <w:jc w:val="left"/>
    </w:pPr>
    <w:rPr>
      <w:sz w:val="24"/>
      <w:szCs w:val="24"/>
    </w:rPr>
  </w:style>
  <w:style w:type="paragraph" w:styleId="1248" w:customStyle="1">
    <w:name w:val="正文小标题"/>
    <w:basedOn w:val="1041"/>
    <w:next w:val="1053"/>
    <w:link w:val="1249"/>
    <w:uiPriority w:val="0"/>
    <w:qFormat/>
    <w:pPr>
      <w:ind w:firstLine="482"/>
      <w:jc w:val="left"/>
      <w:spacing w:before="312" w:after="312"/>
    </w:pPr>
    <w:rPr>
      <w:rFonts w:ascii="宋体" w:hAnsi="宋体"/>
      <w:b/>
      <w:i/>
      <w:color w:val="ff0000"/>
      <w:sz w:val="24"/>
      <w:szCs w:val="20"/>
    </w:rPr>
  </w:style>
  <w:style w:type="character" w:styleId="1249" w:customStyle="1">
    <w:name w:val="正文小标题 Char"/>
    <w:link w:val="1248"/>
    <w:uiPriority w:val="0"/>
    <w:qFormat/>
    <w:rPr>
      <w:rFonts w:ascii="宋体" w:hAnsi="宋体"/>
      <w:b/>
      <w:i/>
      <w:color w:val="ff0000"/>
      <w:sz w:val="24"/>
    </w:rPr>
  </w:style>
  <w:style w:type="paragraph" w:styleId="1250" w:customStyle="1">
    <w:name w:val="正文大标题"/>
    <w:basedOn w:val="1248"/>
    <w:next w:val="1053"/>
    <w:link w:val="1251"/>
    <w:uiPriority w:val="0"/>
    <w:qFormat/>
    <w:pPr>
      <w:jc w:val="center"/>
    </w:pPr>
    <w:rPr>
      <w:i w:val="0"/>
      <w:color w:val="000000"/>
      <w:sz w:val="28"/>
      <w:szCs w:val="21"/>
    </w:rPr>
  </w:style>
  <w:style w:type="character" w:styleId="1251" w:customStyle="1">
    <w:name w:val="正文大标题 Char"/>
    <w:link w:val="1250"/>
    <w:uiPriority w:val="0"/>
    <w:qFormat/>
    <w:rPr>
      <w:rFonts w:ascii="宋体" w:hAnsi="宋体"/>
      <w:b/>
      <w:color w:val="000000"/>
      <w:sz w:val="28"/>
      <w:szCs w:val="21"/>
    </w:rPr>
  </w:style>
  <w:style w:type="paragraph" w:styleId="1252" w:customStyle="1">
    <w:name w:val="注释"/>
    <w:basedOn w:val="1041"/>
    <w:link w:val="1253"/>
    <w:uiPriority w:val="0"/>
    <w:qFormat/>
    <w:pPr>
      <w:ind w:left="420" w:hanging="420"/>
      <w:jc w:val="left"/>
    </w:pPr>
    <w:rPr>
      <w:rFonts w:ascii="宋体" w:hAnsi="宋体"/>
      <w:szCs w:val="21"/>
    </w:rPr>
  </w:style>
  <w:style w:type="character" w:styleId="1253" w:customStyle="1">
    <w:name w:val="注释 Char"/>
    <w:link w:val="1252"/>
    <w:uiPriority w:val="0"/>
    <w:qFormat/>
    <w:rPr>
      <w:rFonts w:ascii="宋体" w:hAnsi="宋体"/>
      <w:sz w:val="21"/>
      <w:szCs w:val="21"/>
    </w:rPr>
  </w:style>
  <w:style w:type="paragraph" w:styleId="1254" w:customStyle="1">
    <w:name w:val="正文须知-1级"/>
    <w:basedOn w:val="1041"/>
    <w:next w:val="1041"/>
    <w:uiPriority w:val="0"/>
    <w:qFormat/>
    <w:pPr>
      <w:numPr>
        <w:ilvl w:val="0"/>
        <w:numId w:val="8"/>
      </w:numPr>
      <w:spacing w:line="300" w:lineRule="auto"/>
    </w:pPr>
    <w:rPr>
      <w:rFonts w:ascii="宋体" w:hAnsi="Calibri"/>
      <w:sz w:val="24"/>
      <w:szCs w:val="21"/>
    </w:rPr>
  </w:style>
  <w:style w:type="paragraph" w:styleId="1255" w:customStyle="1">
    <w:name w:val="正文须知-2级"/>
    <w:basedOn w:val="1041"/>
    <w:uiPriority w:val="0"/>
    <w:qFormat/>
    <w:pPr>
      <w:numPr>
        <w:ilvl w:val="1"/>
        <w:numId w:val="8"/>
      </w:numPr>
      <w:spacing w:line="300" w:lineRule="auto"/>
    </w:pPr>
    <w:rPr>
      <w:rFonts w:ascii="宋体" w:hAnsi="Calibri"/>
      <w:sz w:val="24"/>
      <w:szCs w:val="21"/>
    </w:rPr>
  </w:style>
  <w:style w:type="paragraph" w:styleId="1256" w:customStyle="1">
    <w:name w:val="正文须知-3级"/>
    <w:basedOn w:val="1041"/>
    <w:uiPriority w:val="0"/>
    <w:qFormat/>
    <w:pPr>
      <w:numPr>
        <w:ilvl w:val="2"/>
        <w:numId w:val="8"/>
      </w:numPr>
      <w:ind w:hanging="355"/>
      <w:spacing w:line="300" w:lineRule="auto"/>
    </w:pPr>
    <w:rPr>
      <w:rFonts w:ascii="宋体" w:hAnsi="Calibri"/>
      <w:sz w:val="24"/>
      <w:szCs w:val="21"/>
    </w:rPr>
  </w:style>
  <w:style w:type="character" w:styleId="1257" w:customStyle="1">
    <w:name w:val="纯文本 字符"/>
    <w:uiPriority w:val="99"/>
    <w:qFormat/>
    <w:rPr>
      <w:rFonts w:ascii="宋体" w:hAnsi="Courier New" w:eastAsia="宋体" w:cs="Times New Roman"/>
      <w:sz w:val="21"/>
      <w:szCs w:val="21"/>
      <w:lang w:val="en-US" w:eastAsia="zh-CN" w:bidi="ar-SA"/>
    </w:rPr>
  </w:style>
  <w:style w:type="paragraph" w:styleId="1258" w:customStyle="1">
    <w:name w:val="表格1"/>
    <w:basedOn w:val="1041"/>
    <w:uiPriority w:val="0"/>
    <w:qFormat/>
    <w:pPr>
      <w:ind w:firstLine="480"/>
      <w:jc w:val="center"/>
    </w:pPr>
    <w:rPr>
      <w:sz w:val="24"/>
      <w:szCs w:val="20"/>
    </w:rPr>
  </w:style>
  <w:style w:type="character" w:styleId="1259" w:customStyle="1">
    <w:name w:val="纯文本 字符1"/>
    <w:uiPriority w:val="0"/>
    <w:qFormat/>
    <w:rPr>
      <w:rFonts w:ascii="宋体" w:hAnsi="Courier New"/>
    </w:rPr>
  </w:style>
  <w:style w:type="character" w:styleId="1260" w:customStyle="1">
    <w:name w:val="bjh-p"/>
    <w:uiPriority w:val="0"/>
    <w:qFormat/>
  </w:style>
  <w:style w:type="paragraph" w:styleId="1261"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262" w:customStyle="1">
    <w:name w:val="正文格式 Char"/>
    <w:link w:val="1263"/>
    <w:uiPriority w:val="0"/>
    <w:qFormat/>
    <w:rPr>
      <w:rFonts w:ascii="宋体" w:hAnsi="宋体"/>
      <w:sz w:val="24"/>
      <w:szCs w:val="24"/>
      <w:lang w:val="en-GB"/>
    </w:rPr>
  </w:style>
  <w:style w:type="paragraph" w:styleId="1263" w:customStyle="1">
    <w:name w:val="正文格式"/>
    <w:basedOn w:val="1041"/>
    <w:link w:val="1262"/>
    <w:uiPriority w:val="0"/>
    <w:qFormat/>
    <w:pPr>
      <w:ind w:firstLine="480"/>
      <w:spacing w:line="360" w:lineRule="auto"/>
    </w:pPr>
    <w:rPr>
      <w:rFonts w:ascii="宋体" w:hAnsi="宋体"/>
      <w:sz w:val="24"/>
      <w:lang w:val="en-GB"/>
    </w:rPr>
  </w:style>
  <w:style w:type="character" w:styleId="1264" w:customStyle="1">
    <w:name w:val="标题 3 Char"/>
    <w:uiPriority w:val="0"/>
    <w:qFormat/>
    <w:rPr>
      <w:rFonts w:ascii="宋体" w:eastAsia="宋体"/>
      <w:b/>
      <w:sz w:val="24"/>
      <w:u w:val="single"/>
      <w:lang w:val="en-US" w:eastAsia="zh-CN" w:bidi="ar-SA"/>
    </w:rPr>
  </w:style>
  <w:style w:type="character" w:styleId="1265" w:customStyle="1">
    <w:name w:val="正文缩进 Char"/>
    <w:uiPriority w:val="0"/>
    <w:qFormat/>
    <w:rPr>
      <w:rFonts w:ascii="宋体" w:eastAsia="宋体"/>
      <w:sz w:val="24"/>
      <w:szCs w:val="24"/>
      <w:lang w:val="en-US" w:eastAsia="zh-CN" w:bidi="ar-SA"/>
    </w:rPr>
  </w:style>
  <w:style w:type="character" w:styleId="1266" w:customStyle="1">
    <w:name w:val="Char Char111"/>
    <w:uiPriority w:val="0"/>
    <w:qFormat/>
    <w:rPr>
      <w:rFonts w:ascii="宋体" w:eastAsia="宋体"/>
      <w:b/>
      <w:sz w:val="24"/>
      <w:u w:val="single"/>
      <w:lang w:val="en-US" w:eastAsia="zh-CN" w:bidi="ar-SA"/>
    </w:rPr>
  </w:style>
  <w:style w:type="character" w:styleId="1267" w:customStyle="1">
    <w:name w:val="正文文本缩进 Char"/>
    <w:uiPriority w:val="0"/>
    <w:qFormat/>
    <w:rPr>
      <w:rFonts w:eastAsia="宋体"/>
      <w:sz w:val="24"/>
      <w:szCs w:val="24"/>
      <w:lang w:val="en-US" w:eastAsia="zh-CN" w:bidi="ar-SA"/>
    </w:rPr>
  </w:style>
  <w:style w:type="character" w:styleId="1268" w:customStyle="1">
    <w:name w:val="列出段落 Char"/>
    <w:uiPriority w:val="0"/>
    <w:qFormat/>
    <w:rPr>
      <w:rFonts w:ascii="Calibri" w:hAnsi="Calibri" w:eastAsia="宋体"/>
      <w:sz w:val="21"/>
      <w:szCs w:val="22"/>
      <w:lang w:val="en-US" w:eastAsia="zh-CN" w:bidi="ar-SA"/>
    </w:rPr>
  </w:style>
  <w:style w:type="character" w:styleId="1269" w:customStyle="1">
    <w:name w:val="页眉 Char"/>
    <w:uiPriority w:val="0"/>
    <w:qFormat/>
    <w:rPr>
      <w:rFonts w:eastAsia="宋体"/>
      <w:sz w:val="18"/>
      <w:szCs w:val="18"/>
      <w:lang w:val="en-US" w:eastAsia="zh-CN" w:bidi="ar-SA"/>
    </w:rPr>
  </w:style>
  <w:style w:type="paragraph" w:styleId="1270" w:customStyle="1">
    <w:name w:val="字元 字元2"/>
    <w:basedOn w:val="1041"/>
    <w:uiPriority w:val="0"/>
    <w:qFormat/>
    <w:rPr>
      <w:rFonts w:ascii="Tahoma" w:hAnsi="Tahoma"/>
      <w:sz w:val="24"/>
      <w:szCs w:val="20"/>
    </w:rPr>
  </w:style>
  <w:style w:type="paragraph" w:styleId="1271" w:customStyle="1">
    <w:name w:val="Char3 Char Char Char2"/>
    <w:basedOn w:val="1041"/>
    <w:uiPriority w:val="0"/>
    <w:qFormat/>
    <w:rPr>
      <w:rFonts w:ascii="Tahoma" w:hAnsi="Tahoma"/>
      <w:sz w:val="24"/>
      <w:szCs w:val="20"/>
    </w:rPr>
  </w:style>
  <w:style w:type="paragraph" w:styleId="1272" w:customStyle="1">
    <w:name w:val="正文文本缩进2"/>
    <w:basedOn w:val="1041"/>
    <w:uiPriority w:val="0"/>
    <w:qFormat/>
    <w:pPr>
      <w:ind w:firstLine="480"/>
      <w:spacing w:line="480" w:lineRule="exact"/>
    </w:pPr>
    <w:rPr>
      <w:rFonts w:ascii="宋体" w:hAnsi="宋体"/>
      <w:sz w:val="24"/>
      <w:lang w:val="zh-CN"/>
    </w:rPr>
  </w:style>
  <w:style w:type="paragraph" w:styleId="1273" w:customStyle="1">
    <w:name w:val="Char3"/>
    <w:basedOn w:val="1041"/>
    <w:uiPriority w:val="0"/>
    <w:qFormat/>
    <w:pPr>
      <w:tabs>
        <w:tab w:val="left" w:pos="360" w:leader="none"/>
      </w:tabs>
    </w:pPr>
    <w:rPr>
      <w:sz w:val="24"/>
    </w:rPr>
  </w:style>
  <w:style w:type="paragraph" w:styleId="1274"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275"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列出段落2"/>
    <w:basedOn w:val="1041"/>
    <w:uiPriority w:val="0"/>
    <w:qFormat/>
    <w:pPr>
      <w:ind w:firstLine="420"/>
    </w:pPr>
    <w:rPr>
      <w:rFonts w:ascii="Calibri" w:hAnsi="Calibri"/>
      <w:szCs w:val="22"/>
    </w:rPr>
  </w:style>
  <w:style w:type="paragraph" w:styleId="1277" w:customStyle="1">
    <w:name w:val="Char Char Char1 Char2"/>
    <w:basedOn w:val="1041"/>
    <w:uiPriority w:val="0"/>
    <w:qFormat/>
    <w:rPr>
      <w:rFonts w:ascii="Tahoma" w:hAnsi="Tahoma"/>
      <w:sz w:val="24"/>
      <w:szCs w:val="20"/>
    </w:rPr>
  </w:style>
  <w:style w:type="paragraph" w:styleId="1278" w:customStyle="1">
    <w:name w:val="Char Char Char2"/>
    <w:basedOn w:val="1041"/>
    <w:uiPriority w:val="0"/>
    <w:qFormat/>
    <w:rPr>
      <w:rFonts w:ascii="Tahoma" w:hAnsi="Tahoma"/>
      <w:sz w:val="24"/>
      <w:szCs w:val="20"/>
    </w:rPr>
  </w:style>
  <w:style w:type="paragraph" w:styleId="1279" w:customStyle="1">
    <w:name w:val="Char Char Char Char Char Char Char2"/>
    <w:basedOn w:val="1041"/>
    <w:uiPriority w:val="0"/>
    <w:qFormat/>
    <w:pPr>
      <w:ind w:firstLine="200"/>
      <w:spacing w:line="360" w:lineRule="auto"/>
    </w:pPr>
    <w:rPr>
      <w:rFonts w:eastAsia="仿宋_GB2312"/>
      <w:sz w:val="24"/>
    </w:rPr>
  </w:style>
  <w:style w:type="paragraph" w:styleId="1280"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281" w:customStyle="1">
    <w:name w:val="修订1"/>
    <w:uiPriority w:val="0"/>
    <w:qFormat/>
    <w:rPr>
      <w:rFonts w:ascii="Times New Roman" w:hAnsi="Times New Roman" w:eastAsia="宋体" w:cs="Times New Roman"/>
      <w:sz w:val="21"/>
      <w:szCs w:val="24"/>
      <w:lang w:val="en-US" w:eastAsia="zh-CN" w:bidi="ar-SA"/>
    </w:rPr>
  </w:style>
  <w:style w:type="paragraph" w:styleId="1282" w:customStyle="1">
    <w:name w:val="Char22"/>
    <w:basedOn w:val="1041"/>
    <w:uiPriority w:val="0"/>
    <w:qFormat/>
    <w:rPr>
      <w:rFonts w:ascii="Tahoma" w:hAnsi="Tahoma"/>
      <w:sz w:val="24"/>
      <w:szCs w:val="20"/>
    </w:rPr>
  </w:style>
  <w:style w:type="paragraph" w:styleId="1283" w:customStyle="1">
    <w:name w:val="Char Char Char Char Char Char Char Char Char Char2"/>
    <w:basedOn w:val="1041"/>
    <w:uiPriority w:val="0"/>
    <w:qFormat/>
    <w:rPr>
      <w:rFonts w:ascii="宋体" w:hAnsi="宋体" w:cs="Courier New"/>
      <w:sz w:val="32"/>
      <w:szCs w:val="32"/>
    </w:rPr>
  </w:style>
  <w:style w:type="paragraph" w:styleId="1284" w:customStyle="1">
    <w:name w:val="Char2 Char Char Char Char Char Char1"/>
    <w:basedOn w:val="1041"/>
    <w:uiPriority w:val="0"/>
    <w:qFormat/>
    <w:pPr>
      <w:jc w:val="center"/>
      <w:spacing w:line="400" w:lineRule="exact"/>
      <w:widowControl/>
    </w:pPr>
  </w:style>
  <w:style w:type="character" w:styleId="1285" w:customStyle="1">
    <w:name w:val="页脚 Char"/>
    <w:uiPriority w:val="0"/>
    <w:qFormat/>
    <w:rPr>
      <w:rFonts w:ascii="宋体" w:eastAsia="宋体"/>
      <w:sz w:val="18"/>
      <w:lang w:val="en-US" w:eastAsia="zh-CN" w:bidi="ar-SA"/>
    </w:rPr>
  </w:style>
  <w:style w:type="paragraph" w:styleId="1286" w:customStyle="1">
    <w:name w:val="Char Char41"/>
    <w:basedOn w:val="1041"/>
    <w:uiPriority w:val="0"/>
    <w:qFormat/>
    <w:pPr>
      <w:jc w:val="center"/>
      <w:spacing w:line="400" w:lineRule="exact"/>
      <w:widowControl/>
    </w:pPr>
  </w:style>
  <w:style w:type="character" w:styleId="1287" w:customStyle="1">
    <w:name w:val="批注文字 Char"/>
    <w:uiPriority w:val="99"/>
    <w:qFormat/>
    <w:rPr>
      <w:sz w:val="21"/>
      <w:szCs w:val="24"/>
    </w:rPr>
  </w:style>
  <w:style w:type="character" w:styleId="1288" w:customStyle="1">
    <w:name w:val="标题 Char"/>
    <w:uiPriority w:val="0"/>
    <w:qFormat/>
    <w:rPr>
      <w:b/>
      <w:sz w:val="32"/>
    </w:rPr>
  </w:style>
  <w:style w:type="paragraph" w:styleId="1289" w:customStyle="1">
    <w:name w:val="图例"/>
    <w:basedOn w:val="1041"/>
    <w:uiPriority w:val="0"/>
    <w:qFormat/>
    <w:pPr>
      <w:jc w:val="center"/>
      <w:spacing w:before="120" w:after="120" w:line="360" w:lineRule="auto"/>
    </w:pPr>
    <w:rPr>
      <w:rFonts w:eastAsia="仿宋_GB2312"/>
      <w:b/>
      <w:sz w:val="24"/>
      <w:szCs w:val="20"/>
    </w:rPr>
  </w:style>
  <w:style w:type="table" w:styleId="129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1" w:customStyle="1">
    <w:name w:val="Table Paragraph"/>
    <w:basedOn w:val="1041"/>
    <w:uiPriority w:val="1"/>
    <w:qFormat/>
    <w:pPr>
      <w:jc w:val="left"/>
    </w:pPr>
    <w:rPr>
      <w:rFonts w:ascii="宋体" w:hAnsi="宋体" w:cs="宋体"/>
      <w:sz w:val="22"/>
      <w:szCs w:val="22"/>
      <w:lang w:eastAsia="en-US"/>
    </w:rPr>
  </w:style>
  <w:style w:type="paragraph" w:styleId="1292" w:customStyle="1">
    <w:name w:val="成文日期"/>
    <w:basedOn w:val="1041"/>
    <w:link w:val="1293"/>
    <w:uiPriority w:val="0"/>
    <w:qFormat/>
    <w:pPr>
      <w:ind w:right="400" w:firstLine="200"/>
      <w:jc w:val="right"/>
      <w:spacing w:line="570" w:lineRule="exact"/>
    </w:pPr>
    <w:rPr>
      <w:rFonts w:ascii="仿宋_GB2312" w:eastAsia="仿宋_GB2312"/>
      <w:sz w:val="32"/>
      <w:szCs w:val="20"/>
    </w:rPr>
  </w:style>
  <w:style w:type="character" w:styleId="1293" w:customStyle="1">
    <w:name w:val="成文日期 Char"/>
    <w:link w:val="1292"/>
    <w:uiPriority w:val="0"/>
    <w:qFormat/>
    <w:rPr>
      <w:rFonts w:ascii="仿宋_GB2312" w:eastAsia="仿宋_GB2312"/>
      <w:sz w:val="32"/>
    </w:rPr>
  </w:style>
  <w:style w:type="paragraph" w:styleId="1294" w:customStyle="1">
    <w:name w:val="Revision1"/>
    <w:uiPriority w:val="99"/>
    <w:unhideWhenUsed/>
    <w:qFormat/>
    <w:rPr>
      <w:rFonts w:ascii="Times New Roman" w:hAnsi="Times New Roman" w:eastAsia="宋体" w:cs="Times New Roman"/>
      <w:sz w:val="21"/>
      <w:szCs w:val="24"/>
      <w:lang w:val="en-US" w:eastAsia="zh-CN" w:bidi="ar-SA"/>
    </w:rPr>
  </w:style>
  <w:style w:type="character" w:styleId="1295" w:customStyle="1">
    <w:name w:val="正文缩进 字符"/>
    <w:uiPriority w:val="0"/>
    <w:qFormat/>
    <w:rPr>
      <w:rFonts w:ascii="宋体" w:hAnsi="宋体" w:eastAsia="宋体"/>
      <w:sz w:val="24"/>
      <w:szCs w:val="24"/>
    </w:rPr>
  </w:style>
  <w:style w:type="character" w:styleId="1296" w:customStyle="1">
    <w:name w:val="NormalCharacter"/>
    <w:uiPriority w:val="0"/>
    <w:qFormat/>
  </w:style>
  <w:style w:type="character" w:styleId="1297" w:customStyle="1">
    <w:name w:val="正文缩进 Char1"/>
    <w:uiPriority w:val="0"/>
    <w:qFormat/>
    <w:rPr>
      <w:rFonts w:ascii="宋体" w:hAnsi="宋体" w:eastAsia="宋体"/>
      <w:sz w:val="24"/>
    </w:rPr>
  </w:style>
  <w:style w:type="paragraph" w:styleId="1298" w:customStyle="1">
    <w:name w:val="索引 11"/>
    <w:basedOn w:val="1041"/>
    <w:next w:val="1041"/>
    <w:uiPriority w:val="0"/>
    <w:qFormat/>
    <w:pPr>
      <w:spacing w:line="360" w:lineRule="auto"/>
    </w:pPr>
    <w:rPr>
      <w:rFonts w:ascii="仿宋_GB2312" w:eastAsia="仿宋_GB2312"/>
      <w:sz w:val="24"/>
      <w:szCs w:val="20"/>
    </w:rPr>
  </w:style>
  <w:style w:type="paragraph" w:styleId="1299" w:customStyle="1">
    <w:name w:val="样式 标题 1 + 宋体 居中 段前: 17 磅 段后: 16.5 磅"/>
    <w:basedOn w:val="1042"/>
    <w:uiPriority w:val="0"/>
    <w:qFormat/>
    <w:pPr>
      <w:ind w:left="840" w:hanging="420"/>
      <w:pageBreakBefore/>
      <w:widowControl/>
      <w:tabs>
        <w:tab w:val="left" w:pos="840" w:leader="none"/>
      </w:tabs>
    </w:pPr>
    <w:rPr>
      <w:rFonts w:ascii="华文中宋" w:hAnsi="华文中宋" w:eastAsia="华文中宋" w:cs="宋体"/>
      <w:sz w:val="28"/>
    </w:rPr>
  </w:style>
  <w:style w:type="paragraph" w:styleId="1300" w:customStyle="1">
    <w:name w:val="表格"/>
    <w:basedOn w:val="1041"/>
    <w:next w:val="1041"/>
    <w:uiPriority w:val="0"/>
    <w:qFormat/>
    <w:pPr>
      <w:jc w:val="left"/>
      <w:widowControl/>
    </w:pPr>
    <w:rPr>
      <w:rFonts w:ascii="宋体" w:hAnsi="宋体" w:eastAsia="仿宋"/>
      <w:sz w:val="18"/>
      <w:lang w:val="zh-CN" w:bidi="zh-CN"/>
    </w:rPr>
  </w:style>
  <w:style w:type="paragraph" w:styleId="1301" w:customStyle="1">
    <w:name w:val="目录 53"/>
    <w:next w:val="1041"/>
    <w:uiPriority w:val="0"/>
    <w:qFormat/>
    <w:pPr>
      <w:ind w:left="1275"/>
      <w:jc w:val="both"/>
    </w:pPr>
    <w:rPr>
      <w:rFonts w:ascii="Times New Roman" w:hAnsi="Times New Roman" w:eastAsia="宋体" w:cs="Times New Roman"/>
      <w:sz w:val="21"/>
      <w:lang w:val="en-US" w:eastAsia="zh-CN" w:bidi="ar-SA"/>
    </w:rPr>
  </w:style>
  <w:style w:type="paragraph" w:styleId="1302" w:customStyle="1">
    <w:name w:val="表格正文"/>
    <w:basedOn w:val="1041"/>
    <w:uiPriority w:val="0"/>
    <w:qFormat/>
    <w:pPr>
      <w:spacing w:before="40" w:after="40"/>
    </w:pPr>
    <w:rPr>
      <w:szCs w:val="21"/>
    </w:rPr>
  </w:style>
  <w:style w:type="character" w:styleId="1303" w:customStyle="1">
    <w:name w:val="交叉引用"/>
    <w:uiPriority w:val="1"/>
    <w:qFormat/>
    <w:rPr>
      <w:color w:val="0000ff"/>
      <w:u w:val="single"/>
    </w:rPr>
  </w:style>
  <w:style w:type="paragraph" w:styleId="1304"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5" w:customStyle="1">
    <w:name w:val="font11"/>
    <w:uiPriority w:val="0"/>
    <w:qFormat/>
    <w:rPr>
      <w:rFonts w:hint="eastAsia" w:ascii="宋体" w:hAnsi="宋体" w:eastAsia="宋体" w:cs="宋体"/>
      <w:color w:val="000000"/>
      <w:sz w:val="21"/>
      <w:szCs w:val="21"/>
      <w:u w:val="none"/>
    </w:rPr>
  </w:style>
  <w:style w:type="character" w:styleId="1306" w:customStyle="1">
    <w:name w:val="font41"/>
    <w:uiPriority w:val="0"/>
    <w:qFormat/>
    <w:rPr>
      <w:rFonts w:hint="eastAsia" w:ascii="宋体" w:hAnsi="宋体" w:eastAsia="宋体" w:cs="宋体"/>
      <w:color w:val="000000"/>
      <w:sz w:val="21"/>
      <w:szCs w:val="21"/>
      <w:u w:val="none"/>
    </w:rPr>
  </w:style>
  <w:style w:type="character" w:styleId="1307" w:customStyle="1">
    <w:name w:val="font21"/>
    <w:basedOn w:val="1051"/>
    <w:uiPriority w:val="0"/>
    <w:qFormat/>
    <w:rPr>
      <w:rFonts w:ascii="宋体" w:hAnsi="宋体" w:eastAsia="宋体" w:cs="宋体"/>
      <w:b/>
      <w:color w:val="000000"/>
      <w:sz w:val="22"/>
      <w:szCs w:val="22"/>
      <w:u w:val="none"/>
    </w:rPr>
  </w:style>
  <w:style w:type="character" w:styleId="1308" w:customStyle="1">
    <w:name w:val="font31"/>
    <w:uiPriority w:val="0"/>
    <w:qFormat/>
    <w:rPr>
      <w:rFonts w:hint="eastAsia" w:ascii="宋体" w:hAnsi="宋体" w:eastAsia="宋体" w:cs="宋体"/>
      <w:color w:val="000000"/>
      <w:sz w:val="18"/>
      <w:szCs w:val="18"/>
      <w:u w:val="none"/>
    </w:rPr>
  </w:style>
  <w:style w:type="paragraph" w:styleId="1309" w:customStyle="1">
    <w:name w:val="正文文本1"/>
    <w:basedOn w:val="1041"/>
    <w:next w:val="1041"/>
    <w:uiPriority w:val="0"/>
    <w:qFormat/>
    <w:pPr>
      <w:spacing w:before="120" w:line="22" w:lineRule="atLeast"/>
      <w:tabs>
        <w:tab w:val="left" w:pos="567" w:leader="none"/>
      </w:tabs>
    </w:pPr>
    <w:rPr>
      <w:rFonts w:ascii="宋体" w:hAnsi="宋体"/>
      <w:sz w:val="24"/>
    </w:rPr>
  </w:style>
  <w:style w:type="paragraph" w:styleId="1310" w:customStyle="1">
    <w:name w:val="纯文本11"/>
    <w:basedOn w:val="1041"/>
    <w:next w:val="1311"/>
    <w:uiPriority w:val="99"/>
    <w:qFormat/>
    <w:rPr>
      <w:rFonts w:hint="eastAsia" w:ascii="宋体" w:hAnsi="Courier New"/>
      <w:szCs w:val="20"/>
    </w:rPr>
  </w:style>
  <w:style w:type="paragraph" w:styleId="1311" w:customStyle="1">
    <w:name w:val="正文缩进11"/>
    <w:basedOn w:val="1041"/>
    <w:next w:val="1041"/>
    <w:uiPriority w:val="99"/>
    <w:qFormat/>
    <w:pPr>
      <w:ind w:firstLine="420"/>
      <w:jc w:val="left"/>
    </w:pPr>
    <w:rPr>
      <w:rFonts w:ascii="宋体"/>
      <w:sz w:val="24"/>
    </w:rPr>
  </w:style>
  <w:style w:type="paragraph" w:styleId="1312" w:customStyle="1">
    <w:name w:val="null3"/>
    <w:uiPriority w:val="0"/>
    <w:qFormat/>
    <w:rPr>
      <w:rFonts w:hint="eastAsia" w:ascii="Calibri" w:hAnsi="Calibri" w:eastAsia="宋体" w:cs="Times New Roman"/>
      <w:lang w:val="en-US" w:eastAsia="zh-Hans" w:bidi="ar-SA"/>
    </w:rPr>
  </w:style>
  <w:style w:type="paragraph" w:styleId="1313" w:customStyle="1">
    <w:name w:val="标题 21"/>
    <w:basedOn w:val="1041"/>
    <w:next w:val="1311"/>
    <w:uiPriority w:val="0"/>
    <w:qFormat/>
    <w:pPr>
      <w:jc w:val="center"/>
      <w:keepLines/>
      <w:keepNext/>
      <w:spacing w:before="120" w:line="300" w:lineRule="auto"/>
      <w:outlineLvl w:val="1"/>
    </w:pPr>
    <w:rPr>
      <w:rFonts w:ascii="Arial" w:hAnsi="Arial" w:eastAsia="黑体"/>
      <w:b/>
      <w:sz w:val="30"/>
      <w:szCs w:val="20"/>
    </w:rPr>
  </w:style>
  <w:style w:type="paragraph" w:styleId="1314" w:customStyle="1">
    <w:name w:val="普通(网站)1"/>
    <w:basedOn w:val="1041"/>
    <w:uiPriority w:val="99"/>
    <w:unhideWhenUsed/>
    <w:qFormat/>
    <w:pPr>
      <w:jc w:val="left"/>
      <w:spacing w:before="100" w:beforeAutospacing="1" w:after="100" w:afterAutospacing="1"/>
      <w:widowControl/>
    </w:pPr>
    <w:rPr>
      <w:rFonts w:ascii="宋体" w:hAnsi="宋体" w:cs="宋体"/>
      <w:sz w:val="24"/>
    </w:rPr>
  </w:style>
  <w:style w:type="paragraph" w:styleId="1315" w:customStyle="1">
    <w:name w:val="列表段落"/>
    <w:basedOn w:val="1041"/>
    <w:uiPriority w:val="34"/>
    <w:qFormat/>
    <w:pPr>
      <w:ind w:firstLine="420"/>
    </w:pPr>
    <w:rPr>
      <w:rFonts w:ascii="Calibri" w:hAnsi="Calibri"/>
      <w:szCs w:val="22"/>
    </w:rPr>
  </w:style>
  <w:style w:type="paragraph" w:styleId="1316" w:customStyle="1">
    <w:name w:val="p"/>
    <w:basedOn w:val="1041"/>
    <w:uiPriority w:val="0"/>
    <w:qFormat/>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6</cp:revision>
  <dcterms:created xsi:type="dcterms:W3CDTF">2025-12-05T06:55:00Z</dcterms:created>
  <dcterms:modified xsi:type="dcterms:W3CDTF">2026-10-10T03:08:12Z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2052-12.1.0.25856</vt:lpwstr>
  </property>
  <property fmtid="{D5CDD505-2E9C-101B-9397-08002B2CF9AE}" pid="3" name="ICV">
    <vt:lpwstr>E508368FCC264028A02B8264BFC8E8C8_13</vt:lpwstr>
  </property>
  <property fmtid="{D5CDD505-2E9C-101B-9397-08002B2CF9AE}" pid="4" name="KSOTemplateDocerSaveRecord">
    <vt:lpwstr>eyJoZGlkIjoiNTU0ZmIwYTQ3NzlmZGUxZmU3Zjk0M2IyZTNmM2IxNjAiLCJ1c2VySWQiOiIyNDAyNDY5NjEifQ==</vt:lpwstr>
  </property>
</Properties>
</file>