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3"/>
        <w:spacing w:before="120" w:beforeAutospacing="0" w:after="120" w:afterAutospacing="0" w:line="360" w:lineRule="auto"/>
        <w:rPr>
          <w:rFonts w:hint="default" w:eastAsiaTheme="minorEastAsia"/>
          <w:highlight w:val="none"/>
          <w:lang w:val="en-US" w:eastAsia="zh-CN"/>
        </w:rPr>
      </w:pPr>
      <w:r>
        <w:rPr>
          <w:rFonts w:hint="eastAsia"/>
          <w:highlight w:val="none"/>
          <w:lang w:val="en-US" w:eastAsia="zh-CN"/>
        </w:rPr>
        <w:t xml:space="preserve">  </w:t>
      </w:r>
      <w:r/>
    </w:p>
    <w:p>
      <w:pPr>
        <w:pStyle w:val="142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42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滨海县中医院消毒供应中心设备采购项目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JSZC-320922-ZQYC-G2026-0019</w:t>
      </w:r>
      <w:r/>
    </w:p>
    <w:p>
      <w:pPr>
        <w:ind w:firstLine="602"/>
        <w:rPr>
          <w:b/>
          <w:bCs/>
          <w:sz w:val="30"/>
          <w:szCs w:val="30"/>
        </w:rPr>
      </w:pPr>
      <w:r>
        <w:rPr>
          <w:b/>
          <w:bCs/>
          <w:sz w:val="30"/>
          <w:szCs w:val="30"/>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423"/>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423"/>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523127445"/>
      <w:r/>
      <w:bookmarkStart w:id="1" w:name="_Toc479757206"/>
      <w:r/>
      <w:bookmarkStart w:id="2" w:name="_Toc16938516"/>
      <w:r/>
      <w:bookmarkStart w:id="3" w:name="_Toc20823272"/>
      <w:r/>
      <w:bookmarkStart w:id="4" w:name="_Toc120614210"/>
      <w:r/>
      <w:bookmarkStart w:id="5" w:name="_Toc513029200"/>
      <w:r/>
      <w:r/>
    </w:p>
    <w:p>
      <w:pPr>
        <w:pStyle w:val="142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423"/>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42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42</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48</w:t>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423"/>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436"/>
        <w:tblW w:w="917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73"/>
      </w:tblGrid>
      <w:tr>
        <w:trPr>
          <w:trHeight w:val="1769"/>
        </w:trPr>
        <w:tc>
          <w:tcPr>
            <w:tcW w:w="9173" w:type="dxa"/>
            <w:vAlign w:val="top"/>
            <w:textDirection w:val="lrTb"/>
            <w:noWrap w:val="false"/>
          </w:tcPr>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u w:val="single"/>
                <w:lang w:val="en-US" w:eastAsia="zh-CN"/>
              </w:rPr>
              <w:t xml:space="preserve">滨海县中医院消毒供应中心设备采购项目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11</w:t>
            </w:r>
            <w:r>
              <w:rPr>
                <w:rFonts w:hint="eastAsia" w:ascii="宋体" w:hAnsi="宋体" w:eastAsia="宋体" w:cs="宋体"/>
                <w:b/>
                <w:bCs/>
                <w:sz w:val="24"/>
                <w:szCs w:val="24"/>
                <w:u w:val="single"/>
                <w:lang w:val="en-US" w:eastAsia="en-US"/>
              </w:rPr>
              <w:t xml:space="preserve">月25</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p>
        </w:tc>
      </w:tr>
    </w:tbl>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7" w:name="_Toc35393790"/>
      <w:r/>
      <w:bookmarkStart w:id="8" w:name="_Toc35393621"/>
      <w:r/>
      <w:bookmarkStart w:id="9" w:name="_Toc28359002"/>
      <w:r/>
      <w:bookmarkStart w:id="10" w:name="_Hlk24379207"/>
      <w:r/>
      <w:bookmarkStart w:id="11" w:name="_Toc38985263"/>
      <w:r/>
      <w:bookmarkStart w:id="12" w:name="_Toc28359079"/>
      <w:r>
        <w:rPr>
          <w:rFonts w:hint="eastAsia" w:ascii="宋体" w:hAnsi="宋体" w:eastAsia="宋体" w:cs="宋体"/>
          <w:b/>
          <w:bCs/>
          <w:sz w:val="24"/>
          <w:szCs w:val="24"/>
        </w:rPr>
        <w:t xml:space="preserve">一、项目基本情况</w:t>
      </w:r>
      <w:bookmarkEnd w:id="7"/>
      <w:r/>
      <w:bookmarkEnd w:id="8"/>
      <w:r/>
      <w:bookmarkEnd w:id="9"/>
      <w:r/>
      <w:bookmarkEnd w:id="10"/>
      <w:r/>
      <w:bookmarkEnd w:id="11"/>
      <w:r/>
      <w:bookmarkEnd w:id="12"/>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JSZC-320922-ZQYC-G2026-0019</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滨海县中医院消毒供应中心设备采购项目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en-US"/>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380</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330</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万元，投标人总报价超过最高限价规定的作无效标处理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滨海县中医院消毒供应中心设备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,包括设备(含附配件)的采购、包装、运输、安装、调试、验收、培训、质保期内维保、售后服务等相关伴随服务（详细内容见本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采购人安装</w:t>
      </w:r>
      <w:r>
        <w:rPr>
          <w:rFonts w:hint="eastAsia" w:ascii="宋体" w:hAnsi="宋体" w:eastAsia="宋体" w:cs="宋体"/>
          <w:b/>
          <w:bCs/>
          <w:color w:val="000000" w:themeColor="text1"/>
          <w:sz w:val="24"/>
          <w:szCs w:val="24"/>
          <w:u w:val="single"/>
          <w14:textFill>
            <w14:solidFill>
              <w14:schemeClr w14:val="tx1"/>
            </w14:solidFill>
          </w14:textFill>
        </w:rPr>
        <w:t xml:space="preserve">指令后45日内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14:textFill>
            <w14:solidFill>
              <w14:schemeClr w14:val="tx1"/>
            </w14:solidFill>
          </w14:textFill>
        </w:rPr>
        <w:t xml:space="preserve">本次采购设备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整机5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质保期自</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本项目整体验收合格、正式</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投</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入使用</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且收到采购人书面通知</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之日</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起计算</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9.质量标准：</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14:textFill>
            <w14:solidFill>
              <w14:schemeClr w14:val="tx1"/>
            </w14:solidFill>
          </w14:textFill>
        </w:rPr>
        <w:t xml:space="preserve">本项目（是/否）接受联合体参与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否</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lang w:eastAsia="en-US"/>
          <w14:textFill>
            <w14:solidFill>
              <w14:schemeClr w14:val="tx1"/>
            </w14:solidFill>
          </w14:textFill>
        </w:rPr>
        <w:t xml:space="preserve">.项目地点(交货地点)：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滨海县中医院阜东院区(</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采购人指定地点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.非单一产品采购项目的核心产品：</w:t>
      </w:r>
      <w:r>
        <w:rPr>
          <w:rFonts w:hint="eastAsia" w:asciiTheme="minorEastAsia" w:hAnsiTheme="minorEastAsia" w:eastAsiaTheme="minorEastAsia" w:cstheme="minorEastAsia"/>
          <w:b/>
          <w:bCs/>
          <w:color w:val="000000" w:themeColor="text1"/>
          <w:sz w:val="24"/>
          <w:szCs w:val="24"/>
          <w:u w:val="single"/>
          <w:lang w:eastAsia="zh-CN"/>
          <w14:textFill>
            <w14:solidFill>
              <w14:schemeClr w14:val="tx1"/>
            </w14:solidFill>
          </w14:textFill>
        </w:rPr>
        <w:t xml:space="preserve">脉动真空灭菌器、</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过氧化氢低温等离子灭菌器</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keepLines w:val="0"/>
        <w:keepNext w:val="0"/>
        <w:pageBreakBefore w:val="0"/>
        <w:spacing w:line="400" w:lineRule="exact"/>
        <w:widowControl w:val="off"/>
        <w:rPr>
          <w:rFonts w:hint="eastAsia" w:ascii="宋体" w:hAnsi="宋体" w:eastAsia="宋体" w:cs="宋体"/>
          <w:b/>
          <w:bCs/>
          <w:sz w:val="24"/>
          <w:szCs w:val="24"/>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1.6法律、行政法规规定的其他条件；</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2.落实政府采购政策需满足的资格要求：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2.1</w:t>
      </w:r>
      <w:r>
        <w:rPr>
          <w:rFonts w:hint="eastAsia" w:asciiTheme="majorEastAsia" w:hAnsiTheme="majorEastAsia" w:eastAsiaTheme="majorEastAsia" w:cs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Theme="majorEastAsia" w:hAnsiTheme="majorEastAsia" w:eastAsiaTheme="majorEastAsia" w:cstheme="majorEastAsia"/>
          <w:b/>
          <w:bCs/>
          <w:sz w:val="24"/>
          <w:szCs w:val="24"/>
          <w:lang w:eastAsia="zh-CN"/>
        </w:rPr>
        <w:t xml:space="preserve">〔2020〕</w:t>
      </w:r>
      <w:r>
        <w:rPr>
          <w:rFonts w:hint="eastAsia" w:asciiTheme="majorEastAsia" w:hAnsiTheme="majorEastAsia" w:eastAsiaTheme="majorEastAsia" w:cs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2.2</w:t>
      </w:r>
      <w:r>
        <w:rPr>
          <w:rFonts w:hint="eastAsia" w:asciiTheme="majorEastAsia" w:hAnsiTheme="majorEastAsia" w:eastAsiaTheme="majorEastAsia" w:cstheme="majorEastAsia"/>
          <w:b/>
          <w:bCs/>
          <w:sz w:val="24"/>
          <w:szCs w:val="24"/>
        </w:rPr>
        <w:t xml:space="preserve">本项目实施本国产品标准及相关政策</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本项目对采购本国产品给予政策支持，具体内容见招标文件“第五章 评标方法与评标标准”。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2</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rPr>
        <w:t xml:space="preserve">本项目的特定资格要求</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3.1投标人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须具备</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有效的</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《医疗器械经营企业许可证》或《医疗器械经营备案凭证》，且经营范围包含本次采购的产品；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3.2投标人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须根据</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本次采购</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产品的类别</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器械</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，提供</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所投</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产品有效的《医疗器械注册证》或《医疗器械备案凭证》</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如投标产品为非医疗器械，需提供相关说明文件</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3.4投标人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及蒸汽发生器 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具有市场监督管理部门颁发的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有效《特种设备生产许可证》、许可项目包含压力容器制造(含安装、修理、改造)。</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b/>
          <w:bCs/>
          <w:sz w:val="24"/>
          <w:szCs w:val="24"/>
        </w:rPr>
        <w:t xml:space="preserve">1.时间：</w:t>
      </w:r>
      <w:bookmarkEnd w:id="18"/>
      <w:r/>
      <w:bookmarkEnd w:id="19"/>
      <w:r/>
      <w:bookmarkEnd w:id="20"/>
      <w:r/>
      <w:bookmarkEnd w:id="21"/>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月</w:t>
      </w:r>
      <w:r>
        <w:rPr>
          <w:rFonts w:hint="eastAsia" w:ascii="宋体" w:hAnsi="宋体" w:eastAsia="宋体" w:cs="宋体"/>
          <w:b/>
          <w:bCs/>
          <w:sz w:val="24"/>
          <w:szCs w:val="24"/>
        </w:rPr>
        <w:t xml:space="preserve">25日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bCs/>
          <w:sz w:val="24"/>
          <w:szCs w:val="24"/>
        </w:rPr>
        <w:t xml:space="preserve">五、公告期限</w:t>
      </w:r>
      <w:bookmarkEnd w:id="23"/>
      <w:r/>
      <w:bookmarkEnd w:id="24"/>
      <w:r/>
      <w:bookmarkEnd w:id="25"/>
      <w:r/>
      <w:bookmarkEnd w:id="26"/>
      <w:r/>
      <w:bookmarkEnd w:id="27"/>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795"/>
      <w:r/>
      <w:bookmarkStart w:id="29" w:name="_Toc35393626"/>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2.潜在供应商访问电子招标响应交易平台的网络地址和方法：</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2.2潜在投标人访问“苏采云”系统方法：江苏省政府采购网首页-“苏采云”链接。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如潜在投标人未按上述要求操作，将自行承担所产生的风险。</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4.本次招标不收取投标保证金，不收取质量保证金。</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.电子投标文件一份(通过系统提交)；纸质投标文件正本一份，副本四份（评审结束后由中标候选人邮寄至采购代理机构，未中标单位不需要提供）。</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1.采购人信息</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名称:滨海县中医院</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地址:盐城市滨海县向阳大道390号(吉达广场西侧)</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联系人:程女士</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地址：滨海县政务服务中心2楼</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423"/>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20614213"/>
      <w:r/>
      <w:bookmarkStart w:id="34" w:name="_Toc20823274"/>
      <w:r/>
      <w:bookmarkStart w:id="35" w:name="_Toc513029202"/>
      <w:r/>
      <w:bookmarkStart w:id="36" w:name="_Toc16938518"/>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37" w:name="_Toc513029203"/>
      <w:r/>
      <w:bookmarkStart w:id="38" w:name="_Toc120614214"/>
      <w:r/>
      <w:bookmarkStart w:id="39" w:name="_Toc20823275"/>
      <w:r/>
      <w:bookmarkStart w:id="40" w:name="_Toc16938519"/>
      <w:r>
        <w:rPr>
          <w:rFonts w:hint="eastAsia" w:ascii="宋体" w:hAnsi="宋体" w:eastAsia="宋体" w:cs="宋体"/>
          <w:b/>
          <w:bCs/>
          <w:sz w:val="24"/>
          <w:szCs w:val="24"/>
        </w:rPr>
        <w:t xml:space="preserve">一、总则</w:t>
      </w:r>
      <w:bookmarkEnd w:id="37"/>
      <w:r/>
      <w:bookmarkEnd w:id="38"/>
      <w:r/>
      <w:bookmarkEnd w:id="39"/>
      <w:r/>
      <w:bookmarkEnd w:id="40"/>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bookmarkEnd w:id="43"/>
      <w:r/>
      <w:bookmarkEnd w:id="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6" w:name="_Toc513029205"/>
      <w:r/>
      <w:bookmarkStart w:id="47" w:name="_Toc16938521"/>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bookmarkEnd w:id="47"/>
      <w:r/>
      <w:bookmarkEnd w:id="4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49" w:name="_Toc20823278"/>
      <w:r/>
      <w:bookmarkStart w:id="50" w:name="_Toc513029206"/>
      <w:r/>
      <w:bookmarkStart w:id="51" w:name="_Toc16938522"/>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bookmarkEnd w:id="50"/>
      <w:r/>
      <w:bookmarkEnd w:id="5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2" w:name="_Toc513029207"/>
      <w:r/>
      <w:bookmarkStart w:id="53" w:name="_Toc16938523"/>
      <w:r/>
      <w:bookmarkStart w:id="54" w:name="_Toc462564067"/>
      <w:r/>
      <w:bookmarkStart w:id="55" w:name="_Toc20823279"/>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bookmarkEnd w:id="53"/>
      <w:r/>
      <w:bookmarkEnd w:id="54"/>
      <w:r/>
      <w:bookmarkEnd w:id="55"/>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6" w:name="_Toc120614215"/>
      <w:r/>
      <w:bookmarkStart w:id="57" w:name="_Toc16938525"/>
      <w:r/>
      <w:bookmarkStart w:id="58" w:name="_Toc513029209"/>
      <w:r/>
      <w:bookmarkStart w:id="59" w:name="_Toc20823281"/>
      <w:r>
        <w:rPr>
          <w:rFonts w:hint="eastAsia" w:ascii="宋体" w:hAnsi="宋体" w:eastAsia="宋体" w:cs="宋体"/>
          <w:b/>
          <w:bCs/>
          <w:sz w:val="24"/>
          <w:szCs w:val="24"/>
        </w:rPr>
        <w:t xml:space="preserve">二、招标文件</w:t>
      </w:r>
      <w:bookmarkEnd w:id="56"/>
      <w:r/>
      <w:bookmarkEnd w:id="57"/>
      <w:r/>
      <w:bookmarkEnd w:id="58"/>
      <w:r/>
      <w:bookmarkEnd w:id="59"/>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60" w:name="_Toc20823282"/>
      <w:r/>
      <w:bookmarkStart w:id="61" w:name="_Toc513029210"/>
      <w:r/>
      <w:bookmarkStart w:id="62" w:name="_Toc16938526"/>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bookmarkEnd w:id="61"/>
      <w:r/>
      <w:bookmarkEnd w:id="6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3" w:name="_Toc16938527"/>
      <w:r/>
      <w:bookmarkStart w:id="64" w:name="_Toc513029211"/>
      <w:r/>
      <w:bookmarkStart w:id="65" w:name="_Toc20823283"/>
      <w:r/>
      <w:bookmarkStart w:id="66" w:name="_Toc462564070"/>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bookmarkEnd w:id="64"/>
      <w:r/>
      <w:bookmarkEnd w:id="65"/>
      <w:r/>
      <w:bookmarkEnd w:id="6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7" w:name="_Toc20823284"/>
      <w:r/>
      <w:bookmarkStart w:id="68" w:name="_Toc462564071"/>
      <w:r/>
      <w:bookmarkStart w:id="69" w:name="_Toc16938528"/>
      <w:r/>
      <w:bookmarkStart w:id="70" w:name="_Toc513029212"/>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bookmarkEnd w:id="68"/>
      <w:r/>
      <w:bookmarkEnd w:id="69"/>
      <w:r/>
      <w:bookmarkEnd w:id="70"/>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1" w:name="_Toc462564072"/>
      <w:r/>
      <w:bookmarkStart w:id="72" w:name="_Toc120614216"/>
      <w:r/>
      <w:bookmarkStart w:id="73" w:name="_Toc20823285"/>
      <w:r/>
      <w:bookmarkStart w:id="74" w:name="_Toc16938529"/>
      <w:r/>
      <w:bookmarkStart w:id="75" w:name="_Toc513029213"/>
      <w:r>
        <w:rPr>
          <w:rFonts w:hint="eastAsia" w:ascii="宋体" w:hAnsi="宋体" w:eastAsia="宋体" w:cs="宋体"/>
          <w:b/>
          <w:bCs/>
          <w:sz w:val="24"/>
          <w:szCs w:val="24"/>
        </w:rPr>
        <w:t xml:space="preserve">三、投标文件的编制</w:t>
      </w:r>
      <w:bookmarkEnd w:id="71"/>
      <w:r/>
      <w:bookmarkEnd w:id="72"/>
      <w:r/>
      <w:bookmarkEnd w:id="73"/>
      <w:r/>
      <w:bookmarkEnd w:id="74"/>
      <w:r/>
      <w:bookmarkEnd w:id="7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6" w:name="_Toc20823286"/>
      <w:r/>
      <w:bookmarkStart w:id="77" w:name="_Toc513029214"/>
      <w:r/>
      <w:bookmarkStart w:id="78" w:name="_Toc16938530"/>
      <w:r/>
      <w:bookmarkStart w:id="79" w:name="_Toc462564073"/>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bookmarkEnd w:id="77"/>
      <w:r/>
      <w:bookmarkEnd w:id="78"/>
      <w:r/>
      <w:bookmarkEnd w:id="7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0" w:name="_Toc16938531"/>
      <w:r/>
      <w:bookmarkStart w:id="81" w:name="_Toc513029215"/>
      <w:r/>
      <w:bookmarkStart w:id="82" w:name="_Toc20823287"/>
      <w:r/>
      <w:bookmarkStart w:id="83" w:name="_Toc462564074"/>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bookmarkEnd w:id="81"/>
      <w:r/>
      <w:bookmarkEnd w:id="82"/>
      <w:r/>
      <w:bookmarkEnd w:id="8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4" w:name="_Toc49090507"/>
      <w:r/>
      <w:bookmarkStart w:id="85" w:name="_Toc49090509"/>
      <w:r/>
      <w:bookmarkStart w:id="86" w:name="_Toc513029219"/>
      <w:r/>
      <w:bookmarkStart w:id="87" w:name="_Toc49090508"/>
      <w:r/>
      <w:bookmarkStart w:id="88" w:name="_Toc14577355"/>
      <w:r/>
      <w:bookmarkStart w:id="89" w:name="_Toc14577354"/>
      <w:r/>
      <w:bookmarkStart w:id="90" w:name="_Toc513029216"/>
      <w:r/>
      <w:bookmarkStart w:id="91" w:name="_Toc14577357"/>
      <w:r/>
      <w:bookmarkStart w:id="92" w:name="_Hlt26670360"/>
      <w:r/>
      <w:bookmarkStart w:id="93" w:name="_Hlt26954838"/>
      <w:r/>
      <w:bookmarkStart w:id="94" w:name="_Hlt26668975"/>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bookmarkEnd w:id="85"/>
      <w:r/>
      <w:bookmarkEnd w:id="86"/>
      <w:r/>
      <w:bookmarkEnd w:id="87"/>
      <w:r/>
      <w:bookmarkEnd w:id="88"/>
      <w:r/>
      <w:bookmarkEnd w:id="89"/>
      <w:r/>
      <w:bookmarkEnd w:id="90"/>
      <w:r/>
      <w:bookmarkEnd w:id="9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2"/>
        <w:keepLines w:val="0"/>
        <w:keepNext w:val="0"/>
        <w:pageBreakBefore w:val="0"/>
        <w:spacing w:line="400" w:lineRule="exact"/>
        <w:widowControl w:val="off"/>
        <w:rPr>
          <w:rFonts w:hint="eastAsia" w:ascii="宋体" w:hAnsi="宋体" w:eastAsia="宋体" w:cs="宋体"/>
          <w:b/>
          <w:bCs/>
          <w:sz w:val="24"/>
          <w:szCs w:val="24"/>
          <w:lang w:eastAsia="en-US"/>
        </w:rPr>
      </w:pPr>
      <w:r/>
      <w:bookmarkStart w:id="95" w:name="_Hlt26670482"/>
      <w:r/>
      <w:bookmarkStart w:id="96" w:name="_Hlt26954848"/>
      <w:r/>
      <w:bookmarkStart w:id="97" w:name="_Hlt26670486"/>
      <w:r/>
      <w:bookmarkStart w:id="98" w:name="_Hlt26954731"/>
      <w:r/>
      <w:bookmarkStart w:id="99" w:name="_Hlt26954846"/>
      <w:r>
        <w:rPr>
          <w:rFonts w:hint="eastAsia" w:ascii="宋体" w:hAnsi="宋体" w:eastAsia="宋体" w:cs="宋体"/>
          <w:b/>
          <w:bCs/>
          <w:sz w:val="24"/>
          <w:szCs w:val="24"/>
          <w:lang w:val="en-US" w:eastAsia="en-US"/>
        </w:rPr>
        <w:t xml:space="preserve">12.3有关费用处理的约定</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ajorEastAsia" w:hAnsiTheme="majorEastAsia" w:eastAsiaTheme="majorEastAsia" w:cs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Theme="minorEastAsia" w:hAnsiTheme="minorEastAsia" w:eastAsiaTheme="minorEastAsia" w:cs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32500元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14.2投标人需根据招标文件要求提供培训计划。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0" w:name="_Toc14577359"/>
      <w:r/>
      <w:bookmarkStart w:id="101" w:name="_Toc49090510"/>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bookmarkEnd w:id="10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2" w:name="_Toc14577360"/>
      <w:r/>
      <w:bookmarkStart w:id="103" w:name="_Toc49090511"/>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bookmarkEnd w:id="10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4" w:name="_Toc16938540"/>
      <w:r/>
      <w:bookmarkStart w:id="105" w:name="_Toc120614217"/>
      <w:r/>
      <w:bookmarkStart w:id="106" w:name="_Toc513029224"/>
      <w:r/>
      <w:bookmarkStart w:id="107" w:name="_Toc20823296"/>
      <w:r/>
      <w:bookmarkStart w:id="108" w:name="_Hlt26954852"/>
      <w:r/>
      <w:bookmarkStart w:id="109" w:name="_Hlt26954739"/>
      <w:r>
        <w:rPr>
          <w:rFonts w:hint="eastAsia" w:ascii="宋体" w:hAnsi="宋体" w:eastAsia="宋体" w:cs="宋体"/>
          <w:b/>
          <w:bCs/>
          <w:sz w:val="24"/>
          <w:szCs w:val="24"/>
        </w:rPr>
        <w:t xml:space="preserve">四、投标文件的递交</w:t>
      </w:r>
      <w:bookmarkEnd w:id="104"/>
      <w:r/>
      <w:bookmarkEnd w:id="105"/>
      <w:r/>
      <w:bookmarkEnd w:id="106"/>
      <w:r/>
      <w:bookmarkEnd w:id="107"/>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0" w:name="_Toc513029225"/>
      <w:r/>
      <w:bookmarkStart w:id="111" w:name="_Toc20823297"/>
      <w:r/>
      <w:bookmarkStart w:id="112" w:name="_Toc16938541"/>
      <w:r/>
      <w:bookmarkStart w:id="113" w:name="_Toc462564084"/>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bookmarkEnd w:id="111"/>
      <w:r/>
      <w:bookmarkEnd w:id="112"/>
      <w:r/>
      <w:bookmarkEnd w:id="113"/>
      <w:r>
        <w:rPr>
          <w:rFonts w:hint="eastAsia" w:ascii="宋体" w:hAnsi="宋体" w:eastAsia="宋体" w:cs="宋体"/>
          <w:b/>
          <w:bCs/>
          <w:sz w:val="24"/>
          <w:szCs w:val="24"/>
        </w:rPr>
        <w:t xml:space="preserve">的递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文件。</w:t>
      </w:r>
      <w:bookmarkStart w:id="114" w:name="_Toc20823298"/>
      <w:r/>
      <w:bookmarkEnd w:id="114"/>
      <w:r/>
      <w:bookmarkStart w:id="115" w:name="_Toc16938542"/>
      <w:r/>
      <w:bookmarkEnd w:id="115"/>
      <w:r/>
      <w:bookmarkStart w:id="116" w:name="_Toc513029226"/>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7" w:name="_Toc16938543"/>
      <w:r/>
      <w:bookmarkStart w:id="118" w:name="_Toc20823299"/>
      <w:r/>
      <w:bookmarkStart w:id="119" w:name="_Toc513029227"/>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bookmarkEnd w:id="118"/>
      <w:r/>
      <w:bookmarkEnd w:id="119"/>
      <w:r>
        <w:rPr>
          <w:rFonts w:hint="eastAsia" w:ascii="宋体" w:hAnsi="宋体" w:eastAsia="宋体" w:cs="宋体"/>
          <w:b/>
          <w:bCs/>
          <w:sz w:val="24"/>
          <w:szCs w:val="24"/>
        </w:rPr>
        <w:t xml:space="preserve">的拒收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0" w:name="_Toc513029228"/>
      <w:r/>
      <w:bookmarkStart w:id="121" w:name="_Toc20823300"/>
      <w:r/>
      <w:bookmarkStart w:id="122" w:name="_Toc1693854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bookmarkEnd w:id="121"/>
      <w:r/>
      <w:bookmarkEnd w:id="12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21.2.2在投标截止时间之后，投标人不得对其电子投标文件作任何修改。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keepLines w:val="0"/>
        <w:keepNext w:val="0"/>
        <w:pageBreakBefore w:val="0"/>
        <w:spacing w:line="400" w:lineRule="exact"/>
        <w:widowControl w:val="off"/>
        <w:rPr>
          <w:rFonts w:hint="eastAsia" w:ascii="宋体" w:hAnsi="宋体" w:eastAsia="宋体" w:cs="宋体"/>
          <w:b/>
          <w:bCs/>
          <w:sz w:val="24"/>
          <w:szCs w:val="24"/>
        </w:rPr>
      </w:pPr>
      <w:r/>
      <w:bookmarkStart w:id="123" w:name="_Toc20823301"/>
      <w:r/>
      <w:bookmarkStart w:id="124" w:name="_Toc120614218"/>
      <w:r/>
      <w:bookmarkStart w:id="125" w:name="_Toc16938545"/>
      <w:r/>
      <w:bookmarkStart w:id="126" w:name="_Toc513029229"/>
      <w:r>
        <w:rPr>
          <w:rFonts w:hint="eastAsia" w:ascii="宋体" w:hAnsi="宋体" w:eastAsia="宋体" w:cs="宋体"/>
          <w:b/>
          <w:bCs/>
          <w:sz w:val="24"/>
          <w:szCs w:val="24"/>
        </w:rPr>
        <w:t xml:space="preserve">五、开标与评标</w:t>
      </w:r>
      <w:bookmarkEnd w:id="123"/>
      <w:r/>
      <w:bookmarkEnd w:id="124"/>
      <w:r/>
      <w:bookmarkEnd w:id="125"/>
      <w:r/>
      <w:bookmarkEnd w:id="12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7" w:name="_Toc16938546"/>
      <w:r/>
      <w:bookmarkStart w:id="128" w:name="_Toc513029230"/>
      <w:r/>
      <w:bookmarkStart w:id="129" w:name="_Toc20823302"/>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bookmarkEnd w:id="128"/>
      <w:r/>
      <w:bookmarkEnd w:id="12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0" w:name="_Toc16938547"/>
      <w:r/>
      <w:bookmarkStart w:id="131" w:name="_Toc20823303"/>
      <w:r/>
      <w:bookmarkStart w:id="132" w:name="_Toc513029231"/>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bookmarkEnd w:id="131"/>
      <w:r/>
      <w:bookmarkEnd w:id="13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24．评标过程的保密与公正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20823304"/>
      <w:r/>
      <w:bookmarkStart w:id="134" w:name="_Toc513029232"/>
      <w:r/>
      <w:bookmarkStart w:id="135" w:name="_Toc16938548"/>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25．投标文件的澄清</w:t>
      </w:r>
      <w:bookmarkEnd w:id="133"/>
      <w:r/>
      <w:bookmarkEnd w:id="134"/>
      <w:r/>
      <w:bookmarkEnd w:id="135"/>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6" w:name="_Toc513029233"/>
      <w:r/>
      <w:bookmarkStart w:id="137" w:name="_Toc16938549"/>
      <w:r/>
      <w:bookmarkStart w:id="138" w:name="_Toc20823305"/>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9" w:name="_Toc16938550"/>
      <w:r/>
      <w:bookmarkStart w:id="140" w:name="_Toc513029234"/>
      <w:r/>
      <w:bookmarkStart w:id="141" w:name="_Toc20823306"/>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42" w:name="_Toc16938551"/>
      <w:r/>
      <w:bookmarkStart w:id="143" w:name="_Toc513029235"/>
      <w:r/>
      <w:bookmarkStart w:id="144" w:name="_Toc20823307"/>
      <w:r>
        <w:rPr>
          <w:rFonts w:hint="eastAsia" w:ascii="宋体" w:hAnsi="宋体" w:eastAsia="宋体" w:cs="宋体"/>
          <w:sz w:val="24"/>
          <w:szCs w:val="24"/>
        </w:rPr>
        <w:t xml:space="preserve">27.1无效投标条款</w:t>
      </w:r>
      <w:bookmarkEnd w:id="142"/>
      <w:r/>
      <w:bookmarkEnd w:id="143"/>
      <w:r/>
      <w:bookmarkEnd w:id="1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27.1.1投标人在苏采云系统规定的时间内未成功解密电子投标文件的。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27.1.2投标人未按照招标文件要求上传电子投标文件的。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27.1.3同一投标人提交两个（含两个）以上不同的投标报价的。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27.1.4投标人不具备招标文件中规定资格要求的。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27.1.5投标人的报价超过了采购预算或最高限价的。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27.1.6未通过符合性审查的。</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bCs/>
          <w:i w:val="0"/>
          <w:iCs w:val="0"/>
          <w:sz w:val="24"/>
          <w:szCs w:val="24"/>
        </w:rPr>
        <w:t xml:space="preserve">27.1.7</w:t>
      </w:r>
      <w:r>
        <w:rPr>
          <w:rFonts w:hint="eastAsia" w:asciiTheme="minorEastAsia" w:hAnsiTheme="minorEastAsia" w:eastAsiaTheme="minorEastAsia" w:cs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Theme="minorEastAsia" w:hAnsiTheme="minorEastAsia" w:eastAsiaTheme="minorEastAsia" w:cstheme="minorEastAsia"/>
          <w:i w:val="0"/>
          <w:iCs w:val="0"/>
          <w:sz w:val="24"/>
          <w:szCs w:val="24"/>
          <w:u w:val="none"/>
          <w:lang w:eastAsia="zh-CN"/>
        </w:rPr>
        <w:t xml:space="preserve">★</w:t>
      </w:r>
      <w:r>
        <w:rPr>
          <w:rFonts w:hint="eastAsia" w:asciiTheme="minorEastAsia" w:hAnsiTheme="minorEastAsia" w:eastAsiaTheme="minorEastAsia" w:cstheme="minorEastAsia"/>
          <w:b/>
          <w:bCs/>
          <w:i w:val="0"/>
          <w:iCs w:val="0"/>
          <w:sz w:val="24"/>
          <w:szCs w:val="24"/>
          <w:lang w:val="en-US" w:eastAsia="zh-CN"/>
        </w:rPr>
        <w:t xml:space="preserve">”技术参数要求的；</w:t>
      </w:r>
      <w:r/>
    </w:p>
    <w:p>
      <w:pPr>
        <w:ind w:firstLine="482"/>
        <w:keepLines w:val="0"/>
        <w:keepNext w:val="0"/>
        <w:pageBreakBefore w:val="0"/>
        <w:spacing w:line="400" w:lineRule="exact"/>
        <w:widowControl w:val="off"/>
        <w:rPr>
          <w:rFonts w:hint="default"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27.2废标条款</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27.2.3因重大变故，采购任务取消的。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p>
    <w:p>
      <w:pPr>
        <w:ind w:firstLine="4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27.3投标截止时间结束后参加投标的供应商不足三家的处理：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5" w:name="_Toc120614219"/>
      <w:r>
        <w:rPr>
          <w:rFonts w:hint="eastAsia" w:ascii="宋体" w:hAnsi="宋体" w:eastAsia="宋体" w:cs="宋体"/>
          <w:b/>
          <w:bCs/>
          <w:sz w:val="24"/>
          <w:szCs w:val="24"/>
        </w:rPr>
        <w:t xml:space="preserve">六、定标</w:t>
      </w:r>
      <w:bookmarkEnd w:id="14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6" w:name="_Toc20823310"/>
      <w:r/>
      <w:bookmarkStart w:id="147" w:name="_Toc16938554"/>
      <w:r/>
      <w:bookmarkStart w:id="148" w:name="_Toc513029238"/>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bookmarkEnd w:id="148"/>
      <w:r>
        <w:rPr>
          <w:rFonts w:hint="eastAsia" w:ascii="宋体" w:hAnsi="宋体" w:eastAsia="宋体" w:cs="宋体"/>
          <w:b/>
          <w:bCs/>
          <w:sz w:val="24"/>
          <w:szCs w:val="24"/>
        </w:rPr>
        <w:t xml:space="preserve">中标单位</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28.1中标候选人的选取原则和数量见招标文件第五章规定。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28.4.4与采购人或者其他供应商恶意串通的。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0" w:name="_Toc16938552"/>
      <w:r/>
      <w:bookmarkStart w:id="151" w:name="_Toc513029236"/>
      <w:r/>
      <w:bookmarkStart w:id="152" w:name="_Toc20823308"/>
      <w:r/>
      <w:bookmarkStart w:id="153" w:name="_Toc120614220"/>
      <w:r>
        <w:rPr>
          <w:rFonts w:hint="eastAsia" w:ascii="宋体" w:hAnsi="宋体" w:eastAsia="宋体" w:cs="宋体"/>
          <w:b/>
          <w:bCs/>
          <w:sz w:val="24"/>
          <w:szCs w:val="24"/>
        </w:rPr>
        <w:t xml:space="preserve">七、授予合同</w:t>
      </w:r>
      <w:bookmarkEnd w:id="150"/>
      <w:r/>
      <w:bookmarkEnd w:id="151"/>
      <w:r/>
      <w:bookmarkEnd w:id="152"/>
      <w:r/>
      <w:bookmarkEnd w:id="153"/>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4" w:name="_Toc513029237"/>
      <w:r/>
      <w:bookmarkStart w:id="155" w:name="_Toc20823309"/>
      <w:r/>
      <w:bookmarkStart w:id="156" w:name="_Toc16938553"/>
      <w:r>
        <w:rPr>
          <w:rFonts w:hint="eastAsia" w:ascii="宋体" w:hAnsi="宋体" w:eastAsia="宋体" w:cs="宋体"/>
          <w:b/>
          <w:bCs/>
          <w:sz w:val="24"/>
          <w:szCs w:val="24"/>
        </w:rPr>
        <w:t xml:space="preserve">31.签订合同</w:t>
      </w:r>
      <w:bookmarkEnd w:id="154"/>
      <w:r/>
      <w:bookmarkEnd w:id="155"/>
      <w:r/>
      <w:bookmarkEnd w:id="15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33.政府采购政策功能落实</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33.2进口产品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33.3中小企业、监狱企业及残疾人福利性单位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33.4政府采购节能产品、环境标志产品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33.5绿色包装</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33.6政府采购创新产品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33.7绿色数据中心政策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33.8履约保证金政策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确需收取履约保证金的，履约保证金的缴纳形式：</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34.预付款制度</w:t>
      </w:r>
      <w:r/>
    </w:p>
    <w:p>
      <w:pPr>
        <w:ind w:firstLine="482"/>
        <w:keepLines w:val="0"/>
        <w:keepNext w:val="0"/>
        <w:pageBreakBefore w:val="0"/>
        <w:spacing w:line="400" w:lineRule="exact"/>
        <w:widowControl w:val="off"/>
        <w:rPr>
          <w:rFonts w:hint="eastAsia" w:ascii="宋体" w:hAnsi="宋体" w:cs="宋体"/>
          <w:b/>
          <w:sz w:val="48"/>
          <w:szCs w:val="48"/>
          <w:highlight w:val="none"/>
          <w:lang w:val="en-US" w:eastAsia="zh-CN"/>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bookmarkStart w:id="158" w:name="_Toc20823346"/>
      <w:r/>
      <w:bookmarkStart w:id="159" w:name="_Toc16938590"/>
      <w:r/>
      <w:bookmarkStart w:id="160" w:name="_Hlt16619350"/>
      <w:r/>
      <w:bookmarkStart w:id="161" w:name="_Toc120614244"/>
      <w:r/>
      <w:bookmarkStart w:id="162" w:name="_Toc462564139"/>
      <w:r/>
      <w:bookmarkStart w:id="163" w:name="_Hlt16619369"/>
      <w:r/>
      <w:r/>
    </w:p>
    <w:p>
      <w:pPr>
        <w:pStyle w:val="1417"/>
        <w:jc w:val="center"/>
        <w:spacing w:before="139" w:after="0" w:line="222" w:lineRule="auto"/>
        <w:widowControl/>
        <w:rPr>
          <w:rFonts w:hint="eastAsia" w:ascii="黑体" w:hAnsi="黑体" w:eastAsia="黑体" w:cs="黑体"/>
          <w:b/>
          <w:sz w:val="44"/>
          <w:szCs w:val="44"/>
          <w:highlight w:val="none"/>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项目名称：</w:t>
      </w:r>
      <w:r>
        <w:rPr>
          <w:rFonts w:hint="eastAsia" w:ascii="Times New Roman" w:eastAsia="宋体"/>
          <w:b/>
          <w:bCs/>
          <w:sz w:val="24"/>
          <w:szCs w:val="24"/>
          <w:lang w:val="en-US" w:eastAsia="zh-CN"/>
        </w:rPr>
        <w:t xml:space="preserve">滨海县中医院消毒供应中心设备采购项目</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项目编号：</w:t>
      </w:r>
      <w:r/>
    </w:p>
    <w:p>
      <w:pPr>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乙方：（卖方）_________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甲、乙双方根据</w:t>
      </w:r>
      <w:r>
        <w:rPr>
          <w:rFonts w:hint="eastAsia" w:ascii="Times New Roman" w:eastAsia="宋体"/>
          <w:b/>
          <w:bCs/>
          <w:sz w:val="24"/>
          <w:szCs w:val="24"/>
          <w:u w:val="single"/>
          <w:lang w:val="en-US" w:eastAsia="zh-CN"/>
        </w:rPr>
        <w:t xml:space="preserve">滨海县中医院消毒供应中心设备采购项目</w:t>
      </w:r>
      <w:r>
        <w:rPr>
          <w:rFonts w:hint="eastAsia" w:ascii="宋体" w:hAnsi="宋体" w:eastAsia="宋体" w:cs="宋体"/>
          <w:sz w:val="24"/>
          <w:szCs w:val="24"/>
          <w:lang w:val="en-US" w:eastAsia="en-US"/>
        </w:rPr>
        <w:t xml:space="preserve">公开招标的结果，签署本合同。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一、合同内容</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二、合同金额</w:t>
      </w:r>
      <w:r/>
    </w:p>
    <w:p>
      <w:pPr>
        <w:ind w:left="239" w:firstLine="24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p>
    <w:p>
      <w:pPr>
        <w:ind w:firstLine="480"/>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Theme="majorEastAsia" w:hAnsiTheme="majorEastAsia" w:eastAsiaTheme="majorEastAsia" w:cstheme="majorEastAsia"/>
          <w:b/>
          <w:bCs/>
          <w:sz w:val="24"/>
          <w:szCs w:val="24"/>
          <w:lang w:val="en-US" w:eastAsia="en-US"/>
        </w:rPr>
        <w:t xml:space="preserve">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p>
    <w:p>
      <w:pPr>
        <w:numPr>
          <w:ilvl w:val="0"/>
          <w:numId w:val="0"/>
        </w:num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四、知识产权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五、产权担保</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六、履约保证金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6.5履约保证金的退还：</w:t>
      </w:r>
      <w:r/>
    </w:p>
    <w:p>
      <w:pPr>
        <w:ind w:left="479" w:firstLine="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6.5.4不予退还情形：</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（2）乙方不履行与甲方订立的合同的；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（3）乙方所供货物或服务不符合招标文件规定要求的；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（4）乙方采取欺骗、弄虚作假方式投标的或与其它投标人串通投标的；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（5）乙方将合同内容转包、违法分包的；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（6）乙方故意捏造事实或伪造证明材料，进行虚假恶意投诉或反映的。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七、合同转包或分包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7.1乙方不得将合同标的转包给他人履行。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7.2乙方如有转包或未经甲方同意的分包行为，甲方有权解除合同。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八、质保期、免费保修期</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en-US"/>
        </w:rPr>
        <w:t xml:space="preserve">8.2免费质量保修期</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九、交货期、交货方式及交货地点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9.1交货期：_________（如是甲方原因可延期）</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9.2交货方式：_________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9.3交货地点：_________</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十、货款支付</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10.1付款方式：</w:t>
      </w:r>
      <w:r/>
    </w:p>
    <w:p>
      <w:pPr>
        <w:ind w:firstLine="482"/>
        <w:keepLines w:val="0"/>
        <w:keepNext w:val="0"/>
        <w:pageBreakBefore w:val="0"/>
        <w:spacing w:line="420" w:lineRule="exact"/>
        <w:widowControl w:val="off"/>
        <w:rPr>
          <w:rFonts w:hint="default" w:ascii="宋体" w:hAnsi="宋体" w:eastAsia="宋体" w:cs="宋体"/>
          <w:b/>
          <w:bCs/>
          <w:i/>
          <w:i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rPr>
        <w:t xml:space="preserve">并经盐城市卫健委组织专家现场评审验收,发放《消毒供应中心(室】合格证》后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w:t>
      </w:r>
      <w:r>
        <w:rPr>
          <w:rFonts w:hint="eastAsia" w:ascii="宋体" w:hAnsi="宋体" w:eastAsia="宋体" w:cs="宋体"/>
          <w:b/>
          <w:bCs/>
          <w:color w:val="ff0000"/>
          <w:sz w:val="24"/>
          <w:szCs w:val="24"/>
          <w:highlight w:val="none"/>
          <w:lang w:val="en-US" w:eastAsia="en-US"/>
        </w:rPr>
        <w:t xml:space="preserve">0%（含30%预付款）；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本项目整体验收合格、正式投入使用且收到甲方书面通知之日起每满一年支付2%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注：（1）按以上付款，乙方申请付款时须提供正式税务发票。</w:t>
      </w:r>
      <w:r/>
    </w:p>
    <w:p>
      <w:pPr>
        <w:ind w:firstLine="482"/>
        <w:keepLines w:val="0"/>
        <w:keepNext w:val="0"/>
        <w:pageBreakBefore w:val="0"/>
        <w:spacing w:line="440" w:lineRule="exact"/>
        <w:widowControl w:val="off"/>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十一、调试和验收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十二、货物包装、发运及运输</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12.2使用说明书、质量检验证明书、随配附件和工具以及清单一并附于货物内。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12.4货物在交付甲方前发生的风险均由乙方负责。</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十三、质量保证及售后服务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⑴更换：由乙方承担所发生的全部费用。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⑵贬值处理：由甲乙双方合议定价。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p>
    <w:p>
      <w:pPr>
        <w:numPr>
          <w:ilvl w:val="0"/>
          <w:numId w:val="0"/>
        </w:numPr>
        <w:ind w:firstLine="482"/>
        <w:jc w:val="both"/>
        <w:keepLines w:val="0"/>
        <w:keepNext w:val="0"/>
        <w:pageBreakBefore w:val="0"/>
        <w:spacing w:line="420" w:lineRule="exact"/>
        <w:widowControl/>
        <w:rPr>
          <w:rFonts w:hint="eastAsia" w:ascii="宋体" w:hAnsi="宋体" w:eastAsia="宋体" w:cs="宋体"/>
          <w:color w:val="ff0000"/>
          <w:sz w:val="24"/>
          <w:szCs w:val="24"/>
          <w:lang w:val="en-US" w:eastAsia="en-US"/>
        </w:rPr>
        <w:suppressLineNumbers w:val="0"/>
      </w:pPr>
      <w:r>
        <w:rPr>
          <w:rFonts w:hint="eastAsia" w:asciiTheme="minorEastAsia" w:hAnsiTheme="minorEastAsia" w:cstheme="minorEastAsia"/>
          <w:b/>
          <w:bCs/>
          <w:color w:val="ff0000"/>
          <w:sz w:val="24"/>
          <w:szCs w:val="24"/>
          <w:lang w:val="en-US" w:eastAsia="zh-CN"/>
        </w:rPr>
        <w:t xml:space="preserve">13.3乙方</w:t>
      </w:r>
      <w:r>
        <w:rPr>
          <w:rFonts w:hint="eastAsia" w:asciiTheme="minorEastAsia" w:hAnsiTheme="minorEastAsia" w:eastAsiaTheme="minorEastAsia" w:cstheme="minorEastAsia"/>
          <w:b/>
          <w:bCs/>
          <w:color w:val="ff0000"/>
          <w:sz w:val="24"/>
          <w:szCs w:val="24"/>
        </w:rPr>
        <w:t xml:space="preserve">须协助</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p>
    <w:p>
      <w:pPr>
        <w:numPr>
          <w:ilvl w:val="0"/>
          <w:numId w:val="0"/>
        </w:numPr>
        <w:ind w:firstLine="480"/>
        <w:jc w:val="both"/>
        <w:keepLines w:val="0"/>
        <w:keepNext w:val="0"/>
        <w:pageBreakBefore w:val="0"/>
        <w:spacing w:line="420" w:lineRule="exact"/>
        <w:widowControl/>
        <w:rPr>
          <w:rFonts w:hint="eastAsia" w:asciiTheme="majorEastAsia" w:hAnsiTheme="majorEastAsia" w:eastAsiaTheme="majorEastAsia" w:cstheme="majorEastAsia"/>
          <w:sz w:val="24"/>
          <w:szCs w:val="24"/>
          <w:lang w:eastAsia="zh-CN"/>
        </w:rPr>
        <w:suppressLineNumbers w:val="0"/>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提供7×24小时不间断技术咨询与故障报修服务。</w:t>
      </w:r>
      <w:r>
        <w:rPr>
          <w:rFonts w:hint="eastAsia" w:asciiTheme="majorEastAsia" w:hAnsiTheme="majorEastAsia" w:eastAsiaTheme="majorEastAsia" w:cstheme="majorEastAsia"/>
          <w:sz w:val="24"/>
          <w:szCs w:val="24"/>
          <w:lang w:val="en-US" w:eastAsia="zh-CN"/>
        </w:rPr>
        <w:t xml:space="preserve">甲方发起设备故障报修通知后，乙方须在2小时内完成远程响应及故障排查；无法通过远程解决的故障，</w:t>
      </w:r>
      <w:r>
        <w:rPr>
          <w:rFonts w:hint="eastAsia" w:asciiTheme="majorEastAsia" w:hAnsiTheme="majorEastAsia" w:eastAsiaTheme="majorEastAsia" w:cstheme="majorEastAsia"/>
          <w:sz w:val="24"/>
          <w:szCs w:val="24"/>
        </w:rPr>
        <w:t xml:space="preserve">12小时内</w:t>
      </w:r>
      <w:r>
        <w:rPr>
          <w:rFonts w:hint="eastAsia" w:asciiTheme="majorEastAsia" w:hAnsiTheme="majorEastAsia" w:eastAsiaTheme="majorEastAsia" w:cstheme="majorEastAsia"/>
          <w:sz w:val="24"/>
          <w:szCs w:val="24"/>
          <w:lang w:val="en-US" w:eastAsia="zh-CN"/>
        </w:rPr>
        <w:t xml:space="preserve">安排</w:t>
      </w:r>
      <w:r>
        <w:rPr>
          <w:rFonts w:hint="eastAsia" w:asciiTheme="majorEastAsia" w:hAnsiTheme="majorEastAsia" w:eastAsiaTheme="majorEastAsia" w:cstheme="majorEastAsia"/>
          <w:sz w:val="24"/>
          <w:szCs w:val="24"/>
        </w:rPr>
        <w:t xml:space="preserve">工程师到达现场处置，24小时内完成故障修复</w:t>
      </w:r>
      <w:r>
        <w:rPr>
          <w:rFonts w:hint="eastAsia" w:asciiTheme="majorEastAsia" w:hAnsiTheme="majorEastAsia" w:eastAsiaTheme="majorEastAsia" w:cstheme="majorEastAsia"/>
          <w:sz w:val="24"/>
          <w:szCs w:val="24"/>
          <w:lang w:val="en-US" w:eastAsia="zh-CN"/>
        </w:rPr>
        <w:t xml:space="preserve">并恢复设备正常使用；若乙方</w:t>
      </w:r>
      <w:r>
        <w:rPr>
          <w:rFonts w:hint="eastAsia" w:asciiTheme="majorEastAsia" w:hAnsiTheme="majorEastAsia" w:eastAsiaTheme="majorEastAsia" w:cstheme="majorEastAsia"/>
          <w:sz w:val="24"/>
          <w:szCs w:val="24"/>
        </w:rPr>
        <w:t xml:space="preserve">在接到报修后48小时内仍未完成有效修复的，</w:t>
      </w:r>
      <w:r>
        <w:rPr>
          <w:rFonts w:hint="eastAsia" w:asciiTheme="majorEastAsia" w:hAnsiTheme="majorEastAsia" w:eastAsiaTheme="majorEastAsia" w:cstheme="majorEastAsia"/>
          <w:sz w:val="24"/>
          <w:szCs w:val="24"/>
          <w:lang w:val="en-US" w:eastAsia="zh-CN"/>
        </w:rPr>
        <w:t xml:space="preserve">甲方有权另行委托具备资质的第三方机构开展维修</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由此产生的维修费用、耗材费用、人工差旅费全部由乙方承担，</w:t>
      </w:r>
      <w:r>
        <w:rPr>
          <w:rFonts w:hint="eastAsia" w:asciiTheme="majorEastAsia" w:hAnsiTheme="majorEastAsia" w:eastAsiaTheme="majorEastAsia" w:cstheme="majorEastAsia"/>
          <w:sz w:val="24"/>
          <w:szCs w:val="24"/>
        </w:rPr>
        <w:t xml:space="preserve">在</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余款中直接扣除</w:t>
      </w:r>
      <w:r>
        <w:rPr>
          <w:rFonts w:hint="eastAsia" w:asciiTheme="majorEastAsia" w:hAnsiTheme="majorEastAsia" w:eastAsiaTheme="majorEastAsia" w:cstheme="majorEastAsia"/>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在质保期内，乙方应对货物出现的质量及安全问题负责处理解决并承担一切费用。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十四、违约责任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bookmarkStart w:id="164" w:name="bookmark10"/>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ind w:firstLine="482"/>
        <w:keepLines w:val="0"/>
        <w:keepNext w:val="0"/>
        <w:pageBreakBefore w:val="0"/>
        <w:spacing w:line="420" w:lineRule="exact"/>
        <w:widowControl w:val="off"/>
        <w:rPr>
          <w:rFonts w:hint="default" w:ascii="宋体" w:hAnsi="宋体" w:eastAsia="宋体" w:cs="宋体"/>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14.5乙方</w:t>
      </w:r>
      <w:r>
        <w:rPr>
          <w:rFonts w:hint="eastAsia" w:asciiTheme="minorEastAsia" w:hAnsiTheme="minorEastAsia" w:eastAsiaTheme="minorEastAsia" w:cstheme="minorEastAsia"/>
          <w:b/>
          <w:bCs/>
          <w:color w:val="ff0000"/>
          <w:sz w:val="24"/>
          <w:szCs w:val="24"/>
        </w:rPr>
        <w:t xml:space="preserve">须</w:t>
      </w:r>
      <w:r>
        <w:rPr>
          <w:rFonts w:hint="eastAsia" w:asciiTheme="minorEastAsia" w:hAnsiTheme="minorEastAsia" w:eastAsiaTheme="minorEastAsia" w:cstheme="minorEastAsia"/>
          <w:b/>
          <w:bCs/>
          <w:color w:val="ff0000"/>
          <w:sz w:val="24"/>
          <w:szCs w:val="24"/>
          <w:lang w:val="en-US" w:eastAsia="zh-CN"/>
        </w:rPr>
        <w:t xml:space="preserve">免费</w:t>
      </w:r>
      <w:r>
        <w:rPr>
          <w:rFonts w:hint="eastAsia" w:asciiTheme="minorEastAsia" w:hAnsiTheme="minorEastAsia" w:eastAsiaTheme="minorEastAsia" w:cstheme="minorEastAsia"/>
          <w:b/>
          <w:bCs/>
          <w:color w:val="ff0000"/>
          <w:sz w:val="24"/>
          <w:szCs w:val="24"/>
        </w:rPr>
        <w:t xml:space="preserve">协助</w:t>
      </w:r>
      <w:r>
        <w:rPr>
          <w:rFonts w:hint="eastAsia" w:asciiTheme="minorEastAsia" w:hAnsiTheme="minorEastAsia" w:eastAsia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eastAsia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eastAsia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eastAsia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eastAsia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rPr>
          <w:rFonts w:hint="eastAsia" w:asciiTheme="minorEastAsia" w:hAnsiTheme="minorEastAsia" w:eastAsiaTheme="minorEastAsia" w:cstheme="minorEastAsia"/>
          <w:b/>
          <w:bCs/>
          <w:color w:val="ff0000"/>
          <w:sz w:val="24"/>
          <w:szCs w:val="24"/>
          <w:lang w:eastAsia="zh-CN"/>
        </w:rPr>
        <w:t xml:space="preserve">，</w:t>
      </w:r>
      <w:r>
        <w:rPr>
          <w:rFonts w:hint="eastAsia" w:asciiTheme="minorEastAsia" w:hAnsiTheme="minorEastAsia" w:eastAsiaTheme="minorEastAsia" w:cstheme="minorEastAsia"/>
          <w:b/>
          <w:bCs/>
          <w:color w:val="ff0000"/>
          <w:sz w:val="24"/>
          <w:szCs w:val="24"/>
          <w:lang w:val="en-US" w:eastAsia="zh-CN"/>
        </w:rPr>
        <w:t xml:space="preserve">否则甲方有权对乙方进行处罚，按合同总金额的每日</w:t>
      </w:r>
      <w:r>
        <w:rPr>
          <w:rFonts w:hint="eastAsia" w:asciiTheme="minorEastAsia" w:hAnsiTheme="minorEastAsia" w:eastAsiaTheme="minorEastAsia" w:cstheme="minorEastAsia"/>
          <w:b/>
          <w:bCs/>
          <w:color w:val="ff0000"/>
          <w:sz w:val="24"/>
          <w:szCs w:val="24"/>
          <w:lang w:val="en-US" w:eastAsia="en-US"/>
        </w:rPr>
        <w:t xml:space="preserve">万分之五</w:t>
      </w:r>
      <w:r>
        <w:rPr>
          <w:rFonts w:hint="eastAsia" w:asciiTheme="minorEastAsia" w:hAnsiTheme="minorEastAsia" w:eastAsiaTheme="minorEastAsia" w:cstheme="minorEastAsia"/>
          <w:b/>
          <w:bCs/>
          <w:color w:val="ff0000"/>
          <w:sz w:val="24"/>
          <w:szCs w:val="24"/>
          <w:lang w:val="en-US" w:eastAsia="zh-CN"/>
        </w:rPr>
        <w:t xml:space="preserve">进行扣款。</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14.6乙方在产品质保期内存在维修质量、服务问题的，</w:t>
      </w:r>
      <w:r>
        <w:rPr>
          <w:rFonts w:hint="eastAsia" w:asciiTheme="minorEastAsia" w:hAnsiTheme="minorEastAsia" w:cstheme="minorEastAsia"/>
          <w:b/>
          <w:bCs/>
          <w:color w:val="ff0000"/>
          <w:sz w:val="24"/>
          <w:szCs w:val="24"/>
          <w:lang w:val="en-US" w:eastAsia="zh-CN"/>
        </w:rPr>
        <w:t xml:space="preserve">每次</w:t>
      </w:r>
      <w:r>
        <w:rPr>
          <w:rFonts w:hint="eastAsia" w:asciiTheme="majorEastAsia" w:hAnsiTheme="majorEastAsia" w:eastAsiaTheme="majorEastAsia" w:cstheme="majorEastAsia"/>
          <w:b/>
          <w:bCs/>
          <w:color w:val="ff0000"/>
          <w:sz w:val="24"/>
          <w:szCs w:val="24"/>
          <w:highlight w:val="none"/>
          <w:lang w:val="en-US" w:eastAsia="zh-CN"/>
        </w:rPr>
        <w:t xml:space="preserve">按</w:t>
      </w:r>
      <w:r>
        <w:rPr>
          <w:rFonts w:hint="eastAsia" w:asciiTheme="minorEastAsia" w:hAnsiTheme="minorEastAsia" w:cstheme="minorEastAsia"/>
          <w:b/>
          <w:bCs/>
          <w:color w:val="ff0000"/>
          <w:sz w:val="24"/>
          <w:szCs w:val="24"/>
          <w:lang w:val="en-US" w:eastAsia="zh-CN"/>
        </w:rPr>
        <w:t xml:space="preserve">5000元在</w:t>
      </w:r>
      <w:r>
        <w:rPr>
          <w:rFonts w:hint="eastAsia" w:asciiTheme="minorEastAsia" w:hAnsiTheme="minorEastAsia" w:eastAsiaTheme="minorEastAsia" w:cstheme="minorEastAsia"/>
          <w:b/>
          <w:bCs/>
          <w:color w:val="ff0000"/>
          <w:sz w:val="24"/>
          <w:szCs w:val="24"/>
          <w:lang w:val="en-US" w:eastAsia="zh-CN"/>
        </w:rPr>
        <w:t xml:space="preserve">合同总金额进行扣款</w:t>
      </w:r>
      <w:r>
        <w:rPr>
          <w:rFonts w:hint="eastAsia" w:asciiTheme="minorEastAsia" w:hAnsiTheme="minorEastAsia" w:cstheme="minorEastAsia"/>
          <w:b/>
          <w:bCs/>
          <w:color w:val="ff0000"/>
          <w:sz w:val="24"/>
          <w:szCs w:val="24"/>
          <w:lang w:val="en-US" w:eastAsia="zh-CN"/>
        </w:rPr>
        <w:t xml:space="preserve">。</w:t>
      </w:r>
      <w:r/>
    </w:p>
    <w:p>
      <w:pPr>
        <w:ind w:firstLine="482"/>
        <w:keepLines w:val="0"/>
        <w:keepNext w:val="0"/>
        <w:pageBreakBefore w:val="0"/>
        <w:spacing w:line="420" w:lineRule="exact"/>
        <w:widowControl w:val="off"/>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十五、安全责任：</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zh-CN"/>
        </w:rPr>
        <w:t xml:space="preserve"> 本项目</w:t>
      </w:r>
      <w:r>
        <w:rPr>
          <w:rFonts w:hint="eastAsia" w:asciiTheme="minorEastAsia" w:hAnsiTheme="minorEastAsia" w:cstheme="minorEastAsia"/>
          <w:b/>
          <w:bCs/>
          <w:sz w:val="24"/>
          <w:szCs w:val="24"/>
          <w:lang w:val="en-US" w:eastAsia="zh-CN"/>
        </w:rPr>
        <w:t xml:space="preserve">设备交货安装期间</w:t>
      </w:r>
      <w:r>
        <w:rPr>
          <w:rFonts w:hint="eastAsia" w:asciiTheme="minorEastAsia" w:hAnsiTheme="minorEastAsia" w:eastAsiaTheme="minorEastAsia" w:cstheme="minorEastAsia"/>
          <w:b/>
          <w:bCs/>
          <w:sz w:val="24"/>
          <w:szCs w:val="24"/>
          <w:lang w:val="en-US" w:eastAsia="zh-CN"/>
        </w:rPr>
        <w:t xml:space="preserve">内，乙方所有进入</w:t>
      </w:r>
      <w:r>
        <w:rPr>
          <w:rFonts w:hint="eastAsia" w:eastAsiaTheme="minorEastAsia"/>
          <w:b/>
          <w:bCs/>
          <w:sz w:val="24"/>
          <w:szCs w:val="24"/>
          <w:lang w:eastAsia="en-US"/>
        </w:rPr>
        <w:t xml:space="preserve">滨海县中医院阜东院区</w:t>
      </w:r>
      <w:r>
        <w:rPr>
          <w:rFonts w:hint="eastAsia" w:asciiTheme="minorEastAsia" w:hAnsiTheme="minorEastAsia" w:cstheme="minorEastAsia"/>
          <w:b/>
          <w:bCs/>
          <w:sz w:val="24"/>
          <w:szCs w:val="24"/>
          <w:lang w:val="en-US" w:eastAsia="zh-CN"/>
        </w:rPr>
        <w:t xml:space="preserve">工程场地</w:t>
      </w:r>
      <w:r>
        <w:rPr>
          <w:rFonts w:hint="eastAsia" w:asciiTheme="minorEastAsia" w:hAnsiTheme="minorEastAsia" w:eastAsiaTheme="minorEastAsia" w:cstheme="minorEastAsia"/>
          <w:b/>
          <w:bCs/>
          <w:sz w:val="24"/>
          <w:szCs w:val="24"/>
          <w:lang w:val="en-US" w:eastAsia="zh-CN"/>
        </w:rPr>
        <w:t xml:space="preserve">的人员</w:t>
      </w:r>
      <w:r>
        <w:rPr>
          <w:rFonts w:hint="eastAsia" w:asciiTheme="minorEastAsia" w:hAnsiTheme="minorEastAsia" w:cstheme="minorEastAsia"/>
          <w:b/>
          <w:bCs/>
          <w:sz w:val="24"/>
          <w:szCs w:val="24"/>
          <w:lang w:val="en-US" w:eastAsia="zh-CN"/>
        </w:rPr>
        <w:t xml:space="preserve">和机械设备，</w:t>
      </w:r>
      <w:r>
        <w:rPr>
          <w:rFonts w:hint="eastAsia" w:asciiTheme="minorEastAsia" w:hAnsiTheme="minorEastAsia" w:eastAsiaTheme="minorEastAsia" w:cstheme="minorEastAsia"/>
          <w:b/>
          <w:bCs/>
          <w:sz w:val="24"/>
          <w:szCs w:val="24"/>
          <w:lang w:val="en-US" w:eastAsia="zh-CN"/>
        </w:rPr>
        <w:t xml:space="preserve">在设备卸货、搬运、</w:t>
      </w:r>
      <w:r>
        <w:rPr>
          <w:rFonts w:hint="eastAsia" w:asciiTheme="minorEastAsia" w:hAnsiTheme="minorEastAsia" w:cstheme="minorEastAsia"/>
          <w:b/>
          <w:bCs/>
          <w:sz w:val="24"/>
          <w:szCs w:val="24"/>
          <w:lang w:val="en-US" w:eastAsia="zh-CN"/>
        </w:rPr>
        <w:t xml:space="preserve">设备</w:t>
      </w:r>
      <w:r>
        <w:rPr>
          <w:rFonts w:hint="eastAsia" w:asciiTheme="minorEastAsia" w:hAnsiTheme="minorEastAsia" w:eastAsiaTheme="minorEastAsia" w:cstheme="minorEastAsia"/>
          <w:b/>
          <w:bCs/>
          <w:sz w:val="24"/>
          <w:szCs w:val="24"/>
          <w:lang w:val="en-US" w:eastAsia="zh-CN"/>
        </w:rPr>
        <w:t xml:space="preserve">安装调试中</w:t>
      </w:r>
      <w:r>
        <w:rPr>
          <w:rFonts w:hint="eastAsia" w:asciiTheme="minorEastAsia" w:hAnsiTheme="minorEastAsia" w:eastAsiaTheme="minorEastAsia" w:cstheme="minorEastAsia"/>
          <w:b/>
          <w:bCs/>
          <w:sz w:val="24"/>
          <w:szCs w:val="24"/>
        </w:rPr>
        <w:t xml:space="preserve">安全、文明施工</w:t>
      </w:r>
      <w:r>
        <w:rPr>
          <w:rFonts w:hint="eastAsia" w:asciiTheme="minorEastAsia" w:hAnsiTheme="minorEastAsia" w:cstheme="minorEastAsia"/>
          <w:b/>
          <w:bCs/>
          <w:sz w:val="24"/>
          <w:szCs w:val="24"/>
          <w:lang w:val="en-US" w:eastAsia="zh-CN"/>
        </w:rPr>
        <w:t xml:space="preserve">及成品保护（包括工程成品保护及所有设备产品的成品保护）等均</w:t>
      </w:r>
      <w:r>
        <w:rPr>
          <w:rFonts w:hint="eastAsia" w:asciiTheme="minorEastAsia" w:hAnsiTheme="minorEastAsia" w:eastAsiaTheme="minorEastAsia" w:cstheme="minorEastAsia"/>
          <w:b/>
          <w:bCs/>
          <w:sz w:val="24"/>
          <w:szCs w:val="24"/>
        </w:rPr>
        <w:t xml:space="preserve">由乙方</w:t>
      </w:r>
      <w:r>
        <w:rPr>
          <w:rFonts w:hint="eastAsia" w:asciiTheme="minorEastAsia" w:hAnsiTheme="minorEastAsia" w:cstheme="minorEastAsia"/>
          <w:b/>
          <w:bCs/>
          <w:sz w:val="24"/>
          <w:szCs w:val="24"/>
          <w:lang w:val="en-US" w:eastAsia="zh-CN"/>
        </w:rPr>
        <w:t xml:space="preserve">自行</w:t>
      </w:r>
      <w:r>
        <w:rPr>
          <w:rFonts w:hint="eastAsia" w:asciiTheme="minorEastAsia" w:hAnsiTheme="minorEastAsia" w:eastAsiaTheme="minorEastAsia" w:cstheme="minorEastAsia"/>
          <w:b/>
          <w:bCs/>
          <w:sz w:val="24"/>
          <w:szCs w:val="24"/>
        </w:rPr>
        <w:t xml:space="preserve">负责，乙方应加强安全管理，严格执行安全管理规范,发生安全事故造成人员伤害及死亡事故,由乙方</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负责,</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费用由乙方自理，与</w:t>
      </w:r>
      <w:r>
        <w:rPr>
          <w:rFonts w:hint="eastAsia" w:asciiTheme="minorEastAsia" w:hAnsiTheme="minorEastAsia" w:eastAsiaTheme="minorEastAsia" w:cstheme="minorEastAsia"/>
          <w:b/>
          <w:bCs/>
          <w:sz w:val="24"/>
          <w:szCs w:val="24"/>
          <w:lang w:val="en-US" w:eastAsia="zh-CN"/>
        </w:rPr>
        <w:t xml:space="preserve">甲方</w:t>
      </w:r>
      <w:r>
        <w:rPr>
          <w:rFonts w:hint="eastAsia" w:asciiTheme="minorEastAsia" w:hAnsiTheme="minorEastAsia" w:eastAsiaTheme="minorEastAsia" w:cstheme="minorEastAsia"/>
          <w:b/>
          <w:bCs/>
          <w:sz w:val="24"/>
          <w:szCs w:val="24"/>
        </w:rPr>
        <w:t xml:space="preserve">无关。</w:t>
      </w:r>
      <w:r/>
    </w:p>
    <w:p>
      <w:pPr>
        <w:ind w:firstLine="482"/>
        <w:keepLines w:val="0"/>
        <w:keepNext w:val="0"/>
        <w:pageBreakBefore w:val="0"/>
        <w:spacing w:line="420" w:lineRule="exact"/>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 xml:space="preserve">本项目</w:t>
      </w:r>
      <w:r>
        <w:rPr>
          <w:rFonts w:hint="eastAsia" w:ascii="Times New Roman" w:hAnsi="Times New Roman" w:eastAsia="宋体" w:cs="Times New Roman"/>
          <w:b/>
          <w:bCs/>
          <w:sz w:val="24"/>
          <w:szCs w:val="24"/>
          <w:lang w:val="en-US" w:eastAsia="zh-CN"/>
        </w:rPr>
        <w:t xml:space="preserve">合同履约期限（含设备质保期）内，如乙方原因造成的安全事故，而产生的一切安全责任及经济损失由乙方全部承担，甲方不承担任何责任及经济赔偿。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p>
    <w:p>
      <w:pPr>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right"/>
        <w:keepLines w:val="0"/>
        <w:keepNext w:val="0"/>
        <w:pageBreakBefore w:val="0"/>
        <w:spacing w:line="420" w:lineRule="exact"/>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签订日期：年月日</w:t>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42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b/>
          <w:bCs/>
          <w:sz w:val="24"/>
          <w:szCs w:val="24"/>
          <w:highlight w:val="none"/>
        </w:rPr>
      </w:pPr>
      <w:r/>
      <w:bookmarkStart w:id="165" w:name="_Toc49090575"/>
      <w:r/>
      <w:bookmarkStart w:id="166" w:name="_Toc26554093"/>
      <w:r>
        <w:rPr>
          <w:rFonts w:hint="eastAsia"/>
          <w:b/>
          <w:bCs/>
          <w:sz w:val="24"/>
          <w:szCs w:val="24"/>
          <w:highlight w:val="none"/>
        </w:rPr>
        <w:t xml:space="preserve">项目属性:货物类项目。</w:t>
      </w:r>
      <w:bookmarkEnd w:id="165"/>
      <w:r/>
      <w:bookmarkEnd w:id="166"/>
      <w:r/>
      <w:r/>
    </w:p>
    <w:p>
      <w:pPr>
        <w:keepLines w:val="0"/>
        <w:keepNext w:val="0"/>
        <w:pageBreakBefore w:val="0"/>
        <w:spacing w:line="440" w:lineRule="exact"/>
        <w:rPr>
          <w:rFonts w:hint="eastAsia" w:eastAsiaTheme="minorEastAsia"/>
          <w:b/>
          <w:bCs/>
          <w:sz w:val="24"/>
          <w:szCs w:val="24"/>
          <w:highlight w:val="none"/>
          <w:u w:val="none"/>
          <w:lang w:eastAsia="zh-CN"/>
        </w:rPr>
      </w:pPr>
      <w:r>
        <w:rPr>
          <w:rFonts w:hint="eastAsia"/>
          <w:b/>
          <w:bCs/>
          <w:sz w:val="24"/>
          <w:szCs w:val="24"/>
          <w:highlight w:val="none"/>
        </w:rPr>
        <w:t xml:space="preserve">采购标的所属行业</w:t>
      </w:r>
      <w:r>
        <w:rPr>
          <w:rFonts w:hint="eastAsia"/>
          <w:b/>
          <w:bCs/>
          <w:sz w:val="24"/>
          <w:szCs w:val="24"/>
          <w:highlight w:val="none"/>
          <w:lang w:eastAsia="zh-CN"/>
        </w:rPr>
        <w:t xml:space="preserve">：</w:t>
      </w:r>
      <w:r>
        <w:rPr>
          <w:rFonts w:hint="eastAsia"/>
          <w:b/>
          <w:bCs/>
          <w:sz w:val="24"/>
          <w:szCs w:val="24"/>
          <w:highlight w:val="none"/>
          <w:u w:val="single"/>
          <w:lang w:val="en-US" w:eastAsia="zh-CN"/>
        </w:rPr>
        <w:t xml:space="preserve">工</w:t>
      </w:r>
      <w:r>
        <w:rPr>
          <w:rFonts w:hint="eastAsia"/>
          <w:b/>
          <w:bCs/>
          <w:sz w:val="24"/>
          <w:szCs w:val="24"/>
          <w:highlight w:val="none"/>
          <w:u w:val="single"/>
        </w:rPr>
        <w:t xml:space="preserve">业</w:t>
      </w:r>
      <w:r>
        <w:rPr>
          <w:rFonts w:hint="eastAsia"/>
          <w:b/>
          <w:bCs/>
          <w:sz w:val="24"/>
          <w:szCs w:val="24"/>
          <w:highlight w:val="none"/>
          <w:u w:val="none"/>
          <w:lang w:eastAsia="zh-CN"/>
        </w:rPr>
        <w:t xml:space="preserve">。</w:t>
      </w:r>
      <w:r/>
    </w:p>
    <w:p>
      <w:pPr>
        <w:jc w:val="both"/>
        <w:keepLines w:val="0"/>
        <w:keepNext w:val="0"/>
        <w:pageBreakBefore w:val="0"/>
        <w:spacing w:line="440" w:lineRule="exact"/>
        <w:widowControl/>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一、本次采购设备清单：</w:t>
      </w:r>
      <w:r/>
    </w:p>
    <w:tbl>
      <w:tblPr>
        <w:tblStyle w:val="1436"/>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p>
        </w:tc>
        <w:tc>
          <w:tcPr>
            <w:tcW w:w="114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rFonts w:hint="eastAsia"/>
                <w:b/>
                <w:bCs/>
                <w:sz w:val="24"/>
                <w:szCs w:val="24"/>
                <w:highlight w:val="none"/>
                <w:lang w:val="en-US" w:eastAsia="zh-CN"/>
              </w:rPr>
              <w:t xml:space="preserve">计量</w:t>
            </w:r>
            <w:r>
              <w:rPr>
                <w:b/>
                <w:bCs/>
                <w:sz w:val="24"/>
                <w:szCs w:val="24"/>
                <w:highlight w:val="none"/>
                <w:lang w:val="en-US" w:eastAsia="en-US"/>
              </w:rPr>
              <w:t xml:space="preserve">单位</w:t>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t xml:space="preserve">数量</w:t>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备注</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tcW w:w="3323"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w:t>
            </w:r>
            <w:r/>
          </w:p>
        </w:tc>
        <w:tc>
          <w:tcPr>
            <w:tcW w:w="114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eastAsia="zh-CN"/>
              </w:rPr>
              <w:t xml:space="preserve">脉动真空灭菌器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b/>
                <w:bCs/>
                <w:sz w:val="24"/>
                <w:szCs w:val="24"/>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（配备主机1台、标准负载架1个、推车2个、篮筐15只）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（配备可升降防护罩1套、蒸汽清洗机1套、超声波清洗机1套、煮沸消毒机1套）</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（配备槽盖2个、清洗槽5个）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（配备主机1台、进水管1条、排水管1个、七件套快插头1套、养护油1瓶、干洗油1瓶、纤维布1个、双线卡箍1个、扳手1个、气管接头2个、打印纸1卷）</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908"/>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（非高低温通用，配备主机1套、≤60分钟极速低温甲醛生物阅读器）</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蒸汽发生器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636"/>
        </w:trPr>
        <w:tc>
          <w:tcPr>
            <w:tcW w:w="781" w:type="dxa"/>
            <w:vAlign w:val="center"/>
            <w:textDirection w:val="lrTb"/>
            <w:noWrap w:val="false"/>
          </w:tcPr>
          <w:p>
            <w:pPr>
              <w:jc w:val="center"/>
              <w:keepLines w:val="0"/>
              <w:keepNext w:val="0"/>
              <w:pageBreakBefore w:val="0"/>
              <w:spacing w:line="440" w:lineRule="exact"/>
              <w:rPr>
                <w:rFonts w:hint="eastAsia"/>
                <w:b/>
                <w:bCs/>
                <w:sz w:val="24"/>
                <w:szCs w:val="24"/>
                <w:lang w:val="en-US" w:eastAsia="zh-CN"/>
              </w:rPr>
            </w:pPr>
            <w:r>
              <w:rPr>
                <w:rFonts w:hint="eastAsia"/>
                <w:b/>
                <w:bCs/>
                <w:sz w:val="24"/>
                <w:szCs w:val="24"/>
                <w:lang w:val="en-US" w:eastAsia="zh-CN"/>
              </w:rPr>
              <w:t xml:space="preserve">二</w:t>
            </w:r>
            <w:r/>
          </w:p>
        </w:tc>
        <w:tc>
          <w:tcPr>
            <w:tcW w:w="3323" w:type="dxa"/>
            <w:vAlign w:val="center"/>
            <w:textDirection w:val="lrTb"/>
            <w:noWrap w:val="false"/>
          </w:tcPr>
          <w:p>
            <w:pPr>
              <w:jc w:val="center"/>
              <w:keepLines w:val="0"/>
              <w:keepNext w:val="0"/>
              <w:pageBreakBefore w:val="0"/>
              <w:spacing w:line="440" w:lineRule="exact"/>
              <w:rPr>
                <w:rFonts w:hint="default"/>
                <w:b/>
                <w:bCs/>
                <w:sz w:val="24"/>
                <w:szCs w:val="24"/>
                <w:lang w:val="en-US" w:eastAsia="zh-CN"/>
              </w:rPr>
            </w:pPr>
            <w:r>
              <w:rPr>
                <w:rFonts w:hint="eastAsia"/>
                <w:b/>
                <w:bCs/>
                <w:sz w:val="24"/>
                <w:szCs w:val="24"/>
              </w:rPr>
              <w:t xml:space="preserve">消毒供应中心</w:t>
            </w:r>
            <w:r>
              <w:rPr>
                <w:rFonts w:hint="eastAsia"/>
                <w:b/>
                <w:bCs/>
                <w:sz w:val="24"/>
                <w:szCs w:val="24"/>
                <w:lang w:val="en-US" w:eastAsia="zh-CN"/>
              </w:rPr>
              <w:t xml:space="preserve">附件产品</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415"/>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themeColor="text1"/>
                <w:sz w:val="24"/>
                <w:szCs w:val="24"/>
                <w:highlight w:val="none"/>
                <w:lang w:eastAsia="en-US"/>
                <w14:textFill>
                  <w14:solidFill>
                    <w14:schemeClr w14:val="tx1"/>
                  </w14:solidFill>
                </w14:textFill>
              </w:rPr>
            </w:pPr>
            <w:r>
              <w:rPr>
                <w:rFonts w:ascii="Arial" w:hAnsi="Arial" w:eastAsia="Arial" w:cs="Arial"/>
                <w:b/>
                <w:bCs/>
                <w:color w:val="000000" w:themeColor="text1"/>
                <w:sz w:val="24"/>
                <w:szCs w:val="24"/>
                <w:highlight w:val="none"/>
                <w:lang w:eastAsia="en-US"/>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default" w:ascii="Arial" w:hAnsi="Arial" w:eastAsia="Arial" w:cs="Arial"/>
                <w:b/>
                <w:bCs/>
                <w:color w:val="000000"/>
                <w:sz w:val="24"/>
                <w:szCs w:val="24"/>
                <w:highlight w:val="none"/>
                <w:lang w:val="en-US" w:eastAsia="en-US"/>
              </w:rPr>
            </w:pPr>
            <w:r>
              <w:rPr>
                <w:rFonts w:hint="default" w:ascii="Arial" w:hAnsi="Arial" w:eastAsia="Arial" w:cs="Arial"/>
                <w:b/>
                <w:bCs/>
                <w:color w:val="000000"/>
                <w:sz w:val="24"/>
                <w:szCs w:val="24"/>
                <w:highlight w:val="none"/>
                <w:lang w:val="en-US"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气枪</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90"/>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（高温）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（低温）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29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hint="eastAsia" w:ascii="方正楷体_GB2312" w:hAnsi="方正楷体_GB2312" w:eastAsia="方正楷体_GB2312" w:cs="方正楷体_GB2312"/>
                <w:b w:val="0"/>
                <w:bCs w:val="0"/>
                <w:sz w:val="32"/>
                <w:szCs w:val="32"/>
                <w:u w:val="none"/>
                <w:lang w:val="en-US" w:eastAsia="zh-CN"/>
              </w:rPr>
            </w:pPr>
            <w:r>
              <w:rPr>
                <w:rFonts w:hint="eastAsia" w:ascii="方正楷体_GB2312" w:hAnsi="方正楷体_GB2312" w:eastAsia="方正楷体_GB2312" w:cs="方正楷体_GB2312"/>
                <w:b w:val="0"/>
                <w:bCs w:val="0"/>
                <w:sz w:val="32"/>
                <w:szCs w:val="32"/>
                <w:u w:val="none"/>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网篮筐（存塑封包灭菌用）</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40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人位</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bl>
    <w:p>
      <w:pPr>
        <w:jc w:val="both"/>
        <w:keepLines w:val="0"/>
        <w:keepNext w:val="0"/>
        <w:pageBreakBefore w:val="0"/>
        <w:spacing w:line="440" w:lineRule="exact"/>
        <w:widowControl/>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注：</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采购设备</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清单第1-4项设备</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全部</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必须</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为同一</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设备</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否则作无效标处理。（投标人投标时须提供</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对应设备有效的</w:t>
      </w:r>
      <w:r>
        <w:rPr>
          <w:rStyle w:val="142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医疗器械生产许可证</w:t>
      </w:r>
      <w:r>
        <w:rPr>
          <w:rStyle w:val="142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等证明材料</w:t>
      </w:r>
      <w:r>
        <w:rPr>
          <w:rStyle w:val="142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扫描件</w:t>
      </w:r>
      <w:r>
        <w:rPr>
          <w:rStyle w:val="142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须</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佐证品牌及生产厂家一致性</w:t>
      </w:r>
      <w:r>
        <w:rPr>
          <w:rFonts w:hint="eastAsia" w:asciiTheme="minorEastAsia" w:hAnsi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不提供或提供的证明材料不符合本项要求的作无效标处理</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二、采购设备的技术参数要求：（</w:t>
      </w:r>
      <w:r>
        <w:rPr>
          <w:rFonts w:hint="eastAsia" w:asciiTheme="majorEastAsia" w:hAnsiTheme="majorEastAsia" w:eastAsiaTheme="majorEastAsia" w:cstheme="majorEastAsia"/>
          <w:b/>
          <w:bCs/>
          <w:sz w:val="24"/>
          <w:szCs w:val="24"/>
          <w:lang w:val="en-US" w:eastAsia="zh-CN"/>
        </w:rPr>
        <w:t xml:space="preserve">注：标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技术参数</w:t>
      </w:r>
      <w:r>
        <w:rPr>
          <w:rFonts w:hint="eastAsia" w:asciiTheme="majorEastAsia" w:hAnsiTheme="majorEastAsia" w:eastAsiaTheme="majorEastAsia" w:cstheme="majorEastAsia"/>
          <w:b/>
          <w:bCs/>
          <w:sz w:val="24"/>
          <w:szCs w:val="24"/>
        </w:rPr>
        <w:t xml:space="preserve">为必须满足项，不允许负偏离，否则为无效投标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技术参数为重要参数</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”的技术参数外的参数为一般参数。）</w:t>
      </w:r>
      <w:r/>
    </w:p>
    <w:p>
      <w:pPr>
        <w:ind w:firstLine="482"/>
        <w:jc w:val="left"/>
        <w:keepLines w:val="0"/>
        <w:keepNext w:val="0"/>
        <w:pageBreakBefore w:val="0"/>
        <w:spacing w:after="0" w:line="440" w:lineRule="exact"/>
        <w:widowControl/>
        <w:rPr>
          <w:rFonts w:hint="eastAsia" w:asciiTheme="majorEastAsia" w:hAnsiTheme="majorEastAsia" w:eastAsiaTheme="majorEastAsia" w:cstheme="majorEastAsia"/>
          <w:b/>
          <w:bCs/>
          <w:sz w:val="24"/>
          <w:szCs w:val="24"/>
          <w:lang w:val="en-US" w:eastAsia="zh-CN"/>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一</w:t>
      </w:r>
      <w:r>
        <w:rPr>
          <w:rFonts w:hint="eastAsia" w:ascii="Times New Roman" w:hAnsi="Times New Roman" w:eastAsia="宋体" w:cs="Times New Roman"/>
          <w:b/>
          <w:sz w:val="24"/>
          <w:szCs w:val="24"/>
          <w:highlight w:val="none"/>
          <w:lang w:eastAsia="zh-CN"/>
        </w:rPr>
        <w:t xml:space="preserve">）</w:t>
      </w: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主要设备技术参数要求：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脉动真空灭菌器（3台）【配备装载车：3辆／台灭菌器】：【核心产品】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★（1）有效装载容积：≥1500L；使用年限：≥15年／30000次灭菌循环；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★（2）设计压力：最低压力-0.1Mpa，最高压力0.3Mpa；最高工作温度≥138℃；</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★（3）焊接工艺：全自动焊接机器人焊接保证焊缝质量，全自动磨光减缓表面腐蚀速率，氢气保护，自动控制无过烧现象。</w:t>
      </w:r>
      <w:r>
        <w:rPr>
          <w:rFonts w:hint="eastAsia" w:asciiTheme="majorEastAsia" w:hAnsiTheme="majorEastAsia" w:eastAsiaTheme="majorEastAsia" w:cstheme="majorEastAsia"/>
          <w:b/>
          <w:bCs/>
          <w:sz w:val="24"/>
          <w:szCs w:val="24"/>
          <w:highlight w:val="yellow"/>
          <w:lang w:val="en-US" w:eastAsia="zh-CN"/>
        </w:rPr>
        <w:t xml:space="preserve">（投标人投标时提供机器人现场焊接照片）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★（4）结构与材质；灭菌器腔体、加热夹套、密封门材质、管路材质均采用316L不锈钢</w:t>
      </w:r>
      <w:r>
        <w:rPr>
          <w:rFonts w:hint="eastAsia" w:asciiTheme="majorEastAsia" w:hAnsiTheme="majorEastAsia" w:eastAsiaTheme="majorEastAsia" w:cstheme="majorEastAsia"/>
          <w:b/>
          <w:bCs/>
          <w:sz w:val="24"/>
          <w:szCs w:val="24"/>
          <w:highlight w:val="yellow"/>
          <w:lang w:val="en-US" w:eastAsia="zh-CN"/>
        </w:rPr>
        <w:t xml:space="preserve">（除管路材质外，其余投标时投标人提供有效的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医疗器械注册证或材料声明函</w:t>
      </w:r>
      <w:r>
        <w:rPr>
          <w:rFonts w:hint="eastAsia" w:asciiTheme="majorEastAsia" w:hAnsiTheme="majorEastAsia" w:eastAsiaTheme="majorEastAsia" w:cstheme="majorEastAsia"/>
          <w:b/>
          <w:bCs/>
          <w:sz w:val="24"/>
          <w:szCs w:val="24"/>
          <w:highlight w:val="yellow"/>
          <w:lang w:val="en-US" w:eastAsia="zh-CN"/>
        </w:rPr>
        <w:t xml:space="preserve">）</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内室耐压试验压力≥0.38MPa，夹套耐压试验压力≥0.45MPa；（投标时提供产品质量证明书中的《固定式压力容器产品数据表》复印件佐证）；实现温度和温度、压力和压力、温度和压力的3重监控，所有参数需接入我院追溯系统永久保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▲（6）设备配置前后双门；密封门采用电机驱动实现门板上下移动，柜门整体开启形式为侧开门式。</w:t>
      </w:r>
      <w:r>
        <w:rPr>
          <w:rFonts w:hint="eastAsia" w:asciiTheme="majorEastAsia" w:hAnsiTheme="majorEastAsia" w:eastAsiaTheme="majorEastAsia" w:cstheme="majorEastAsia"/>
          <w:b/>
          <w:bCs/>
          <w:sz w:val="24"/>
          <w:szCs w:val="24"/>
          <w:highlight w:val="yellow"/>
          <w:lang w:val="en-US" w:eastAsia="zh-CN"/>
        </w:rPr>
        <w:t xml:space="preserve">（投标人投标时提供产品质量证明书数据表或技术白皮书佐证）</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打印记录：内置热敏打印机，可打印本设备的运转次数、操作人员的编号、灭菌程序的种类、程序设定的参数、程序开始与结束的时间，以及实时监测灭菌过程的温度、压力、时间、过程阶段、预置参数等实现设备物理参数的秒级监控，至少每60秒记录一次灭菌阶段的变化内容，提供温度、压力、时间每60秒内的变化数据打印记录。</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▲（8）内置标准灭菌程序：≥13个，包括常规器械灭菌程序、敷料灭菌程序、121℃程序、重载程序、特殊器械灭菌程序（要求能对朊毒体感染器械进行灭菌）等。</w:t>
      </w:r>
      <w:r>
        <w:rPr>
          <w:rFonts w:hint="eastAsia" w:asciiTheme="majorEastAsia" w:hAnsiTheme="majorEastAsia" w:eastAsiaTheme="majorEastAsia" w:cstheme="majorEastAsia"/>
          <w:b/>
          <w:bCs/>
          <w:sz w:val="24"/>
          <w:szCs w:val="24"/>
          <w:highlight w:val="yellow"/>
          <w:lang w:val="en-US" w:eastAsia="zh-CN"/>
        </w:rPr>
        <w:t xml:space="preserve">（投标人投标时提供程序页面照片）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（9）设备前后双侧液晶屏显示；前后操作端各设置≥1个内室压力表及≥1个夹层压力表；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▲（10）操作屏：采用PLC控制系统，可在触摸屏上实现开门、关门、运行程序一键启动功能，并能在设备屏幕界面上实时显示内室压力、夹层压力、内室温度</w:t>
      </w:r>
      <w:r>
        <w:rPr>
          <w:rFonts w:hint="eastAsia" w:asciiTheme="majorEastAsia" w:hAnsiTheme="majorEastAsia" w:eastAsiaTheme="majorEastAsia" w:cstheme="majorEastAsia"/>
          <w:b/>
          <w:bCs/>
          <w:sz w:val="24"/>
          <w:szCs w:val="24"/>
          <w:highlight w:val="yellow"/>
          <w:lang w:val="en-US" w:eastAsia="zh-CN"/>
        </w:rPr>
        <w:t xml:space="preserve">（投标人投标时提供屏幕界面照片佐证）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（11）权限管理：具有权限进入系统；具有设备操作、程序参数调整和系统参数调整的所有权限及其他权限等。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▲（12）加热方式：蒸汽加热；灭菌腔体进汽口数量≥4个，采用多段进汽，多段加热。</w:t>
      </w:r>
      <w:r>
        <w:rPr>
          <w:rFonts w:hint="eastAsia" w:asciiTheme="majorEastAsia" w:hAnsiTheme="majorEastAsia" w:eastAsiaTheme="majorEastAsia" w:cstheme="majorEastAsia"/>
          <w:b/>
          <w:bCs/>
          <w:sz w:val="24"/>
          <w:szCs w:val="24"/>
          <w:highlight w:val="yellow"/>
          <w:lang w:val="en-US" w:eastAsia="zh-CN"/>
        </w:rPr>
        <w:t xml:space="preserve">（投标人投标时提供灭菌腔体内部实物照片或提供压力容器竣工图证明开孔数量）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（13）灭菌器主体采用底部中凹结构，内室前后2个下沉漏斗形排水口，实现排冷凝水顺畅；</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▲（14）设备具备智能化维护提醒功能，能对以下关键部件进行使用状态监测并提示维护（包括但不限于）：密封胶条使用状态（提示更换周期）；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（15）设备需具备多种干燥方式来保证灭菌物品的彻底干燥，至少包括真空干燥、脉动空气干燥、脉动蒸汽干燥等，干燥时间设定范围为0～9999秒可设，可根据不同器械自由编辑不同的干燥方式相结合的方法</w:t>
      </w:r>
      <w:r>
        <w:rPr>
          <w:rFonts w:hint="eastAsia" w:asciiTheme="majorEastAsia" w:hAnsiTheme="majorEastAsia" w:eastAsiaTheme="majorEastAsia" w:cstheme="majorEastAsia"/>
          <w:b/>
          <w:bCs/>
          <w:sz w:val="24"/>
          <w:szCs w:val="24"/>
          <w:highlight w:val="yellow"/>
          <w:lang w:val="en-US" w:eastAsia="zh-CN"/>
        </w:rPr>
        <w:t xml:space="preserve">（投标人投标时提供产品说明书或技术白皮书证明）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▲（16）设计温度150℃；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2、过氧化氢低温等离子灭菌器（1台）【核心产品】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★（1）使用年限：≥10年；舱体容积≥120L；灭菌程序种类≥3种；能够灭菌长度≥750mm长度的医疗器械，能够满足科室灭菌需求。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★（2）具有门障碍开关功能与自动升降门、脚踢开关门功能；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★（3）卡匣安装后，自动计算胶囊使用个数，并提示剩余胶囊个数和可运行全循环的次数。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4）灭菌技术：采用双循环灭菌流程，灭菌完成后设备自动启动等离子分解净化功能，通过等离子体彻底降解舱内残余过氧化氢；设备解析后环境空气中过氧化氢浓度≤0.6mg/m³，使用安全、无刺激性、无职业暴露风险。</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★（5）采用高清彩色触摸屏，实时显示温度、压力、时间、循环模式、过程阶段、胶囊使用数量和报警信息（灭菌器需带有故障诊断及报警功能）等；</w:t>
      </w:r>
      <w:r>
        <w:rPr>
          <w:rFonts w:hint="eastAsia" w:asciiTheme="majorEastAsia" w:hAnsiTheme="majorEastAsia" w:eastAsiaTheme="majorEastAsia" w:cstheme="majorEastAsia"/>
          <w:b/>
          <w:bCs/>
          <w:sz w:val="24"/>
          <w:szCs w:val="24"/>
          <w:highlight w:val="yellow"/>
          <w:lang w:val="en-US" w:eastAsia="zh-CN"/>
        </w:rPr>
        <w:t xml:space="preserve">（投标人投标时提供显示屏实际工作界面照片）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★（6）灭菌后聚四氟乙烯管腔中H2O2残留量＜0.003mg/‌cm²‌,不锈钢中残留量＜0.01mg/cm²‌。</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★（7）配有或自带有害气体浓度监测装置，能够对工作场所的过氧化氢气体浓度进行实时监测。触摸屏能实时显示房间过氧化氢气体浓度及PC-TWA浓度，并可通过触摸屏设置有害气体监测数据。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★（8）配备或内置生物阅读、生物培养，数据可连接追溯系统实时监测；等离子电源：采用晶体管控制电源；</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none"/>
          <w:lang w:val="en-US" w:eastAsia="zh-CN"/>
        </w:rPr>
        <w:t xml:space="preserve">▲（9）灭菌剂浓度：≤60%；设备灭菌过程中注入舱体提纯后的过氧化氢浓度应</w:t>
      </w:r>
      <w:r>
        <w:rPr>
          <w:rFonts w:hint="eastAsia" w:ascii="宋体" w:hAnsi="宋体" w:eastAsia="宋体" w:cs="宋体"/>
          <w:b/>
          <w:bCs/>
          <w:sz w:val="28"/>
          <w:szCs w:val="28"/>
          <w:highlight w:val="none"/>
          <w:lang w:val="en-US" w:eastAsia="zh-CN"/>
        </w:rPr>
        <w:t xml:space="preserve">≥95%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宋体" w:hAnsi="宋体" w:eastAsia="宋体" w:cs="宋体"/>
          <w:b/>
          <w:bCs/>
          <w:sz w:val="24"/>
          <w:szCs w:val="24"/>
          <w:lang w:val="en-US" w:eastAsia="zh-CN"/>
        </w:rPr>
        <w:t xml:space="preserve">卡匣式过氧化氢加注方式，PH＜2.6，54℃放置14天含量下降率＜3.05%。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设备具备良好的内镜灭菌兼容性能，可稳定适配</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采购人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常用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Style w:val="1426"/>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奥林巴斯、卡尔史托斯、狼牌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等主流内镜的灭菌作业，可有效保障内镜灭菌安全。</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投标时可提供以下任意一项佐证材料：</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1.由</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CMA/CNAS认证机构出具的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有效</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兼容性检测报告；</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对应品牌内镜官方说明书灭菌兼容佐证页；</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承诺上述品牌内镜损坏的</w:t>
      </w:r>
      <w:r>
        <w:rPr>
          <w:rStyle w:val="1426"/>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无条件免费更换原厂同型号全新内镜</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，承担全部损失与责任</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中标供应商能够证明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内镜已经达到正常使用年限、自然老化磨损</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人为外力损伤</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或中标供应商邀请</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有产品质量司法鉴定资质第三方机构开展失效分析鉴定</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费用由中标供应商承担</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鉴定结果显示与灭菌设备无关的除外</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      </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3、全自动清洗消毒器（3台）：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★（1）主要用于对医院手术器械、器具、器皿以及麻醉器具等的清洗及高水平消毒，属于一类消毒产品；设备使用年限≥10年；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★（2）清洗舱有效容积：≥500L</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（投标人投标时提供产品铭牌或技术白皮书）；</w:t>
      </w:r>
      <w:r>
        <w:rPr>
          <w:rFonts w:hint="eastAsia" w:asciiTheme="majorEastAsia" w:hAnsiTheme="majorEastAsia" w:eastAsiaTheme="majorEastAsia" w:cstheme="majorEastAsia"/>
          <w:b/>
          <w:bCs/>
          <w:sz w:val="24"/>
          <w:szCs w:val="24"/>
          <w:lang w:val="en-US" w:eastAsia="zh-CN"/>
        </w:rPr>
        <w:t xml:space="preserve">装载量：≥15个标准器械托盘（480*250*50mm）；清洗舱腔体采用316L不锈钢材质；舱体具有保温措施，为≥12mm橡塑海绵；</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★（3）加热方式：蒸汽加热；烘干温度：连续可调，最高烘干温度≥120℃；设备配置预洗、主清洗、双漂洗、热消毒、独立干燥全套标准化工序，全过程清洗时间≦35 分钟（含干燥时间≥10 分钟），消毒 A0 值＞3000；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★（4）数据监测存储：具有清洗水温度、运行时间、酶液量监测与报警；可自动打印过程曲线、并记录A0值</w:t>
      </w:r>
      <w:r>
        <w:rPr>
          <w:rFonts w:hint="eastAsia" w:asciiTheme="majorEastAsia" w:hAnsiTheme="majorEastAsia" w:eastAsiaTheme="majorEastAsia" w:cstheme="majorEastAsia"/>
          <w:b/>
          <w:bCs/>
          <w:sz w:val="24"/>
          <w:szCs w:val="24"/>
          <w:highlight w:val="yellow"/>
          <w:lang w:val="en-US" w:eastAsia="zh-CN"/>
        </w:rPr>
        <w:t xml:space="preserve">（投标人投标时提供打印记录）</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★（5）操作与显示：彩色中文显示屏，前后双屏，可显示设备运行状态；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★（6）设备采用PLC全自动控制运行稳定。通过数字量和模拟量扩展模块进行扩展；具有故障自动检测功能，故障声音报警功能；抗干扰能力强，稳定性高。</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（投标人投标时提供PLC实物图片并标注型号）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▲（7）清洗架与舱体对接口数量≥3个；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▲（8）预置程序≥11个，具备消毒阶段纯水存储预热模块，缩短整个程序运行时间；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▲（9）单台机器添加液注入泵数量≥3个，添加液的剂量计算采用电子式计量方式；</w:t>
      </w:r>
      <w:r/>
    </w:p>
    <w:p>
      <w:pPr>
        <w:numPr>
          <w:ilvl w:val="0"/>
          <w:numId w:val="0"/>
        </w:numPr>
        <w:ind w:firstLine="723"/>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（10）循环泵流量：≥800升／分钟；</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▲（11）每步进水≤28L，节能降耗，减少使用成本；</w:t>
      </w:r>
      <w:r>
        <w:rPr>
          <w:rFonts w:hint="eastAsia" w:ascii="宋体" w:hAnsi="宋体" w:eastAsia="宋体" w:cs="宋体"/>
          <w:b/>
          <w:bCs/>
          <w:sz w:val="24"/>
          <w:szCs w:val="24"/>
          <w:highlight w:val="yellow"/>
          <w:lang w:val="en-US" w:eastAsia="zh-CN"/>
        </w:rPr>
        <w:t xml:space="preserve">（投标人投标时提供全国消毒产品备案平台证明材料或产品说明书或由CMA或CNAS认证机构出具的有效检测报告）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sz w:val="24"/>
          <w:szCs w:val="24"/>
          <w:lang w:val="en-US" w:eastAsia="zh-CN"/>
        </w:rPr>
        <w:t xml:space="preserve">（12）消毒能力：能够对各类菌株进行杀菌，如枯草杆菌黑色变种芽孢、铜绿假单胞菌、白色念球菌、金黄色葡萄球菌、大肠杆菌株等均具有杀灭能力；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▲（13）电动升降防爆玻璃门，双门互锁；开门方式采用自动升降双扉门，金属齿轮导轨传动方式；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（14）消毒温度：为降低清洗机内消毒温度的波动对手术器械（耐高温器械）的影响，进行杀菌因子强度测定时，启动（运行）消毒程序在消毒阶段的维持时间内最低温度≥93℃，最高温度 ≤97℃；</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4、全自动减压沸腾清洗消毒器（1台）【配备主机1台、标准负载架1个、推车2个、篮筐15只】：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★（1）加热方式：蒸汽加热；装载方式：置于托盘内堆叠摆放或直接置于槽内清洗，可装载≥10个DIN托盘（480mm×250mm×50mm），清洗管腔器械无需对接；设备需为第一类消毒产品</w:t>
      </w:r>
      <w:r>
        <w:rPr>
          <w:rFonts w:hint="eastAsia" w:asciiTheme="majorEastAsia" w:hAnsiTheme="majorEastAsia" w:eastAsiaTheme="majorEastAsia" w:cstheme="majorEastAsia"/>
          <w:b/>
          <w:bCs/>
          <w:sz w:val="24"/>
          <w:szCs w:val="24"/>
          <w:highlight w:val="yellow"/>
          <w:lang w:val="en-US" w:eastAsia="zh-CN"/>
        </w:rPr>
        <w:t xml:space="preserve">（投标人投标时提供全国消毒产品网上备案信息服务平台查询截图）</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★（2）清洗舱采用304不锈钢及以上材质，清洗机内部水管路全部采用卫生级304不锈钢制作，管路之间采用304不锈钢卡箍式连接；容积≥150L，运行时间≤60分钟，使用寿命：≥10年或15000次循环；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采用PLC控制系统，通过数字量和模拟量扩展模块进行扩展；采用高清彩色触摸屏，能够显示设备的运行状态及设备运行的各个状态参数，包括但不限于程序名称、当前状态、消毒A0值、耗材用量、温度及设备运行曲线</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（投标人投标时提供PLC实物图片标注型号和程序运行界面）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▲（4）双门互锁，开门方式采用自动升降双扉门；关门具有智能防压保护功能，遇障碍可自动返回并进行报警提示；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▲（5）采用真空干燥与热风循环干燥相结合的干燥方式，一个流程结束即可实现清洗消毒及干燥效果；</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（6）设备具有≥3段水位选择功能；具有超温自动保护装置、防干烧保护装置、电机过流等保护装置；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▲（7）开门方式采用自动升降双扉门（下开门），金属齿轮导轨传动方式；</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▲（8）消毒能力：能够对各类菌株进行杀菌，如枯草杆菌黑色变种芽孢、铜绿假单胞菌、白色念球菌、金黄色葡萄球菌、大肠杆菌株等均具有杀灭能力；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▲（9）为降低清洗机内消毒温度的波动对手术器械（耐高温器械）的影响，进行杀菌因子强度测定时，启动（运行）消毒程序在消毒阶段的维持时间内最高温度≤97.5℃；</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ff0000"/>
          <w:sz w:val="24"/>
          <w:szCs w:val="24"/>
          <w:lang w:val="en-US" w:eastAsia="zh-CN"/>
        </w:rPr>
      </w:pPr>
      <w:r>
        <w:rPr>
          <w:rFonts w:hint="eastAsia" w:asciiTheme="majorEastAsia" w:hAnsiTheme="majorEastAsia" w:eastAsiaTheme="majorEastAsia" w:cstheme="majorEastAsia"/>
          <w:b/>
          <w:bCs/>
          <w:color w:val="ff0000"/>
          <w:sz w:val="24"/>
          <w:szCs w:val="24"/>
          <w:lang w:val="en-US" w:eastAsia="zh-CN"/>
        </w:rPr>
        <w:t xml:space="preserve">★三方配置及附件（以下★5至★13项设备的技术参数须全部满足，如不满足作无效标处理。）</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★5、</w:t>
      </w:r>
      <w:r>
        <w:rPr>
          <w:rFonts w:hint="eastAsia" w:asciiTheme="majorEastAsia" w:hAnsiTheme="majorEastAsia" w:eastAsiaTheme="majorEastAsia" w:cstheme="majorEastAsia"/>
          <w:b/>
          <w:bCs/>
          <w:sz w:val="24"/>
          <w:szCs w:val="24"/>
          <w:u w:val="none"/>
          <w:lang w:val="en-US" w:eastAsia="zh-CN"/>
        </w:rPr>
        <w:t xml:space="preserve">医用干燥柜（1台）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（1）设备容积：≥500L，可一次性处理≥9个DIN标准器械托盘（480*250*50mm）或≥36根导管或≥26个湿化瓶；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（2）置物篮数量：≥7层可独立拆卸；隔层间距≥140mm；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（3）材质：外壳、工作舱、置物篮均采用SUS304不锈钢材质；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（4）柜门：双门通道型，电磁铁双门互锁；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（5）循环方式：双风道循环系统，带侧部热风循环功能，带有除湿功能；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（6）控制系统：PLC作为主控制器；≥6个内置程序，可进行个性化的编辑；通过触摸屏可存储至少1年的过程数据；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（7）显示：≥5英寸彩色触摸屏；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（9）设有专用接水盘；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（10）保护装置：设备具有自我诊断功能（如：温度传感器异常、自动超温保护功能、温度上偏差报警功能）、漏电断路器等；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★6、</w:t>
      </w:r>
      <w:r>
        <w:rPr>
          <w:rFonts w:hint="eastAsia" w:asciiTheme="majorEastAsia" w:hAnsiTheme="majorEastAsia" w:eastAsiaTheme="majorEastAsia" w:cstheme="majorEastAsia"/>
          <w:b/>
          <w:bCs/>
          <w:sz w:val="24"/>
          <w:szCs w:val="24"/>
          <w:u w:val="none"/>
          <w:lang w:val="en-US" w:eastAsia="zh-CN"/>
        </w:rPr>
        <w:t xml:space="preserve">医用真空干燥柜（1台）【配备主机1台；干燥托架≥4个】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（1）容积：≥100L／台，舱体结构：方形或圆形舱体，上下双舱体，单舱一次可装载≥2个器械托盘（尺寸≥680*300*50mm）；舱体深度≥700mm；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（2）采用真空干燥技术；利用极速抽真空的方法，使水的沸点降低，从而达到在低温状态下器械能够快速彻底地干燥；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（3）采用PLC控制系统，智能化信息管理系统记录每一个工作细节，工作数据可以保存1年以上；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（4）采用彩色触摸屏人机界面，智能数显干燥温度、时间、真空度、报警信息等设备运行参数；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（5）具有设备故障自动检测、报警系统；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（6）开门方式为手动双开门，门采用钢化玻璃密封，带有高透玻璃视窗；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（7）设备整体采用304不锈钢材质，干燥舱材质采用优质铝合金防锈板拼接成型；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（9）设备总功率：≤15KW；</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（10）真空泵采用无油式医用真空泵</w:t>
      </w:r>
      <w:r>
        <w:rPr>
          <w:rFonts w:hint="eastAsia" w:asciiTheme="majorEastAsia" w:hAnsiTheme="majorEastAsia" w:eastAsiaTheme="majorEastAsia" w:cstheme="majorEastAsia"/>
          <w:b/>
          <w:bCs/>
          <w:sz w:val="24"/>
          <w:szCs w:val="24"/>
          <w:highlight w:val="yellow"/>
          <w:u w:val="none"/>
          <w:lang w:val="en-US" w:eastAsia="zh-CN"/>
        </w:rPr>
        <w:t xml:space="preserve">（投标人投标时提供真空泵实物图片）</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★7、</w:t>
      </w:r>
      <w:r>
        <w:rPr>
          <w:rFonts w:hint="eastAsia" w:asciiTheme="majorEastAsia" w:hAnsiTheme="majorEastAsia" w:eastAsiaTheme="majorEastAsia" w:cstheme="majorEastAsia"/>
          <w:b/>
          <w:bCs/>
          <w:sz w:val="24"/>
          <w:szCs w:val="24"/>
          <w:u w:val="none"/>
          <w:lang w:val="en-US" w:eastAsia="zh-CN"/>
        </w:rPr>
        <w:t xml:space="preserve">多功能清洗消毒中心（1套）【配备可升降防护罩1套、蒸汽清洗机1套、超声波清洗机1套、煮沸消毒机1套】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（1）材质要求：台面及背板采用SUS304优质不锈钢，槽体采用316L不锈钢，超声槽厚度≥2mm，其余槽体厚度≥1.5mm，槽体带有刻度；</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（2）台面形状要求：沥水台面四周采用滚筋结构中间低四周高，确保清洗时的水不会流落地面，台面高度≥850mm；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（3）柜体材质要求：柜门、柜体底板采用SUS304不锈钢材质，不锈钢水龙头：全优质SUS304不锈钢材质；全304优质高压编织供水软管及管件；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（4）高压水枪材质及功能要求：枪体采用SUS304不锈钢，配备八个清洗喷嘴，清洗喷嘴与枪体之间可以任意更换；耐受压力可达0-0.7MPa；</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（5）蒸汽清洗机主机要求：蒸汽清洗机主机采用单独控制，自动加水，适合不同器械的蒸汽清洗；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（6）超声波清洗槽：超声频率为40kHz；采用电加热方式；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（7）可升降防护装置：防护罩材质采用透明亚克力，板材厚度≥8mm；防护罩为可升降结构；</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（8）排风装置：采用大风量离心风机，风机风量≥600立方米／h；内设蒸汽冷凝装置，对冷凝后的蒸汽排入下水道；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（9）设备至少有5个功能槽：蒸汽清洗槽、（酶洗）清洗槽、超声清洗槽、煮沸消毒槽、末洗槽；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★8、</w:t>
      </w:r>
      <w:r>
        <w:rPr>
          <w:rFonts w:hint="eastAsia" w:asciiTheme="majorEastAsia" w:hAnsiTheme="majorEastAsia" w:eastAsiaTheme="majorEastAsia" w:cstheme="majorEastAsia"/>
          <w:b/>
          <w:bCs/>
          <w:sz w:val="24"/>
          <w:szCs w:val="24"/>
          <w:u w:val="none"/>
          <w:lang w:val="en-US" w:eastAsia="zh-CN"/>
        </w:rPr>
        <w:t xml:space="preserve">内镜清洗工作站（1套）【配备槽盖2个、清洗槽5个】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（1）槽体、台面、背板采用高分子复合材料一次吸塑成型；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（2）功能背板形状要求：背板采用与清洗槽相同的材质；支架材质要求：选用优质不锈钢材质，厚度≥1.2mm，高800mm±5mm；底板采用PVC板；</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（3）柜门材质要求：采用彩色钢化玻璃；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（4）全自动灌注主机；脉冲注水功能，并且在注水完成后自动实现注气的切换“一次性”注水；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（5）液晶中文显示屏，各流程功能均有微电脑控制，并具备对多条内镜分别定时、倒计时功能；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（6）自动供酶系统：自动添加清洗酶，配带液位检测功能，清洗酶用完后，自动报警提示，可以不同厂家的清洗酶配套使用，进酶量≥5mL/s，一键启动，供酶时间可调；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★9、</w:t>
      </w:r>
      <w:r>
        <w:rPr>
          <w:rFonts w:hint="eastAsia" w:asciiTheme="majorEastAsia" w:hAnsiTheme="majorEastAsia" w:eastAsiaTheme="majorEastAsia" w:cstheme="majorEastAsia"/>
          <w:b/>
          <w:bCs/>
          <w:sz w:val="24"/>
          <w:szCs w:val="24"/>
          <w:u w:val="none"/>
          <w:lang w:val="en-US" w:eastAsia="zh-CN"/>
        </w:rPr>
        <w:t xml:space="preserve">牙科手机清洗注油机（1套）【配备主机1台、进水管1条、排水管1个、七件套快插头1套、养护油1瓶、干洗油1瓶、纤维布1个、双线卡箍1个、扳手1个、气管接头2个、打印纸1卷】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（1）容积≥60L，使用寿命≥5年；能够对接高/低速专用牙科手机，可实现牙科手机内部清洗、消毒、注油、干燥功能；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（2）干燥系统：独立热风干燥系统对牙科手机外部进行干燥，洁净压缩对牙科手机内部管腔进行干燥；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（3）清洗注油系统：具备清洗注油盘，可完成清洗、消毒、注油、干燥功能；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（4）记录方式：内置针式打印机，打印过程关键参数，并记录A0值；</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（5）流程控制：内洗（包含内管路清洗及注油）、清洗、漂洗一、漂洗二、消毒、注油、干燥；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（6）内置3种程序：清洗注油、清洗消毒、注油；</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（7）装载量（标配清洗架)：一次性装载≥32把牙科手机；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Theme="majorEastAsia" w:hAnsiTheme="majorEastAsia" w:eastAsiaTheme="majorEastAsia" w:cstheme="majorEastAsia"/>
          <w:b/>
          <w:bCs/>
          <w:sz w:val="24"/>
          <w:szCs w:val="24"/>
          <w:u w:val="none"/>
          <w:lang w:val="en-US" w:eastAsia="zh-CN"/>
        </w:rPr>
        <w:t xml:space="preserve">单级反渗透水机（1套）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（1）产水量：≥4000L/h；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（2）产水水质标准：采用单级反渗透方式产水，产水电导率≤15us/cm（25℃）及WS310中清洗用水水质的要求；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（4）采用不锈钢高压泵，流量≥2㎡／h、扬程≥75m；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（6）纯水水箱；装有液位控制器，通过液位控制器实现反渗透装置和纯水外输送泵的启停；配备≥4000L水箱1个，材质为SUS304不锈钢；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11、双级反渗透水机（1套）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（1）智能启停：具备开机自检、缺水保护报警、停电自动复位、水箱满水后自动停机、高水压、过载保护等功能；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（3）产水量：≥1000L/h；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（4）产水水质标准：产水电导率≤5us/cm（25℃）及WS310中清洗用水水质的要求；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（6）预处理系统：配备多介质过滤器，活性炭过滤器，软化装置，精密过滤器及相关辅助设备组成。预处理可实现自动正洗、反洗，再生等功能；阀头为全自动控制；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12、低温蒸汽甲醛灭菌器（非高低温通用）（1套）【配备主机1套、≤60分钟极速低温甲醛生物阅读器】</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（1）舱体采用卧式结构，舱体有效容积≥130L，腔体壁温控制探头数量≥2，分辨率≤0.1℃；腔体结构为矩形，采用不锈钢或优质航空铝合金材质；使用年限</w:t>
      </w:r>
      <w:r>
        <w:rPr>
          <w:rFonts w:hint="eastAsia" w:ascii="宋体" w:hAnsi="宋体" w:eastAsia="宋体" w:cs="宋体"/>
          <w:b/>
          <w:bCs/>
          <w:sz w:val="24"/>
          <w:szCs w:val="24"/>
          <w:u w:val="none"/>
          <w:lang w:val="en-US" w:eastAsia="zh-CN"/>
        </w:rPr>
        <w:t xml:space="preserve">≥8年；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（2）门板加热功能：加热膜数量≥2，门板温度50℃-90℃可自由设定；</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（3）真空泵：双级抽真空，采用水环式真空泵和大气喷射器；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（4）管路材质：采用304不锈钢管路和卡箍连接；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（5）甲醛加注方式：采用软袋灌装，自动刺破加注方式；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（6）甲醛溶液：采用甲醛浓度≤2％的灭菌剂，1次性软袋灌装，容积≥2L；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pPr>
      <w:r>
        <w:rPr>
          <w:rFonts w:hint="eastAsia" w:asciiTheme="majorEastAsia" w:hAnsiTheme="majorEastAsia" w:eastAsiaTheme="majorEastAsia" w:cstheme="majorEastAsia"/>
          <w:b/>
          <w:bCs/>
          <w:sz w:val="24"/>
          <w:szCs w:val="24"/>
          <w:u w:val="none"/>
          <w:lang w:val="en-US" w:eastAsia="zh-CN"/>
        </w:rPr>
        <w:t xml:space="preserve">（7）灭菌能力：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（投标人投标时提供PCD灭菌效果合格的具有有资质的第三方检测机构出具的有效检测报告）；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（8）设备无外接压缩空气；自带蒸汽发生器，能够实现甲醛边加注边汽化，避免甲醛残留，无需外接蒸汽源及额外解析设备；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（9）具有甲醛溶液不足报警功能；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（10）设备外接或内置纯水制备系统，电导率≤5μS/cm，带反渗透及紫外线杀菌功能</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11）打印记录保存≥3年。运行程序时，触摸屏中甲醛用量实时显示，并在打印记录中打印。能够打印记录：包括但不限于程序名称、灭菌日期、灭菌锅次、灭菌起始时间，记录灭菌过程的压力、温度，阶段时间、结束状态等信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（12）运行过程中不能向房间内排放任何气体，也无需安装专门的排气管道，具有对甲醛灭菌器运行时甲醛浓度检测报告。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甲醛灭菌器空气残留报告）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（13）排放水需符合《污水综合排放标准》（GB 8978）或地方标准；并具有甲醛灭菌器排水残留相关检测报告；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甲醛灭菌器排水残留检测报告）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13、蒸汽发生器（4套）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（1）筒体容积：≥45L；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（2）设备功率≤120kW；产气量：≥160Kg/h；产汽最高温度≥169℃；</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（3）工作压力：常压～0.65Mpa（可调）；设计压力：≥0.7MPa；（4）安全阀设置：开启压力≤0.70MPa；回座压力≥0.60MPa；</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（5）控制方式：一键启动，全自动控制；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（6）安全机制：（包括但不限于）具有加热管接触器黏连保护；加热管过电流保护；低水位保护；加热管防干烧保护；注水超时保护；注水泵过载保护；急停开关保护；</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（7）自动补水功能：具备低水位报警并自动断电功能。运行故障自动智能诊断提示；</w:t>
      </w:r>
      <w:r/>
    </w:p>
    <w:p>
      <w:pPr>
        <w:numPr>
          <w:ilvl w:val="0"/>
          <w:numId w:val="0"/>
        </w:numPr>
        <w:ind w:firstLine="482"/>
        <w:jc w:val="both"/>
        <w:keepLines w:val="0"/>
        <w:keepNext w:val="0"/>
        <w:pageBreakBefore w:val="0"/>
        <w:spacing w:line="520" w:lineRule="exact"/>
        <w:widowControl w:val="off"/>
        <w:rPr>
          <w:rFonts w:ascii="Calibri" w:hAnsi="Calibri" w:eastAsia="宋体" w:cs="Times New Roman"/>
          <w:b/>
          <w:bCs/>
        </w:rPr>
      </w:pPr>
      <w:r>
        <w:rPr>
          <w:rFonts w:hint="eastAsia" w:asciiTheme="majorEastAsia" w:hAnsiTheme="majorEastAsia" w:eastAsiaTheme="majorEastAsia" w:cstheme="majorEastAsia"/>
          <w:b/>
          <w:bCs/>
          <w:sz w:val="24"/>
          <w:szCs w:val="24"/>
          <w:u w:val="none"/>
          <w:lang w:val="en-US" w:eastAsia="zh-CN"/>
        </w:rPr>
        <w:t xml:space="preserve">（8）无需办理锅炉使用登记；</w:t>
      </w:r>
      <w:r/>
    </w:p>
    <w:p>
      <w:pPr>
        <w:jc w:val="left"/>
        <w:keepLines w:val="0"/>
        <w:keepNext w:val="0"/>
        <w:pageBreakBefore w:val="0"/>
        <w:spacing w:after="0" w:line="440" w:lineRule="exact"/>
        <w:widowControl/>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（二）</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ab/>
      </w:r>
      <w:bookmarkStart w:id="167" w:name="_Toc120614281"/>
      <w:r>
        <w:rPr>
          <w:rFonts w:hint="eastAsia"/>
          <w:b/>
          <w:bCs/>
          <w:color w:val="000000" w:themeColor="text1"/>
          <w:sz w:val="24"/>
          <w:szCs w:val="24"/>
          <w14:textFill>
            <w14:solidFill>
              <w14:schemeClr w14:val="tx1"/>
            </w14:solidFill>
          </w14:textFill>
        </w:rPr>
        <w:t xml:space="preserve">消毒供应中心</w:t>
      </w:r>
      <w:r>
        <w:rPr>
          <w:rFonts w:hint="eastAsia" w:ascii="Times New Roman" w:eastAsia="宋体"/>
          <w:b/>
          <w:bCs/>
          <w:color w:val="000000" w:themeColor="text1"/>
          <w:sz w:val="24"/>
          <w:szCs w:val="24"/>
          <w:lang w:val="en-US" w:eastAsia="zh-CN"/>
          <w14:textFill>
            <w14:solidFill>
              <w14:schemeClr w14:val="tx1"/>
            </w14:solidFill>
          </w14:textFill>
        </w:rPr>
        <w:t xml:space="preserve">附件产品</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技术参数要求：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1、污物接收台技术参数：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（1）304不锈钢材质，台面板材厚度≥1.2mm，其余板材厚度≥1mm；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（2）台面承重≥100kg；隔板承重≥60Kg；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2、污物车技术参数：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（1）车身整体为304不锈钢材质；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3、清洗工作台技术参数：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（1）304不锈钢材质；台面承重≥120kg；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（2）台面板材厚度≥1.2mm，其余板材及管材厚度≥1mm；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4、贮槽平台车技术参数：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（1）304不锈钢材质；板材及管材厚度≥1.2mm；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（2）双槽，凹槽深度为100mm；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（3）单层承重≥35Kg，整车承重≥70Kg；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5、电动升降传递窗技术参数：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（1）适用于供应室内部两个相邻区域之间的物品传递；</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（2）框架304不锈钢材质，采用钢化玻璃视窗，透明度高、电动驱动类型，适合不同的传递要求；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6、清洗机配清洗网篮筐技术参数：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（1）尺寸：480*250*50；</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（2）DIN标准清洗篮筐，与各种清洗消毒器配套；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架及</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湿化瓶架技术参数：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（1）适用于湿化瓶和</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的清洗，可处理≥60只湿化瓶，或≥72个弯盘；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（2）麻醉管道清洗架要求：可装载大于等于25个麻醉呼吸管道及其附件。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备注：所有清洗架均要适用于本次采购的清洗机。材质304不锈钢。</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8、入户鞋柜技术参数：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9、检包工作站技术参数：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（1）适用于清洗后器械的检查分类及后续的打包；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（2）台面为304不锈钢材质，板材及管材厚度≥1.0mm；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（3）双层照明，满足打包亮度要求，电源、气源、网口等满足外接资源需求；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10、光源放大镜+气枪技术参数：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（1）5倍放大镜片；</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（2）折叠安装；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（3）悬停支架；可旋转360度；</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11、纸塑包装工作台（高温1个、低温1个）技术参数：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（1）台面为304不锈钢材质；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12、组合器械柜技术参数：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（2）采用钢化玻璃透明视窗，可观察物品和器械的存放情况；</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（3）两层，每层标配一块隔板，间距可调；单层搁板的承重≥40Kg；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13、大包布车技术参数：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（2）带压块设计，底部有防落地拖网；</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14、危品安全存放柜技术参数：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（2）柜身底部有防漏液槽，柜身两侧有通风口，柜体背部下方有防静电接地线；</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15、平板送物车（带框2个）、（不带框2个）技术参数：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16、一单元双门互锁传递窗技术参数：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（2）内置紫外线灯，对通读杀菌；</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（3）门带钢化玻璃视窗，可观察传递窗内物品；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17、网篮筐（存塑封包灭菌用）技术参数：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（1）与标准篮筐配合使用；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18、平板隔板转运架技术参数：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19、平板隔板存放架技术参数：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（2）板材厚度≥1.5mm；管材厚度≥2mm；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20、双侧立式网筐储存架（配对应数量篮筐）技术参数：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（2）双面使用，可装载40个篮筐；</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21、库房货架技术参数：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不锈钢圆凳技术参数：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left="0"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更衣柜（15人位）技术参数：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0"/>
        </w:numPr>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24、常规密封车技术参数：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（1）用于复用医疗器械、器具、物品回收过程中的密封运输以及暂存；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（2）车身整体为304不锈钢；门、顶部、底部板材厚度≥1.2mm，其余部分板材及管材厚度≥1mm；</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（3）双开门，安装密封胶条，确保密封防尘性；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i w:val="0"/>
          <w:iCs w:val="0"/>
          <w:color w:val="auto"/>
          <w:sz w:val="24"/>
          <w:szCs w:val="24"/>
          <w:u w:val="none"/>
          <w:lang w:val="en-US" w:eastAsia="zh-CN"/>
        </w:rPr>
      </w:pPr>
      <w:r>
        <w:rPr>
          <w:rFonts w:hint="eastAsia" w:asciiTheme="majorEastAsia" w:hAnsiTheme="majorEastAsia" w:eastAsiaTheme="majorEastAsia" w:cstheme="majorEastAsia"/>
          <w:b/>
          <w:bCs/>
          <w:i w:val="0"/>
          <w:iCs w:val="0"/>
          <w:sz w:val="24"/>
          <w:szCs w:val="24"/>
          <w:u w:val="none"/>
          <w:lang w:val="en-US" w:eastAsia="zh-CN"/>
        </w:rPr>
        <w:t xml:space="preserve">三、</w:t>
      </w:r>
      <w:r>
        <w:rPr>
          <w:rFonts w:hint="eastAsia" w:asciiTheme="majorEastAsia" w:hAnsiTheme="majorEastAsia" w:eastAsiaTheme="majorEastAsia" w:cstheme="majorEastAsia"/>
          <w:b/>
          <w:bCs/>
          <w:i w:val="0"/>
          <w:iCs w:val="0"/>
          <w:color w:val="auto"/>
          <w:sz w:val="24"/>
          <w:szCs w:val="24"/>
          <w:u w:val="none"/>
          <w:lang w:val="en-US" w:eastAsia="zh-CN"/>
        </w:rPr>
        <w:t xml:space="preserve">商务要求：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ajorEastAsia" w:hAnsiTheme="majorEastAsia" w:eastAsiaTheme="majorEastAsia" w:cstheme="majorEastAsia"/>
          <w:b/>
          <w:bCs/>
          <w:i/>
          <w:iCs/>
          <w:color w:val="auto"/>
          <w:sz w:val="24"/>
          <w:szCs w:val="24"/>
          <w:u w:val="single"/>
          <w:lang w:val="en-US" w:eastAsia="zh-CN"/>
        </w:rPr>
        <w:t xml:space="preserve">（一）</w:t>
      </w:r>
      <w:r>
        <w:rPr>
          <w:rFonts w:hint="eastAsia" w:asciiTheme="majorEastAsia" w:hAnsiTheme="majorEastAsia" w:eastAsiaTheme="majorEastAsia" w:cstheme="majorEastAsia"/>
          <w:b/>
          <w:bCs/>
          <w:i/>
          <w:iCs/>
          <w:sz w:val="24"/>
          <w:szCs w:val="24"/>
          <w:u w:val="single"/>
          <w:lang w:val="en-US" w:eastAsia="zh-CN"/>
        </w:rPr>
        <w:t xml:space="preserve">交货要求：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eastAsia="zh-CN"/>
        </w:rPr>
      </w:pPr>
      <w:r>
        <w:rPr>
          <w:rFonts w:hint="eastAsia" w:asciiTheme="minorEastAsia" w:hAnsiTheme="minorEastAsia" w:eastAsiaTheme="minorEastAsia" w:cstheme="minorEastAsia"/>
          <w:b/>
          <w:bCs/>
          <w:i/>
          <w:iCs/>
          <w:color w:val="ff0000"/>
          <w:sz w:val="24"/>
          <w:szCs w:val="24"/>
          <w:u w:val="single"/>
          <w:lang w:val="en-US" w:eastAsia="zh-CN"/>
        </w:rPr>
        <w:t xml:space="preserve">1、交货时间：</w:t>
      </w:r>
      <w:r>
        <w:rPr>
          <w:rFonts w:hint="eastAsia" w:asciiTheme="minorEastAsia" w:hAnsiTheme="minorEastAsia" w:eastAsiaTheme="minorEastAsia" w:cstheme="minorEastAsia"/>
          <w:b/>
          <w:bCs/>
          <w:i/>
          <w:iCs/>
          <w:color w:val="ff0000"/>
          <w:sz w:val="24"/>
          <w:szCs w:val="24"/>
          <w:u w:val="single"/>
        </w:rPr>
        <w:t xml:space="preserve">本</w:t>
      </w:r>
      <w:r>
        <w:rPr>
          <w:rFonts w:hint="eastAsia" w:asciiTheme="minorEastAsia" w:hAnsiTheme="minorEastAsia" w:cstheme="minorEastAsia"/>
          <w:b/>
          <w:bCs/>
          <w:i/>
          <w:iCs/>
          <w:color w:val="ff0000"/>
          <w:sz w:val="24"/>
          <w:szCs w:val="24"/>
          <w:u w:val="single"/>
          <w:lang w:val="en-US" w:eastAsia="zh-CN"/>
        </w:rPr>
        <w:t xml:space="preserve">项目</w:t>
      </w:r>
      <w:r>
        <w:rPr>
          <w:rFonts w:hint="eastAsia" w:asciiTheme="minorEastAsia" w:hAnsiTheme="minorEastAsia" w:eastAsiaTheme="minorEastAsia" w:cstheme="minorEastAsia"/>
          <w:b/>
          <w:bCs/>
          <w:i/>
          <w:iCs/>
          <w:color w:val="ff0000"/>
          <w:sz w:val="24"/>
          <w:szCs w:val="24"/>
          <w:u w:val="single"/>
          <w:lang w:val="en-US" w:eastAsia="zh-CN"/>
        </w:rPr>
        <w:t xml:space="preserve">所有</w:t>
      </w:r>
      <w:r>
        <w:rPr>
          <w:rFonts w:hint="eastAsia" w:asciiTheme="minorEastAsia" w:hAnsiTheme="minorEastAsia" w:eastAsiaTheme="minorEastAsia" w:cstheme="minorEastAsia"/>
          <w:b/>
          <w:bCs/>
          <w:i/>
          <w:iCs/>
          <w:color w:val="ff0000"/>
          <w:sz w:val="24"/>
          <w:szCs w:val="24"/>
          <w:u w:val="single"/>
        </w:rPr>
        <w:t xml:space="preserve">货物须根据</w:t>
      </w:r>
      <w:r>
        <w:rPr>
          <w:rFonts w:hint="eastAsia" w:asciiTheme="minorEastAsia" w:hAnsiTheme="minorEastAsia" w:cstheme="minorEastAsia"/>
          <w:b/>
          <w:bCs/>
          <w:i/>
          <w:iCs/>
          <w:color w:val="ff0000"/>
          <w:sz w:val="24"/>
          <w:szCs w:val="24"/>
          <w:u w:val="single"/>
          <w:lang w:val="en-US" w:eastAsia="zh-CN"/>
        </w:rPr>
        <w:t xml:space="preserve">土建工程</w:t>
      </w:r>
      <w:r>
        <w:rPr>
          <w:rFonts w:hint="eastAsia" w:asciiTheme="minorEastAsia" w:hAnsiTheme="minorEastAsia" w:eastAsiaTheme="minorEastAsia" w:cstheme="minorEastAsia"/>
          <w:b/>
          <w:bCs/>
          <w:i/>
          <w:iCs/>
          <w:color w:val="ff0000"/>
          <w:sz w:val="24"/>
          <w:szCs w:val="24"/>
          <w:u w:val="single"/>
        </w:rPr>
        <w:t xml:space="preserve">进度、现场具备收货及安装条件后</w:t>
      </w:r>
      <w:r>
        <w:rPr>
          <w:rFonts w:hint="eastAsia" w:asciiTheme="minorEastAsia" w:hAnsiTheme="minorEastAsia" w:cstheme="minorEastAsia"/>
          <w:b/>
          <w:bCs/>
          <w:i/>
          <w:iCs/>
          <w:color w:val="ff0000"/>
          <w:sz w:val="24"/>
          <w:szCs w:val="24"/>
          <w:u w:val="single"/>
          <w:lang w:val="en-US" w:eastAsia="zh-CN"/>
        </w:rPr>
        <w:t xml:space="preserve">方</w:t>
      </w:r>
      <w:r>
        <w:rPr>
          <w:rFonts w:hint="eastAsia" w:asciiTheme="minorEastAsia" w:hAnsiTheme="minorEastAsia" w:eastAsiaTheme="minorEastAsia" w:cstheme="minorEastAsia"/>
          <w:b/>
          <w:bCs/>
          <w:i/>
          <w:iCs/>
          <w:color w:val="ff0000"/>
          <w:sz w:val="24"/>
          <w:szCs w:val="24"/>
          <w:u w:val="single"/>
        </w:rPr>
        <w:t xml:space="preserve">可安排交货。采购⼈根据现场实际进度书</w:t>
      </w:r>
      <w:r>
        <w:rPr>
          <w:rFonts w:hint="eastAsia" w:asciiTheme="minorEastAsia" w:hAnsiTheme="minorEastAsia" w:cstheme="minorEastAsia"/>
          <w:b/>
          <w:bCs/>
          <w:i/>
          <w:iCs/>
          <w:color w:val="ff0000"/>
          <w:sz w:val="24"/>
          <w:szCs w:val="24"/>
          <w:u w:val="single"/>
          <w:lang w:val="en-US" w:eastAsia="zh-CN"/>
        </w:rPr>
        <w:t xml:space="preserve">面</w:t>
      </w:r>
      <w:r>
        <w:rPr>
          <w:rFonts w:hint="eastAsia" w:asciiTheme="minorEastAsia" w:hAnsiTheme="minorEastAsia" w:eastAsiaTheme="minorEastAsia" w:cstheme="minorEastAsia"/>
          <w:b/>
          <w:bCs/>
          <w:i/>
          <w:iCs/>
          <w:color w:val="ff0000"/>
          <w:sz w:val="24"/>
          <w:szCs w:val="24"/>
          <w:u w:val="single"/>
        </w:rPr>
        <w:t xml:space="preserve">下达</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收到</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指令后45</w:t>
      </w:r>
      <w:r>
        <w:rPr>
          <w:rFonts w:hint="eastAsia" w:asciiTheme="minorEastAsia" w:hAnsiTheme="minorEastAsia" w:cstheme="minorEastAsia"/>
          <w:b/>
          <w:bCs/>
          <w:i/>
          <w:iCs/>
          <w:color w:val="ff0000"/>
          <w:sz w:val="24"/>
          <w:szCs w:val="24"/>
          <w:u w:val="single"/>
          <w:lang w:eastAsia="zh-CN"/>
        </w:rPr>
        <w:t xml:space="preserve">日</w:t>
      </w:r>
      <w:r>
        <w:rPr>
          <w:rFonts w:hint="eastAsia" w:asciiTheme="minorEastAsia" w:hAnsiTheme="minorEastAsia" w:eastAsiaTheme="minorEastAsia" w:cstheme="minorEastAsia"/>
          <w:b/>
          <w:bCs/>
          <w:i/>
          <w:iCs/>
          <w:color w:val="ff0000"/>
          <w:sz w:val="24"/>
          <w:szCs w:val="24"/>
          <w:u w:val="single"/>
        </w:rPr>
        <w:t xml:space="preserve">内将货物运送</w:t>
      </w:r>
      <w:r>
        <w:rPr>
          <w:rFonts w:hint="eastAsia" w:asciiTheme="minorEastAsia" w:hAnsiTheme="minorEastAsia" w:cstheme="minorEastAsia"/>
          <w:b/>
          <w:bCs/>
          <w:i/>
          <w:iCs/>
          <w:color w:val="ff0000"/>
          <w:sz w:val="24"/>
          <w:szCs w:val="24"/>
          <w:u w:val="single"/>
          <w:lang w:val="en-US" w:eastAsia="zh-CN"/>
        </w:rPr>
        <w:t xml:space="preserve">至</w:t>
      </w:r>
      <w:r>
        <w:rPr>
          <w:rFonts w:hint="eastAsia" w:asciiTheme="minorEastAsia" w:hAnsiTheme="minorEastAsia" w:eastAsiaTheme="minorEastAsia" w:cstheme="minorEastAsia"/>
          <w:b/>
          <w:bCs/>
          <w:i/>
          <w:iCs/>
          <w:color w:val="ff0000"/>
          <w:sz w:val="24"/>
          <w:szCs w:val="24"/>
          <w:u w:val="single"/>
        </w:rPr>
        <w:t xml:space="preserve">指定交货地点并完成安装调试；因中标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备货、发货延误造成</w:t>
      </w:r>
      <w:r>
        <w:rPr>
          <w:rFonts w:hint="eastAsia" w:asciiTheme="minorEastAsia" w:hAnsiTheme="minorEastAsia" w:cstheme="minorEastAsia"/>
          <w:b/>
          <w:bCs/>
          <w:i/>
          <w:iCs/>
          <w:color w:val="ff0000"/>
          <w:sz w:val="24"/>
          <w:szCs w:val="24"/>
          <w:u w:val="single"/>
          <w:lang w:val="en-US" w:eastAsia="zh-CN"/>
        </w:rPr>
        <w:t xml:space="preserve">工</w:t>
      </w:r>
      <w:r>
        <w:rPr>
          <w:rFonts w:hint="eastAsia" w:asciiTheme="minorEastAsia" w:hAnsiTheme="minorEastAsia" w:eastAsiaTheme="minorEastAsia" w:cstheme="minorEastAsia"/>
          <w:b/>
          <w:bCs/>
          <w:i/>
          <w:iCs/>
          <w:color w:val="ff0000"/>
          <w:sz w:val="24"/>
          <w:szCs w:val="24"/>
          <w:u w:val="single"/>
        </w:rPr>
        <w:t xml:space="preserve">期滞后的，由中标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承担</w:t>
      </w:r>
      <w:r>
        <w:rPr>
          <w:rFonts w:hint="eastAsia" w:asciiTheme="minorEastAsia" w:hAnsiTheme="minorEastAsia" w:cstheme="minorEastAsia"/>
          <w:b/>
          <w:bCs/>
          <w:i/>
          <w:iCs/>
          <w:color w:val="ff0000"/>
          <w:sz w:val="24"/>
          <w:szCs w:val="24"/>
          <w:u w:val="single"/>
          <w:lang w:val="en-US" w:eastAsia="zh-CN"/>
        </w:rPr>
        <w:t xml:space="preserve">相应违约</w:t>
      </w:r>
      <w:r>
        <w:rPr>
          <w:rFonts w:hint="eastAsia" w:asciiTheme="minorEastAsia" w:hAnsiTheme="minorEastAsia" w:eastAsiaTheme="minorEastAsia" w:cstheme="minorEastAsia"/>
          <w:b/>
          <w:bCs/>
          <w:i/>
          <w:iCs/>
          <w:color w:val="ff0000"/>
          <w:sz w:val="24"/>
          <w:szCs w:val="24"/>
          <w:u w:val="single"/>
        </w:rPr>
        <w:t xml:space="preserve">责任</w:t>
      </w:r>
      <w:r>
        <w:rPr>
          <w:rFonts w:hint="eastAsia" w:asciiTheme="minorEastAsia" w:hAnsiTheme="minorEastAsia" w:eastAsiaTheme="minorEastAsia" w:cstheme="minorEastAsia"/>
          <w:b/>
          <w:bCs/>
          <w:i/>
          <w:iCs/>
          <w:color w:val="ff0000"/>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交货地点：</w:t>
      </w:r>
      <w:r>
        <w:rPr>
          <w:rFonts w:hint="eastAsia" w:asciiTheme="minorEastAsia" w:hAnsiTheme="minorEastAsia" w:eastAsiaTheme="minorEastAsia" w:cstheme="minorEastAsia"/>
          <w:b/>
          <w:bCs/>
          <w:i/>
          <w:iCs/>
          <w:sz w:val="24"/>
          <w:szCs w:val="24"/>
          <w:u w:val="single"/>
          <w:lang w:val="en-US" w:eastAsia="zh-CN"/>
        </w:rPr>
        <w:t xml:space="preserve">盐城市滨海县中医院阜东院区</w:t>
      </w:r>
      <w:r>
        <w:rPr>
          <w:rFonts w:hint="eastAsia" w:asciiTheme="minorEastAsia" w:hAnsiTheme="minorEastAsia" w:eastAsiaTheme="minorEastAsia" w:cstheme="minorEastAsia"/>
          <w:b/>
          <w:bCs/>
          <w:i/>
          <w:iCs/>
          <w:sz w:val="24"/>
          <w:szCs w:val="24"/>
          <w:u w:val="single"/>
        </w:rPr>
        <w:t xml:space="preserve">（本项目不集中组织踏勘，</w:t>
      </w:r>
      <w:r>
        <w:rPr>
          <w:rFonts w:hint="eastAsia" w:asciiTheme="minorEastAsia" w:hAnsiTheme="minorEastAsia" w:cstheme="minorEastAsia"/>
          <w:b/>
          <w:bCs/>
          <w:i/>
          <w:iCs/>
          <w:sz w:val="24"/>
          <w:szCs w:val="24"/>
          <w:u w:val="single"/>
          <w:lang w:val="en-US" w:eastAsia="zh-CN"/>
        </w:rPr>
        <w:t xml:space="preserve">投标人</w:t>
      </w:r>
      <w:r>
        <w:rPr>
          <w:rFonts w:hint="eastAsia" w:asciiTheme="minorEastAsia" w:hAnsiTheme="minorEastAsia" w:eastAsiaTheme="minorEastAsia" w:cstheme="minorEastAsia"/>
          <w:b/>
          <w:bCs/>
          <w:i/>
          <w:iCs/>
          <w:sz w:val="24"/>
          <w:szCs w:val="24"/>
          <w:u w:val="single"/>
        </w:rPr>
        <w:t xml:space="preserve">可联系采购人自行前往，中标后，中标</w:t>
      </w:r>
      <w:r>
        <w:rPr>
          <w:rFonts w:hint="eastAsia" w:asciiTheme="minorEastAsia" w:hAnsiTheme="minorEastAsia" w:eastAsiaTheme="minorEastAsia" w:cstheme="minorEastAsia"/>
          <w:b/>
          <w:bCs/>
          <w:i/>
          <w:iCs/>
          <w:sz w:val="24"/>
          <w:szCs w:val="24"/>
          <w:u w:val="single"/>
          <w:lang w:eastAsia="zh-CN"/>
        </w:rPr>
        <w:t xml:space="preserve">人</w:t>
      </w:r>
      <w:r>
        <w:rPr>
          <w:rFonts w:hint="eastAsia" w:asciiTheme="minorEastAsia" w:hAnsiTheme="minorEastAsia" w:eastAsiaTheme="minorEastAsia" w:cstheme="minorEastAsia"/>
          <w:b/>
          <w:bCs/>
          <w:i/>
          <w:iCs/>
          <w:sz w:val="24"/>
          <w:szCs w:val="24"/>
          <w:u w:val="single"/>
        </w:rPr>
        <w:t xml:space="preserve">不得以现场情况未了解清楚为由向采购人提出提升投标报价或其他任何要求）</w:t>
      </w:r>
      <w:r>
        <w:rPr>
          <w:rFonts w:hint="eastAsia" w:asciiTheme="minorEastAsia" w:hAnsi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（二）</w:t>
      </w:r>
      <w:r>
        <w:rPr>
          <w:rFonts w:hint="eastAsia" w:asciiTheme="minorEastAsia" w:hAnsiTheme="minorEastAsia" w:eastAsiaTheme="minorEastAsia" w:cstheme="minorEastAsia"/>
          <w:b/>
          <w:bCs/>
          <w:i/>
          <w:iCs/>
          <w:sz w:val="24"/>
          <w:szCs w:val="24"/>
          <w:u w:val="single"/>
          <w:lang w:val="en-US" w:eastAsia="zh-CN"/>
        </w:rPr>
        <w:t xml:space="preserve">产品质保期：</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val="en-US" w:eastAsia="zh-CN"/>
        </w:rPr>
      </w:pPr>
      <w:r>
        <w:rPr>
          <w:rFonts w:hint="eastAsia" w:asciiTheme="minorEastAsia" w:hAnsiTheme="minorEastAsia" w:cstheme="minorEastAsia"/>
          <w:b/>
          <w:bCs/>
          <w:i/>
          <w:iCs/>
          <w:color w:val="ff0000"/>
          <w:sz w:val="24"/>
          <w:szCs w:val="24"/>
          <w:u w:val="single"/>
          <w:lang w:val="en-US" w:eastAsia="zh-CN"/>
        </w:rPr>
        <w:t xml:space="preserve">1、</w:t>
      </w:r>
      <w:r>
        <w:rPr>
          <w:rFonts w:hint="eastAsia" w:asciiTheme="minorEastAsia" w:hAnsiTheme="minorEastAsia" w:eastAsiaTheme="minorEastAsia" w:cstheme="minorEastAsia"/>
          <w:b/>
          <w:bCs/>
          <w:i/>
          <w:iCs/>
          <w:color w:val="ff0000"/>
          <w:sz w:val="24"/>
          <w:szCs w:val="24"/>
          <w:u w:val="single"/>
          <w:lang w:val="en-US" w:eastAsia="zh-CN"/>
        </w:rPr>
        <w:t xml:space="preserve">本项目所有设备及附件产品均实行整机整体质保服务，质保期自本项目整体验收合格、正式投入使用</w:t>
      </w:r>
      <w:r>
        <w:rPr>
          <w:rFonts w:hint="eastAsia" w:ascii="宋体" w:hAnsi="宋体" w:eastAsia="宋体" w:cs="宋体"/>
          <w:b/>
          <w:bCs/>
          <w:color w:val="ff0000"/>
          <w:sz w:val="24"/>
          <w:szCs w:val="24"/>
          <w:u w:val="single"/>
          <w:lang w:val="en-US" w:eastAsia="zh-CN"/>
        </w:rPr>
        <w:t xml:space="preserve">且收到采购人书面通知</w:t>
      </w:r>
      <w:r>
        <w:rPr>
          <w:rFonts w:hint="eastAsia" w:asciiTheme="minorEastAsia" w:hAnsiTheme="minorEastAsia" w:eastAsiaTheme="minorEastAsia" w:cstheme="minorEastAsia"/>
          <w:b/>
          <w:bCs/>
          <w:i/>
          <w:iCs/>
          <w:color w:val="ff0000"/>
          <w:sz w:val="24"/>
          <w:szCs w:val="24"/>
          <w:u w:val="single"/>
          <w:lang w:val="en-US" w:eastAsia="zh-CN"/>
        </w:rPr>
        <w:t xml:space="preserve">之日起计算，整机免费质保5年；</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000000" w:themeColor="text1"/>
          <w:sz w:val="24"/>
          <w:szCs w:val="24"/>
          <w:u w:val="single"/>
          <w:lang w:val="en-US" w:eastAsia="zh-CN"/>
          <w14:textFill>
            <w14:solidFill>
              <w14:schemeClr w14:val="tx1"/>
            </w14:solidFill>
          </w14:textFill>
        </w:rPr>
      </w:pP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2、</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质量保修期内，产品质量出现问题时，供应商应负责三包</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包修、包换、包退</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所有费⽤由供应商</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自行</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负担。如需更换零</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配</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件，供应商必须保证所更换的零配件与原设备具有相同规格和品质，且为</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原厂</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全新的零配件；</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lang w:val="en-US" w:eastAsia="zh-CN"/>
        </w:rPr>
        <w:t xml:space="preserve">质保期内每月提供一次上门巡检、整机保养、参数校准等服务，全程留存维保、校准、故障处置台账；每年对设备进行温度、压力、浓度、时间的验证，并出具相关验证报告，其费用包含在本次总报价中，请投标人报价时考虑在总报价中，采购人不另行支付其费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质保期内，</w:t>
      </w:r>
      <w:r>
        <w:rPr>
          <w:rFonts w:hint="eastAsia" w:asciiTheme="minorEastAsia" w:hAnsiTheme="minorEastAsia" w:eastAsiaTheme="minorEastAsia" w:cstheme="minorEastAsia"/>
          <w:b/>
          <w:bCs/>
          <w:i/>
          <w:iCs/>
          <w:sz w:val="24"/>
          <w:szCs w:val="24"/>
          <w:u w:val="single"/>
          <w:lang w:val="en-US" w:eastAsia="zh-CN"/>
        </w:rPr>
        <w:t xml:space="preserve">中标人须</w:t>
      </w:r>
      <w:r>
        <w:rPr>
          <w:rFonts w:hint="eastAsia" w:asciiTheme="minorEastAsia" w:hAnsiTheme="minorEastAsia" w:eastAsiaTheme="minorEastAsia" w:cstheme="minorEastAsia"/>
          <w:b/>
          <w:bCs/>
          <w:i/>
          <w:iCs/>
          <w:sz w:val="24"/>
          <w:szCs w:val="24"/>
          <w:u w:val="single"/>
        </w:rPr>
        <w:t xml:space="preserve">提供7×24小时不间断技术咨询与故障报修服务。</w:t>
      </w:r>
      <w:r>
        <w:rPr>
          <w:rFonts w:hint="eastAsia" w:asciiTheme="minorEastAsia" w:hAnsiTheme="minorEastAsia" w:eastAsiaTheme="minorEastAsia" w:cstheme="minorEastAsia"/>
          <w:b/>
          <w:bCs/>
          <w:i/>
          <w:iCs/>
          <w:sz w:val="24"/>
          <w:szCs w:val="24"/>
          <w:u w:val="single"/>
          <w:lang w:val="en-US" w:eastAsia="zh-CN"/>
        </w:rPr>
        <w:t xml:space="preserve">采购人发起设备故障报修通知后，中标人须在2小时内完成远程响应及故障排查；无法通过远程解决的故障，</w:t>
      </w:r>
      <w:r>
        <w:rPr>
          <w:rFonts w:hint="eastAsia" w:asciiTheme="minorEastAsia" w:hAnsiTheme="minorEastAsia" w:eastAsiaTheme="minorEastAsia" w:cstheme="minorEastAsia"/>
          <w:b/>
          <w:bCs/>
          <w:i/>
          <w:iCs/>
          <w:sz w:val="24"/>
          <w:szCs w:val="24"/>
          <w:u w:val="single"/>
        </w:rPr>
        <w:t xml:space="preserve">12小时内</w:t>
      </w:r>
      <w:r>
        <w:rPr>
          <w:rFonts w:hint="eastAsia" w:asciiTheme="minorEastAsia" w:hAnsiTheme="minorEastAsia" w:eastAsiaTheme="minorEastAsia" w:cstheme="minorEastAsia"/>
          <w:b/>
          <w:bCs/>
          <w:i/>
          <w:iCs/>
          <w:sz w:val="24"/>
          <w:szCs w:val="24"/>
          <w:u w:val="single"/>
          <w:lang w:val="en-US" w:eastAsia="zh-CN"/>
        </w:rPr>
        <w:t xml:space="preserve">安排</w:t>
      </w:r>
      <w:r>
        <w:rPr>
          <w:rFonts w:hint="eastAsia" w:asciiTheme="minorEastAsia" w:hAnsiTheme="minorEastAsia" w:eastAsiaTheme="minorEastAsia" w:cstheme="minorEastAsia"/>
          <w:b/>
          <w:bCs/>
          <w:i/>
          <w:iCs/>
          <w:sz w:val="24"/>
          <w:szCs w:val="24"/>
          <w:u w:val="single"/>
        </w:rPr>
        <w:t xml:space="preserve">工程师到达现场处置，24小时内完成故障修复</w:t>
      </w:r>
      <w:r>
        <w:rPr>
          <w:rFonts w:hint="eastAsia" w:asciiTheme="minorEastAsia" w:hAnsiTheme="minorEastAsia" w:eastAsiaTheme="minorEastAsia" w:cstheme="minorEastAsia"/>
          <w:b/>
          <w:bCs/>
          <w:i/>
          <w:iCs/>
          <w:sz w:val="24"/>
          <w:szCs w:val="24"/>
          <w:u w:val="single"/>
          <w:lang w:val="en-US" w:eastAsia="zh-CN"/>
        </w:rPr>
        <w:t xml:space="preserve">并恢复设备正常使用；若中标人</w:t>
      </w:r>
      <w:r>
        <w:rPr>
          <w:rFonts w:hint="eastAsia" w:asciiTheme="minorEastAsia" w:hAnsiTheme="minorEastAsia" w:eastAsiaTheme="minorEastAsia" w:cstheme="minorEastAsia"/>
          <w:b/>
          <w:bCs/>
          <w:i/>
          <w:iCs/>
          <w:sz w:val="24"/>
          <w:szCs w:val="24"/>
          <w:u w:val="single"/>
        </w:rPr>
        <w:t xml:space="preserve">在接到报修后48小时内仍未完成有效修复的，</w:t>
      </w:r>
      <w:r>
        <w:rPr>
          <w:rFonts w:hint="eastAsia" w:asciiTheme="minorEastAsia" w:hAnsiTheme="minorEastAsia" w:eastAsiaTheme="minorEastAsia" w:cstheme="minorEastAsia"/>
          <w:b/>
          <w:bCs/>
          <w:i/>
          <w:iCs/>
          <w:sz w:val="24"/>
          <w:szCs w:val="24"/>
          <w:u w:val="single"/>
          <w:lang w:val="en-US" w:eastAsia="zh-CN"/>
        </w:rPr>
        <w:t xml:space="preserve">采购人有权另行委托具备资质的第三方机构开展维修</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eastAsiaTheme="minorEastAsia" w:cstheme="minorEastAsia"/>
          <w:b/>
          <w:bCs/>
          <w:i/>
          <w:iCs/>
          <w:sz w:val="24"/>
          <w:szCs w:val="24"/>
          <w:u w:val="single"/>
          <w:lang w:val="en-US" w:eastAsia="zh-CN"/>
        </w:rPr>
        <w:t xml:space="preserve">由此产生的维修费用、耗材费用、人工差旅费全部由中标人承担，</w:t>
      </w:r>
      <w:r>
        <w:rPr>
          <w:rFonts w:hint="eastAsia" w:asciiTheme="minorEastAsia" w:hAnsiTheme="minorEastAsia" w:eastAsiaTheme="minorEastAsia" w:cstheme="minorEastAsia"/>
          <w:b/>
          <w:bCs/>
          <w:i/>
          <w:iCs/>
          <w:sz w:val="24"/>
          <w:szCs w:val="24"/>
          <w:u w:val="single"/>
        </w:rPr>
        <w:t xml:space="preserve">在中标</w:t>
      </w:r>
      <w:r>
        <w:rPr>
          <w:rFonts w:hint="eastAsia" w:asciiTheme="minorEastAsia" w:hAnsiTheme="minorEastAsia" w:eastAsia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rPr>
        <w:t xml:space="preserve">余款中直接扣除</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5、质保期内，同一设备、同一故障点位，经中标人连续三次合规维修后，仍无法恢复设备正常、稳定、合规运行的（非人为使用不当、非耗材正常损耗导致），中标人须无偿为采购人更换同品牌、同型号、全新整机设备，包含设备运输、拆装、调试、校验、系统对接、验收等全部费用，不向采购人收取任何额外费用，确保设备完全满足临床及院感规范使用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（三）</w:t>
      </w:r>
      <w:r>
        <w:rPr>
          <w:rFonts w:hint="eastAsia" w:asciiTheme="minorEastAsia" w:hAnsiTheme="minorEastAsia" w:eastAsiaTheme="minorEastAsia" w:cstheme="minorEastAsia"/>
          <w:b/>
          <w:bCs/>
          <w:i/>
          <w:iCs/>
          <w:sz w:val="24"/>
          <w:szCs w:val="24"/>
          <w:u w:val="single"/>
          <w:lang w:eastAsia="zh-CN"/>
        </w:rPr>
        <w:t xml:space="preserve">与信息系统连接的设备（</w:t>
      </w:r>
      <w:r>
        <w:rPr>
          <w:rFonts w:hint="eastAsia" w:asciiTheme="minorEastAsia" w:hAnsiTheme="minorEastAsia" w:eastAsiaTheme="minorEastAsia" w:cstheme="minorEastAsia"/>
          <w:b/>
          <w:bCs/>
          <w:i/>
          <w:iCs/>
          <w:sz w:val="24"/>
          <w:szCs w:val="24"/>
          <w:u w:val="single"/>
          <w:lang w:val="en-US" w:eastAsia="zh-CN"/>
        </w:rPr>
        <w:t xml:space="preserve">如：</w:t>
      </w:r>
      <w:r>
        <w:rPr>
          <w:rFonts w:hint="eastAsia" w:asciiTheme="minorEastAsia" w:hAnsiTheme="minorEastAsia" w:eastAsiaTheme="minorEastAsia" w:cstheme="minorEastAsia"/>
          <w:b/>
          <w:bCs/>
          <w:i/>
          <w:iCs/>
          <w:sz w:val="24"/>
          <w:szCs w:val="24"/>
          <w:u w:val="single"/>
          <w:lang w:eastAsia="zh-CN"/>
        </w:rPr>
        <w:t xml:space="preserve">脉动真空灭菌器、全自动清洗消毒器、全自动减压沸腾清洗消毒器、过氧化氢低温等离子灭菌器、低温蒸汽甲醛灭菌器</w:t>
      </w:r>
      <w:r>
        <w:rPr>
          <w:rFonts w:hint="eastAsia" w:asciiTheme="minorEastAsia" w:hAnsiTheme="minorEastAsia" w:eastAsiaTheme="minorEastAsia" w:cstheme="minorEastAsia"/>
          <w:b/>
          <w:bCs/>
          <w:i/>
          <w:iCs/>
          <w:sz w:val="24"/>
          <w:szCs w:val="24"/>
          <w:u w:val="single"/>
          <w:lang w:val="en-US" w:eastAsia="zh-CN"/>
        </w:rPr>
        <w:t xml:space="preserve">等</w:t>
      </w:r>
      <w:r>
        <w:rPr>
          <w:rFonts w:hint="eastAsia" w:asciiTheme="minorEastAsia" w:hAnsiTheme="minorEastAsia" w:eastAsiaTheme="minorEastAsia" w:cstheme="minorEastAsia"/>
          <w:b/>
          <w:bCs/>
          <w:i/>
          <w:iCs/>
          <w:sz w:val="24"/>
          <w:szCs w:val="24"/>
          <w:u w:val="single"/>
          <w:lang w:eastAsia="zh-CN"/>
        </w:rPr>
        <w:t xml:space="preserve">）需免费开放端口，且接入我院</w:t>
      </w:r>
      <w:r>
        <w:rPr>
          <w:rFonts w:hint="eastAsia" w:asciiTheme="minorEastAsia" w:hAnsiTheme="minorEastAsia" w:eastAsiaTheme="minorEastAsia" w:cstheme="minorEastAsia"/>
          <w:b/>
          <w:bCs/>
          <w:i/>
          <w:iCs/>
          <w:sz w:val="24"/>
          <w:szCs w:val="24"/>
          <w:u w:val="single"/>
          <w:lang w:val="en-US" w:eastAsia="zh-CN"/>
        </w:rPr>
        <w:t xml:space="preserve">信息</w:t>
      </w:r>
      <w:r>
        <w:rPr>
          <w:rFonts w:hint="eastAsia" w:asciiTheme="minorEastAsia" w:hAnsiTheme="minorEastAsia" w:eastAsiaTheme="minorEastAsia" w:cstheme="minorEastAsia"/>
          <w:b/>
          <w:bCs/>
          <w:i/>
          <w:iCs/>
          <w:sz w:val="24"/>
          <w:szCs w:val="24"/>
          <w:u w:val="single"/>
          <w:lang w:eastAsia="zh-CN"/>
        </w:rPr>
        <w:t xml:space="preserve">系统（支付给系统方的接口费</w:t>
      </w:r>
      <w:r>
        <w:rPr>
          <w:rFonts w:hint="eastAsia" w:asciiTheme="minorEastAsia" w:hAnsiTheme="minorEastAsia" w:eastAsiaTheme="minorEastAsia" w:cstheme="minorEastAsia"/>
          <w:b/>
          <w:bCs/>
          <w:i/>
          <w:iCs/>
          <w:sz w:val="24"/>
          <w:szCs w:val="24"/>
          <w:u w:val="single"/>
          <w:lang w:val="en-US" w:eastAsia="zh-CN"/>
        </w:rPr>
        <w:t xml:space="preserve">由中标</w:t>
      </w:r>
      <w:r>
        <w:rPr>
          <w:rFonts w:hint="eastAsia" w:asciiTheme="minorEastAsia" w:hAnsi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lang w:val="en-US" w:eastAsia="zh-CN"/>
        </w:rPr>
        <w:t xml:space="preserve">承担</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eastAsia="zh-CN"/>
        </w:rPr>
        <w:t xml:space="preserve">提供的设备和软件在</w:t>
      </w:r>
      <w:r>
        <w:rPr>
          <w:rFonts w:hint="eastAsia" w:asciiTheme="minorEastAsia" w:hAnsiTheme="minorEastAsia" w:eastAsiaTheme="minorEastAsia" w:cstheme="minorEastAsia"/>
          <w:b/>
          <w:bCs/>
          <w:i/>
          <w:iCs/>
          <w:sz w:val="24"/>
          <w:szCs w:val="24"/>
          <w:u w:val="single"/>
          <w:lang w:val="en-US" w:eastAsia="zh-CN"/>
        </w:rPr>
        <w:t xml:space="preserve">设备使用期限内，</w:t>
      </w:r>
      <w:r>
        <w:rPr>
          <w:rFonts w:hint="eastAsia" w:asciiTheme="minorEastAsia" w:hAnsiTheme="minorEastAsia" w:eastAsiaTheme="minorEastAsia" w:cstheme="minorEastAsia"/>
          <w:b/>
          <w:bCs/>
          <w:i/>
          <w:iCs/>
          <w:sz w:val="24"/>
          <w:szCs w:val="24"/>
          <w:u w:val="single"/>
          <w:lang w:eastAsia="zh-CN"/>
        </w:rPr>
        <w:t xml:space="preserve">不得因为任何</w:t>
      </w:r>
      <w:r>
        <w:rPr>
          <w:rFonts w:hint="eastAsia" w:asciiTheme="minorEastAsia" w:hAnsiTheme="minorEastAsia" w:eastAsiaTheme="minorEastAsia" w:cstheme="minorEastAsia"/>
          <w:b/>
          <w:bCs/>
          <w:i/>
          <w:iCs/>
          <w:sz w:val="24"/>
          <w:szCs w:val="24"/>
          <w:u w:val="single"/>
          <w:lang w:val="en-US" w:eastAsia="zh-CN"/>
        </w:rPr>
        <w:t xml:space="preserve">原因</w:t>
      </w:r>
      <w:r>
        <w:rPr>
          <w:rFonts w:hint="eastAsia" w:asciiTheme="minorEastAsia" w:hAnsiTheme="minorEastAsia" w:eastAsiaTheme="minorEastAsia" w:cstheme="minorEastAsia"/>
          <w:b/>
          <w:bCs/>
          <w:i/>
          <w:iCs/>
          <w:sz w:val="24"/>
          <w:szCs w:val="24"/>
          <w:u w:val="single"/>
          <w:lang w:eastAsia="zh-CN"/>
        </w:rPr>
        <w:t xml:space="preserve">而中断正常运行。</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四</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本项目配套附件的整体尺寸、承重轮等（</w:t>
      </w:r>
      <w:r>
        <w:rPr>
          <w:rFonts w:hint="eastAsia" w:asciiTheme="minorEastAsia" w:hAnsiTheme="minorEastAsia" w:eastAsiaTheme="minorEastAsia" w:cstheme="minorEastAsia"/>
          <w:b/>
          <w:bCs/>
          <w:i/>
          <w:iCs/>
          <w:sz w:val="24"/>
          <w:szCs w:val="24"/>
          <w:u w:val="single"/>
          <w:lang w:val="en-US" w:eastAsia="zh-CN"/>
        </w:rPr>
        <w:t xml:space="preserve">含</w:t>
      </w:r>
      <w:r>
        <w:rPr>
          <w:rFonts w:hint="eastAsia" w:asciiTheme="minorEastAsia" w:hAnsiTheme="minorEastAsia" w:eastAsiaTheme="minorEastAsia" w:cstheme="minorEastAsia"/>
          <w:b/>
          <w:bCs/>
          <w:i/>
          <w:iCs/>
          <w:sz w:val="24"/>
          <w:szCs w:val="24"/>
          <w:u w:val="single"/>
        </w:rPr>
        <w:t xml:space="preserve">部分附件</w:t>
      </w:r>
      <w:r>
        <w:rPr>
          <w:rFonts w:hint="eastAsia" w:asciiTheme="minorEastAsia" w:hAnsiTheme="minorEastAsia" w:eastAsiaTheme="minorEastAsia" w:cstheme="minorEastAsia"/>
          <w:b/>
          <w:bCs/>
          <w:i/>
          <w:iCs/>
          <w:sz w:val="24"/>
          <w:szCs w:val="24"/>
          <w:u w:val="single"/>
          <w:lang w:val="en-US" w:eastAsia="zh-CN"/>
        </w:rPr>
        <w:t xml:space="preserve">的</w:t>
      </w:r>
      <w:r>
        <w:rPr>
          <w:rFonts w:hint="eastAsia" w:asciiTheme="minorEastAsia" w:hAnsiTheme="minorEastAsia" w:eastAsiaTheme="minorEastAsia" w:cstheme="minorEastAsia"/>
          <w:b/>
          <w:bCs/>
          <w:i/>
          <w:iCs/>
          <w:sz w:val="24"/>
          <w:szCs w:val="24"/>
          <w:u w:val="single"/>
        </w:rPr>
        <w:t xml:space="preserve">材质）可结合现场实际条件定制，定制范围仅限于污物车、包装工作台、柜体等非医疗器械，不得涉及任何医疗器械产品。投标人须充分踏勘现场，充分评估现场建筑、管线、通道条件，在投标方案中预留</w:t>
      </w:r>
      <w:r>
        <w:rPr>
          <w:rFonts w:hint="eastAsia" w:asciiTheme="minorEastAsia" w:hAnsiTheme="minorEastAsia" w:eastAsiaTheme="minorEastAsia" w:cstheme="minorEastAsia"/>
          <w:b/>
          <w:bCs/>
          <w:i/>
          <w:iCs/>
          <w:sz w:val="24"/>
          <w:szCs w:val="24"/>
          <w:u w:val="single"/>
        </w:rPr>
        <w:t xml:space="preserve">现场定制调整余量。中标后，在不降低投标文件承诺的材质标准、结构强度、院感使用标准，且满足WS310系列标准及《江苏省医院消毒供应中心（室）验收标准（2021版）》相关要求前提下，由中标人依据现场实测数据开展深化定制设计；所有深化后的尺寸、结构、材质方案须书面提交采购人审核确认，经采购人书面确认后方可组织生产及加工。因投标人踏勘现场不到位、现场定制深化产生的相关费用已包含在投标总价中，采购人不另行支付任何追加费用。采购人确认仅对现场适配性予以审核，不免除中标人对产品材质、强度、院感合规性、施工质量的全部责任。</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（五）投标人或设备制造商须具备医院消毒供应中心平面流程规划技</w:t>
      </w:r>
      <w:r>
        <w:rPr>
          <w:rFonts w:hint="eastAsia" w:ascii="宋体" w:hAnsi="宋体" w:eastAsia="宋体" w:cs="宋体"/>
          <w:b/>
          <w:bCs/>
          <w:i/>
          <w:iCs/>
          <w:sz w:val="24"/>
          <w:szCs w:val="24"/>
          <w:highlight w:val="yellow"/>
          <w:u w:val="single"/>
          <w:lang w:val="en-US" w:eastAsia="zh-CN"/>
        </w:rPr>
        <w:t xml:space="preserve">术服务能力（投标阶段无需提交平面布局图纸及水电工艺图纸）。中标人在收到中标通知书后，依据采购人提供的基础资料，向采购人提交本项目设备平面布置工艺方案、设备水电汽接口配合方案，配合建筑设计院完成施工图深化、参数对接、图纸优化等技术服务工作；前述设备配套方案图纸编制、技术对接服务相关费用，由中标人自行承担，全部包含在投标总价中，采购人不再另行支付。本项目CSSD整体建筑布局、土建、净化、暖通、给排水正式施工图纸由采购人委托具备建筑设计资质的建筑设计院负责设计、出具及审图，建筑设计、图纸审查相关费用由采购人承担。</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本项为履约服务要求，不属于评标评审因素，不属于投标否决项。中标人提交的方案如存在根本性违反WS310系列强制性规范，存在不可整改的院感硬缺陷，无法满足院感验收要求，中标人在采购人规定的整改期限内整改后仍不达标的，视为中标人根本违约，采购人有权依据政府采购合同约定解除合同、不予退还履约保证金，由此造成采购人全部经济损失由中标人承担。普通细节瑕疵、局部不完善，允许中标人在项目深化阶段与建筑设计院协同优化调整，不触发合同解除。</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rPr>
      </w:pPr>
      <w:r>
        <w:rPr>
          <w:rFonts w:hint="eastAsia" w:asciiTheme="minorEastAsia" w:hAnsiTheme="minorEastAsia" w:cstheme="minorEastAsia"/>
          <w:b/>
          <w:bCs/>
          <w:i/>
          <w:iCs/>
          <w:sz w:val="24"/>
          <w:szCs w:val="24"/>
          <w:u w:val="single"/>
          <w:lang w:val="en-US" w:eastAsia="zh-CN"/>
        </w:rPr>
        <w:t xml:space="preserve">（六）</w:t>
      </w:r>
      <w:r>
        <w:rPr>
          <w:rFonts w:hint="eastAsia" w:asciiTheme="minorEastAsia" w:hAnsiTheme="minorEastAsia" w:eastAsiaTheme="minorEastAsia" w:cstheme="minorEastAsia"/>
          <w:b/>
          <w:bCs/>
          <w:i/>
          <w:iCs/>
          <w:sz w:val="24"/>
          <w:szCs w:val="24"/>
          <w:u w:val="single"/>
          <w:lang w:val="en-US" w:eastAsia="zh-CN"/>
        </w:rPr>
        <w:t xml:space="preserve">验收要求：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采购人根据项目实际情况，委托具备相应资质、与本项目无利害关系的第三方专业机构参与、协助或开展本项目履约验收工作，第三方机构出具的验收报告及检测意见作为本项目履约验收的重要参考依据。采购人始终为本项目履约验收的法定责任主体，委托第三方验收不免除采购人的验收主体责任。本项目第三方验收、检测、核验所产生的全部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全额承担。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须无条件全力配合采购人及第三方机构开展资料核查、设备勘验、现场测试、性能核验、台账核对等全部验收工作，无偿提供完整技术资料、设备运行条件及必要协助。因</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拒不配合、配合不到位、资料不全、设备不达标等自身原因，造成验收延迟、验收不合格或需要复验的，所有责任及产生的二次验收费用均由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自行承担。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3、本项目设备须经采购人验收及盐城市</w:t>
      </w:r>
      <w:r>
        <w:rPr>
          <w:rFonts w:hint="eastAsia" w:asciiTheme="minorEastAsia" w:hAnsiTheme="minorEastAsia" w:eastAsiaTheme="minorEastAsia" w:cstheme="minorEastAsia"/>
          <w:b/>
          <w:bCs/>
          <w:i/>
          <w:iCs/>
          <w:sz w:val="24"/>
          <w:szCs w:val="24"/>
          <w:u w:val="single"/>
        </w:rPr>
        <w:t xml:space="preserve">卫健委组织专家现场评审验收</w:t>
      </w:r>
      <w:r>
        <w:rPr>
          <w:rFonts w:hint="eastAsia" w:asciiTheme="minorEastAsia" w:hAnsiTheme="minorEastAsia" w:eastAsiaTheme="minorEastAsia" w:cstheme="minorEastAsia"/>
          <w:b/>
          <w:bCs/>
          <w:i/>
          <w:iCs/>
          <w:sz w:val="24"/>
          <w:szCs w:val="24"/>
          <w:u w:val="single"/>
          <w:lang w:val="en-US" w:eastAsia="zh-CN"/>
        </w:rPr>
        <w:t xml:space="preserve">通过后方可正式投入使用。若验收过程中发现设备技术参数、性能指标、配置标准、质量状况等不符合招标文件、投标承诺及合同约定标准的，采购人不予验收、责令限期整改；整改仍不合格的，采购人有权单方解除合同，同时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承担由此产生的全部经济损失及相应违约责任。</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（七）</w:t>
      </w:r>
      <w:r>
        <w:rPr>
          <w:rFonts w:hint="eastAsia" w:asciiTheme="minorEastAsia" w:hAnsiTheme="minorEastAsia" w:eastAsiaTheme="minorEastAsia" w:cstheme="minorEastAsia"/>
          <w:b/>
          <w:bCs/>
          <w:i/>
          <w:iCs/>
          <w:sz w:val="24"/>
          <w:szCs w:val="24"/>
          <w:u w:val="single"/>
        </w:rPr>
        <w:t xml:space="preserve">报价要求：投标⼈报价应是其完成</w:t>
      </w:r>
      <w:r>
        <w:rPr>
          <w:rFonts w:hint="eastAsia" w:asciiTheme="minorEastAsia" w:hAnsiTheme="minorEastAsia" w:cstheme="minorEastAsia"/>
          <w:b/>
          <w:bCs/>
          <w:i/>
          <w:iCs/>
          <w:sz w:val="24"/>
          <w:szCs w:val="24"/>
          <w:u w:val="single"/>
          <w:lang w:val="en-US" w:eastAsia="zh-CN"/>
        </w:rPr>
        <w:t xml:space="preserve">本次招标</w:t>
      </w:r>
      <w:r>
        <w:rPr>
          <w:rFonts w:hint="eastAsia" w:ascii="宋体" w:hAnsi="宋体" w:eastAsia="宋体" w:cs="宋体"/>
          <w:b/>
          <w:bCs/>
          <w:i/>
          <w:iCs/>
          <w:sz w:val="24"/>
          <w:szCs w:val="24"/>
          <w:u w:val="single"/>
          <w:lang w:val="en-US" w:eastAsia="en-US"/>
        </w:rPr>
        <w:t xml:space="preserve">所必须的全部产品并进行相关服务所需的所有费用，</w:t>
      </w:r>
      <w:r>
        <w:rPr>
          <w:rFonts w:hint="eastAsia" w:asciiTheme="majorEastAsia" w:hAnsiTheme="majorEastAsia" w:eastAsiaTheme="majorEastAsia" w:cstheme="majorEastAsia"/>
          <w:b/>
          <w:bCs/>
          <w:i/>
          <w:iCs/>
          <w:sz w:val="24"/>
          <w:szCs w:val="24"/>
          <w:u w:val="single"/>
          <w:lang w:val="en-US" w:eastAsia="en-US"/>
        </w:rPr>
        <w:t xml:space="preserve">即主要包括（但不限于）：所投</w:t>
      </w:r>
      <w:r>
        <w:rPr>
          <w:rFonts w:hint="eastAsia" w:asciiTheme="majorEastAsia" w:hAnsiTheme="majorEastAsia" w:eastAsiaTheme="majorEastAsia" w:cstheme="majorEastAsia"/>
          <w:b/>
          <w:bCs/>
          <w:i/>
          <w:iCs/>
          <w:color w:val="000000"/>
          <w:sz w:val="24"/>
          <w:szCs w:val="24"/>
          <w:u w:val="single"/>
        </w:rPr>
        <w:t xml:space="preserve">本次采购的</w:t>
      </w:r>
      <w:r>
        <w:rPr>
          <w:rFonts w:hint="eastAsia" w:asciiTheme="majorEastAsia" w:hAnsiTheme="majorEastAsia" w:eastAsiaTheme="majorEastAsia" w:cstheme="majorEastAsia"/>
          <w:b/>
          <w:bCs/>
          <w:i/>
          <w:iCs/>
          <w:color w:val="000000"/>
          <w:sz w:val="24"/>
          <w:szCs w:val="24"/>
          <w:u w:val="single"/>
          <w:lang w:val="en-US" w:eastAsia="zh-CN"/>
        </w:rPr>
        <w:t xml:space="preserve">全部</w:t>
      </w:r>
      <w:r>
        <w:rPr>
          <w:rFonts w:hint="eastAsia" w:asciiTheme="majorEastAsia" w:hAnsiTheme="majorEastAsia" w:eastAsiaTheme="majorEastAsia" w:cstheme="majorEastAsia"/>
          <w:b/>
          <w:bCs/>
          <w:i/>
          <w:iCs/>
          <w:color w:val="000000"/>
          <w:sz w:val="24"/>
          <w:szCs w:val="24"/>
          <w:u w:val="single"/>
        </w:rPr>
        <w:t xml:space="preserve">货物</w:t>
      </w:r>
      <w:r>
        <w:rPr>
          <w:rFonts w:hint="eastAsia" w:asciiTheme="majorEastAsia" w:hAnsiTheme="majorEastAsia" w:eastAsiaTheme="majorEastAsia" w:cstheme="majorEastAsia"/>
          <w:b/>
          <w:bCs/>
          <w:i/>
          <w:iCs/>
          <w:color w:val="000000"/>
          <w:sz w:val="24"/>
          <w:szCs w:val="24"/>
          <w:u w:val="single"/>
          <w:lang w:val="en-US" w:eastAsia="zh-CN"/>
        </w:rPr>
        <w:t xml:space="preserve">费用</w:t>
      </w:r>
      <w:r>
        <w:rPr>
          <w:rFonts w:hint="eastAsia" w:asciiTheme="majorEastAsia" w:hAnsiTheme="majorEastAsia" w:eastAsiaTheme="majorEastAsia" w:cstheme="majorEastAsia"/>
          <w:b/>
          <w:bCs/>
          <w:i/>
          <w:iCs/>
          <w:sz w:val="24"/>
          <w:szCs w:val="24"/>
          <w:u w:val="single"/>
          <w:lang w:val="en-US" w:eastAsia="en-US"/>
        </w:rPr>
        <w:t xml:space="preserve">（</w:t>
      </w:r>
      <w:r>
        <w:rPr>
          <w:rFonts w:hint="eastAsia" w:asciiTheme="majorEastAsia" w:hAnsiTheme="majorEastAsia" w:eastAsiaTheme="majorEastAsia" w:cstheme="majorEastAsia"/>
          <w:b/>
          <w:bCs/>
          <w:i/>
          <w:iCs/>
          <w:sz w:val="24"/>
          <w:szCs w:val="24"/>
          <w:u w:val="single"/>
          <w:lang w:val="en-US" w:eastAsia="zh-CN"/>
        </w:rPr>
        <w:t xml:space="preserve">包含</w:t>
      </w:r>
      <w:r>
        <w:rPr>
          <w:rFonts w:hint="eastAsia" w:asciiTheme="majorEastAsia" w:hAnsiTheme="majorEastAsia" w:eastAsiaTheme="majorEastAsia" w:cstheme="majorEastAsia"/>
          <w:b/>
          <w:bCs/>
          <w:i/>
          <w:iCs/>
          <w:sz w:val="24"/>
          <w:szCs w:val="24"/>
          <w:u w:val="single"/>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i/>
          <w:iCs/>
          <w:sz w:val="24"/>
          <w:szCs w:val="24"/>
          <w:u w:val="single"/>
          <w:lang w:val="en-US" w:eastAsia="zh-CN"/>
        </w:rPr>
        <w:t xml:space="preserve">验收费、</w:t>
      </w:r>
      <w:r>
        <w:rPr>
          <w:rFonts w:hint="eastAsia" w:asciiTheme="majorEastAsia" w:hAnsiTheme="majorEastAsia" w:eastAsiaTheme="majorEastAsia" w:cstheme="majorEastAsia"/>
          <w:b/>
          <w:bCs/>
          <w:i/>
          <w:iCs/>
          <w:sz w:val="24"/>
          <w:szCs w:val="24"/>
          <w:u w:val="single"/>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i/>
          <w:iCs/>
          <w:sz w:val="24"/>
          <w:szCs w:val="24"/>
          <w:u w:val="single"/>
          <w:lang w:val="en-US" w:eastAsia="zh-CN"/>
        </w:rPr>
        <w:t xml:space="preserve">本次招标文件采购需求中规定的相关费用、</w:t>
      </w:r>
      <w:r>
        <w:rPr>
          <w:rFonts w:hint="eastAsia" w:asciiTheme="majorEastAsia" w:hAnsiTheme="majorEastAsia" w:eastAsiaTheme="majorEastAsia" w:cstheme="majorEastAsia"/>
          <w:b/>
          <w:bCs/>
          <w:i/>
          <w:iCs/>
          <w:sz w:val="24"/>
          <w:szCs w:val="24"/>
          <w:u w:val="single"/>
          <w:lang w:val="en-US" w:eastAsia="en-US"/>
        </w:rPr>
        <w:t xml:space="preserve">不可预见费及其他一切相关费用等所需的全部费用。</w:t>
      </w:r>
      <w:r>
        <w:rPr>
          <w:rFonts w:hint="eastAsia" w:asciiTheme="minorEastAsia" w:hAnsiTheme="minorEastAsia" w:eastAsiaTheme="minorEastAsia" w:cstheme="minorEastAsia"/>
          <w:b/>
          <w:bCs/>
          <w:i/>
          <w:iCs/>
          <w:sz w:val="24"/>
          <w:szCs w:val="24"/>
          <w:u w:val="single"/>
        </w:rPr>
        <w:t xml:space="preserve">在合同</w:t>
      </w:r>
      <w:r>
        <w:rPr>
          <w:rFonts w:hint="eastAsia" w:asciiTheme="minorEastAsia" w:hAnsiTheme="minorEastAsia" w:cstheme="minorEastAsia"/>
          <w:b/>
          <w:bCs/>
          <w:i/>
          <w:iCs/>
          <w:sz w:val="24"/>
          <w:szCs w:val="24"/>
          <w:u w:val="single"/>
          <w:lang w:val="en-US" w:eastAsia="zh-CN"/>
        </w:rPr>
        <w:t xml:space="preserve">履行</w:t>
      </w:r>
      <w:r>
        <w:rPr>
          <w:rFonts w:hint="eastAsia" w:asciiTheme="minorEastAsia" w:hAnsiTheme="minorEastAsia" w:eastAsiaTheme="minorEastAsia" w:cstheme="minorEastAsia"/>
          <w:b/>
          <w:bCs/>
          <w:i/>
          <w:iCs/>
          <w:sz w:val="24"/>
          <w:szCs w:val="24"/>
          <w:u w:val="single"/>
        </w:rPr>
        <w:t xml:space="preserve">过程中，采购⼈不再向中标⼈</w:t>
      </w:r>
      <w:r>
        <w:rPr>
          <w:rFonts w:hint="eastAsia" w:asciiTheme="minorEastAsia" w:hAnsiTheme="minorEastAsia" w:cstheme="minorEastAsia"/>
          <w:b/>
          <w:bCs/>
          <w:i/>
          <w:iCs/>
          <w:sz w:val="24"/>
          <w:szCs w:val="24"/>
          <w:u w:val="single"/>
          <w:lang w:val="en-US" w:eastAsia="zh-CN"/>
        </w:rPr>
        <w:t xml:space="preserve">支付</w:t>
      </w:r>
      <w:r>
        <w:rPr>
          <w:rFonts w:hint="eastAsia" w:asciiTheme="minorEastAsia" w:hAnsiTheme="minorEastAsia" w:eastAsiaTheme="minorEastAsia" w:cstheme="minorEastAsia"/>
          <w:b/>
          <w:bCs/>
          <w:i/>
          <w:iCs/>
          <w:sz w:val="24"/>
          <w:szCs w:val="24"/>
          <w:u w:val="single"/>
          <w:lang w:val="en-US" w:eastAsia="zh-CN"/>
        </w:rPr>
        <w:t xml:space="preserve">中标价</w:t>
      </w:r>
      <w:r>
        <w:rPr>
          <w:rFonts w:hint="eastAsia" w:asciiTheme="minorEastAsia" w:hAnsiTheme="minorEastAsia" w:eastAsiaTheme="minorEastAsia" w:cstheme="minorEastAsia"/>
          <w:b/>
          <w:bCs/>
          <w:i/>
          <w:iCs/>
          <w:sz w:val="24"/>
          <w:szCs w:val="24"/>
          <w:u w:val="single"/>
        </w:rPr>
        <w:t xml:space="preserve">以外的任何</w:t>
      </w:r>
      <w:r>
        <w:rPr>
          <w:rFonts w:hint="eastAsia" w:asciiTheme="minorEastAsia" w:hAnsiTheme="minorEastAsia" w:cstheme="minorEastAsia"/>
          <w:b/>
          <w:bCs/>
          <w:i/>
          <w:iCs/>
          <w:sz w:val="24"/>
          <w:szCs w:val="24"/>
          <w:u w:val="single"/>
          <w:lang w:val="en-US" w:eastAsia="zh-CN"/>
        </w:rPr>
        <w:t xml:space="preserve">费用，</w:t>
      </w:r>
      <w:r>
        <w:rPr>
          <w:rFonts w:hint="eastAsia" w:ascii="宋体" w:hAnsi="宋体" w:eastAsia="宋体" w:cs="宋体"/>
          <w:b/>
          <w:bCs/>
          <w:i/>
          <w:iCs/>
          <w:sz w:val="24"/>
          <w:szCs w:val="24"/>
          <w:u w:val="single"/>
          <w:lang w:val="en-US" w:eastAsia="en-US"/>
        </w:rPr>
        <w:t xml:space="preserve">凡漏项或少计均视为优惠，</w:t>
      </w:r>
      <w:r>
        <w:rPr>
          <w:rFonts w:hint="eastAsia" w:ascii="宋体" w:hAnsi="宋体" w:eastAsia="宋体" w:cs="宋体"/>
          <w:b/>
          <w:bCs/>
          <w:i/>
          <w:iCs/>
          <w:sz w:val="24"/>
          <w:szCs w:val="24"/>
          <w:u w:val="single"/>
          <w:lang w:val="en-US" w:eastAsia="zh-CN"/>
        </w:rPr>
        <w:t xml:space="preserve">采购人</w:t>
      </w:r>
      <w:r>
        <w:rPr>
          <w:rFonts w:hint="eastAsia" w:ascii="宋体" w:hAnsi="宋体" w:eastAsia="宋体" w:cs="宋体"/>
          <w:b/>
          <w:bCs/>
          <w:i/>
          <w:iCs/>
          <w:sz w:val="24"/>
          <w:szCs w:val="24"/>
          <w:u w:val="single"/>
          <w:lang w:val="en-US" w:eastAsia="en-US"/>
        </w:rPr>
        <w:t xml:space="preserve">不另行增加费用。各类风险和政策性调整等风险已包括在合同价中，最终结算时除合同约定调整外一律不予调整</w:t>
      </w:r>
      <w:r>
        <w:rPr>
          <w:rFonts w:hint="eastAsia" w:ascii="宋体" w:hAnsi="宋体" w:eastAsia="宋体" w:cs="宋体"/>
          <w:b/>
          <w:bCs/>
          <w:i/>
          <w:iCs/>
          <w:sz w:val="24"/>
          <w:szCs w:val="24"/>
          <w:u w:val="single"/>
          <w:lang w:val="en-US" w:eastAsia="zh-CN"/>
        </w:rPr>
        <w:t xml:space="preserve">.</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（八）投标人</w:t>
      </w:r>
      <w:r>
        <w:rPr>
          <w:rFonts w:hint="eastAsia" w:asciiTheme="minorEastAsia" w:hAnsiTheme="minorEastAsia" w:eastAsiaTheme="minorEastAsia" w:cstheme="minorEastAsia"/>
          <w:b/>
          <w:bCs/>
          <w:i/>
          <w:iCs/>
          <w:sz w:val="24"/>
          <w:szCs w:val="24"/>
          <w:u w:val="single"/>
        </w:rPr>
        <w:t xml:space="preserve">在中标后须协助采购⼈办理特种设备使</w:t>
      </w:r>
      <w:r>
        <w:rPr>
          <w:rFonts w:hint="eastAsia" w:asciiTheme="minorEastAsia" w:hAnsiTheme="minorEastAsia" w:cstheme="minorEastAsia"/>
          <w:b/>
          <w:bCs/>
          <w:i/>
          <w:iCs/>
          <w:sz w:val="24"/>
          <w:szCs w:val="24"/>
          <w:u w:val="single"/>
          <w:lang w:val="en-US" w:eastAsia="zh-CN"/>
        </w:rPr>
        <w:t xml:space="preserve">用</w:t>
      </w:r>
      <w:r>
        <w:rPr>
          <w:rFonts w:hint="eastAsia" w:asciiTheme="minorEastAsia" w:hAnsiTheme="minorEastAsia" w:eastAsiaTheme="minorEastAsia" w:cstheme="minorEastAsia"/>
          <w:b/>
          <w:bCs/>
          <w:i/>
          <w:iCs/>
          <w:sz w:val="24"/>
          <w:szCs w:val="24"/>
          <w:u w:val="single"/>
        </w:rPr>
        <w:t xml:space="preserve">许可证等相关</w:t>
      </w:r>
      <w:r>
        <w:rPr>
          <w:rFonts w:hint="eastAsia" w:asciiTheme="minorEastAsia" w:hAnsiTheme="minorEastAsia" w:cstheme="minorEastAsia"/>
          <w:b/>
          <w:bCs/>
          <w:i/>
          <w:iCs/>
          <w:sz w:val="24"/>
          <w:szCs w:val="24"/>
          <w:u w:val="single"/>
          <w:lang w:val="en-US" w:eastAsia="zh-CN"/>
        </w:rPr>
        <w:t xml:space="preserve">手</w:t>
      </w:r>
      <w:r>
        <w:rPr>
          <w:rFonts w:hint="eastAsia" w:asciiTheme="minorEastAsia" w:hAnsiTheme="minorEastAsia" w:eastAsiaTheme="minorEastAsia" w:cstheme="minorEastAsia"/>
          <w:b/>
          <w:bCs/>
          <w:i/>
          <w:iCs/>
          <w:sz w:val="24"/>
          <w:szCs w:val="24"/>
          <w:u w:val="single"/>
        </w:rPr>
        <w:t xml:space="preserve">续；完成安全阀、压</w:t>
      </w:r>
      <w:r>
        <w:rPr>
          <w:rFonts w:hint="eastAsia" w:asciiTheme="minorEastAsia" w:hAnsiTheme="minorEastAsia" w:cstheme="minorEastAsia"/>
          <w:b/>
          <w:bCs/>
          <w:i/>
          <w:iCs/>
          <w:sz w:val="24"/>
          <w:szCs w:val="24"/>
          <w:u w:val="single"/>
          <w:lang w:val="en-US" w:eastAsia="zh-CN"/>
        </w:rPr>
        <w:t xml:space="preserve">力</w:t>
      </w:r>
      <w:r>
        <w:rPr>
          <w:rFonts w:hint="eastAsia" w:asciiTheme="minorEastAsia" w:hAnsiTheme="minorEastAsia" w:eastAsiaTheme="minorEastAsia" w:cstheme="minorEastAsia"/>
          <w:b/>
          <w:bCs/>
          <w:i/>
          <w:iCs/>
          <w:sz w:val="24"/>
          <w:szCs w:val="24"/>
          <w:u w:val="single"/>
        </w:rPr>
        <w:t xml:space="preserve">表</w:t>
      </w:r>
      <w:r>
        <w:rPr>
          <w:rFonts w:hint="eastAsia" w:asciiTheme="minorEastAsia" w:hAnsiTheme="minorEastAsia" w:cstheme="minorEastAsia"/>
          <w:b/>
          <w:bCs/>
          <w:i/>
          <w:iCs/>
          <w:sz w:val="24"/>
          <w:szCs w:val="24"/>
          <w:u w:val="single"/>
          <w:lang w:val="en-US" w:eastAsia="zh-CN"/>
        </w:rPr>
        <w:t xml:space="preserve">首</w:t>
      </w:r>
      <w:r>
        <w:rPr>
          <w:rFonts w:hint="eastAsia" w:asciiTheme="minorEastAsia" w:hAnsiTheme="minorEastAsia" w:eastAsiaTheme="minorEastAsia" w:cstheme="minorEastAsia"/>
          <w:b/>
          <w:bCs/>
          <w:i/>
          <w:iCs/>
          <w:sz w:val="24"/>
          <w:szCs w:val="24"/>
          <w:u w:val="single"/>
        </w:rPr>
        <w:t xml:space="preserve">次校验。</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（九）</w:t>
      </w:r>
      <w:r>
        <w:rPr>
          <w:rFonts w:hint="eastAsia" w:asciiTheme="minorEastAsia" w:hAnsiTheme="minorEastAsia" w:eastAsiaTheme="minorEastAsia" w:cstheme="minorEastAsia"/>
          <w:b/>
          <w:bCs/>
          <w:i/>
          <w:iCs/>
          <w:sz w:val="24"/>
          <w:szCs w:val="24"/>
          <w:u w:val="single"/>
          <w:lang w:val="en-US" w:eastAsia="zh-CN"/>
        </w:rPr>
        <w:t xml:space="preserve">本项目采购设备中包含2台专机专用耗材设备（</w:t>
      </w:r>
      <w:r>
        <w:rPr>
          <w:rFonts w:hint="eastAsia" w:asciiTheme="majorEastAsia" w:hAnsiTheme="majorEastAsia" w:eastAsiaTheme="majorEastAsia" w:cstheme="majorEastAsia"/>
          <w:b/>
          <w:bCs/>
          <w:i/>
          <w:iCs/>
          <w:sz w:val="24"/>
          <w:szCs w:val="24"/>
          <w:u w:val="single"/>
          <w:lang w:val="en-US" w:eastAsia="zh-CN"/>
        </w:rPr>
        <w:t xml:space="preserve">过氧化氢低温等离子灭菌器1台、低温蒸汽甲醛灭菌器1台</w:t>
      </w:r>
      <w:r>
        <w:rPr>
          <w:rFonts w:hint="eastAsia" w:asciiTheme="minorEastAsia" w:hAnsiTheme="minorEastAsia" w:eastAsiaTheme="minorEastAsia" w:cstheme="minorEastAsia"/>
          <w:b/>
          <w:bCs/>
          <w:i/>
          <w:iCs/>
          <w:sz w:val="24"/>
          <w:szCs w:val="24"/>
          <w:u w:val="single"/>
          <w:lang w:val="en-US" w:eastAsia="zh-CN"/>
        </w:rPr>
        <w:t xml:space="preserve">），如出现中标的2台专机专用耗材市场价格低于本次投标人在本次</w:t>
      </w:r>
      <w:r>
        <w:rPr>
          <w:rFonts w:hint="eastAsia" w:asciiTheme="minorEastAsia" w:hAnsiTheme="minorEastAsia" w:eastAsiaTheme="minorEastAsia" w:cstheme="minorEastAsia"/>
          <w:b/>
          <w:bCs/>
          <w:i/>
          <w:iCs/>
          <w:color w:val="auto"/>
          <w:sz w:val="24"/>
          <w:szCs w:val="24"/>
          <w:u w:val="single"/>
          <w:lang w:val="en-US" w:eastAsia="zh-CN"/>
        </w:rPr>
        <w:t xml:space="preserve">全生命周期成本测试</w:t>
      </w:r>
      <w:r>
        <w:rPr>
          <w:rFonts w:hint="eastAsia" w:asciiTheme="minorEastAsia" w:hAnsiTheme="minorEastAsia" w:eastAsiaTheme="minorEastAsia" w:cstheme="minorEastAsia"/>
          <w:b/>
          <w:bCs/>
          <w:i/>
          <w:iCs/>
          <w:sz w:val="24"/>
          <w:szCs w:val="24"/>
          <w:u w:val="single"/>
          <w:lang w:val="en-US" w:eastAsia="zh-CN"/>
        </w:rPr>
        <w:t xml:space="preserve">专机专用耗材</w:t>
      </w:r>
      <w:r>
        <w:rPr>
          <w:rFonts w:hint="eastAsia" w:asciiTheme="minorEastAsia" w:hAnsiTheme="minorEastAsia" w:eastAsiaTheme="minorEastAsia" w:cstheme="minorEastAsia"/>
          <w:b/>
          <w:bCs/>
          <w:i/>
          <w:iCs/>
          <w:color w:val="auto"/>
          <w:sz w:val="24"/>
          <w:szCs w:val="24"/>
          <w:u w:val="single"/>
          <w:lang w:val="en-US" w:eastAsia="zh-CN"/>
        </w:rPr>
        <w:t xml:space="preserve">报价，</w:t>
      </w:r>
      <w:r>
        <w:rPr>
          <w:rFonts w:hint="eastAsia" w:asciiTheme="minorEastAsia" w:hAnsiTheme="minorEastAsia" w:eastAsiaTheme="minorEastAsia" w:cstheme="minorEastAsia"/>
          <w:b/>
          <w:bCs/>
          <w:i/>
          <w:iCs/>
          <w:sz w:val="24"/>
          <w:szCs w:val="24"/>
          <w:u w:val="single"/>
          <w:lang w:val="en-US" w:eastAsia="zh-CN"/>
        </w:rPr>
        <w:t xml:space="preserve">采购人有权对2台专机专用耗材二次进行议价。</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（十）投标人</w:t>
      </w:r>
      <w:r>
        <w:rPr>
          <w:rFonts w:hint="eastAsia" w:asciiTheme="minorEastAsia" w:hAnsiTheme="minorEastAsia" w:eastAsiaTheme="minorEastAsia" w:cstheme="minorEastAsia"/>
          <w:b/>
          <w:bCs/>
          <w:i w:val="0"/>
          <w:iCs w:val="0"/>
          <w:sz w:val="24"/>
          <w:szCs w:val="24"/>
        </w:rPr>
        <w:t xml:space="preserve">需提供项目实施方案，包括但不限于关于供货周期及进度计划、进度保证措施、安装调试方案等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供货周期及进度计划：在满足招标文件交货时间的基础之上，制定详细的订货、生产和交货周期计划；</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进度保证措施：对于制定的进度计划，需提供详细的实施措施，以确保能够保质保量完成交货；</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安装调试方案：设备送到现场并且接采购人通知后，5个工作日内，需协调工程师进场安装调试；</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（十一）投标人</w:t>
      </w:r>
      <w:r>
        <w:rPr>
          <w:rFonts w:hint="eastAsia" w:asciiTheme="minorEastAsia" w:hAnsiTheme="minorEastAsia" w:eastAsiaTheme="minorEastAsia" w:cstheme="minorEastAsia"/>
          <w:b/>
          <w:bCs/>
          <w:i w:val="0"/>
          <w:iCs w:val="0"/>
          <w:sz w:val="24"/>
          <w:szCs w:val="24"/>
        </w:rPr>
        <w:t xml:space="preserve">需提供售后服务方案，包括但不限于服务体系、回访巡检方案、突发故障解决措施、技术人员保障等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服务体系：服务体系需健全完善，确保在服务期内，能够快速有效的响应采购人的报修需求，提供远程诊断或现场服务；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回访巡检方案：质保期内，供应商每</w:t>
      </w:r>
      <w:r>
        <w:rPr>
          <w:rFonts w:hint="eastAsia" w:asciiTheme="minorEastAsia" w:hAnsiTheme="minorEastAsia" w:eastAsiaTheme="minorEastAsia" w:cstheme="minorEastAsia"/>
          <w:b/>
          <w:bCs/>
          <w:i w:val="0"/>
          <w:iCs w:val="0"/>
          <w:sz w:val="24"/>
          <w:szCs w:val="24"/>
          <w:lang w:val="en-US" w:eastAsia="zh-CN"/>
        </w:rPr>
        <w:t xml:space="preserve">月</w:t>
      </w:r>
      <w:r>
        <w:rPr>
          <w:rFonts w:hint="eastAsia" w:asciiTheme="minorEastAsia" w:hAnsiTheme="minorEastAsia" w:eastAsiaTheme="minorEastAsia" w:cstheme="minorEastAsia"/>
          <w:b/>
          <w:bCs/>
          <w:i w:val="0"/>
          <w:iCs w:val="0"/>
          <w:sz w:val="24"/>
          <w:szCs w:val="24"/>
        </w:rPr>
        <w:t xml:space="preserve">提供不少于1次的常规巡检和保养；</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突发故障解决措施：供应商需结合项目特点，对于可能出现的突发设备故障进行举例，并且给出对应的解决措施；</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技术人员保障：提供售后服务的技术人员需充足且专业，能精确诊断和维修设备故障；</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（十二）投标人</w:t>
      </w:r>
      <w:r>
        <w:rPr>
          <w:rFonts w:hint="eastAsia" w:asciiTheme="minorEastAsia" w:hAnsiTheme="minorEastAsia" w:eastAsiaTheme="minorEastAsia" w:cstheme="minorEastAsia"/>
          <w:b/>
          <w:bCs/>
          <w:i w:val="0"/>
          <w:iCs w:val="0"/>
          <w:sz w:val="24"/>
          <w:szCs w:val="24"/>
        </w:rPr>
        <w:t xml:space="preserve">需提供人员培训方案，包括但不限于日常保养和定期保养培训、业务技术功能培训、常见故障处理培训、应急预案培训等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日常保养和定期保养培训：需对于设备表面清洁、环境检查、开机自检等进行培训，并且进行日常记录与报告；</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常见故障处理培训：结合项目特点，对于可能出现的常见设备故障进行举例，并且进行处理培训；</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应急预案培训：对于设备使用过程中可能出现的特殊情况进行培训与指导，比如</w:t>
      </w:r>
      <w:r>
        <w:rPr>
          <w:rFonts w:hint="eastAsia" w:asciiTheme="minorEastAsia" w:hAnsiTheme="minorEastAsia" w:eastAsiaTheme="minorEastAsia" w:cstheme="minorEastAsia"/>
          <w:b/>
          <w:bCs/>
          <w:i w:val="0"/>
          <w:iCs w:val="0"/>
          <w:sz w:val="24"/>
          <w:szCs w:val="24"/>
          <w:lang w:eastAsia="zh-CN"/>
        </w:rPr>
        <w:t xml:space="preserve">：</w:t>
      </w:r>
      <w:r>
        <w:rPr>
          <w:rFonts w:hint="eastAsia" w:asciiTheme="minorEastAsia" w:hAnsiTheme="minorEastAsia" w:eastAsiaTheme="minorEastAsia" w:cstheme="minorEastAsia"/>
          <w:b/>
          <w:bCs/>
          <w:i w:val="0"/>
          <w:iCs w:val="0"/>
          <w:sz w:val="24"/>
          <w:szCs w:val="24"/>
        </w:rPr>
        <w:t xml:space="preserve">如何处理设备死机、机械部件故障、突然断电等。</w:t>
      </w:r>
      <w:r/>
    </w:p>
    <w:p>
      <w:pPr>
        <w:keepLines w:val="0"/>
        <w:keepNext w:val="0"/>
        <w:pageBreakBefore w:val="0"/>
        <w:spacing w:line="440" w:lineRule="exact"/>
        <w:rPr>
          <w:rFonts w:hint="eastAsia"/>
          <w:i w:val="0"/>
          <w:iCs w:val="0"/>
          <w:highlight w:val="yellow"/>
        </w:rPr>
      </w:pPr>
      <w:r>
        <w:rPr>
          <w:rFonts w:hint="eastAsia"/>
          <w:i w:val="0"/>
          <w:iCs w:val="0"/>
          <w:highlight w:val="yellow"/>
        </w:rPr>
      </w:r>
      <w:r/>
    </w:p>
    <w:p>
      <w:pPr>
        <w:jc w:val="both"/>
        <w:keepLines w:val="0"/>
        <w:keepNext w:val="0"/>
        <w:pageBreakBefore w:val="0"/>
        <w:spacing w:line="440" w:lineRule="exact"/>
        <w:rPr>
          <w:rFonts w:hint="eastAsia" w:ascii="黑体" w:hAnsi="黑体" w:eastAsia="宋体" w:cs="黑体"/>
          <w:b/>
          <w:bCs/>
          <w:i w:val="0"/>
          <w:iCs w:val="0"/>
          <w:sz w:val="44"/>
          <w:szCs w:val="44"/>
          <w:lang w:eastAsia="zh-CN"/>
        </w:rPr>
      </w:pPr>
      <w:r>
        <w:rPr>
          <w:rFonts w:hint="eastAsia" w:ascii="宋体" w:hAnsi="宋体" w:eastAsia="宋体"/>
          <w:b/>
          <w:bCs/>
          <w:i w:val="0"/>
          <w:iCs w:val="0"/>
          <w:sz w:val="24"/>
          <w:u w:val="single"/>
          <w:lang w:val="en-US" w:eastAsia="zh-CN"/>
        </w:rPr>
        <w:t xml:space="preserve">注：本项目采购需求的三、商务要求中（一）至（九）项为商务</w:t>
      </w:r>
      <w:r>
        <w:rPr>
          <w:rFonts w:hint="eastAsia" w:ascii="宋体" w:hAnsi="宋体" w:eastAsia="宋体"/>
          <w:b/>
          <w:bCs/>
          <w:i w:val="0"/>
          <w:iCs w:val="0"/>
          <w:sz w:val="24"/>
          <w:u w:val="single"/>
        </w:rPr>
        <w:t xml:space="preserve">实质性要求</w:t>
      </w:r>
      <w:r>
        <w:rPr>
          <w:rFonts w:hint="eastAsia" w:ascii="宋体" w:hAnsi="宋体" w:eastAsia="宋体"/>
          <w:b/>
          <w:bCs/>
          <w:i w:val="0"/>
          <w:iCs w:val="0"/>
          <w:sz w:val="24"/>
          <w:u w:val="single"/>
          <w:lang w:eastAsia="zh-CN"/>
        </w:rPr>
        <w:t xml:space="preserve">，</w:t>
      </w:r>
      <w:r>
        <w:rPr>
          <w:rFonts w:hint="eastAsia" w:ascii="宋体" w:hAnsi="宋体" w:eastAsia="宋体"/>
          <w:b/>
          <w:bCs/>
          <w:i w:val="0"/>
          <w:iCs w:val="0"/>
          <w:sz w:val="24"/>
          <w:u w:val="single"/>
        </w:rPr>
        <w:t xml:space="preserve">需在</w:t>
      </w:r>
      <w:bookmarkStart w:id="168" w:name="OLE_LINK39"/>
      <w:r>
        <w:rPr>
          <w:rFonts w:hint="eastAsia" w:ascii="宋体" w:hAnsi="宋体" w:eastAsia="宋体"/>
          <w:b/>
          <w:bCs/>
          <w:i w:val="0"/>
          <w:iCs w:val="0"/>
          <w:sz w:val="24"/>
          <w:u w:val="single"/>
        </w:rPr>
        <w:t xml:space="preserve">商务要求响应及偏离表</w:t>
      </w:r>
      <w:bookmarkEnd w:id="168"/>
      <w:r>
        <w:rPr>
          <w:rFonts w:hint="eastAsia" w:ascii="宋体" w:hAnsi="宋体" w:eastAsia="宋体"/>
          <w:b/>
          <w:bCs/>
          <w:i w:val="0"/>
          <w:iCs w:val="0"/>
          <w:sz w:val="24"/>
          <w:u w:val="single"/>
        </w:rPr>
        <w:t xml:space="preserve">中逐条响应具体内容，且不允许负偏离，否则视为无效投标</w:t>
      </w:r>
      <w:r>
        <w:rPr>
          <w:rFonts w:hint="eastAsia" w:ascii="宋体" w:hAnsi="宋体" w:eastAsia="宋体"/>
          <w:b/>
          <w:bCs/>
          <w:i w:val="0"/>
          <w:iCs w:val="0"/>
          <w:sz w:val="24"/>
          <w:u w:val="none"/>
          <w:lang w:eastAsia="zh-CN"/>
        </w:rPr>
        <w:t xml:space="preserve">。</w:t>
      </w:r>
      <w:r/>
    </w:p>
    <w:p>
      <w:pPr>
        <w:jc w:val="center"/>
        <w:rPr>
          <w:rFonts w:hint="eastAsia" w:ascii="黑体" w:hAnsi="黑体" w:eastAsia="黑体" w:cs="黑体"/>
          <w:b/>
          <w:bCs/>
          <w:i w:val="0"/>
          <w:iCs w:val="0"/>
          <w:sz w:val="44"/>
          <w:szCs w:val="44"/>
        </w:rPr>
      </w:pPr>
      <w:r>
        <w:rPr>
          <w:rFonts w:hint="eastAsia" w:ascii="黑体" w:hAnsi="黑体" w:eastAsia="黑体" w:cs="黑体"/>
          <w:b/>
          <w:bCs/>
          <w:i w:val="0"/>
          <w:iCs w:val="0"/>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4" w:firstLine="470"/>
        <w:jc w:val="left"/>
        <w:keepLines w:val="0"/>
        <w:keepNext w:val="0"/>
        <w:pageBreakBefore w:val="0"/>
        <w:spacing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二、政府采购政策功能落实</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1、小微型企业价格扣除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（1）本项目对小型和微型企业产品给予20%的扣除价格，用扣除后的价格参与评审。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（2）供应商需按照采购文件的要求提供相应的《企业声明函》。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3、监狱和戒毒企业价格扣除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bookmarkEnd w:id="169"/>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p>
    <w:p>
      <w:pPr>
        <w:pStyle w:val="1423"/>
        <w:ind w:firstLine="480"/>
        <w:keepLines w:val="0"/>
        <w:keepNext w:val="0"/>
        <w:pageBreakBefore w:val="0"/>
        <w:spacing w:beforeAutospacing="0" w:afterAutospacing="0" w:line="440" w:lineRule="exact"/>
        <w:rPr>
          <w:rFonts w:hint="eastAsia" w:ascii="宋体" w:hAnsi="宋体" w:eastAsia="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8、采购本国产品的支持政策</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（5）投标人需按照招标文件的要求提供《关于符合本国产品标准的声明函》（以下简称《声明函》），如不提供将不享受本国产品价格评审优惠。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lang w:val="en-US" w:eastAsia="en-US"/>
        </w:rPr>
      </w:pPr>
      <w:r>
        <w:rPr>
          <w:rFonts w:hint="eastAsia" w:asciiTheme="majorEastAsia" w:hAnsiTheme="majorEastAsia" w:eastAsiaTheme="majorEastAsia" w:cs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三、评标方法与评标标准</w:t>
      </w:r>
      <w:r/>
    </w:p>
    <w:tbl>
      <w:tblPr>
        <w:tblStyle w:val="1415"/>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1029"/>
        <w:gridCol w:w="6521"/>
      </w:tblGrid>
      <w:tr>
        <w:trPr>
          <w:jc w:val="center"/>
          <w:trHeight w:val="73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详细评审项及评分要素</w:t>
            </w:r>
            <w:r/>
          </w:p>
        </w:tc>
      </w:tr>
      <w:tr>
        <w:trPr>
          <w:jc w:val="center"/>
          <w:trHeight w:val="1288"/>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p>
        </w:tc>
      </w:tr>
      <w:tr>
        <w:trPr>
          <w:jc w:val="center"/>
          <w:trHeight w:val="154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p>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rPr>
              <w:t xml:space="preserve">技术参数全部满足要求的得</w:t>
            </w:r>
            <w:r>
              <w:rPr>
                <w:rFonts w:hint="eastAsia" w:asciiTheme="majorEastAsia" w:hAnsiTheme="majorEastAsia" w:eastAsiaTheme="majorEastAsia" w:cstheme="majorEastAsia"/>
                <w:b/>
                <w:bCs/>
                <w:sz w:val="24"/>
                <w:szCs w:val="24"/>
                <w:lang w:val="en-US" w:eastAsia="zh-CN"/>
              </w:rPr>
              <w:t xml:space="preserve">40</w:t>
            </w:r>
            <w:r>
              <w:rPr>
                <w:rFonts w:hint="eastAsia" w:asciiTheme="majorEastAsia" w:hAnsiTheme="majorEastAsia" w:eastAsiaTheme="majorEastAsia" w:cstheme="majorEastAsia"/>
                <w:b/>
                <w:bCs/>
                <w:sz w:val="24"/>
                <w:szCs w:val="24"/>
              </w:rPr>
              <w:t xml:space="preserve">分，允许正偏离，但不加分。采购需求中标★的技术参数</w:t>
            </w:r>
            <w:r>
              <w:rPr>
                <w:rFonts w:hint="eastAsia" w:asciiTheme="majorEastAsia" w:hAnsiTheme="majorEastAsia" w:eastAsiaTheme="majorEastAsia" w:cstheme="majorEastAsia"/>
                <w:b/>
                <w:bCs/>
                <w:sz w:val="24"/>
                <w:szCs w:val="24"/>
                <w:lang w:val="en-US" w:eastAsia="zh-CN"/>
              </w:rPr>
              <w:t xml:space="preserve">为必须满足项，不满足作无效标处理</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采购需求中</w:t>
            </w:r>
            <w:r>
              <w:rPr>
                <w:rFonts w:hint="eastAsia" w:asciiTheme="majorEastAsia" w:hAnsiTheme="majorEastAsia" w:eastAsiaTheme="majorEastAsia" w:cstheme="majorEastAsia"/>
                <w:b/>
                <w:bCs/>
                <w:sz w:val="24"/>
                <w:szCs w:val="24"/>
                <w:lang w:val="en-US" w:eastAsia="zh-CN"/>
              </w:rPr>
              <w:t xml:space="preserve">除</w:t>
            </w:r>
            <w:r>
              <w:rPr>
                <w:rFonts w:hint="eastAsia" w:asciiTheme="majorEastAsia" w:hAnsiTheme="majorEastAsia" w:eastAsiaTheme="majorEastAsia" w:cstheme="majorEastAsia"/>
                <w:b/>
                <w:bCs/>
                <w:sz w:val="24"/>
                <w:szCs w:val="24"/>
              </w:rPr>
              <w:t xml:space="preserve">标</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sz w:val="24"/>
                <w:szCs w:val="24"/>
              </w:rPr>
              <w:t xml:space="preserve">的技术参数</w:t>
            </w:r>
            <w:r>
              <w:rPr>
                <w:rFonts w:hint="eastAsia" w:asciiTheme="majorEastAsia" w:hAnsiTheme="majorEastAsia" w:eastAsiaTheme="majorEastAsia" w:cstheme="majorEastAsia"/>
                <w:b/>
                <w:bCs/>
                <w:sz w:val="24"/>
                <w:szCs w:val="24"/>
                <w:lang w:val="en-US" w:eastAsia="zh-CN"/>
              </w:rPr>
              <w:t xml:space="preserve">为重要技术参数，每出现一条负偏离参数扣1.6分，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color w:val="auto"/>
                <w:sz w:val="24"/>
                <w:szCs w:val="24"/>
                <w:lang w:val="en-US" w:eastAsia="zh-CN"/>
              </w:rPr>
              <w:t xml:space="preserve">外的技术参数为一般技术参数，</w:t>
            </w:r>
            <w:r>
              <w:rPr>
                <w:rFonts w:hint="eastAsia" w:asciiTheme="majorEastAsia" w:hAnsiTheme="majorEastAsia" w:eastAsiaTheme="majorEastAsia" w:cstheme="majorEastAsia"/>
                <w:b/>
                <w:bCs/>
                <w:sz w:val="24"/>
                <w:szCs w:val="24"/>
                <w:lang w:val="en-US" w:eastAsia="zh-CN"/>
              </w:rPr>
              <w:t xml:space="preserve">每出现一条负偏离参数扣0.8分，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p>
        </w:tc>
      </w:tr>
      <w:tr>
        <w:trPr>
          <w:jc w:val="center"/>
          <w:trHeight w:val="9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全生命周期</w:t>
            </w:r>
            <w:r/>
          </w:p>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成本</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1423"/>
              <w:ind w:firstLine="482"/>
              <w:jc w:val="left"/>
              <w:keepLines w:val="0"/>
              <w:keepNext/>
              <w:pageBreakBefore w:val="0"/>
              <w:spacing w:beforeAutospacing="0" w:afterAutospacing="0" w:line="440" w:lineRule="exact"/>
              <w:widowControl w:val="off"/>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本项目采购设备中包含2台专机专用耗材设备。</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其余设备耗材开放，不纳入本项测算范围。投标人填报</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相关</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设备专机专用耗材单价，按照招标文件给定的单台设备10年统一预估耗材消耗量，计算全生命周期测算总成本</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2台专机设备固定测算基准价</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合计100万元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仅作</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为本次评审专用测算数值，</w:t>
            </w:r>
            <w:r>
              <w:rPr>
                <w:rFonts w:hint="eastAsia" w:asciiTheme="majorEastAsia" w:hAnsiTheme="majorEastAsia" w:eastAsiaTheme="majorEastAsia" w:cstheme="majorEastAsia"/>
                <w:b/>
                <w:bCs/>
                <w:i w:val="0"/>
                <w:iCs w:val="0"/>
                <w:color w:val="auto"/>
                <w:sz w:val="24"/>
                <w:szCs w:val="24"/>
                <w:highlight w:val="yellow"/>
                <w:u w:val="none"/>
              </w:rPr>
              <w:t xml:space="preserve">投标人填报的2台专机设备专机专用耗材报价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表</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格式见本招标文件</w:t>
            </w:r>
            <w:r>
              <w:rPr>
                <w:rFonts w:hint="eastAsia"/>
                <w:b/>
                <w:bCs/>
                <w:highlight w:val="yellow"/>
              </w:rPr>
              <w:t xml:space="preserve">第六章</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rPr>
              <w:t xml:space="preserve">，</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不作为</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合同结算价格</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仅</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作为</w:t>
            </w:r>
            <w:r>
              <w:rPr>
                <w:rFonts w:hint="eastAsia" w:asciiTheme="majorEastAsia" w:hAnsiTheme="majorEastAsia" w:eastAsiaTheme="majorEastAsia" w:cstheme="majorEastAsia"/>
                <w:b/>
                <w:bCs/>
                <w:i w:val="0"/>
                <w:iCs w:val="0"/>
                <w:color w:val="auto"/>
                <w:sz w:val="24"/>
                <w:szCs w:val="24"/>
                <w:highlight w:val="yellow"/>
                <w:u w:val="none"/>
              </w:rPr>
              <w:t xml:space="preserve">2台专机设备专机专用耗材</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结算价格，但如其市场价格低于本次投标人</w:t>
            </w:r>
            <w:r>
              <w:rPr>
                <w:rFonts w:hint="eastAsia" w:asciiTheme="majorEastAsia" w:hAnsiTheme="majorEastAsia" w:eastAsiaTheme="majorEastAsia" w:cstheme="majorEastAsia"/>
                <w:b/>
                <w:bCs/>
                <w:i w:val="0"/>
                <w:iCs w:val="0"/>
                <w:color w:val="auto"/>
                <w:sz w:val="24"/>
                <w:szCs w:val="24"/>
                <w:highlight w:val="yellow"/>
                <w:u w:val="none"/>
              </w:rPr>
              <w:t xml:space="preserve">专机专用耗材投标报价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，采购人有权</w:t>
            </w:r>
            <w:r>
              <w:rPr>
                <w:rFonts w:hint="eastAsia" w:asciiTheme="minorEastAsia" w:hAnsiTheme="minorEastAsia" w:eastAsiaTheme="minorEastAsia" w:cstheme="minorEastAsia"/>
                <w:b/>
                <w:bCs/>
                <w:i w:val="0"/>
                <w:iCs w:val="0"/>
                <w:color w:val="auto"/>
                <w:sz w:val="24"/>
                <w:szCs w:val="24"/>
                <w:highlight w:val="yellow"/>
                <w:u w:val="none"/>
                <w:lang w:val="en-US" w:eastAsia="zh-CN"/>
              </w:rPr>
              <w:t xml:space="preserve">对2台专机专用耗材二次进行议价</w:t>
            </w:r>
            <w:r>
              <w:rPr>
                <w:rFonts w:hint="eastAsia" w:asciiTheme="minorEastAsia" w:hAnsiTheme="minorEastAsia" w:cstheme="minorEastAsia"/>
                <w:b/>
                <w:bCs/>
                <w:i w:val="0"/>
                <w:iCs w:val="0"/>
                <w:color w:val="auto"/>
                <w:sz w:val="24"/>
                <w:szCs w:val="24"/>
                <w:highlight w:val="yellow"/>
                <w:u w:val="none"/>
                <w:lang w:val="en-US" w:eastAsia="zh-CN"/>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所有投标人使用完全相同的设备测算基数；本项仅对投标人填报的专机耗材报价进行横向比较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测算口径：全生命周期测算总成本=【投标文件给定的2台专机专用设备固定测算基准价】+【招标文件统一给定该2台设备统一的10年预估专机耗材总费用】。耗材预估消耗量由招标文件统一给定，所有投标人采用完全相同基数，投标人不得自行修改预估消耗量。</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耗材预估消耗量</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单年度</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①</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过氧化氢低温等离子灭菌器的过氧化氢卡匣100个（每个卡匣为12颗胶囊或小瓶）；</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②低温蒸汽甲醛灭菌器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2%复方甲醛灭菌液</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500L；</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计分规则：全生命周期测算总成本最低得满分</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分；测算总成本最高得0分；其余投标人得分按线性插值法计算</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p>
          <w:p>
            <w:pPr>
              <w:keepLines w:val="0"/>
              <w:keepNext w:val="0"/>
              <w:pageBreakBefore w:val="0"/>
              <w:spacing w:line="440" w:lineRule="exact"/>
              <w:rPr>
                <w:rFonts w:hint="default" w:ascii="宋体" w:hAnsi="宋体" w:eastAsia="宋体" w:cs="宋体"/>
                <w:b/>
                <w:bCs/>
                <w:color w:val="000000" w:themeColor="text1"/>
                <w:sz w:val="24"/>
                <w:szCs w:val="24"/>
                <w:highlight w:val="yellow"/>
                <w:lang w:val="en-US"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统一按照下列公式计算：</w:t>
            </w:r>
            <w:r>
              <w:rPr>
                <w:rFonts w:hint="eastAsia" w:asciiTheme="majorEastAsia" w:hAnsiTheme="majorEastAsia" w:eastAsiaTheme="majorEastAsia" w:cstheme="majorEastAsia"/>
                <w:b/>
                <w:bCs/>
                <w:sz w:val="24"/>
                <w:szCs w:val="24"/>
                <w:highlight w:val="yellow"/>
              </w:rPr>
              <w:t xml:space="preserve">其余投标人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sz w:val="24"/>
                <w:szCs w:val="24"/>
                <w:highlight w:val="yellow"/>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最低全生命周期测算总成本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高</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yellow"/>
                <w14:textFill>
                  <w14:solidFill>
                    <w14:schemeClr w14:val="tx1"/>
                  </w14:solidFill>
                </w14:textFill>
              </w:rPr>
              <w:t xml:space="preserve">（保留两位小数，按小数点后第三位四舍五入）。</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证明材料：须提供投标</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加盖公章的专机专用耗材承诺函</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未书面确认设备耗材为软硬件锁止专机专用耗材的，本项不得分</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，明确列明：①设备对应的耗材属于软硬件锁止、不存在第三方兼容替代耗材；②投标填报的专机耗材单价；③设备使用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年限</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内，实际采购该专机耗材，供货单价不得高于本次投标填报单价；④如耗材停产断供，厂家须提供同等性能替代方案并承担相应损失。</w:t>
            </w:r>
            <w:r/>
          </w:p>
          <w:p>
            <w:pPr>
              <w:ind w:firstLine="482"/>
              <w:keepLines w:val="0"/>
              <w:keepNext w:val="0"/>
              <w:pageBreakBefore w:val="0"/>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招标文件给定的10年耗材预估消耗量仅用于评审测算，采购人不承诺实际采购数量，本次不采购耗材；</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本项测算仅包含设备不可替代的专机专用耗材，能够兼容第三方通用耗材不纳入测算</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监测类耗材</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等</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本评分项不改变开标一览表投标总价，开标一览表总价包含全部设备</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及三方配置等</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，按招标文件价格分规则正常计算价格得分。</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项目实施方案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评委</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根据投标人提供的项目实施方案进行综合打分，包括但不限于关于供货周期及进度计划、进度保证措施、安装调试方案等</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项目实施方案优于</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分；满足</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分；不满足或者不提供的，不得分。</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注：投标人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rPr>
            </w:pPr>
            <w:r>
              <w:rPr>
                <w:rFonts w:hint="eastAsia" w:ascii="宋体" w:hAnsi="宋体" w:eastAsia="宋体" w:cs="宋体"/>
                <w:b/>
                <w:bCs w:val="0"/>
                <w:sz w:val="24"/>
                <w:shd w:val="clear" w:color="auto" w:fill="ffffff" w:themeFill="background1"/>
              </w:rPr>
              <w:t xml:space="preserve">售后服务方案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lang w:val="en-US" w:eastAsia="zh-CN"/>
              </w:rPr>
            </w:pPr>
            <w:r>
              <w:rPr>
                <w:rFonts w:hint="eastAsia" w:ascii="宋体" w:hAnsi="宋体" w:eastAsia="宋体" w:cs="宋体"/>
                <w:b/>
                <w:bCs w:val="0"/>
                <w:sz w:val="24"/>
                <w:shd w:val="clear" w:color="auto" w:fill="ffffff" w:themeFill="background1"/>
                <w:lang w:val="en-US" w:eastAsia="zh-CN"/>
              </w:rPr>
              <w:t xml:space="preserve">5</w:t>
            </w:r>
            <w:r>
              <w:rPr>
                <w:rFonts w:hint="eastAsia" w:ascii="宋体" w:hAnsi="宋体" w:eastAsia="宋体" w:cs="宋体"/>
                <w:b/>
                <w:bCs w:val="0"/>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根据投标人提供的售后服务方案进行综合打分，</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包括但不限于服务体系、回访巡检方案、突发故障解决措施、技术人员保障</w:t>
            </w:r>
            <w:r>
              <w:rPr>
                <w:rFonts w:hint="eastAsia" w:asciiTheme="majorEastAsia" w:hAnsiTheme="majorEastAsia" w:eastAsiaTheme="majorEastAsia" w:cstheme="majorEastAsia"/>
                <w:b/>
                <w:bCs w:val="0"/>
                <w:color w:val="000000" w:themeColor="text1"/>
                <w:sz w:val="24"/>
                <w:szCs w:val="24"/>
                <w14:textFill>
                  <w14:solidFill>
                    <w14:schemeClr w14:val="tx1"/>
                  </w14:solidFill>
                </w14:textFill>
              </w:rPr>
              <w:t xml:space="preserve">等</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售后服务方案优于</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val="0"/>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w:t>
            </w:r>
            <w:r/>
          </w:p>
          <w:p>
            <w:pPr>
              <w:pStyle w:val="1428"/>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hAnsi="宋体" w:eastAsia="宋体"/>
                <w:b/>
                <w:bCs w:val="0"/>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val="0"/>
                <w:color w:val="000000" w:themeColor="text1"/>
                <w:sz w:val="24"/>
                <w:szCs w:val="24"/>
                <w:shd w:val="clear" w:color="auto" w:fill="ffffff" w:themeFill="background1"/>
                <w14:textFill>
                  <w14:solidFill>
                    <w14:schemeClr w14:val="tx1"/>
                  </w14:solidFill>
                </w14:textFill>
              </w:rPr>
              <w:t xml:space="preserve">提供的方案能全部响</w:t>
            </w:r>
            <w:r>
              <w:rPr>
                <w:rFonts w:hint="eastAsia" w:hAnsi="宋体" w:eastAsia="宋体"/>
                <w:b/>
                <w:bCs w:val="0"/>
                <w:color w:val="000000" w:themeColor="text1"/>
                <w:shd w:val="clear" w:color="auto" w:fill="ffffff" w:themeFill="background1"/>
                <w14:textFill>
                  <w14:solidFill>
                    <w14:schemeClr w14:val="tx1"/>
                  </w14:solidFill>
                </w14:textFill>
              </w:rPr>
              <w:t xml:space="preserve">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262"/>
        </w:trPr>
        <w:tc>
          <w:tcPr>
            <w:tcBorders>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人员培训方案</w:t>
            </w:r>
            <w:r/>
          </w:p>
        </w:tc>
        <w:tc>
          <w:tcPr>
            <w:tcBorders>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根据投标人提供的人员培训方案进行综合打分，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包括但不限于日常保养和定期保养培训、业务技术功能培训、常见故障处理培训、应急预案培训等</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内容</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人员培训方案优于</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ascii="宋体" w:hAnsi="宋体" w:eastAsia="宋体" w:cs="宋体"/>
                <w:b/>
                <w:bCs/>
                <w:color w:val="000000" w:themeColor="text1"/>
                <w:sz w:val="24"/>
                <w:szCs w:val="24"/>
                <w:shd w:val="clear" w:color="auto" w:fill="ffffff" w:themeFill="background1"/>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pStyle w:val="1428"/>
              <w:ind w:firstLine="482"/>
              <w:jc w:val="left"/>
              <w:keepLines w:val="0"/>
              <w:keepNext w:val="0"/>
              <w:pageBreakBefore w:val="0"/>
              <w:spacing w:line="440" w:lineRule="exact"/>
              <w:rPr>
                <w:rFonts w:hint="eastAsia" w:ascii="宋体" w:hAnsi="宋体" w:eastAsia="宋体" w:cs="宋体"/>
                <w:b/>
                <w:bCs/>
                <w:sz w:val="24"/>
                <w:szCs w:val="24"/>
              </w:rPr>
            </w:pPr>
            <w:r>
              <w:rPr>
                <w:rFonts w:hint="eastAsia" w:hAnsi="宋体" w:eastAsia="宋体"/>
                <w:b/>
                <w:bCs/>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color w:val="000000" w:themeColor="text1"/>
                <w:sz w:val="24"/>
                <w:szCs w:val="24"/>
                <w:shd w:val="clear" w:color="auto" w:fill="ffffff" w:themeFill="background1"/>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04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rPr>
                <w:rFonts w:hint="eastAsia" w:ascii="宋体" w:hAnsi="宋体" w:eastAsia="宋体" w:cs="宋体"/>
                <w:b/>
                <w:bCs/>
                <w:sz w:val="24"/>
                <w:szCs w:val="24"/>
              </w:rPr>
            </w:pP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提供所投</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核心产品制造商</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自</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2024年1月1日（以合同签订日期为准）以来，承接过类似消毒供应设备（</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含</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脉动真空灭菌器</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及过氧化氢低温等离子灭菌器</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）的合同</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业绩</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【单份合同中包含</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本次所投</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同型号核心产品】，每提供一份得</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分，此项最高得3分。</w:t>
            </w:r>
            <w:r>
              <w:rPr>
                <w:rFonts w:hint="eastAsia" w:asciiTheme="majorEastAsia" w:hAnsiTheme="majorEastAsia" w:eastAsiaTheme="majorEastAsia" w:cstheme="majorEastAsia"/>
                <w:b/>
                <w:bCs/>
                <w:sz w:val="24"/>
                <w:szCs w:val="24"/>
                <w:highlight w:val="yellow"/>
                <w:u w:val="none"/>
                <w:lang w:eastAsia="zh-CN"/>
              </w:rPr>
              <w:t xml:space="preserve">（投</w:t>
            </w:r>
            <w:r>
              <w:rPr>
                <w:rFonts w:hint="eastAsia" w:asciiTheme="majorEastAsia" w:hAnsiTheme="majorEastAsia" w:eastAsiaTheme="majorEastAsia" w:cstheme="majorEastAsia"/>
                <w:b/>
                <w:bCs/>
                <w:sz w:val="24"/>
                <w:szCs w:val="24"/>
                <w:highlight w:val="yellow"/>
                <w:lang w:eastAsia="zh-CN"/>
              </w:rPr>
              <w:t xml:space="preserve">标文件中需提供整份合同的原件扫描件、发票的原件扫描件并加盖投标单位公章、中标通知书原件扫描件，</w:t>
            </w:r>
            <w:r>
              <w:rPr>
                <w:rFonts w:hint="eastAsia" w:asciiTheme="majorEastAsia" w:hAnsiTheme="majorEastAsia" w:eastAsiaTheme="majorEastAsia" w:cstheme="majorEastAsia"/>
                <w:b/>
                <w:bCs/>
                <w:sz w:val="24"/>
                <w:szCs w:val="24"/>
                <w:highlight w:val="yellow"/>
                <w:u w:val="none"/>
              </w:rPr>
              <w:t xml:space="preserve">不提供或提供的业绩合同内容不符合本评分项要求的不得分</w:t>
            </w:r>
            <w:r>
              <w:rPr>
                <w:rFonts w:hint="eastAsia" w:asciiTheme="majorEastAsia" w:hAnsiTheme="majorEastAsia" w:eastAsiaTheme="majorEastAsia" w:cstheme="majorEastAsia"/>
                <w:b/>
                <w:bCs/>
                <w:sz w:val="24"/>
                <w:szCs w:val="24"/>
                <w:highlight w:val="yellow"/>
                <w:lang w:eastAsia="zh-CN"/>
              </w:rPr>
              <w:t xml:space="preserve">，且中标后</w:t>
            </w:r>
            <w:r>
              <w:rPr>
                <w:rFonts w:hint="eastAsia" w:asciiTheme="majorEastAsia" w:hAnsiTheme="majorEastAsia" w:eastAsiaTheme="majorEastAsia" w:cstheme="majorEastAsia"/>
                <w:b/>
                <w:bCs/>
                <w:sz w:val="24"/>
                <w:szCs w:val="24"/>
                <w:highlight w:val="yellow"/>
                <w:lang w:val="en-US" w:eastAsia="zh-CN"/>
              </w:rPr>
              <w:t xml:space="preserve">采购人</w:t>
            </w:r>
            <w:r>
              <w:rPr>
                <w:rFonts w:hint="eastAsia" w:asciiTheme="majorEastAsia" w:hAnsiTheme="majorEastAsia" w:eastAsiaTheme="majorEastAsia" w:cstheme="majorEastAsia"/>
                <w:b/>
                <w:bCs/>
                <w:sz w:val="24"/>
                <w:szCs w:val="24"/>
                <w:highlight w:val="yellow"/>
                <w:lang w:eastAsia="zh-CN"/>
              </w:rPr>
              <w:t xml:space="preserve">有权要求中标人提供原件备查；评标委员会根据投标人提供的业绩证明材料为评审依据）</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节能产品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环境标志产品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的，符合要求的，有一项得0.5分，最高得1分。特别说明：投标人需提供环境标志产品证书并标识出产品型号，如未提供，将不予认可。</w:t>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423"/>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423"/>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
    </w:p>
    <w:p>
      <w:pPr>
        <w:pStyle w:val="1423"/>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42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955054"/>
      <w:r/>
      <w:bookmarkStart w:id="176" w:name="_Hlt26671380"/>
      <w:r/>
      <w:bookmarkStart w:id="177" w:name="_Hlt26671374"/>
      <w:r/>
      <w:bookmarkStart w:id="178" w:name="_Hlt26609389"/>
      <w:r/>
      <w:bookmarkStart w:id="179" w:name="_格式3__银行出具的资信证明"/>
      <w:r/>
      <w:bookmarkStart w:id="180" w:name="_Hlt26955070"/>
      <w:r/>
      <w:bookmarkStart w:id="181" w:name="_Toc120614284"/>
      <w:r/>
      <w:bookmarkStart w:id="182" w:name="_Toc462564146"/>
      <w:r/>
      <w:bookmarkStart w:id="183" w:name="_格式2__法定代表人授权书"/>
      <w:r/>
      <w:bookmarkStart w:id="184" w:name="_Hlt26955066"/>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w:t>
      </w:r>
      <w:r>
        <w:rPr>
          <w:rFonts w:hint="eastAsia"/>
          <w:b/>
          <w:bCs/>
          <w:sz w:val="24"/>
          <w:szCs w:val="24"/>
          <w:lang w:val="en-US" w:eastAsia="zh-CN"/>
        </w:rPr>
        <w:t xml:space="preserve">管理</w:t>
      </w:r>
      <w:r>
        <w:rPr>
          <w:rFonts w:hint="eastAsia"/>
          <w:b/>
          <w:bCs/>
          <w:sz w:val="24"/>
          <w:szCs w:val="24"/>
        </w:rPr>
        <w:t xml:space="preserve">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十、</w:t>
      </w:r>
      <w:r>
        <w:rPr>
          <w:rFonts w:hint="eastAsia" w:asciiTheme="majorEastAsia" w:hAnsiTheme="majorEastAsia" w:eastAsiaTheme="majorEastAsia" w:cstheme="majorEastAsia"/>
          <w:b/>
          <w:bCs/>
          <w:sz w:val="24"/>
          <w:szCs w:val="24"/>
        </w:rPr>
        <w:t xml:space="preserve">如投标产品为非医疗器械，需提供相关说明文件</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sz w:val="24"/>
          <w:szCs w:val="24"/>
          <w:lang w:val="en-US" w:eastAsia="zh-CN"/>
        </w:rPr>
        <w:t xml:space="preserve">十一、</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及及蒸汽发生器</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生产厂家有效的《特种设备生产许可证》</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扫描件；</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zh-CN"/>
        </w:rPr>
        <w:t xml:space="preserve">十二、</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宋体" w:hAnsi="宋体" w:eastAsia="宋体" w:cs="宋体"/>
          <w:b/>
          <w:bCs/>
          <w:sz w:val="24"/>
          <w:szCs w:val="24"/>
          <w:highlight w:val="none"/>
          <w:lang w:val="en-US" w:eastAsia="en-US"/>
        </w:rPr>
        <w:t xml:space="preserve">十</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en-US"/>
        </w:rPr>
        <w:t xml:space="preserve">、</w:t>
      </w:r>
      <w:r>
        <w:rPr>
          <w:rFonts w:hint="eastAsia" w:asciiTheme="majorEastAsia" w:hAnsiTheme="majorEastAsia" w:eastAsiaTheme="majorEastAsia" w:cstheme="majorEastAsia"/>
          <w:b/>
          <w:bCs/>
          <w:sz w:val="24"/>
          <w:szCs w:val="24"/>
          <w:highlight w:val="none"/>
        </w:rPr>
        <w:t xml:space="preserve">2台专机设备专机专用耗材报价</w:t>
      </w:r>
      <w:r>
        <w:rPr>
          <w:rFonts w:hint="eastAsia" w:asciiTheme="majorEastAsia" w:hAnsiTheme="majorEastAsia" w:eastAsiaTheme="majorEastAsia" w:cstheme="majorEastAsia"/>
          <w:b/>
          <w:bCs/>
          <w:sz w:val="24"/>
          <w:szCs w:val="24"/>
          <w:highlight w:val="none"/>
          <w:lang w:val="en-US" w:eastAsia="zh-CN"/>
        </w:rPr>
        <w:t xml:space="preserve">表</w:t>
      </w:r>
      <w:r>
        <w:rPr>
          <w:rFonts w:hint="eastAsia" w:ascii="Times New Roman" w:eastAsia="宋体"/>
          <w:b/>
          <w:bCs/>
          <w:sz w:val="24"/>
          <w:szCs w:val="24"/>
          <w:highlight w:val="none"/>
          <w:lang w:val="en-US" w:eastAsia="en-US"/>
        </w:rPr>
        <w:t xml:space="preserve">（格式附后</w:t>
      </w:r>
      <w:r>
        <w:rPr>
          <w:rFonts w:hint="eastAsia" w:ascii="Times New Roman" w:eastAsia="宋体"/>
          <w:b/>
          <w:bCs/>
          <w:sz w:val="24"/>
          <w:szCs w:val="24"/>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二十一</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二十三</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3"/>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w:t>
      </w:r>
      <w:r>
        <w:rPr>
          <w:rFonts w:hint="eastAsia" w:ascii="黑体" w:hAnsi="黑体" w:eastAsia="黑体" w:cs="黑体"/>
          <w:b/>
          <w:bCs/>
          <w:color w:val="000000"/>
          <w:sz w:val="32"/>
          <w:szCs w:val="32"/>
          <w:lang w:val="en-US" w:eastAsia="zh-CN"/>
        </w:rPr>
        <w:t xml:space="preserve">管理</w:t>
      </w:r>
      <w:r>
        <w:rPr>
          <w:rFonts w:hint="eastAsia" w:ascii="黑体" w:hAnsi="黑体" w:eastAsia="黑体" w:cs="黑体"/>
          <w:b/>
          <w:bCs/>
          <w:color w:val="000000"/>
          <w:sz w:val="32"/>
          <w:szCs w:val="32"/>
        </w:rPr>
        <w:t xml:space="preserve">关系的不同供应商，不得参加同一合同项下的政府采购活动证明文件书面声明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w:t>
      </w:r>
      <w:r>
        <w:rPr>
          <w:rFonts w:hint="eastAsia" w:ascii="宋体" w:hAnsi="宋体" w:eastAsia="宋体" w:cs="宋体"/>
          <w:b/>
          <w:bCs/>
          <w:color w:val="000000"/>
          <w:sz w:val="28"/>
          <w:szCs w:val="28"/>
          <w:lang w:val="en-US" w:eastAsia="zh-CN"/>
        </w:rPr>
        <w:t xml:space="preserve">管理</w:t>
      </w:r>
      <w:r>
        <w:rPr>
          <w:rFonts w:hint="eastAsia" w:ascii="宋体" w:hAnsi="宋体" w:eastAsia="宋体" w:cs="宋体"/>
          <w:b/>
          <w:bCs/>
          <w:color w:val="000000"/>
          <w:sz w:val="28"/>
          <w:szCs w:val="28"/>
        </w:rPr>
        <w:t xml:space="preserve">关系的不同供应商，不得参加同一合同项下的政府采购活动证明文件书面声明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十、</w:t>
      </w:r>
      <w:r>
        <w:rPr>
          <w:rFonts w:hint="eastAsia" w:ascii="黑体" w:hAnsi="黑体" w:eastAsia="黑体" w:cs="黑体"/>
          <w:b/>
          <w:bCs/>
          <w:sz w:val="32"/>
          <w:szCs w:val="32"/>
          <w:u w:val="single"/>
        </w:rPr>
        <w:t xml:space="preserve">如投标产品为非医疗器械，需提供相关说明文件</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color w:val="000000" w:themeColor="text1"/>
          <w:sz w:val="32"/>
          <w:szCs w:val="32"/>
          <w:lang w:eastAsia="zh-CN"/>
          <w14:textFill>
            <w14:solidFill>
              <w14:schemeClr w14:val="tx1"/>
            </w14:solidFill>
          </w14:textFill>
        </w:rPr>
      </w:pPr>
      <w:r>
        <w:rPr>
          <w:rFonts w:hint="eastAsia" w:ascii="黑体" w:hAnsi="黑体" w:eastAsia="黑体" w:cs="黑体"/>
          <w:b/>
          <w:bCs/>
          <w:sz w:val="32"/>
          <w:szCs w:val="32"/>
          <w:u w:val="single"/>
          <w:lang w:val="en-US" w:eastAsia="zh-CN"/>
        </w:rPr>
        <w:t xml:space="preserve">十一、</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投标人</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提供所投脉动真空灭菌器</w:t>
      </w:r>
      <w:r>
        <w:rPr>
          <w:rFonts w:hint="eastAsia" w:ascii="黑体" w:hAnsi="黑体" w:eastAsia="黑体" w:cs="黑体"/>
          <w:b/>
          <w:bCs/>
          <w:color w:val="000000" w:themeColor="text1"/>
          <w:sz w:val="32"/>
          <w:szCs w:val="32"/>
          <w:highlight w:val="yellow"/>
          <w:lang w:val="en-US" w:eastAsia="zh-CN"/>
          <w14:textFill>
            <w14:solidFill>
              <w14:schemeClr w14:val="tx1"/>
            </w14:solidFill>
          </w14:textFill>
        </w:rPr>
        <w:t xml:space="preserve">及蒸汽发生器</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生产厂家有效的《特种设备生产许可证》</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扫描件</w:t>
      </w:r>
      <w:r>
        <w:rPr>
          <w:rFonts w:hint="eastAsia" w:ascii="黑体" w:hAnsi="黑体" w:eastAsia="黑体" w:cs="黑体"/>
          <w:b/>
          <w:bCs/>
          <w:color w:val="000000" w:themeColor="text1"/>
          <w:sz w:val="32"/>
          <w:szCs w:val="32"/>
          <w:lang w:val="en-US" w:eastAsia="zh-CN"/>
          <w14:textFill>
            <w14:solidFill>
              <w14:schemeClr w14:val="tx1"/>
            </w14:solidFill>
          </w14:textFill>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十二、</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十三</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指令后45日内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zh-CN"/>
        </w:rPr>
        <w:t xml:space="preserve">整机</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免费全质保</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eastAsiaTheme="minorEastAsia" w:cstheme="minorEastAsia"/>
          <w:b/>
          <w:bCs/>
          <w:sz w:val="24"/>
          <w:szCs w:val="24"/>
          <w:u w:val="single"/>
          <w:lang w:val="en-US" w:eastAsia="zh-CN"/>
        </w:rPr>
        <w:t xml:space="preserve">质保期自</w:t>
      </w:r>
      <w:r>
        <w:rPr>
          <w:rFonts w:hint="eastAsia" w:asciiTheme="minorEastAsia" w:hAnsiTheme="minorEastAsia" w:eastAsiaTheme="minorEastAsia" w:cstheme="minorEastAsia"/>
          <w:b/>
          <w:bCs/>
          <w:sz w:val="24"/>
          <w:szCs w:val="24"/>
          <w:u w:val="single"/>
          <w:lang w:eastAsia="zh-CN"/>
        </w:rPr>
        <w:t xml:space="preserve">本项目整体验收合格、正式</w:t>
      </w:r>
      <w:r>
        <w:rPr>
          <w:rFonts w:hint="eastAsia" w:asciiTheme="minorEastAsia" w:hAnsiTheme="minorEastAsia" w:eastAsiaTheme="minorEastAsia" w:cstheme="minorEastAsia"/>
          <w:b/>
          <w:bCs/>
          <w:sz w:val="24"/>
          <w:szCs w:val="24"/>
          <w:u w:val="single"/>
          <w:lang w:val="en-US" w:eastAsia="zh-CN"/>
        </w:rPr>
        <w:t xml:space="preserve">投</w:t>
      </w:r>
      <w:r>
        <w:rPr>
          <w:rFonts w:hint="eastAsia" w:asciiTheme="minorEastAsia" w:hAnsiTheme="minorEastAsia" w:eastAsiaTheme="minorEastAsia" w:cstheme="minorEastAsia"/>
          <w:b/>
          <w:bCs/>
          <w:sz w:val="24"/>
          <w:szCs w:val="24"/>
          <w:u w:val="single"/>
          <w:lang w:eastAsia="zh-CN"/>
        </w:rPr>
        <w:t xml:space="preserve">入使用之日</w:t>
      </w:r>
      <w:r>
        <w:rPr>
          <w:rFonts w:hint="eastAsia" w:asciiTheme="minorEastAsia" w:hAnsiTheme="minorEastAsia" w:eastAsiaTheme="minorEastAsia" w:cstheme="minorEastAsia"/>
          <w:b/>
          <w:bCs/>
          <w:sz w:val="24"/>
          <w:szCs w:val="24"/>
          <w:u w:val="single"/>
          <w:lang w:val="en-US" w:eastAsia="zh-CN"/>
        </w:rPr>
        <w:t xml:space="preserve">起计算</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cstheme="minorEastAsia"/>
          <w:b/>
          <w:bCs/>
          <w:sz w:val="24"/>
          <w:szCs w:val="24"/>
          <w:u w:val="single"/>
          <w:lang w:eastAsia="zh-CN"/>
        </w:rPr>
        <w:t xml:space="preserve">，</w:t>
      </w:r>
      <w:r>
        <w:rPr>
          <w:rFonts w:hint="eastAsia"/>
          <w:b/>
          <w:bCs/>
          <w:sz w:val="24"/>
          <w:szCs w:val="24"/>
          <w:u w:val="single"/>
        </w:rPr>
        <w:t xml:space="preserve">质量保修期内，产品质量出现问题时，</w:t>
      </w:r>
      <w:r>
        <w:rPr>
          <w:rFonts w:hint="eastAsia"/>
          <w:b/>
          <w:bCs/>
          <w:sz w:val="24"/>
          <w:szCs w:val="24"/>
          <w:u w:val="single"/>
          <w:lang w:val="en-US" w:eastAsia="zh-CN"/>
        </w:rPr>
        <w:t xml:space="preserve">我单位</w:t>
      </w:r>
      <w:r>
        <w:rPr>
          <w:rFonts w:hint="eastAsia"/>
          <w:b/>
          <w:bCs/>
          <w:sz w:val="24"/>
          <w:szCs w:val="24"/>
          <w:u w:val="single"/>
        </w:rPr>
        <w:t xml:space="preserve">负责三包</w:t>
      </w:r>
      <w:r>
        <w:rPr>
          <w:rFonts w:hint="eastAsia"/>
          <w:b/>
          <w:bCs/>
          <w:sz w:val="24"/>
          <w:szCs w:val="24"/>
          <w:u w:val="single"/>
          <w:lang w:eastAsia="zh-CN"/>
        </w:rPr>
        <w:t xml:space="preserve">（</w:t>
      </w:r>
      <w:r>
        <w:rPr>
          <w:rFonts w:hint="eastAsia"/>
          <w:b/>
          <w:bCs/>
          <w:sz w:val="24"/>
          <w:szCs w:val="24"/>
          <w:u w:val="single"/>
        </w:rPr>
        <w:t xml:space="preserve">包修、包换、包退</w:t>
      </w:r>
      <w:r>
        <w:rPr>
          <w:rFonts w:hint="eastAsia"/>
          <w:b/>
          <w:bCs/>
          <w:sz w:val="24"/>
          <w:szCs w:val="24"/>
          <w:u w:val="single"/>
          <w:lang w:eastAsia="zh-CN"/>
        </w:rPr>
        <w:t xml:space="preserve">），</w:t>
      </w:r>
      <w:r>
        <w:rPr>
          <w:rFonts w:hint="eastAsia"/>
          <w:b/>
          <w:bCs/>
          <w:sz w:val="24"/>
          <w:szCs w:val="24"/>
          <w:u w:val="single"/>
        </w:rPr>
        <w:t xml:space="preserve">所有</w:t>
      </w:r>
      <w:r>
        <w:rPr>
          <w:rFonts w:hint="eastAsia"/>
          <w:b/>
          <w:bCs/>
          <w:sz w:val="24"/>
          <w:szCs w:val="24"/>
          <w:u w:val="single"/>
          <w:lang w:val="en-US" w:eastAsia="zh-CN"/>
        </w:rPr>
        <w:t xml:space="preserve">费用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u w:val="single"/>
        </w:rPr>
        <w:t xml:space="preserve">。如需更换零配件，</w:t>
      </w:r>
      <w:r>
        <w:rPr>
          <w:rFonts w:hint="eastAsia"/>
          <w:b/>
          <w:bCs/>
          <w:sz w:val="24"/>
          <w:szCs w:val="24"/>
          <w:u w:val="single"/>
          <w:lang w:val="en-US" w:eastAsia="zh-CN"/>
        </w:rPr>
        <w:t xml:space="preserve">我单位</w:t>
      </w:r>
      <w:r>
        <w:rPr>
          <w:rFonts w:hint="eastAsia"/>
          <w:b/>
          <w:bCs/>
          <w:sz w:val="24"/>
          <w:szCs w:val="24"/>
          <w:u w:val="single"/>
        </w:rPr>
        <w:t xml:space="preserve">保证所更换的零配件与原设备具有相同规格和品质，且为全新的零配件；</w:t>
      </w:r>
      <w:r>
        <w:rPr>
          <w:rFonts w:hint="eastAsia"/>
          <w:b/>
          <w:bCs/>
          <w:sz w:val="24"/>
          <w:szCs w:val="24"/>
          <w:u w:val="single"/>
          <w:lang w:val="en-US" w:eastAsia="zh-CN"/>
        </w:rPr>
        <w:t xml:space="preserve">质保期内我单位每月提供一次上门巡检、整机保养、参数校准等服务，全程留存维保、校准、故障处置台账；每年对设备进行温度、压力、浓度、时间的验证，并出具相关验证报告</w:t>
      </w:r>
      <w:r>
        <w:rPr>
          <w:rFonts w:hint="eastAsia"/>
          <w:b/>
          <w:bCs/>
          <w:sz w:val="24"/>
          <w:szCs w:val="24"/>
          <w:u w:val="single"/>
        </w:rPr>
        <w:t xml:space="preserve">所有费</w:t>
      </w:r>
      <w:r>
        <w:rPr>
          <w:rFonts w:hint="eastAsia"/>
          <w:b/>
          <w:bCs/>
          <w:sz w:val="24"/>
          <w:szCs w:val="24"/>
          <w:u w:val="single"/>
          <w:lang w:val="en-US" w:eastAsia="zh-CN"/>
        </w:rPr>
        <w:t xml:space="preserve">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 合格 </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0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十四</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十五</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p>
    <w:p>
      <w:pPr>
        <w:jc w:val="left"/>
        <w:spacing w:before="101" w:line="227" w:lineRule="auto"/>
        <w:widowControl/>
        <w:rPr>
          <w:rFonts w:ascii="黑体" w:hAnsi="黑体" w:eastAsia="黑体" w:cs="黑体"/>
          <w:b/>
          <w:bCs/>
          <w:color w:val="000000"/>
          <w:spacing w:val="5"/>
          <w:sz w:val="31"/>
          <w:szCs w:val="31"/>
          <w:lang w:eastAsia="en-US"/>
        </w:rPr>
      </w:pPr>
      <w:r>
        <w:rPr>
          <w:rFonts w:ascii="黑体" w:hAnsi="黑体" w:eastAsia="黑体" w:cs="黑体"/>
          <w:b/>
          <w:bCs/>
          <w:color w:val="000000"/>
          <w:spacing w:val="5"/>
          <w:sz w:val="31"/>
          <w:szCs w:val="31"/>
          <w:lang w:eastAsia="en-US"/>
        </w:rPr>
      </w: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七</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序号</w:t>
            </w:r>
            <w:r/>
          </w:p>
        </w:tc>
        <w:tc>
          <w:tcPr>
            <w:gridSpan w:val="2"/>
            <w:tcW w:w="24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货物名称</w:t>
            </w:r>
            <w:r/>
          </w:p>
        </w:tc>
        <w:tc>
          <w:tcPr>
            <w:tcW w:w="82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单位</w:t>
            </w:r>
            <w:r/>
          </w:p>
        </w:tc>
        <w:tc>
          <w:tcPr>
            <w:tcW w:w="83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数量</w:t>
            </w:r>
            <w:r/>
          </w:p>
        </w:tc>
        <w:tc>
          <w:tcPr>
            <w:tcW w:w="1222"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全费用综合单价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936"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合价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1455"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所投货物品牌</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(或生产企业)</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及型号</w:t>
            </w:r>
            <w:r/>
          </w:p>
        </w:tc>
        <w:tc>
          <w:tcPr>
            <w:tcW w:w="924"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产地</w:t>
            </w:r>
            <w:r/>
          </w:p>
        </w:tc>
      </w:tr>
      <w:tr>
        <w:trPr>
          <w:trHeight w:val="556"/>
        </w:trPr>
        <w:tc>
          <w:tcPr>
            <w:tcW w:w="782"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一</w:t>
            </w:r>
            <w:r/>
          </w:p>
        </w:tc>
        <w:tc>
          <w:tcPr>
            <w:gridSpan w:val="8"/>
            <w:tcW w:w="8657" w:type="dxa"/>
            <w:vAlign w:val="center"/>
            <w:textDirection w:val="lrTb"/>
            <w:noWrap w:val="false"/>
          </w:tcPr>
          <w:p>
            <w:pPr>
              <w:jc w:val="left"/>
              <w:keepLines w:val="0"/>
              <w:keepNext w:val="0"/>
              <w:pageBreakBefore w:val="0"/>
              <w:spacing w:line="440" w:lineRule="exac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消毒供应中心</w:t>
            </w:r>
            <w:r>
              <w:rPr>
                <w:rFonts w:hint="eastAsia" w:asciiTheme="minorEastAsia" w:hAnsiTheme="minorEastAsia" w:eastAsiaTheme="minorEastAsia" w:cstheme="minorEastAsia"/>
                <w:b/>
                <w:bCs/>
                <w:sz w:val="24"/>
                <w:szCs w:val="24"/>
                <w:lang w:val="en-US" w:eastAsia="zh-CN"/>
              </w:rPr>
              <w:t xml:space="preserve">主要设备</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脉动真空灭菌器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4</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5</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6</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7</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8</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9</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10</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蒸汽发生器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6"/>
        </w:trPr>
        <w:tc>
          <w:tcPr>
            <w:tcW w:w="782" w:type="dxa"/>
            <w:vAlign w:val="center"/>
            <w:textDirection w:val="lrTb"/>
            <w:noWrap w:val="false"/>
          </w:tcPr>
          <w:p>
            <w:pPr>
              <w:jc w:val="center"/>
              <w:keepLines w:val="0"/>
              <w:keepNext w:val="0"/>
              <w:pageBreakBefore w:val="0"/>
              <w:spacing w:line="440" w:lineRule="exact"/>
              <w:rPr>
                <w:rFonts w:hint="eastAsia"/>
                <w:b/>
                <w:bCs/>
                <w:sz w:val="24"/>
                <w:szCs w:val="24"/>
                <w:lang w:val="en-US" w:eastAsia="en-US"/>
              </w:rPr>
            </w:pPr>
            <w:r>
              <w:rPr>
                <w:rFonts w:hint="eastAsia"/>
                <w:b/>
                <w:bCs/>
                <w:sz w:val="24"/>
                <w:szCs w:val="24"/>
                <w:lang w:val="en-US" w:eastAsia="zh-CN"/>
              </w:rPr>
              <w:t xml:space="preserve">二</w:t>
            </w:r>
            <w:r/>
          </w:p>
        </w:tc>
        <w:tc>
          <w:tcPr>
            <w:gridSpan w:val="8"/>
            <w:tcW w:w="8657" w:type="dxa"/>
            <w:vAlign w:val="center"/>
            <w:textDirection w:val="lrTb"/>
            <w:noWrap w:val="false"/>
          </w:tcPr>
          <w:p>
            <w:pPr>
              <w:jc w:val="both"/>
              <w:keepLines w:val="0"/>
              <w:keepNext w:val="0"/>
              <w:pageBreakBefore w:val="0"/>
              <w:spacing w:line="440" w:lineRule="exact"/>
              <w:rPr>
                <w:b/>
                <w:bCs/>
                <w:sz w:val="24"/>
                <w:szCs w:val="24"/>
                <w:lang w:eastAsia="en-US"/>
              </w:rPr>
            </w:pPr>
            <w:r>
              <w:rPr>
                <w:rFonts w:hint="eastAsia"/>
                <w:b/>
                <w:bCs/>
                <w:sz w:val="24"/>
                <w:szCs w:val="24"/>
              </w:rPr>
              <w:t xml:space="preserve">消毒供应中心</w:t>
            </w:r>
            <w:r>
              <w:rPr>
                <w:rFonts w:hint="eastAsia"/>
                <w:b/>
                <w:bCs/>
                <w:sz w:val="24"/>
                <w:szCs w:val="24"/>
                <w:lang w:val="en-US" w:eastAsia="zh-CN"/>
              </w:rPr>
              <w:t xml:space="preserve">附件产品</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cstheme="minorEastAsia"/>
                <w:b/>
                <w:bCs/>
                <w:sz w:val="24"/>
                <w:szCs w:val="24"/>
                <w:highlight w:val="none"/>
                <w:lang w:val="en-US" w:eastAsia="zh-CN"/>
              </w:rPr>
              <w:t xml:space="preserve">26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气枪</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（高温）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28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（低温）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网篮筐</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（存塑封包灭菌用）</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人位</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13"/>
        </w:trPr>
        <w:tc>
          <w:tcPr>
            <w:gridSpan w:val="2"/>
            <w:tcBorders>
              <w:right w:val="single" w:color="auto" w:sz="4" w:space="0"/>
            </w:tcBorders>
            <w:tcW w:w="1212" w:type="dxa"/>
            <w:vAlign w:val="center"/>
            <w:textDirection w:val="lrTb"/>
            <w:noWrap w:val="false"/>
          </w:tcPr>
          <w:p>
            <w:pPr>
              <w:jc w:val="center"/>
              <w:keepLines w:val="0"/>
              <w:keepNext w:val="0"/>
              <w:pageBreakBefore w:val="0"/>
              <w:spacing w:before="253" w:line="440" w:lineRule="exact"/>
              <w:rPr>
                <w:rFonts w:ascii="宋体" w:hAnsi="宋体" w:eastAsia="宋体" w:cs="宋体"/>
                <w:color w:val="000000"/>
                <w:sz w:val="24"/>
                <w:szCs w:val="24"/>
                <w:lang w:val="en-US" w:eastAsia="en-US" w:bidi="ar-SA"/>
              </w:rPr>
            </w:pPr>
            <w:r>
              <w:rPr>
                <w:rFonts w:hint="eastAsia"/>
                <w:b/>
                <w:bCs/>
                <w:sz w:val="24"/>
                <w:szCs w:val="24"/>
                <w:lang w:val="en-US" w:eastAsia="zh-CN"/>
              </w:rPr>
              <w:t xml:space="preserve">总报价</w:t>
            </w:r>
            <w:r>
              <w:rPr>
                <w:b/>
                <w:bCs/>
                <w:sz w:val="24"/>
                <w:szCs w:val="24"/>
                <w:lang w:val="en-US" w:eastAsia="en-US"/>
              </w:rPr>
              <w:t xml:space="preserve">：</w:t>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注：1、此表可以根据需要自行增减行数。</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Theme="majorEastAsia" w:hAnsiTheme="majorEastAsia" w:eastAsiaTheme="majorEastAsia" w:cstheme="majorEastAsia"/>
          <w:b w:val="0"/>
          <w:bCs w:val="0"/>
          <w:sz w:val="24"/>
          <w:szCs w:val="24"/>
          <w:lang w:val="en-US" w:eastAsia="en-US"/>
        </w:rPr>
        <w:t xml:space="preserve">完成</w:t>
      </w:r>
      <w:r>
        <w:rPr>
          <w:rFonts w:hint="eastAsia" w:asciiTheme="majorEastAsia" w:hAnsiTheme="majorEastAsia" w:eastAsiaTheme="majorEastAsia" w:cstheme="majorEastAsia"/>
          <w:b w:val="0"/>
          <w:bCs w:val="0"/>
          <w:sz w:val="24"/>
          <w:szCs w:val="24"/>
          <w:lang w:val="en-US" w:eastAsia="zh-CN"/>
        </w:rPr>
        <w:t xml:space="preserve">本项目</w:t>
      </w:r>
      <w:r>
        <w:rPr>
          <w:rFonts w:hint="eastAsia" w:asciiTheme="majorEastAsia" w:hAnsiTheme="majorEastAsia" w:eastAsiaTheme="majorEastAsia" w:cstheme="majorEastAsia"/>
          <w:b w:val="0"/>
          <w:bCs w:val="0"/>
          <w:sz w:val="24"/>
          <w:szCs w:val="24"/>
          <w:lang w:val="en-US" w:eastAsia="en-US"/>
        </w:rPr>
        <w:t xml:space="preserve">招标文件中的所有内容</w:t>
      </w:r>
      <w:r>
        <w:rPr>
          <w:rFonts w:hint="eastAsia" w:asciiTheme="majorEastAsia" w:hAnsiTheme="majorEastAsia" w:eastAsiaTheme="majorEastAsia" w:cstheme="majorEastAsia"/>
          <w:b w:val="0"/>
          <w:bCs w:val="0"/>
          <w:sz w:val="24"/>
          <w:szCs w:val="24"/>
          <w:lang w:val="en-US" w:eastAsia="zh-CN"/>
        </w:rPr>
        <w:t xml:space="preserve">，</w:t>
      </w:r>
      <w:r>
        <w:rPr>
          <w:rFonts w:hint="eastAsia" w:asciiTheme="majorEastAsia" w:hAnsiTheme="majorEastAsia" w:eastAsiaTheme="majorEastAsia" w:cstheme="majorEastAsia"/>
          <w:b w:val="0"/>
          <w:bCs w:val="0"/>
          <w:sz w:val="24"/>
          <w:szCs w:val="24"/>
          <w:lang w:val="en-US" w:eastAsia="en-US"/>
        </w:rPr>
        <w:t xml:space="preserve">即主要包括（但不限于）：所投</w:t>
      </w:r>
      <w:r>
        <w:rPr>
          <w:rFonts w:hint="eastAsia" w:asciiTheme="majorEastAsia" w:hAnsiTheme="majorEastAsia" w:eastAsiaTheme="majorEastAsia" w:cstheme="majorEastAsia"/>
          <w:b w:val="0"/>
          <w:bCs w:val="0"/>
          <w:color w:val="000000"/>
          <w:sz w:val="24"/>
          <w:szCs w:val="24"/>
        </w:rPr>
        <w:t xml:space="preserve">本次采购的</w:t>
      </w:r>
      <w:r>
        <w:rPr>
          <w:rFonts w:hint="eastAsia" w:asciiTheme="majorEastAsia" w:hAnsiTheme="majorEastAsia" w:eastAsiaTheme="majorEastAsia" w:cstheme="majorEastAsia"/>
          <w:b w:val="0"/>
          <w:bCs w:val="0"/>
          <w:color w:val="000000"/>
          <w:sz w:val="24"/>
          <w:szCs w:val="24"/>
          <w:lang w:val="en-US" w:eastAsia="zh-CN"/>
        </w:rPr>
        <w:t xml:space="preserve">全部</w:t>
      </w:r>
      <w:r>
        <w:rPr>
          <w:rFonts w:hint="eastAsia" w:asciiTheme="majorEastAsia" w:hAnsiTheme="majorEastAsia" w:eastAsiaTheme="majorEastAsia" w:cstheme="majorEastAsia"/>
          <w:b w:val="0"/>
          <w:bCs w:val="0"/>
          <w:color w:val="000000"/>
          <w:sz w:val="24"/>
          <w:szCs w:val="24"/>
        </w:rPr>
        <w:t xml:space="preserve">货物</w:t>
      </w:r>
      <w:r>
        <w:rPr>
          <w:rFonts w:hint="eastAsia" w:asciiTheme="majorEastAsia" w:hAnsiTheme="majorEastAsia" w:eastAsiaTheme="majorEastAsia" w:cstheme="majorEastAsia"/>
          <w:b w:val="0"/>
          <w:bCs w:val="0"/>
          <w:color w:val="000000"/>
          <w:sz w:val="24"/>
          <w:szCs w:val="24"/>
          <w:lang w:val="en-US" w:eastAsia="zh-CN"/>
        </w:rPr>
        <w:t xml:space="preserve">费用</w:t>
      </w:r>
      <w:r>
        <w:rPr>
          <w:rFonts w:hint="eastAsia" w:asciiTheme="majorEastAsia" w:hAnsiTheme="majorEastAsia" w:eastAsiaTheme="majorEastAsia" w:cstheme="majorEastAsia"/>
          <w:b w:val="0"/>
          <w:bCs w:val="0"/>
          <w:sz w:val="24"/>
          <w:szCs w:val="24"/>
          <w:lang w:val="en-US" w:eastAsia="en-US"/>
        </w:rPr>
        <w:t xml:space="preserve">（</w:t>
      </w:r>
      <w:r>
        <w:rPr>
          <w:rFonts w:hint="eastAsia" w:asciiTheme="majorEastAsia" w:hAnsiTheme="majorEastAsia" w:eastAsiaTheme="majorEastAsia" w:cstheme="majorEastAsia"/>
          <w:b w:val="0"/>
          <w:bCs w:val="0"/>
          <w:sz w:val="24"/>
          <w:szCs w:val="24"/>
          <w:lang w:val="en-US" w:eastAsia="zh-CN"/>
        </w:rPr>
        <w:t xml:space="preserve">包含</w:t>
      </w:r>
      <w:r>
        <w:rPr>
          <w:rFonts w:hint="eastAsia" w:asciiTheme="majorEastAsia" w:hAnsiTheme="majorEastAsia" w:eastAsiaTheme="majorEastAsia" w:cs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4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2"/>
        <w:jc w:val="left"/>
        <w:spacing w:before="101" w:line="227" w:lineRule="auto"/>
        <w:widowControl/>
        <w:rPr>
          <w:rFonts w:hint="eastAsia" w:asciiTheme="minorEastAsia" w:hAnsiTheme="minorEastAsia" w:eastAsiaTheme="minorEastAsia" w:cstheme="minorEastAsia"/>
          <w:b/>
          <w:bCs/>
          <w:i/>
          <w:iCs/>
          <w:color w:val="000000" w:themeColor="text1"/>
          <w:sz w:val="24"/>
          <w:szCs w:val="24"/>
          <w:highlight w:val="none"/>
          <w:u w:val="single"/>
          <w:lang w:val="en-US" w:eastAsia="en-US"/>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bCs/>
          <w:i/>
          <w:iCs/>
          <w:color w:val="000000" w:themeColor="text1"/>
          <w:sz w:val="24"/>
          <w:szCs w:val="24"/>
          <w:highlight w:val="none"/>
          <w:lang w:val="en-US" w:eastAsia="en-US"/>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pacing w:val="6"/>
          <w:sz w:val="24"/>
          <w:szCs w:val="24"/>
          <w:highlight w:val="none"/>
          <w:u w:val="single"/>
          <w:lang w:eastAsia="en-US"/>
          <w14:textFill>
            <w14:solidFill>
              <w14:schemeClr w14:val="tx1"/>
            </w14:solidFill>
          </w14:textFill>
        </w:rPr>
        <w:t xml:space="preserve">投标分项报价表</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消毒供应中心</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主要设备中序号</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1-4项设备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全部</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必须</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为同一</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否则作无效标处理。（以投标人投标时提供的</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对应设备有效的</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医疗器械生产许可证</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等证明材料扫描件为准，须</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佐证品牌及生产厂家一致性</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不提供或提供的证明材料不符合本项要求的作无效标处理）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十八、</w:t>
      </w:r>
      <w:r>
        <w:rPr>
          <w:rFonts w:hint="eastAsia" w:ascii="黑体" w:hAnsi="黑体" w:eastAsia="黑体" w:cs="黑体"/>
          <w:color w:val="auto"/>
          <w:sz w:val="32"/>
          <w:szCs w:val="32"/>
        </w:rPr>
        <w:t xml:space="preserve">2台专机设备专机专用耗材报价</w:t>
      </w:r>
      <w:r>
        <w:rPr>
          <w:rFonts w:hint="eastAsia" w:ascii="黑体" w:hAnsi="黑体" w:eastAsia="黑体" w:cs="黑体"/>
          <w:color w:val="auto"/>
          <w:sz w:val="32"/>
          <w:szCs w:val="32"/>
          <w:lang w:val="en-US" w:eastAsia="zh-CN"/>
        </w:rPr>
        <w:t xml:space="preserve">表</w:t>
      </w:r>
      <w:r/>
    </w:p>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ind w:firstLine="2249"/>
        <w:jc w:val="both"/>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rPr>
        <w:t xml:space="preserve">2台专机设备专机专用耗材报价</w:t>
      </w:r>
      <w:r>
        <w:rPr>
          <w:rFonts w:hint="eastAsia" w:asciiTheme="majorEastAsia" w:hAnsiTheme="majorEastAsia" w:eastAsiaTheme="majorEastAsia" w:cstheme="majorEastAsia"/>
          <w:b/>
          <w:bCs/>
          <w:sz w:val="32"/>
          <w:szCs w:val="32"/>
          <w:lang w:val="en-US" w:eastAsia="zh-CN"/>
        </w:rPr>
        <w:t xml:space="preserve">表</w:t>
      </w:r>
      <w:r/>
    </w:p>
    <w:p>
      <w:pPr>
        <w:rPr>
          <w:rFonts w:hint="eastAsia"/>
          <w:sz w:val="24"/>
          <w:szCs w:val="24"/>
        </w:rPr>
      </w:pPr>
      <w:r>
        <w:rPr>
          <w:rFonts w:hint="eastAsia"/>
          <w:sz w:val="24"/>
          <w:szCs w:val="24"/>
        </w:rPr>
      </w:r>
      <w:r/>
    </w:p>
    <w:tbl>
      <w:tblPr>
        <w:tblStyle w:val="1436"/>
        <w:tblW w:w="93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002"/>
        <w:gridCol w:w="2038"/>
        <w:gridCol w:w="840"/>
        <w:gridCol w:w="1180"/>
        <w:gridCol w:w="1370"/>
        <w:gridCol w:w="1170"/>
        <w:gridCol w:w="950"/>
      </w:tblGrid>
      <w:tr>
        <w:trPr>
          <w:trHeight w:val="927"/>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序号</w:t>
            </w:r>
            <w:r/>
          </w:p>
        </w:tc>
        <w:tc>
          <w:tcPr>
            <w:gridSpan w:val="2"/>
            <w:tcW w:w="30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专机设备专机专用耗材</w:t>
            </w:r>
            <w:r>
              <w:rPr>
                <w:rFonts w:hint="eastAsia" w:asciiTheme="minorEastAsia" w:hAnsiTheme="minorEastAsia" w:eastAsiaTheme="minorEastAsia" w:cstheme="minorEastAsia"/>
                <w:b/>
                <w:bCs/>
                <w:sz w:val="24"/>
                <w:szCs w:val="24"/>
                <w:lang w:val="en-US" w:eastAsia="zh-CN"/>
              </w:rPr>
              <w:t xml:space="preserve">名称</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计量</w:t>
            </w:r>
            <w:r/>
          </w:p>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单位</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综合单价</w:t>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合价</w:t>
            </w:r>
            <w:r/>
          </w:p>
        </w:tc>
        <w:tc>
          <w:tcPr>
            <w:tcW w:w="950" w:type="dxa"/>
            <w:vAlign w:val="center"/>
            <w:textDirection w:val="lrTb"/>
            <w:noWrap w:val="false"/>
          </w:tcPr>
          <w:p>
            <w:pPr>
              <w:jc w:val="cente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备注</w:t>
            </w:r>
            <w:r/>
          </w:p>
        </w:tc>
      </w:tr>
      <w:tr>
        <w:trPr>
          <w:trHeight w:val="1188"/>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 xml:space="preserve">过氧化氢低温等离子灭菌器的过氧化氢卡匣（每个卡匣为12颗胶囊或小瓶）</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个</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1202"/>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2</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低温蒸汽甲醛灭菌器</w:t>
            </w:r>
            <w:r>
              <w:rPr>
                <w:rFonts w:hint="eastAsia" w:asciiTheme="minorEastAsia" w:hAnsiTheme="minorEastAsia" w:eastAsiaTheme="minorEastAsia" w:cstheme="minorEastAsia"/>
                <w:b/>
                <w:bCs/>
                <w:sz w:val="24"/>
                <w:szCs w:val="24"/>
                <w:lang w:val="en-US" w:eastAsia="zh-CN"/>
              </w:rPr>
              <w:t xml:space="preserve">的</w:t>
            </w:r>
            <w:r>
              <w:rPr>
                <w:rFonts w:hint="eastAsia" w:asciiTheme="minorEastAsia" w:hAnsiTheme="minorEastAsia" w:eastAsiaTheme="minorEastAsia" w:cstheme="minorEastAsia"/>
                <w:b/>
                <w:bCs/>
                <w:sz w:val="24"/>
                <w:szCs w:val="24"/>
              </w:rPr>
              <w:t xml:space="preserve">2%复方甲醛灭菌液</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L</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500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452"/>
        </w:trPr>
        <w:tc>
          <w:tcPr>
            <w:gridSpan w:val="2"/>
            <w:tcBorders>
              <w:right w:val="single" w:color="auto" w:sz="4" w:space="0"/>
            </w:tcBorders>
            <w:tcW w:w="1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总报价</w:t>
            </w:r>
            <w:r/>
          </w:p>
        </w:tc>
        <w:tc>
          <w:tcPr>
            <w:gridSpan w:val="6"/>
            <w:tcBorders>
              <w:left w:val="single" w:color="auto" w:sz="4" w:space="0"/>
            </w:tcBorders>
            <w:tcW w:w="7548" w:type="dxa"/>
            <w:vAlign w:val="center"/>
            <w:textDirection w:val="lrTb"/>
            <w:noWrap w:val="false"/>
          </w:tcPr>
          <w:p>
            <w:pPr>
              <w:jc w:val="left"/>
              <w:rPr>
                <w:rFonts w:hint="default" w:asciiTheme="minorEastAsia" w:hAnsiTheme="minorEastAsia" w:eastAsiaTheme="minorEastAsia" w:cstheme="minorEastAsia"/>
                <w:b/>
                <w:bCs/>
                <w:sz w:val="24"/>
                <w:szCs w:val="24"/>
                <w:u w:val="single"/>
                <w:lang w:val="en-US" w:eastAsia="zh-CN"/>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注：表中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为一个年度。</w:t>
      </w:r>
      <w:r/>
    </w:p>
    <w:p>
      <w:pPr>
        <w:jc w:val="left"/>
        <w:spacing w:before="101" w:line="225" w:lineRule="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r>
      <w:r/>
    </w:p>
    <w:p>
      <w:pPr>
        <w:jc w:val="left"/>
        <w:spacing w:before="101" w:line="225" w:lineRule="auto"/>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九</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436"/>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w:t>
      </w:r>
      <w:r>
        <w:rPr>
          <w:rFonts w:hint="eastAsia" w:ascii="宋体" w:hAnsi="宋体" w:eastAsia="宋体" w:cs="宋体"/>
          <w:b/>
          <w:bCs/>
          <w:sz w:val="24"/>
          <w:szCs w:val="24"/>
          <w:lang w:val="en-US" w:eastAsia="zh-CN"/>
        </w:rPr>
        <w:t xml:space="preserve">证明</w:t>
      </w:r>
      <w:r>
        <w:rPr>
          <w:rFonts w:hint="eastAsia" w:ascii="宋体" w:hAnsi="宋体" w:eastAsia="宋体" w:cs="宋体"/>
          <w:b/>
          <w:bCs/>
          <w:sz w:val="24"/>
          <w:szCs w:val="24"/>
          <w:lang w:val="en-US" w:eastAsia="en-US"/>
        </w:rPr>
        <w:t xml:space="preserve">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zh-CN" w:bidi="ar-SA"/>
        </w:rPr>
        <w:t xml:space="preserve">二十</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top"/>
            <w:textDirection w:val="lrTb"/>
            <w:noWrap w:val="false"/>
          </w:tcPr>
          <w:p>
            <w:pPr>
              <w:jc w:val="center"/>
              <w:rPr>
                <w:rFonts w:hint="eastAsia"/>
                <w:b/>
                <w:bCs/>
              </w:rPr>
            </w:pPr>
            <w:r>
              <w:rPr>
                <w:rFonts w:hint="eastAsia"/>
                <w:b/>
                <w:bCs/>
                <w:lang w:eastAsia="zh-CN"/>
              </w:rPr>
              <w:t xml:space="preserve">与信息系统连接的设备</w:t>
            </w:r>
            <w:r/>
          </w:p>
          <w:p>
            <w:pPr>
              <w:jc w:val="center"/>
              <w:rPr>
                <w:b/>
                <w:bCs/>
                <w:lang w:val="en-US" w:eastAsia="en-US"/>
              </w:rPr>
            </w:pPr>
            <w:r>
              <w:rPr>
                <w:b/>
                <w:bCs/>
                <w:lang w:val="en-US" w:eastAsia="en-US"/>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1334" w:hRule="exact"/>
        </w:trPr>
        <w:tc>
          <w:tcPr>
            <w:tcW w:w="4612" w:type="dxa"/>
            <w:vAlign w:val="top"/>
            <w:textDirection w:val="lrTb"/>
            <w:noWrap w:val="false"/>
          </w:tcPr>
          <w:p>
            <w:pPr>
              <w:keepLines w:val="0"/>
              <w:keepNext w:val="0"/>
              <w:pageBreakBefore w:val="0"/>
              <w:spacing w:line="320" w:lineRule="exact"/>
              <w:rPr>
                <w:rFonts w:hint="eastAsia" w:ascii="Calibri" w:hAnsi="Calibri" w:eastAsia="宋体" w:cs="Times New Roman"/>
                <w:sz w:val="21"/>
                <w:szCs w:val="21"/>
              </w:rPr>
            </w:pPr>
            <w:r>
              <w:rPr>
                <w:rFonts w:hint="eastAsia" w:ascii="Calibri" w:hAnsi="Calibri" w:eastAsia="宋体" w:cs="Times New Roman"/>
                <w:b/>
                <w:bCs/>
                <w:sz w:val="21"/>
                <w:szCs w:val="21"/>
              </w:rPr>
              <w:t xml:space="preserve">本项目配套附件的整体尺寸、承重轮等（</w:t>
            </w:r>
            <w:r>
              <w:rPr>
                <w:rFonts w:hint="eastAsia" w:ascii="Calibri" w:hAnsi="Calibri" w:eastAsia="宋体" w:cs="Times New Roman"/>
                <w:b/>
                <w:bCs/>
                <w:sz w:val="21"/>
                <w:szCs w:val="21"/>
                <w:lang w:val="en-US" w:eastAsia="zh-CN"/>
              </w:rPr>
              <w:t xml:space="preserve">含</w:t>
            </w:r>
            <w:r>
              <w:rPr>
                <w:rFonts w:hint="eastAsia" w:ascii="Calibri" w:hAnsi="Calibri" w:eastAsia="宋体" w:cs="Times New Roman"/>
                <w:b/>
                <w:bCs/>
                <w:sz w:val="21"/>
                <w:szCs w:val="21"/>
              </w:rPr>
              <w:t xml:space="preserve">部分附件</w:t>
            </w:r>
            <w:r>
              <w:rPr>
                <w:rFonts w:hint="eastAsia" w:ascii="Calibri" w:hAnsi="Calibri" w:eastAsia="宋体" w:cs="Times New Roman"/>
                <w:b/>
                <w:bCs/>
                <w:sz w:val="21"/>
                <w:szCs w:val="21"/>
                <w:lang w:val="en-US" w:eastAsia="zh-CN"/>
              </w:rPr>
              <w:t xml:space="preserve">的</w:t>
            </w:r>
            <w:r>
              <w:rPr>
                <w:rFonts w:hint="eastAsia" w:ascii="Calibri" w:hAnsi="Calibri" w:eastAsia="宋体" w:cs="Times New Roman"/>
                <w:b/>
                <w:bCs/>
                <w:sz w:val="21"/>
                <w:szCs w:val="21"/>
              </w:rPr>
              <w:t xml:space="preserve">材质）可结合现场实际条件定制，定制范围仅限于污物车、包装工作台、柜体等非医疗器械，不得涉及任何医疗器械产品。</w:t>
            </w:r>
            <w:r/>
          </w:p>
          <w:p>
            <w:pPr>
              <w:jc w:val="left"/>
              <w:keepLines w:val="0"/>
              <w:keepNext w:val="0"/>
              <w:pageBreakBefore w:val="0"/>
              <w:spacing w:line="320" w:lineRule="exact"/>
              <w:rPr>
                <w:rFonts w:hint="eastAsia"/>
                <w:sz w:val="21"/>
                <w:szCs w:val="21"/>
                <w:lang w:eastAsia="zh-CN"/>
              </w:rPr>
            </w:pPr>
            <w:r>
              <w:rPr>
                <w:rFonts w:hint="eastAsia"/>
                <w:sz w:val="21"/>
                <w:szCs w:val="21"/>
                <w:lang w:eastAsia="zh-CN"/>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556"/>
        </w:trPr>
        <w:tc>
          <w:tcPr>
            <w:tcW w:w="4612" w:type="dxa"/>
            <w:vAlign w:val="center"/>
            <w:textDirection w:val="lrTb"/>
            <w:noWrap w:val="false"/>
          </w:tcPr>
          <w:p>
            <w:pPr>
              <w:keepLines w:val="0"/>
              <w:keepNext w:val="0"/>
              <w:pageBreakBefore w:val="0"/>
              <w:spacing w:line="320" w:lineRule="exact"/>
              <w:rPr>
                <w:rFonts w:hint="eastAsia"/>
                <w:b/>
                <w:bCs/>
                <w:sz w:val="21"/>
                <w:szCs w:val="21"/>
                <w:lang w:val="en-US" w:eastAsia="zh-CN"/>
              </w:rPr>
            </w:pPr>
            <w:r>
              <w:rPr>
                <w:rFonts w:hint="eastAsia"/>
                <w:b/>
                <w:bCs/>
                <w:sz w:val="21"/>
                <w:szCs w:val="21"/>
                <w:lang w:val="en-US" w:eastAsia="zh-CN"/>
              </w:rPr>
              <w:t xml:space="preserve">投标人</w:t>
            </w:r>
            <w:r>
              <w:rPr>
                <w:rFonts w:hint="eastAsia"/>
                <w:b/>
                <w:bCs/>
                <w:sz w:val="21"/>
                <w:szCs w:val="21"/>
              </w:rPr>
              <w:t xml:space="preserve">或</w:t>
            </w:r>
            <w:r>
              <w:rPr>
                <w:rFonts w:hint="eastAsia"/>
                <w:b/>
                <w:bCs/>
                <w:sz w:val="21"/>
                <w:szCs w:val="21"/>
                <w:lang w:val="en-US" w:eastAsia="zh-CN"/>
              </w:rPr>
              <w:t xml:space="preserve">设备</w:t>
            </w:r>
            <w:r>
              <w:rPr>
                <w:rFonts w:hint="eastAsia"/>
                <w:b/>
                <w:bCs/>
                <w:sz w:val="21"/>
                <w:szCs w:val="21"/>
              </w:rPr>
              <w:t xml:space="preserve">生产厂家具备医院消毒供应中心平面流程规划能力。</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01"/>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lang w:val="en-US" w:eastAsia="zh-CN"/>
              </w:rPr>
              <w:t xml:space="preserve">验收要求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rPr>
              <w:t xml:space="preserve">报价要求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jc w:val="left"/>
              <w:keepLines w:val="0"/>
              <w:keepNext w:val="0"/>
              <w:pageBreakBefore w:val="0"/>
              <w:spacing w:line="320" w:lineRule="exact"/>
              <w:rPr>
                <w:rFonts w:hint="eastAsia"/>
                <w:b/>
                <w:bCs/>
                <w:sz w:val="21"/>
                <w:szCs w:val="21"/>
              </w:rPr>
            </w:pPr>
            <w:r>
              <w:rPr>
                <w:rFonts w:hint="eastAsia"/>
                <w:b/>
                <w:bCs/>
                <w:sz w:val="21"/>
                <w:szCs w:val="21"/>
                <w:lang w:val="en-US" w:eastAsia="zh-CN"/>
              </w:rPr>
              <w:t xml:space="preserve">投标人</w:t>
            </w:r>
            <w:r>
              <w:rPr>
                <w:rFonts w:hint="eastAsia"/>
                <w:b/>
                <w:bCs/>
                <w:sz w:val="21"/>
                <w:szCs w:val="21"/>
              </w:rPr>
              <w:t xml:space="preserve">在中标后须协助采购⼈办理特种设备使</w:t>
            </w:r>
            <w:r>
              <w:rPr>
                <w:rFonts w:hint="eastAsia"/>
                <w:b/>
                <w:bCs/>
                <w:sz w:val="21"/>
                <w:szCs w:val="21"/>
                <w:lang w:val="en-US" w:eastAsia="zh-CN"/>
              </w:rPr>
              <w:t xml:space="preserve">用</w:t>
            </w:r>
            <w:r>
              <w:rPr>
                <w:rFonts w:hint="eastAsia"/>
                <w:b/>
                <w:bCs/>
                <w:sz w:val="21"/>
                <w:szCs w:val="21"/>
              </w:rPr>
              <w:t xml:space="preserve">许可证等相关</w:t>
            </w:r>
            <w:r>
              <w:rPr>
                <w:rFonts w:hint="eastAsia"/>
                <w:b/>
                <w:bCs/>
                <w:sz w:val="21"/>
                <w:szCs w:val="21"/>
                <w:lang w:val="en-US" w:eastAsia="zh-CN"/>
              </w:rPr>
              <w:t xml:space="preserve">手</w:t>
            </w:r>
            <w:r>
              <w:rPr>
                <w:rFonts w:hint="eastAsia"/>
                <w:b/>
                <w:bCs/>
                <w:sz w:val="21"/>
                <w:szCs w:val="21"/>
              </w:rPr>
              <w:t xml:space="preserve">续；完成安全阀、压</w:t>
            </w:r>
            <w:r>
              <w:rPr>
                <w:rFonts w:hint="eastAsia"/>
                <w:b/>
                <w:bCs/>
                <w:sz w:val="21"/>
                <w:szCs w:val="21"/>
                <w:lang w:val="en-US" w:eastAsia="zh-CN"/>
              </w:rPr>
              <w:t xml:space="preserve">力</w:t>
            </w:r>
            <w:r>
              <w:rPr>
                <w:rFonts w:hint="eastAsia"/>
                <w:b/>
                <w:bCs/>
                <w:sz w:val="21"/>
                <w:szCs w:val="21"/>
              </w:rPr>
              <w:t xml:space="preserve">表</w:t>
            </w:r>
            <w:r>
              <w:rPr>
                <w:rFonts w:hint="eastAsia"/>
                <w:b/>
                <w:bCs/>
                <w:sz w:val="21"/>
                <w:szCs w:val="21"/>
                <w:lang w:val="en-US" w:eastAsia="zh-CN"/>
              </w:rPr>
              <w:t xml:space="preserve">首</w:t>
            </w:r>
            <w:r>
              <w:rPr>
                <w:rFonts w:hint="eastAsia"/>
                <w:b/>
                <w:bCs/>
                <w:sz w:val="21"/>
                <w:szCs w:val="21"/>
              </w:rPr>
              <w:t xml:space="preserve">次校验</w:t>
            </w:r>
            <w:r>
              <w:rPr>
                <w:rFonts w:hint="eastAsia"/>
                <w:b/>
                <w:bCs/>
                <w:sz w:val="21"/>
                <w:szCs w:val="21"/>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keepLines w:val="0"/>
              <w:keepNext w:val="0"/>
              <w:pageBreakBefore w:val="0"/>
              <w:spacing w:line="320" w:lineRule="exact"/>
              <w:widowControl/>
              <w:rPr>
                <w:rFonts w:hint="eastAsia" w:ascii="Times New Roman" w:eastAsiaTheme="minorEastAsia"/>
                <w:b/>
                <w:bCs/>
                <w:sz w:val="21"/>
                <w:szCs w:val="21"/>
                <w:lang w:val="en-US" w:eastAsia="zh-CN"/>
              </w:rPr>
            </w:pPr>
            <w:r>
              <w:rPr>
                <w:rFonts w:hint="eastAsia" w:asciiTheme="minorEastAsia" w:hAnsiTheme="minorEastAsia" w:eastAsiaTheme="minorEastAsia" w:cstheme="minorEastAsia"/>
                <w:b/>
                <w:bCs/>
                <w:sz w:val="21"/>
                <w:szCs w:val="21"/>
                <w:u w:val="none"/>
                <w:lang w:val="en-US" w:eastAsia="zh-CN"/>
              </w:rPr>
              <w:t xml:space="preserve">本项目采购设备中包含2台专机专用耗材设备（过氧化氢低温等离子灭菌器1台、低温蒸汽甲醛灭菌器1台），如出现中标的2台专机专用耗材市场价格低于本次投标人在本次全生命周期成本测试专机专用耗材报价，采购人有权对2台专机专用耗材二次进行议价。</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24"/>
          <w:szCs w:val="24"/>
          <w:lang w:eastAsia="zh-CN"/>
        </w:rPr>
      </w:pPr>
      <w:r>
        <w:rPr>
          <w:rFonts w:hint="eastAsia" w:ascii="宋体" w:hAnsi="宋体" w:eastAsia="宋体"/>
          <w:b/>
          <w:bCs/>
          <w:i/>
          <w:iCs/>
          <w:sz w:val="24"/>
          <w:szCs w:val="24"/>
          <w:u w:val="single"/>
          <w:lang w:val="en-US" w:eastAsia="zh-CN"/>
        </w:rPr>
        <w:t xml:space="preserve">2、本项目采购需求的三、商务要求中（一）至（九）项为商务</w:t>
      </w:r>
      <w:r>
        <w:rPr>
          <w:rFonts w:hint="eastAsia" w:ascii="宋体" w:hAnsi="宋体" w:eastAsia="宋体"/>
          <w:b/>
          <w:bCs/>
          <w:i/>
          <w:iCs/>
          <w:sz w:val="24"/>
          <w:szCs w:val="24"/>
          <w:u w:val="single"/>
        </w:rPr>
        <w:t xml:space="preserve">实质性要求</w:t>
      </w:r>
      <w:r>
        <w:rPr>
          <w:rFonts w:hint="eastAsia" w:ascii="宋体" w:hAnsi="宋体" w:eastAsia="宋体"/>
          <w:b/>
          <w:bCs/>
          <w:i/>
          <w:iCs/>
          <w:sz w:val="24"/>
          <w:szCs w:val="24"/>
          <w:u w:val="single"/>
          <w:lang w:eastAsia="zh-CN"/>
        </w:rPr>
        <w:t xml:space="preserve">，</w:t>
      </w:r>
      <w:r>
        <w:rPr>
          <w:rFonts w:hint="eastAsia" w:ascii="宋体" w:hAnsi="宋体" w:eastAsia="宋体"/>
          <w:b/>
          <w:bCs/>
          <w:i/>
          <w:iCs/>
          <w:sz w:val="24"/>
          <w:szCs w:val="24"/>
          <w:u w:val="single"/>
        </w:rPr>
        <w:t xml:space="preserve">需在商务要求响应及偏离表中逐条响应具体内容，且不允许负偏离，否则视为无效投标</w:t>
      </w:r>
      <w:r>
        <w:rPr>
          <w:rFonts w:hint="eastAsia" w:ascii="宋体" w:hAnsi="宋体" w:eastAsia="宋体"/>
          <w:b/>
          <w:bCs/>
          <w:i/>
          <w:iCs/>
          <w:sz w:val="24"/>
          <w:szCs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二十一</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4"/>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4"/>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二十二</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二十三</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4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423"/>
        <w:jc w:val="center"/>
        <w:keepLines w:val="0"/>
        <w:keepNext w:val="0"/>
        <w:pageBreakBefore w:val="0"/>
        <w:spacing w:beforeAutospacing="0" w:afterAutospacing="0" w:line="40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423"/>
        <w:jc w:val="both"/>
        <w:keepLines w:val="0"/>
        <w:keepNext w:val="0"/>
        <w:pageBreakBefore w:val="0"/>
        <w:spacing w:before="290"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42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423"/>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42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42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42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方正楷体_GB2312">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2753360</wp:posOffset>
              </wp:positionH>
              <wp:positionV relativeFrom="paragraph">
                <wp:posOffset>-154940</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6.8pt;mso-position-horizontal:absolute;mso-position-vertical-relative:text;margin-top:-12.2pt;mso-position-vertical:absolute;width:58.1pt;height:23.7pt;mso-wrap-distance-left:9.0pt;mso-wrap-distance-top:0.0pt;mso-wrap-distance-right:9.0pt;mso-wrap-distance-bottom:0.0pt;v-text-anchor:top;visibility:visible;" filled="f" stroked="f" strokeweight="0.50pt">
              <v:textbox inset="0,0,0,0">
                <w:txbxContent>
                  <w:p>
                    <w:pPr>
                      <w:pStyle w:val="14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4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8">
    <w:name w:val="Heading 1"/>
    <w:basedOn w:val="1412"/>
    <w:next w:val="1412"/>
    <w:link w:val="1239"/>
    <w:uiPriority w:val="9"/>
    <w:qFormat/>
    <w:pPr>
      <w:keepLines/>
      <w:keepNext/>
      <w:spacing w:before="480" w:after="200"/>
      <w:outlineLvl w:val="0"/>
    </w:pPr>
    <w:rPr>
      <w:rFonts w:ascii="Arial" w:hAnsi="Arial" w:eastAsia="Arial" w:cs="Arial"/>
      <w:sz w:val="40"/>
      <w:szCs w:val="40"/>
    </w:rPr>
  </w:style>
  <w:style w:type="character" w:styleId="1239">
    <w:name w:val="Heading 1 Char"/>
    <w:basedOn w:val="1414"/>
    <w:link w:val="1238"/>
    <w:uiPriority w:val="9"/>
    <w:rPr>
      <w:rFonts w:ascii="Arial" w:hAnsi="Arial" w:eastAsia="Arial" w:cs="Arial"/>
      <w:sz w:val="40"/>
      <w:szCs w:val="40"/>
    </w:rPr>
  </w:style>
  <w:style w:type="character" w:styleId="1240">
    <w:name w:val="Heading 2 Char"/>
    <w:basedOn w:val="1414"/>
    <w:link w:val="1413"/>
    <w:uiPriority w:val="9"/>
    <w:rPr>
      <w:rFonts w:ascii="Arial" w:hAnsi="Arial" w:eastAsia="Arial" w:cs="Arial"/>
      <w:sz w:val="34"/>
    </w:rPr>
  </w:style>
  <w:style w:type="paragraph" w:styleId="1241">
    <w:name w:val="Heading 3"/>
    <w:basedOn w:val="1412"/>
    <w:next w:val="1412"/>
    <w:link w:val="1242"/>
    <w:uiPriority w:val="9"/>
    <w:unhideWhenUsed/>
    <w:qFormat/>
    <w:pPr>
      <w:keepLines/>
      <w:keepNext/>
      <w:spacing w:before="320" w:after="200"/>
      <w:outlineLvl w:val="2"/>
    </w:pPr>
    <w:rPr>
      <w:rFonts w:ascii="Arial" w:hAnsi="Arial" w:eastAsia="Arial" w:cs="Arial"/>
      <w:sz w:val="30"/>
      <w:szCs w:val="30"/>
    </w:rPr>
  </w:style>
  <w:style w:type="character" w:styleId="1242">
    <w:name w:val="Heading 3 Char"/>
    <w:basedOn w:val="1414"/>
    <w:link w:val="1241"/>
    <w:uiPriority w:val="9"/>
    <w:rPr>
      <w:rFonts w:ascii="Arial" w:hAnsi="Arial" w:eastAsia="Arial" w:cs="Arial"/>
      <w:sz w:val="30"/>
      <w:szCs w:val="30"/>
    </w:rPr>
  </w:style>
  <w:style w:type="paragraph" w:styleId="1243">
    <w:name w:val="Heading 4"/>
    <w:basedOn w:val="1412"/>
    <w:next w:val="1412"/>
    <w:link w:val="1244"/>
    <w:uiPriority w:val="9"/>
    <w:unhideWhenUsed/>
    <w:qFormat/>
    <w:pPr>
      <w:keepLines/>
      <w:keepNext/>
      <w:spacing w:before="320" w:after="200"/>
      <w:outlineLvl w:val="3"/>
    </w:pPr>
    <w:rPr>
      <w:rFonts w:ascii="Arial" w:hAnsi="Arial" w:eastAsia="Arial" w:cs="Arial"/>
      <w:b/>
      <w:bCs/>
      <w:sz w:val="26"/>
      <w:szCs w:val="26"/>
    </w:rPr>
  </w:style>
  <w:style w:type="character" w:styleId="1244">
    <w:name w:val="Heading 4 Char"/>
    <w:basedOn w:val="1414"/>
    <w:link w:val="1243"/>
    <w:uiPriority w:val="9"/>
    <w:rPr>
      <w:rFonts w:ascii="Arial" w:hAnsi="Arial" w:eastAsia="Arial" w:cs="Arial"/>
      <w:b/>
      <w:bCs/>
      <w:sz w:val="26"/>
      <w:szCs w:val="26"/>
    </w:rPr>
  </w:style>
  <w:style w:type="paragraph" w:styleId="1245">
    <w:name w:val="Heading 5"/>
    <w:basedOn w:val="1412"/>
    <w:next w:val="1412"/>
    <w:link w:val="1246"/>
    <w:uiPriority w:val="9"/>
    <w:unhideWhenUsed/>
    <w:qFormat/>
    <w:pPr>
      <w:keepLines/>
      <w:keepNext/>
      <w:spacing w:before="320" w:after="200"/>
      <w:outlineLvl w:val="4"/>
    </w:pPr>
    <w:rPr>
      <w:rFonts w:ascii="Arial" w:hAnsi="Arial" w:eastAsia="Arial" w:cs="Arial"/>
      <w:b/>
      <w:bCs/>
      <w:sz w:val="24"/>
      <w:szCs w:val="24"/>
    </w:rPr>
  </w:style>
  <w:style w:type="character" w:styleId="1246">
    <w:name w:val="Heading 5 Char"/>
    <w:basedOn w:val="1414"/>
    <w:link w:val="1245"/>
    <w:uiPriority w:val="9"/>
    <w:rPr>
      <w:rFonts w:ascii="Arial" w:hAnsi="Arial" w:eastAsia="Arial" w:cs="Arial"/>
      <w:b/>
      <w:bCs/>
      <w:sz w:val="24"/>
      <w:szCs w:val="24"/>
    </w:rPr>
  </w:style>
  <w:style w:type="paragraph" w:styleId="1247">
    <w:name w:val="Heading 6"/>
    <w:basedOn w:val="1412"/>
    <w:next w:val="1412"/>
    <w:link w:val="1248"/>
    <w:uiPriority w:val="9"/>
    <w:unhideWhenUsed/>
    <w:qFormat/>
    <w:pPr>
      <w:keepLines/>
      <w:keepNext/>
      <w:spacing w:before="320" w:after="200"/>
      <w:outlineLvl w:val="5"/>
    </w:pPr>
    <w:rPr>
      <w:rFonts w:ascii="Arial" w:hAnsi="Arial" w:eastAsia="Arial" w:cs="Arial"/>
      <w:b/>
      <w:bCs/>
      <w:sz w:val="22"/>
      <w:szCs w:val="22"/>
    </w:rPr>
  </w:style>
  <w:style w:type="character" w:styleId="1248">
    <w:name w:val="Heading 6 Char"/>
    <w:basedOn w:val="1414"/>
    <w:link w:val="1247"/>
    <w:uiPriority w:val="9"/>
    <w:rPr>
      <w:rFonts w:ascii="Arial" w:hAnsi="Arial" w:eastAsia="Arial" w:cs="Arial"/>
      <w:b/>
      <w:bCs/>
      <w:sz w:val="22"/>
      <w:szCs w:val="22"/>
    </w:rPr>
  </w:style>
  <w:style w:type="paragraph" w:styleId="1249">
    <w:name w:val="Heading 7"/>
    <w:basedOn w:val="1412"/>
    <w:next w:val="1412"/>
    <w:link w:val="1250"/>
    <w:uiPriority w:val="9"/>
    <w:unhideWhenUsed/>
    <w:qFormat/>
    <w:pPr>
      <w:keepLines/>
      <w:keepNext/>
      <w:spacing w:before="320" w:after="200"/>
      <w:outlineLvl w:val="6"/>
    </w:pPr>
    <w:rPr>
      <w:rFonts w:ascii="Arial" w:hAnsi="Arial" w:eastAsia="Arial" w:cs="Arial"/>
      <w:b/>
      <w:bCs/>
      <w:i/>
      <w:iCs/>
      <w:sz w:val="22"/>
      <w:szCs w:val="22"/>
    </w:rPr>
  </w:style>
  <w:style w:type="character" w:styleId="1250">
    <w:name w:val="Heading 7 Char"/>
    <w:basedOn w:val="1414"/>
    <w:link w:val="1249"/>
    <w:uiPriority w:val="9"/>
    <w:rPr>
      <w:rFonts w:ascii="Arial" w:hAnsi="Arial" w:eastAsia="Arial" w:cs="Arial"/>
      <w:b/>
      <w:bCs/>
      <w:i/>
      <w:iCs/>
      <w:sz w:val="22"/>
      <w:szCs w:val="22"/>
    </w:rPr>
  </w:style>
  <w:style w:type="paragraph" w:styleId="1251">
    <w:name w:val="Heading 8"/>
    <w:basedOn w:val="1412"/>
    <w:next w:val="1412"/>
    <w:link w:val="1252"/>
    <w:uiPriority w:val="9"/>
    <w:unhideWhenUsed/>
    <w:qFormat/>
    <w:pPr>
      <w:keepLines/>
      <w:keepNext/>
      <w:spacing w:before="320" w:after="200"/>
      <w:outlineLvl w:val="7"/>
    </w:pPr>
    <w:rPr>
      <w:rFonts w:ascii="Arial" w:hAnsi="Arial" w:eastAsia="Arial" w:cs="Arial"/>
      <w:i/>
      <w:iCs/>
      <w:sz w:val="22"/>
      <w:szCs w:val="22"/>
    </w:rPr>
  </w:style>
  <w:style w:type="character" w:styleId="1252">
    <w:name w:val="Heading 8 Char"/>
    <w:basedOn w:val="1414"/>
    <w:link w:val="1251"/>
    <w:uiPriority w:val="9"/>
    <w:rPr>
      <w:rFonts w:ascii="Arial" w:hAnsi="Arial" w:eastAsia="Arial" w:cs="Arial"/>
      <w:i/>
      <w:iCs/>
      <w:sz w:val="22"/>
      <w:szCs w:val="22"/>
    </w:rPr>
  </w:style>
  <w:style w:type="paragraph" w:styleId="1253">
    <w:name w:val="Heading 9"/>
    <w:basedOn w:val="1412"/>
    <w:next w:val="1412"/>
    <w:link w:val="1254"/>
    <w:uiPriority w:val="9"/>
    <w:unhideWhenUsed/>
    <w:qFormat/>
    <w:pPr>
      <w:keepLines/>
      <w:keepNext/>
      <w:spacing w:before="320" w:after="200"/>
      <w:outlineLvl w:val="8"/>
    </w:pPr>
    <w:rPr>
      <w:rFonts w:ascii="Arial" w:hAnsi="Arial" w:eastAsia="Arial" w:cs="Arial"/>
      <w:i/>
      <w:iCs/>
      <w:sz w:val="21"/>
      <w:szCs w:val="21"/>
    </w:rPr>
  </w:style>
  <w:style w:type="character" w:styleId="1254">
    <w:name w:val="Heading 9 Char"/>
    <w:basedOn w:val="1414"/>
    <w:link w:val="1253"/>
    <w:uiPriority w:val="9"/>
    <w:rPr>
      <w:rFonts w:ascii="Arial" w:hAnsi="Arial" w:eastAsia="Arial" w:cs="Arial"/>
      <w:i/>
      <w:iCs/>
      <w:sz w:val="21"/>
      <w:szCs w:val="21"/>
    </w:rPr>
  </w:style>
  <w:style w:type="paragraph" w:styleId="1255">
    <w:name w:val="List Paragraph"/>
    <w:basedOn w:val="1412"/>
    <w:uiPriority w:val="34"/>
    <w:qFormat/>
    <w:pPr>
      <w:contextualSpacing/>
      <w:ind w:left="720"/>
    </w:pPr>
  </w:style>
  <w:style w:type="paragraph" w:styleId="1256">
    <w:name w:val="No Spacing"/>
    <w:uiPriority w:val="1"/>
    <w:qFormat/>
    <w:pPr>
      <w:spacing w:before="0" w:after="0" w:line="240" w:lineRule="auto"/>
    </w:pPr>
  </w:style>
  <w:style w:type="paragraph" w:styleId="1257">
    <w:name w:val="Title"/>
    <w:basedOn w:val="1412"/>
    <w:next w:val="1412"/>
    <w:link w:val="1258"/>
    <w:uiPriority w:val="10"/>
    <w:qFormat/>
    <w:pPr>
      <w:contextualSpacing/>
      <w:spacing w:before="300" w:after="200"/>
    </w:pPr>
    <w:rPr>
      <w:sz w:val="48"/>
      <w:szCs w:val="48"/>
    </w:rPr>
  </w:style>
  <w:style w:type="character" w:styleId="1258">
    <w:name w:val="Title Char"/>
    <w:basedOn w:val="1414"/>
    <w:link w:val="1257"/>
    <w:uiPriority w:val="10"/>
    <w:rPr>
      <w:sz w:val="48"/>
      <w:szCs w:val="48"/>
    </w:rPr>
  </w:style>
  <w:style w:type="paragraph" w:styleId="1259">
    <w:name w:val="Subtitle"/>
    <w:basedOn w:val="1412"/>
    <w:next w:val="1412"/>
    <w:link w:val="1260"/>
    <w:uiPriority w:val="11"/>
    <w:qFormat/>
    <w:pPr>
      <w:spacing w:before="200" w:after="200"/>
    </w:pPr>
    <w:rPr>
      <w:sz w:val="24"/>
      <w:szCs w:val="24"/>
    </w:rPr>
  </w:style>
  <w:style w:type="character" w:styleId="1260">
    <w:name w:val="Subtitle Char"/>
    <w:basedOn w:val="1414"/>
    <w:link w:val="1259"/>
    <w:uiPriority w:val="11"/>
    <w:rPr>
      <w:sz w:val="24"/>
      <w:szCs w:val="24"/>
    </w:rPr>
  </w:style>
  <w:style w:type="paragraph" w:styleId="1261">
    <w:name w:val="Quote"/>
    <w:basedOn w:val="1412"/>
    <w:next w:val="1412"/>
    <w:link w:val="1262"/>
    <w:uiPriority w:val="29"/>
    <w:qFormat/>
    <w:pPr>
      <w:ind w:left="720" w:right="720"/>
    </w:pPr>
    <w:rPr>
      <w:i/>
    </w:rPr>
  </w:style>
  <w:style w:type="character" w:styleId="1262">
    <w:name w:val="Quote Char"/>
    <w:link w:val="1261"/>
    <w:uiPriority w:val="29"/>
    <w:rPr>
      <w:i/>
    </w:rPr>
  </w:style>
  <w:style w:type="paragraph" w:styleId="1263">
    <w:name w:val="Intense Quote"/>
    <w:basedOn w:val="1412"/>
    <w:next w:val="1412"/>
    <w:link w:val="12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4">
    <w:name w:val="Intense Quote Char"/>
    <w:link w:val="1263"/>
    <w:uiPriority w:val="30"/>
    <w:rPr>
      <w:i/>
    </w:rPr>
  </w:style>
  <w:style w:type="character" w:styleId="1265">
    <w:name w:val="Header Char"/>
    <w:basedOn w:val="1414"/>
    <w:link w:val="1422"/>
    <w:uiPriority w:val="99"/>
  </w:style>
  <w:style w:type="character" w:styleId="1266">
    <w:name w:val="Footer Char"/>
    <w:basedOn w:val="1414"/>
    <w:link w:val="1421"/>
    <w:uiPriority w:val="99"/>
  </w:style>
  <w:style w:type="paragraph" w:styleId="1267">
    <w:name w:val="Caption"/>
    <w:basedOn w:val="1412"/>
    <w:next w:val="1412"/>
    <w:uiPriority w:val="35"/>
    <w:semiHidden/>
    <w:unhideWhenUsed/>
    <w:qFormat/>
    <w:pPr>
      <w:spacing w:line="276" w:lineRule="auto"/>
    </w:pPr>
    <w:rPr>
      <w:b/>
      <w:bCs/>
      <w:color w:val="4f81bd" w:themeColor="accent1"/>
      <w:sz w:val="18"/>
      <w:szCs w:val="18"/>
    </w:rPr>
  </w:style>
  <w:style w:type="character" w:styleId="1268">
    <w:name w:val="Caption Char"/>
    <w:basedOn w:val="1267"/>
    <w:link w:val="1421"/>
    <w:uiPriority w:val="99"/>
  </w:style>
  <w:style w:type="table" w:styleId="1269">
    <w:name w:val="Table Grid Light"/>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70">
    <w:name w:val="Plain Table 1"/>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1">
    <w:name w:val="Plain Table 2"/>
    <w:basedOn w:val="14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2">
    <w:name w:val="Plain Table 3"/>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3">
    <w:name w:val="Plain Table 4"/>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4">
    <w:name w:val="Plain Table 5"/>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5">
    <w:name w:val="Grid Table 1 Light"/>
    <w:basedOn w:val="14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6">
    <w:name w:val="Grid Table 1 Light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7">
    <w:name w:val="Grid Table 1 Light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8">
    <w:name w:val="Grid Table 1 Light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9">
    <w:name w:val="Grid Table 1 Light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80">
    <w:name w:val="Grid Table 1 Light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81">
    <w:name w:val="Grid Table 1 Light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82">
    <w:name w:val="Grid Table 2"/>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83">
    <w:name w:val="Grid Table 2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84">
    <w:name w:val="Grid Table 2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5">
    <w:name w:val="Grid Table 2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6">
    <w:name w:val="Grid Table 2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7">
    <w:name w:val="Grid Table 2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8">
    <w:name w:val="Grid Table 2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9">
    <w:name w:val="Grid Table 3"/>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3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2">
    <w:name w:val="Grid Table 3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3">
    <w:name w:val="Grid Table 3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4">
    <w:name w:val="Grid Table 3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5">
    <w:name w:val="Grid Table 3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6">
    <w:name w:val="Grid Table 4"/>
    <w:basedOn w:val="14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7">
    <w:name w:val="Grid Table 4 - Accent 1"/>
    <w:basedOn w:val="14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8">
    <w:name w:val="Grid Table 4 - Accent 2"/>
    <w:basedOn w:val="14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9">
    <w:name w:val="Grid Table 4 - Accent 3"/>
    <w:basedOn w:val="14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00">
    <w:name w:val="Grid Table 4 - Accent 4"/>
    <w:basedOn w:val="14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01">
    <w:name w:val="Grid Table 4 - Accent 5"/>
    <w:basedOn w:val="14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02">
    <w:name w:val="Grid Table 4 - Accent 6"/>
    <w:basedOn w:val="14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03">
    <w:name w:val="Grid Table 5 Dark"/>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04">
    <w:name w:val="Grid Table 5 Dark- Accent 1"/>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305">
    <w:name w:val="Grid Table 5 Dark - Accent 2"/>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306">
    <w:name w:val="Grid Table 5 Dark - Accent 3"/>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307">
    <w:name w:val="Grid Table 5 Dark- Accent 4"/>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308">
    <w:name w:val="Grid Table 5 Dark - Accent 5"/>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309">
    <w:name w:val="Grid Table 5 Dark - Accent 6"/>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310">
    <w:name w:val="Grid Table 6 Colorful"/>
    <w:basedOn w:val="14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11">
    <w:name w:val="Grid Table 6 Colorful - Accent 1"/>
    <w:basedOn w:val="14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312">
    <w:name w:val="Grid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313">
    <w:name w:val="Grid Table 6 Colorful - Accent 3"/>
    <w:basedOn w:val="14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314">
    <w:name w:val="Grid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315">
    <w:name w:val="Grid Table 6 Colorful - Accent 5"/>
    <w:basedOn w:val="14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6">
    <w:name w:val="Grid Table 6 Colorful - Accent 6"/>
    <w:basedOn w:val="14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7">
    <w:name w:val="Grid Table 7 Colorful"/>
    <w:basedOn w:val="14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8">
    <w:name w:val="Grid Table 7 Colorful - Accent 1"/>
    <w:basedOn w:val="14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9">
    <w:name w:val="Grid Table 7 Colorful - Accent 2"/>
    <w:basedOn w:val="14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20">
    <w:name w:val="Grid Table 7 Colorful - Accent 3"/>
    <w:basedOn w:val="14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21">
    <w:name w:val="Grid Table 7 Colorful - Accent 4"/>
    <w:basedOn w:val="14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22">
    <w:name w:val="Grid Table 7 Colorful - Accent 5"/>
    <w:basedOn w:val="14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23">
    <w:name w:val="Grid Table 7 Colorful - Accent 6"/>
    <w:basedOn w:val="14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24">
    <w:name w:val="List Table 1 Light"/>
    <w:basedOn w:val="14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5">
    <w:name w:val="List Table 1 Light - Accent 1"/>
    <w:basedOn w:val="14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6">
    <w:name w:val="List Table 1 Light - Accent 2"/>
    <w:basedOn w:val="14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7">
    <w:name w:val="List Table 1 Light - Accent 3"/>
    <w:basedOn w:val="14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8">
    <w:name w:val="List Table 1 Light - Accent 4"/>
    <w:basedOn w:val="14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9">
    <w:name w:val="List Table 1 Light - Accent 5"/>
    <w:basedOn w:val="14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30">
    <w:name w:val="List Table 1 Light - Accent 6"/>
    <w:basedOn w:val="14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31">
    <w:name w:val="List Table 2"/>
    <w:basedOn w:val="14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32">
    <w:name w:val="List Table 2 - Accent 1"/>
    <w:basedOn w:val="14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33">
    <w:name w:val="List Table 2 - Accent 2"/>
    <w:basedOn w:val="14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34">
    <w:name w:val="List Table 2 - Accent 3"/>
    <w:basedOn w:val="14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5">
    <w:name w:val="List Table 2 - Accent 4"/>
    <w:basedOn w:val="14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6">
    <w:name w:val="List Table 2 - Accent 5"/>
    <w:basedOn w:val="14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7">
    <w:name w:val="List Table 2 - Accent 6"/>
    <w:basedOn w:val="14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8">
    <w:name w:val="List Table 3"/>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9">
    <w:name w:val="List Table 3 - Accent 1"/>
    <w:basedOn w:val="14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0">
    <w:name w:val="List Table 3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341">
    <w:name w:val="List Table 3 - Accent 3"/>
    <w:basedOn w:val="14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342">
    <w:name w:val="List Table 3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343">
    <w:name w:val="List Table 3 - Accent 5"/>
    <w:basedOn w:val="14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344">
    <w:name w:val="List Table 3 - Accent 6"/>
    <w:basedOn w:val="14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345">
    <w:name w:val="List Table 4"/>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6">
    <w:name w:val="List Table 4 - Accent 1"/>
    <w:basedOn w:val="14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7">
    <w:name w:val="List Table 4 - Accent 2"/>
    <w:basedOn w:val="14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348">
    <w:name w:val="List Table 4 - Accent 3"/>
    <w:basedOn w:val="14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349">
    <w:name w:val="List Table 4 - Accent 4"/>
    <w:basedOn w:val="14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50">
    <w:name w:val="List Table 4 - Accent 5"/>
    <w:basedOn w:val="14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51">
    <w:name w:val="List Table 4 - Accent 6"/>
    <w:basedOn w:val="14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52">
    <w:name w:val="List Table 5 Dark"/>
    <w:basedOn w:val="14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1"/>
    <w:basedOn w:val="14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5 Dark - Accent 2"/>
    <w:basedOn w:val="14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5">
    <w:name w:val="List Table 5 Dark - Accent 3"/>
    <w:basedOn w:val="14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6">
    <w:name w:val="List Table 5 Dark - Accent 4"/>
    <w:basedOn w:val="14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7">
    <w:name w:val="List Table 5 Dark - Accent 5"/>
    <w:basedOn w:val="14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8">
    <w:name w:val="List Table 5 Dark - Accent 6"/>
    <w:basedOn w:val="14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9">
    <w:name w:val="List Table 6 Colorful"/>
    <w:basedOn w:val="14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60">
    <w:name w:val="List Table 6 Colorful - Accent 1"/>
    <w:basedOn w:val="14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361">
    <w:name w:val="List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362">
    <w:name w:val="List Table 6 Colorful - Accent 3"/>
    <w:basedOn w:val="14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363">
    <w:name w:val="List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364">
    <w:name w:val="List Table 6 Colorful - Accent 5"/>
    <w:basedOn w:val="14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365">
    <w:name w:val="List Table 6 Colorful - Accent 6"/>
    <w:basedOn w:val="14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366">
    <w:name w:val="List Table 7 Colorful"/>
    <w:basedOn w:val="14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7">
    <w:name w:val="List Table 7 Colorful - Accent 1"/>
    <w:basedOn w:val="14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368">
    <w:name w:val="List Table 7 Colorful - Accent 2"/>
    <w:basedOn w:val="14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369">
    <w:name w:val="List Table 7 Colorful - Accent 3"/>
    <w:basedOn w:val="14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370">
    <w:name w:val="List Table 7 Colorful - Accent 4"/>
    <w:basedOn w:val="14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371">
    <w:name w:val="List Table 7 Colorful - Accent 5"/>
    <w:basedOn w:val="14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372">
    <w:name w:val="List Table 7 Colorful - Accent 6"/>
    <w:basedOn w:val="14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373">
    <w:name w:val="Lined - Accent"/>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4">
    <w:name w:val="Lined - Accent 1"/>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75">
    <w:name w:val="Lined - Accent 2"/>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76">
    <w:name w:val="Lined - Accent 3"/>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77">
    <w:name w:val="Lined - Accent 4"/>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78">
    <w:name w:val="Lined - Accent 5"/>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79">
    <w:name w:val="Lined - Accent 6"/>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0">
    <w:name w:val="Bordered &amp; Lined - Accent"/>
    <w:basedOn w:val="14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81">
    <w:name w:val="Bordered &amp; Lined - Accent 1"/>
    <w:basedOn w:val="14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82">
    <w:name w:val="Bordered &amp; Lined - Accent 2"/>
    <w:basedOn w:val="14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83">
    <w:name w:val="Bordered &amp; Lined - Accent 3"/>
    <w:basedOn w:val="14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84">
    <w:name w:val="Bordered &amp; Lined - Accent 4"/>
    <w:basedOn w:val="14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85">
    <w:name w:val="Bordered &amp; Lined - Accent 5"/>
    <w:basedOn w:val="14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86">
    <w:name w:val="Bordered &amp; Lined - Accent 6"/>
    <w:basedOn w:val="14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7">
    <w:name w:val="Bordered"/>
    <w:basedOn w:val="14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8">
    <w:name w:val="Bordered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9">
    <w:name w:val="Bordered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90">
    <w:name w:val="Bordered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91">
    <w:name w:val="Bordered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92">
    <w:name w:val="Bordered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93">
    <w:name w:val="Bordered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94">
    <w:name w:val="Hyperlink"/>
    <w:uiPriority w:val="99"/>
    <w:unhideWhenUsed/>
    <w:rPr>
      <w:color w:val="0000ff" w:themeColor="hyperlink"/>
      <w:u w:val="single"/>
    </w:rPr>
  </w:style>
  <w:style w:type="paragraph" w:styleId="1395">
    <w:name w:val="footnote text"/>
    <w:basedOn w:val="1412"/>
    <w:link w:val="1396"/>
    <w:uiPriority w:val="99"/>
    <w:semiHidden/>
    <w:unhideWhenUsed/>
    <w:pPr>
      <w:spacing w:after="40" w:line="240" w:lineRule="auto"/>
    </w:pPr>
    <w:rPr>
      <w:sz w:val="18"/>
    </w:rPr>
  </w:style>
  <w:style w:type="character" w:styleId="1396">
    <w:name w:val="Footnote Text Char"/>
    <w:link w:val="1395"/>
    <w:uiPriority w:val="99"/>
    <w:rPr>
      <w:sz w:val="18"/>
    </w:rPr>
  </w:style>
  <w:style w:type="character" w:styleId="1397">
    <w:name w:val="footnote reference"/>
    <w:basedOn w:val="1414"/>
    <w:uiPriority w:val="99"/>
    <w:unhideWhenUsed/>
    <w:rPr>
      <w:vertAlign w:val="superscript"/>
    </w:rPr>
  </w:style>
  <w:style w:type="paragraph" w:styleId="1398">
    <w:name w:val="endnote text"/>
    <w:basedOn w:val="1412"/>
    <w:link w:val="1399"/>
    <w:uiPriority w:val="99"/>
    <w:semiHidden/>
    <w:unhideWhenUsed/>
    <w:pPr>
      <w:spacing w:after="0" w:line="240" w:lineRule="auto"/>
    </w:pPr>
    <w:rPr>
      <w:sz w:val="20"/>
    </w:rPr>
  </w:style>
  <w:style w:type="character" w:styleId="1399">
    <w:name w:val="Endnote Text Char"/>
    <w:link w:val="1398"/>
    <w:uiPriority w:val="99"/>
    <w:rPr>
      <w:sz w:val="20"/>
    </w:rPr>
  </w:style>
  <w:style w:type="character" w:styleId="1400">
    <w:name w:val="endnote reference"/>
    <w:basedOn w:val="1414"/>
    <w:uiPriority w:val="99"/>
    <w:semiHidden/>
    <w:unhideWhenUsed/>
    <w:rPr>
      <w:vertAlign w:val="superscript"/>
    </w:rPr>
  </w:style>
  <w:style w:type="paragraph" w:styleId="1401">
    <w:name w:val="toc 1"/>
    <w:basedOn w:val="1412"/>
    <w:next w:val="1412"/>
    <w:uiPriority w:val="39"/>
    <w:unhideWhenUsed/>
    <w:pPr>
      <w:ind w:left="0" w:right="0" w:firstLine="0"/>
      <w:spacing w:after="57"/>
    </w:pPr>
  </w:style>
  <w:style w:type="paragraph" w:styleId="1402">
    <w:name w:val="toc 2"/>
    <w:basedOn w:val="1412"/>
    <w:next w:val="1412"/>
    <w:uiPriority w:val="39"/>
    <w:unhideWhenUsed/>
    <w:pPr>
      <w:ind w:left="283" w:right="0" w:firstLine="0"/>
      <w:spacing w:after="57"/>
    </w:pPr>
  </w:style>
  <w:style w:type="paragraph" w:styleId="1403">
    <w:name w:val="toc 3"/>
    <w:basedOn w:val="1412"/>
    <w:next w:val="1412"/>
    <w:uiPriority w:val="39"/>
    <w:unhideWhenUsed/>
    <w:pPr>
      <w:ind w:left="567" w:right="0" w:firstLine="0"/>
      <w:spacing w:after="57"/>
    </w:pPr>
  </w:style>
  <w:style w:type="paragraph" w:styleId="1404">
    <w:name w:val="toc 4"/>
    <w:basedOn w:val="1412"/>
    <w:next w:val="1412"/>
    <w:uiPriority w:val="39"/>
    <w:unhideWhenUsed/>
    <w:pPr>
      <w:ind w:left="850" w:right="0" w:firstLine="0"/>
      <w:spacing w:after="57"/>
    </w:pPr>
  </w:style>
  <w:style w:type="paragraph" w:styleId="1405">
    <w:name w:val="toc 5"/>
    <w:basedOn w:val="1412"/>
    <w:next w:val="1412"/>
    <w:uiPriority w:val="39"/>
    <w:unhideWhenUsed/>
    <w:pPr>
      <w:ind w:left="1134" w:right="0" w:firstLine="0"/>
      <w:spacing w:after="57"/>
    </w:pPr>
  </w:style>
  <w:style w:type="paragraph" w:styleId="1406">
    <w:name w:val="toc 6"/>
    <w:basedOn w:val="1412"/>
    <w:next w:val="1412"/>
    <w:uiPriority w:val="39"/>
    <w:unhideWhenUsed/>
    <w:pPr>
      <w:ind w:left="1417" w:right="0" w:firstLine="0"/>
      <w:spacing w:after="57"/>
    </w:pPr>
  </w:style>
  <w:style w:type="paragraph" w:styleId="1407">
    <w:name w:val="toc 7"/>
    <w:basedOn w:val="1412"/>
    <w:next w:val="1412"/>
    <w:uiPriority w:val="39"/>
    <w:unhideWhenUsed/>
    <w:pPr>
      <w:ind w:left="1701" w:right="0" w:firstLine="0"/>
      <w:spacing w:after="57"/>
    </w:pPr>
  </w:style>
  <w:style w:type="paragraph" w:styleId="1408">
    <w:name w:val="toc 8"/>
    <w:basedOn w:val="1412"/>
    <w:next w:val="1412"/>
    <w:uiPriority w:val="39"/>
    <w:unhideWhenUsed/>
    <w:pPr>
      <w:ind w:left="1984" w:right="0" w:firstLine="0"/>
      <w:spacing w:after="57"/>
    </w:pPr>
  </w:style>
  <w:style w:type="paragraph" w:styleId="1409">
    <w:name w:val="toc 9"/>
    <w:basedOn w:val="1412"/>
    <w:next w:val="1412"/>
    <w:uiPriority w:val="39"/>
    <w:unhideWhenUsed/>
    <w:pPr>
      <w:ind w:left="2268" w:right="0" w:firstLine="0"/>
      <w:spacing w:after="57"/>
    </w:pPr>
  </w:style>
  <w:style w:type="paragraph" w:styleId="1410">
    <w:name w:val="TOC Heading"/>
    <w:uiPriority w:val="39"/>
    <w:unhideWhenUsed/>
  </w:style>
  <w:style w:type="paragraph" w:styleId="1411">
    <w:name w:val="table of figures"/>
    <w:basedOn w:val="1412"/>
    <w:next w:val="1412"/>
    <w:uiPriority w:val="99"/>
    <w:unhideWhenUsed/>
    <w:pPr>
      <w:spacing w:after="0" w:afterAutospacing="0"/>
    </w:pPr>
  </w:style>
  <w:style w:type="paragraph" w:styleId="14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13">
    <w:name w:val="Heading 2"/>
    <w:basedOn w:val="1412"/>
    <w:next w:val="141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414" w:default="1">
    <w:name w:val="Default Paragraph Font"/>
    <w:uiPriority w:val="1"/>
    <w:semiHidden/>
    <w:unhideWhenUsed/>
    <w:qFormat/>
  </w:style>
  <w:style w:type="table" w:styleId="1415" w:default="1">
    <w:name w:val="Normal Table"/>
    <w:uiPriority w:val="99"/>
    <w:semiHidden/>
    <w:unhideWhenUsed/>
    <w:qFormat/>
    <w:tblPr>
      <w:tblCellMar>
        <w:left w:w="108" w:type="dxa"/>
        <w:top w:w="0" w:type="dxa"/>
        <w:right w:w="108" w:type="dxa"/>
        <w:bottom w:w="0" w:type="dxa"/>
      </w:tblCellMar>
    </w:tblPr>
  </w:style>
  <w:style w:type="paragraph" w:styleId="1416">
    <w:name w:val="annotation text"/>
    <w:basedOn w:val="1412"/>
    <w:uiPriority w:val="0"/>
    <w:qFormat/>
    <w:pPr>
      <w:jc w:val="left"/>
    </w:pPr>
  </w:style>
  <w:style w:type="paragraph" w:styleId="1417">
    <w:name w:val="Body Text"/>
    <w:basedOn w:val="1412"/>
    <w:next w:val="1412"/>
    <w:uiPriority w:val="0"/>
    <w:unhideWhenUsed/>
    <w:qFormat/>
    <w:pPr>
      <w:spacing w:after="120"/>
    </w:pPr>
    <w:rPr>
      <w:rFonts w:ascii="Calibri" w:hAnsi="Calibri"/>
      <w:szCs w:val="22"/>
    </w:rPr>
  </w:style>
  <w:style w:type="paragraph" w:styleId="1418">
    <w:name w:val="Body Text Indent"/>
    <w:next w:val="1419"/>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419">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420">
    <w:name w:val="Plain Text"/>
    <w:basedOn w:val="1412"/>
    <w:uiPriority w:val="0"/>
    <w:unhideWhenUsed/>
    <w:qFormat/>
    <w:rPr>
      <w:rFonts w:ascii="宋体" w:hAnsi="Courier New" w:cs="Courier New"/>
      <w:szCs w:val="21"/>
    </w:rPr>
  </w:style>
  <w:style w:type="paragraph" w:styleId="1421">
    <w:name w:val="Footer"/>
    <w:basedOn w:val="1412"/>
    <w:link w:val="1430"/>
    <w:uiPriority w:val="0"/>
    <w:qFormat/>
    <w:pPr>
      <w:jc w:val="left"/>
      <w:tabs>
        <w:tab w:val="center" w:pos="4153" w:leader="none"/>
        <w:tab w:val="right" w:pos="8306" w:leader="none"/>
      </w:tabs>
    </w:pPr>
    <w:rPr>
      <w:sz w:val="18"/>
      <w:szCs w:val="18"/>
    </w:rPr>
  </w:style>
  <w:style w:type="paragraph" w:styleId="1422">
    <w:name w:val="Header"/>
    <w:basedOn w:val="1412"/>
    <w:link w:val="1429"/>
    <w:uiPriority w:val="0"/>
    <w:qFormat/>
    <w:pPr>
      <w:jc w:val="center"/>
      <w:tabs>
        <w:tab w:val="center" w:pos="4153" w:leader="none"/>
        <w:tab w:val="right" w:pos="8306" w:leader="none"/>
      </w:tabs>
      <w:pBdr>
        <w:bottom w:val="single" w:color="auto" w:sz="6" w:space="1"/>
      </w:pBdr>
    </w:pPr>
    <w:rPr>
      <w:sz w:val="18"/>
      <w:szCs w:val="18"/>
    </w:rPr>
  </w:style>
  <w:style w:type="paragraph" w:styleId="1423">
    <w:name w:val="Normal (Web)"/>
    <w:basedOn w:val="1412"/>
    <w:uiPriority w:val="0"/>
    <w:qFormat/>
    <w:pPr>
      <w:jc w:val="left"/>
      <w:spacing w:beforeAutospacing="1" w:afterAutospacing="1"/>
    </w:pPr>
    <w:rPr>
      <w:rFonts w:cs="Times New Roman"/>
      <w:sz w:val="24"/>
    </w:rPr>
  </w:style>
  <w:style w:type="paragraph" w:styleId="1424">
    <w:name w:val="Body Text First Indent"/>
    <w:basedOn w:val="1417"/>
    <w:uiPriority w:val="0"/>
    <w:qFormat/>
    <w:pPr>
      <w:ind w:firstLine="420"/>
    </w:pPr>
    <w:rPr>
      <w:rFonts w:asciiTheme="minorHAnsi" w:hAnsiTheme="minorHAnsi"/>
      <w:szCs w:val="24"/>
    </w:rPr>
  </w:style>
  <w:style w:type="table" w:styleId="1425">
    <w:name w:val="Table Grid"/>
    <w:basedOn w:val="14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name w:val="Strong"/>
    <w:uiPriority w:val="0"/>
    <w:qFormat/>
    <w:rPr>
      <w:b/>
    </w:rPr>
  </w:style>
  <w:style w:type="paragraph" w:styleId="1427" w:customStyle="1">
    <w:name w:val="标题 31"/>
    <w:next w:val="1412"/>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428" w:customStyle="1">
    <w:name w:val="Default"/>
    <w:basedOn w:val="1412"/>
    <w:uiPriority w:val="0"/>
    <w:semiHidden/>
    <w:qFormat/>
    <w:pPr>
      <w:jc w:val="left"/>
    </w:pPr>
    <w:rPr>
      <w:rFonts w:ascii="宋体" w:hAnsi="Calibri" w:cs="宋体"/>
      <w:color w:val="000000"/>
      <w:sz w:val="24"/>
    </w:rPr>
  </w:style>
  <w:style w:type="character" w:styleId="1429" w:customStyle="1">
    <w:name w:val="页眉 Char"/>
    <w:basedOn w:val="1414"/>
    <w:link w:val="1422"/>
    <w:uiPriority w:val="0"/>
    <w:qFormat/>
    <w:rPr>
      <w:rFonts w:asciiTheme="minorHAnsi" w:hAnsiTheme="minorHAnsi" w:eastAsiaTheme="minorEastAsia" w:cstheme="minorBidi"/>
      <w:sz w:val="18"/>
      <w:szCs w:val="18"/>
    </w:rPr>
  </w:style>
  <w:style w:type="character" w:styleId="1430" w:customStyle="1">
    <w:name w:val="页脚 Char"/>
    <w:basedOn w:val="1414"/>
    <w:link w:val="1421"/>
    <w:uiPriority w:val="0"/>
    <w:qFormat/>
    <w:rPr>
      <w:rFonts w:asciiTheme="minorHAnsi" w:hAnsiTheme="minorHAnsi" w:eastAsiaTheme="minorEastAsia" w:cstheme="minorBidi"/>
      <w:sz w:val="18"/>
      <w:szCs w:val="18"/>
    </w:rPr>
  </w:style>
  <w:style w:type="paragraph" w:styleId="14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2" w:customStyle="1">
    <w:name w:val="页脚1"/>
    <w:basedOn w:val="1412"/>
    <w:uiPriority w:val="99"/>
    <w:unhideWhenUsed/>
    <w:qFormat/>
    <w:pPr>
      <w:jc w:val="left"/>
      <w:tabs>
        <w:tab w:val="center" w:pos="4153" w:leader="none"/>
        <w:tab w:val="right" w:pos="8306" w:leader="none"/>
      </w:tabs>
    </w:pPr>
    <w:rPr>
      <w:sz w:val="18"/>
      <w:szCs w:val="18"/>
    </w:rPr>
  </w:style>
  <w:style w:type="paragraph" w:styleId="1433" w:customStyle="1">
    <w:name w:val="普通正文"/>
    <w:basedOn w:val="1412"/>
    <w:uiPriority w:val="0"/>
    <w:qFormat/>
    <w:pPr>
      <w:ind w:firstLine="480"/>
      <w:jc w:val="left"/>
      <w:spacing w:before="120" w:after="120" w:line="360" w:lineRule="auto"/>
    </w:pPr>
    <w:rPr>
      <w:rFonts w:ascii="Arial" w:hAnsi="Arial" w:eastAsia="等线" w:cs="Arial"/>
      <w:sz w:val="24"/>
      <w:szCs w:val="24"/>
    </w:rPr>
  </w:style>
  <w:style w:type="paragraph" w:styleId="1434" w:customStyle="1">
    <w:name w:val="正文首行缩进 21"/>
    <w:basedOn w:val="1435"/>
    <w:uiPriority w:val="0"/>
    <w:qFormat/>
    <w:pPr>
      <w:ind w:firstLine="420"/>
    </w:pPr>
  </w:style>
  <w:style w:type="paragraph" w:styleId="1435" w:customStyle="1">
    <w:name w:val="正文文本缩进1"/>
    <w:basedOn w:val="1412"/>
    <w:uiPriority w:val="0"/>
    <w:qFormat/>
    <w:pPr>
      <w:ind w:left="420"/>
      <w:spacing w:after="120"/>
    </w:pPr>
  </w:style>
  <w:style w:type="table" w:styleId="1436" w:customStyle="1">
    <w:name w:val="Table Normal"/>
    <w:uiPriority w:val="0"/>
    <w:semiHidden/>
    <w:unhideWhenUsed/>
    <w:qFormat/>
    <w:tblPr>
      <w:tblCellMar>
        <w:left w:w="0" w:type="dxa"/>
        <w:top w:w="0" w:type="dxa"/>
        <w:right w:w="0" w:type="dxa"/>
        <w:bottom w:w="0" w:type="dxa"/>
      </w:tblCellMar>
    </w:tblPr>
  </w:style>
  <w:style w:type="paragraph" w:styleId="1437" w:customStyle="1">
    <w:name w:val="Table Text"/>
    <w:basedOn w:val="1412"/>
    <w:uiPriority w:val="0"/>
    <w:semiHidden/>
    <w:qFormat/>
    <w:rPr>
      <w:rFonts w:ascii="宋体" w:hAnsi="宋体" w:eastAsia="宋体" w:cs="宋体"/>
      <w:sz w:val="24"/>
      <w:szCs w:val="24"/>
      <w:lang w:val="en-US" w:eastAsia="en-US" w:bidi="ar-SA"/>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122</cp:revision>
  <dcterms:created xsi:type="dcterms:W3CDTF">2014-10-29T12:08:00Z</dcterms:created>
  <dcterms:modified xsi:type="dcterms:W3CDTF">2026-11-04T01:10:35Z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