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江苏省如皋第一中等专业学校</w:t>
      </w:r>
      <w:r/>
    </w:p>
    <w:p>
      <w:pPr>
        <w:jc w:val="center"/>
        <w:rPr>
          <w:rFonts w:hint="eastAsia" w:ascii="宋体" w:hAnsi="宋体"/>
          <w:b/>
          <w:spacing w:val="20"/>
          <w:sz w:val="44"/>
        </w:rPr>
      </w:pPr>
      <w:r>
        <w:rPr>
          <w:rFonts w:hint="eastAsia" w:ascii="宋体" w:hAnsi="宋体"/>
          <w:b/>
          <w:spacing w:val="20"/>
          <w:sz w:val="44"/>
        </w:rPr>
        <w:t xml:space="preserve">实训室机房电脑项目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采购文件编号：JSZC-320682-JZCG-T2026-0018</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10</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采购邀请</w:t>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谈判须知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采 购 邀 请</w:t>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江苏省如皋第一中等专业学校</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bookmarkStart w:id="0" w:name="OLE_LINK1"/>
      <w:r>
        <w:rPr>
          <w:rFonts w:hint="eastAsia" w:eastAsia="方正仿宋_GBK"/>
          <w:sz w:val="28"/>
          <w:szCs w:val="28"/>
        </w:rPr>
        <w:t xml:space="preserve">江苏省如皋第一中等专业学校实训室机房电脑</w:t>
      </w:r>
      <w:r>
        <w:rPr>
          <w:rFonts w:eastAsia="方正仿宋_GBK"/>
          <w:sz w:val="28"/>
          <w:szCs w:val="28"/>
        </w:rPr>
        <w:t xml:space="preserve">项目</w:t>
      </w:r>
      <w:bookmarkEnd w:id="0"/>
      <w:r>
        <w:rPr>
          <w:rFonts w:eastAsia="方正仿宋_GBK"/>
          <w:sz w:val="28"/>
          <w:szCs w:val="28"/>
        </w:rPr>
        <w:t xml:space="preserve">(项目编号:</w:t>
      </w:r>
      <w:r>
        <w:rPr>
          <w:rFonts w:hint="eastAsia" w:eastAsia="方正仿宋_GBK"/>
          <w:sz w:val="28"/>
          <w:szCs w:val="28"/>
        </w:rPr>
        <w:t xml:space="preserve">JSZC-320682-JZCG-T2026-0018</w:t>
      </w:r>
      <w:r>
        <w:rPr>
          <w:rFonts w:eastAsia="方正仿宋_GBK"/>
          <w:sz w:val="28"/>
          <w:szCs w:val="28"/>
        </w:rPr>
        <w:t xml:space="preserve">)进行竞争性谈判采购，欢迎符合条件的供应商参加谈判。</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江苏省如皋第一中等专业学校实训室机房电脑</w:t>
      </w:r>
      <w:r>
        <w:rPr>
          <w:rFonts w:eastAsia="方正仿宋_GBK"/>
          <w:sz w:val="28"/>
          <w:szCs w:val="28"/>
        </w:rPr>
        <w:t xml:space="preserve">项目采购项目的潜在供应商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30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JSZC-320682-JZCG-T2026-0018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江苏省如皋第一中等专业学校实训室机房电脑</w:t>
      </w:r>
      <w:r>
        <w:rPr>
          <w:rFonts w:eastAsia="方正仿宋_GBK"/>
          <w:sz w:val="28"/>
          <w:szCs w:val="28"/>
        </w:rPr>
        <w:t xml:space="preserve">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hint="eastAsia"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111.65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111.65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采购需求：详见谈判文件，请仔细研究。</w:t>
      </w:r>
      <w:r/>
    </w:p>
    <w:p>
      <w:pPr>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合同签订后的3个月内安装调试完毕，产品质保期限为自交货并验收合格之日起计5年。</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hint="eastAsia" w:eastAsia="方正仿宋_GBK"/>
          <w:sz w:val="28"/>
          <w:szCs w:val="28"/>
        </w:rPr>
      </w:pPr>
      <w:r>
        <w:rPr>
          <w:rFonts w:hint="eastAsia" w:eastAsia="方正仿宋_GBK"/>
          <w:sz w:val="28"/>
          <w:szCs w:val="28"/>
        </w:rPr>
        <w:t xml:space="preserve">本项目是否接受分包</w:t>
      </w:r>
      <w:r>
        <w:rPr>
          <w:rFonts w:eastAsia="方正仿宋_GBK"/>
          <w:sz w:val="28"/>
          <w:szCs w:val="28"/>
        </w:rPr>
        <w:t xml:space="preserve">：否。</w:t>
      </w:r>
      <w:r/>
    </w:p>
    <w:p>
      <w:pPr>
        <w:ind w:firstLine="560"/>
        <w:spacing w:line="500" w:lineRule="exact"/>
        <w:rPr>
          <w:rFonts w:hint="eastAsia" w:eastAsia="方正仿宋_GBK"/>
          <w:sz w:val="28"/>
          <w:szCs w:val="28"/>
          <w:highlight w:val="yellow"/>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numPr>
          <w:ilvl w:val="0"/>
          <w:numId w:val="2"/>
        </w:numPr>
        <w:ind w:firstLine="560"/>
        <w:spacing w:line="500" w:lineRule="exact"/>
        <w:rPr>
          <w:rFonts w:hint="eastAsia" w:eastAsia="方正仿宋_GBK"/>
          <w:sz w:val="28"/>
          <w:szCs w:val="28"/>
        </w:rPr>
      </w:pPr>
      <w:r>
        <w:rPr>
          <w:rFonts w:hint="eastAsia" w:eastAsia="方正仿宋_GBK"/>
          <w:sz w:val="28"/>
          <w:szCs w:val="28"/>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eastAsia="方正仿宋_GBK"/>
          <w:sz w:val="28"/>
          <w:szCs w:val="28"/>
          <w:u w:val="singl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hint="eastAsia" w:ascii="仿宋_GB2312" w:hAnsi="仿宋_GB2312" w:eastAsia="仿宋_GB2312" w:cs="仿宋_GB2312"/>
          <w:sz w:val="28"/>
          <w:szCs w:val="28"/>
          <w:highlight w:val="lightGray"/>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rPr>
        <w:t xml:space="preserve">本项目不接受进口产品投标，供应商须提供关于符合本国产品标准的声明函。</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30</w:t>
      </w:r>
      <w:r>
        <w:rPr>
          <w:rFonts w:eastAsia="方正仿宋_GBK"/>
          <w:sz w:val="28"/>
          <w:szCs w:val="28"/>
        </w:rPr>
        <w:t xml:space="preserve">日</w:t>
      </w:r>
      <w:r/>
    </w:p>
    <w:p>
      <w:pPr>
        <w:ind w:firstLine="560"/>
        <w:spacing w:line="500" w:lineRule="exact"/>
        <w:rPr>
          <w:rFonts w:hint="eastAsia"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 </w:t>
      </w:r>
      <w:r>
        <w:rPr>
          <w:rFonts w:eastAsia="方正仿宋_GBK"/>
          <w:sz w:val="28"/>
          <w:szCs w:val="28"/>
        </w:rPr>
        <w:t xml:space="preserve">提交响应文件截止时间、谈判时间</w:t>
      </w:r>
      <w:r>
        <w:rPr>
          <w:rFonts w:hint="eastAsia" w:eastAsia="方正仿宋_GBK"/>
          <w:sz w:val="28"/>
          <w:szCs w:val="28"/>
        </w:rPr>
        <w:t xml:space="preserve">:</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30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eastAsia="方正仿宋_GBK"/>
          <w:sz w:val="28"/>
          <w:szCs w:val="28"/>
        </w:rPr>
      </w:pPr>
      <w:r>
        <w:rPr>
          <w:rFonts w:hint="eastAsia" w:eastAsia="方正仿宋_GBK"/>
          <w:sz w:val="28"/>
          <w:szCs w:val="28"/>
        </w:rPr>
        <w:t xml:space="preserve">谈判</w:t>
      </w:r>
      <w:r>
        <w:rPr>
          <w:rFonts w:eastAsia="方正仿宋_GBK"/>
          <w:sz w:val="28"/>
          <w:szCs w:val="28"/>
        </w:rPr>
        <w:t xml:space="preserve">地点：</w:t>
      </w:r>
      <w:r>
        <w:rPr>
          <w:rFonts w:hint="eastAsia" w:eastAsia="方正仿宋_GBK"/>
          <w:sz w:val="28"/>
          <w:szCs w:val="28"/>
        </w:rPr>
        <w:t xml:space="preserve">“苏采云”政府采购交易系统网上开标大厅。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p>
    <w:p>
      <w:pPr>
        <w:pStyle w:val="873"/>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、项目谈判活动模式：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20"/>
        <w:spacing w:line="500" w:lineRule="exact"/>
        <w:rPr>
          <w:rFonts w:eastAsia="方正仿宋_GBK"/>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江苏省如皋第一中等专业学校</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地址：</w:t>
      </w:r>
      <w:r>
        <w:rPr>
          <w:rFonts w:hint="eastAsia" w:eastAsia="方正仿宋_GBK"/>
          <w:sz w:val="28"/>
          <w:szCs w:val="28"/>
        </w:rPr>
        <w:t xml:space="preserve">如皋市长江镇教育路1号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张斯亮</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15250640881</w:t>
      </w:r>
      <w:r>
        <w:rPr>
          <w:rFonts w:eastAsia="方正仿宋_GBK"/>
          <w:sz w:val="28"/>
          <w:szCs w:val="28"/>
        </w:rPr>
        <w:t xml:space="preserve">　　　　　　　　　　　</w:t>
      </w:r>
      <w:r/>
    </w:p>
    <w:p>
      <w:pPr>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p>
    <w:p>
      <w:pPr>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p>
    <w:p>
      <w:pPr>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3.项目联系方式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p>
    <w:p>
      <w:pPr>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p>
    <w:p>
      <w:pPr>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谈判须知</w:t>
      </w:r>
      <w:r/>
    </w:p>
    <w:p>
      <w:pPr>
        <w:keepLines/>
        <w:keepNext/>
        <w:spacing w:line="500" w:lineRule="exact"/>
        <w:rPr>
          <w:rFonts w:eastAsia="方正仿宋_GBK"/>
          <w:b/>
          <w:bCs/>
          <w:sz w:val="28"/>
          <w:szCs w:val="28"/>
        </w:rPr>
        <w:outlineLvl w:val="2"/>
      </w:pPr>
      <w:r/>
      <w:bookmarkStart w:id="1" w:name="_Toc513029203"/>
      <w:r/>
      <w:bookmarkStart w:id="2" w:name="_Toc20823275"/>
      <w:r/>
      <w:bookmarkStart w:id="3" w:name="_Toc120614214"/>
      <w:r/>
      <w:bookmarkStart w:id="4" w:name="_Toc16938519"/>
      <w:r>
        <w:rPr>
          <w:rFonts w:eastAsia="方正仿宋_GBK"/>
          <w:b/>
          <w:bCs/>
          <w:sz w:val="28"/>
          <w:szCs w:val="28"/>
        </w:rPr>
        <w:t xml:space="preserve">（一）总则</w:t>
      </w:r>
      <w:bookmarkEnd w:id="1"/>
      <w:r/>
      <w:bookmarkEnd w:id="2"/>
      <w:r/>
      <w:bookmarkEnd w:id="3"/>
      <w:r/>
      <w:bookmarkEnd w:id="4"/>
      <w:r/>
      <w:r/>
    </w:p>
    <w:p>
      <w:pPr>
        <w:keepNext/>
        <w:spacing w:line="500" w:lineRule="exact"/>
        <w:rPr>
          <w:rFonts w:eastAsia="方正仿宋_GBK"/>
          <w:b/>
          <w:bCs/>
          <w:sz w:val="28"/>
          <w:szCs w:val="28"/>
        </w:rPr>
        <w:outlineLvl w:val="3"/>
      </w:pPr>
      <w:r/>
      <w:bookmarkStart w:id="5" w:name="_Hlt16619475"/>
      <w:r/>
      <w:bookmarkEnd w:id="5"/>
      <w:r/>
      <w:bookmarkStart w:id="6" w:name="_Toc458694821"/>
      <w:r/>
      <w:bookmarkStart w:id="7" w:name="_Toc16938520"/>
      <w:r/>
      <w:bookmarkStart w:id="8" w:name="_Toc20823276"/>
      <w:r/>
      <w:bookmarkStart w:id="9" w:name="_Toc513029204"/>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 本次采取竞争性谈判方式，本谈判文件仅适用于谈判公告中所述项目。</w:t>
      </w:r>
      <w:r/>
    </w:p>
    <w:p>
      <w:pPr>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2.合格的</w:t>
      </w:r>
      <w:bookmarkEnd w:id="10"/>
      <w:r/>
      <w:bookmarkEnd w:id="11"/>
      <w:r/>
      <w:bookmarkEnd w:id="12"/>
      <w:r>
        <w:rPr>
          <w:rFonts w:eastAsia="方正仿宋_GBK"/>
          <w:sz w:val="28"/>
          <w:szCs w:val="28"/>
        </w:rPr>
        <w:t xml:space="preserve">谈判供应商</w:t>
      </w:r>
      <w:r/>
    </w:p>
    <w:p>
      <w:pPr>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满足本谈判文件实质性条款的规定。</w:t>
      </w:r>
      <w:r/>
    </w:p>
    <w:p>
      <w:pPr>
        <w:keepNext/>
        <w:spacing w:line="500" w:lineRule="exact"/>
        <w:rPr>
          <w:rFonts w:eastAsia="方正仿宋_GBK"/>
          <w:b/>
          <w:bCs/>
          <w:sz w:val="28"/>
          <w:szCs w:val="28"/>
        </w:rPr>
        <w:outlineLvl w:val="3"/>
      </w:pPr>
      <w:r/>
      <w:bookmarkStart w:id="13" w:name="_Toc20823278"/>
      <w:r/>
      <w:bookmarkStart w:id="14" w:name="_Toc513029206"/>
      <w:r/>
      <w:bookmarkStart w:id="15" w:name="_Toc16938522"/>
      <w:r>
        <w:rPr>
          <w:rFonts w:eastAsia="方正仿宋_GBK"/>
          <w:sz w:val="28"/>
          <w:szCs w:val="28"/>
        </w:rPr>
        <w:t xml:space="preserve">3.适用法律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6" w:name="_Toc16938523"/>
      <w:r/>
      <w:bookmarkStart w:id="17" w:name="_Toc20823279"/>
      <w:r/>
      <w:bookmarkStart w:id="18" w:name="_Toc513029207"/>
      <w:r/>
      <w:bookmarkStart w:id="19" w:name="_Toc462564067"/>
      <w:r>
        <w:rPr>
          <w:rFonts w:eastAsia="方正仿宋_GBK"/>
          <w:sz w:val="28"/>
          <w:szCs w:val="28"/>
        </w:rPr>
        <w:t xml:space="preserve">4.谈判费用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参加谈判的供应商应自行承担所有与参加谈判有关的费用，无论谈判过程中的做法和结果如何，</w:t>
      </w:r>
      <w:r>
        <w:rPr>
          <w:rFonts w:hint="eastAsia" w:eastAsia="方正仿宋_GBK"/>
          <w:sz w:val="28"/>
          <w:szCs w:val="28"/>
        </w:rPr>
        <w:t xml:space="preserve">交易中心及采购人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4.2本次谈判</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5.谈判文件的约束力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供应商一旦参加本项目采购活动，即被认为接受了本谈判文件的规定和约束。</w:t>
      </w:r>
      <w:r/>
    </w:p>
    <w:p>
      <w:pPr>
        <w:keepNext/>
        <w:spacing w:line="500" w:lineRule="exact"/>
        <w:rPr>
          <w:rFonts w:eastAsia="方正仿宋_GBK"/>
          <w:sz w:val="28"/>
          <w:szCs w:val="28"/>
        </w:rPr>
        <w:outlineLvl w:val="3"/>
      </w:pPr>
      <w:r>
        <w:rPr>
          <w:rFonts w:eastAsia="方正仿宋_GBK"/>
          <w:sz w:val="28"/>
          <w:szCs w:val="28"/>
        </w:rPr>
        <w:t xml:space="preserve">6.谈判文件的解释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20" w:name="_Toc20823281"/>
      <w:r/>
      <w:bookmarkStart w:id="21" w:name="_Toc513029209"/>
      <w:r/>
      <w:bookmarkStart w:id="22" w:name="_Toc120614215"/>
      <w:r/>
      <w:bookmarkStart w:id="23" w:name="_Toc16938525"/>
      <w:r>
        <w:rPr>
          <w:rFonts w:eastAsia="方正仿宋_GBK"/>
          <w:b/>
          <w:bCs/>
          <w:sz w:val="28"/>
          <w:szCs w:val="28"/>
        </w:rPr>
        <w:t xml:space="preserve">（二）谈判文件</w:t>
      </w:r>
      <w:bookmarkEnd w:id="20"/>
      <w:r/>
      <w:bookmarkEnd w:id="21"/>
      <w:r/>
      <w:bookmarkEnd w:id="22"/>
      <w:r/>
      <w:bookmarkEnd w:id="23"/>
      <w:r/>
      <w:r/>
    </w:p>
    <w:p>
      <w:pPr>
        <w:keepNext/>
        <w:spacing w:line="500" w:lineRule="exact"/>
        <w:rPr>
          <w:rFonts w:eastAsia="方正仿宋_GBK"/>
          <w:b/>
          <w:bCs/>
          <w:sz w:val="28"/>
          <w:szCs w:val="28"/>
        </w:rPr>
        <w:outlineLvl w:val="3"/>
      </w:pPr>
      <w:r/>
      <w:bookmarkStart w:id="24" w:name="_Toc20823282"/>
      <w:r/>
      <w:bookmarkStart w:id="25" w:name="_Toc513029210"/>
      <w:r/>
      <w:bookmarkStart w:id="26" w:name="_Toc16938526"/>
      <w:r>
        <w:rPr>
          <w:rFonts w:eastAsia="方正仿宋_GBK"/>
          <w:sz w:val="28"/>
          <w:szCs w:val="28"/>
        </w:rPr>
        <w:t xml:space="preserve">1.谈判文件构成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谈判文件由以下部分组成：</w:t>
      </w:r>
      <w:r/>
    </w:p>
    <w:p>
      <w:pPr>
        <w:ind w:firstLine="28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280"/>
        <w:spacing w:line="500" w:lineRule="exact"/>
        <w:rPr>
          <w:rFonts w:eastAsia="方正仿宋_GBK"/>
          <w:sz w:val="28"/>
          <w:szCs w:val="28"/>
        </w:rPr>
      </w:pPr>
      <w:r>
        <w:rPr>
          <w:rFonts w:eastAsia="方正仿宋_GBK"/>
          <w:sz w:val="28"/>
          <w:szCs w:val="28"/>
        </w:rPr>
        <w:t xml:space="preserve">（2）谈判须知</w:t>
      </w:r>
      <w:r/>
    </w:p>
    <w:p>
      <w:pPr>
        <w:ind w:firstLine="280"/>
        <w:spacing w:line="500" w:lineRule="exact"/>
        <w:rPr>
          <w:rFonts w:eastAsia="方正仿宋_GBK"/>
          <w:sz w:val="28"/>
          <w:szCs w:val="28"/>
        </w:rPr>
      </w:pPr>
      <w:r>
        <w:rPr>
          <w:rFonts w:eastAsia="方正仿宋_GBK"/>
          <w:sz w:val="28"/>
          <w:szCs w:val="28"/>
        </w:rPr>
        <w:t xml:space="preserve">（3）项目需求</w:t>
      </w:r>
      <w:r/>
    </w:p>
    <w:p>
      <w:pPr>
        <w:ind w:firstLine="280"/>
        <w:spacing w:line="500" w:lineRule="exact"/>
        <w:rPr>
          <w:rFonts w:eastAsia="方正仿宋_GBK"/>
          <w:sz w:val="28"/>
          <w:szCs w:val="28"/>
        </w:rPr>
      </w:pPr>
      <w:r>
        <w:rPr>
          <w:rFonts w:eastAsia="方正仿宋_GBK"/>
          <w:sz w:val="28"/>
          <w:szCs w:val="28"/>
        </w:rPr>
        <w:t xml:space="preserve">（4）评审方法和评审标准</w:t>
      </w:r>
      <w:r/>
    </w:p>
    <w:p>
      <w:pPr>
        <w:ind w:firstLine="280"/>
        <w:spacing w:line="500" w:lineRule="exact"/>
        <w:rPr>
          <w:rFonts w:hint="eastAsia" w:eastAsia="方正仿宋_GBK"/>
          <w:sz w:val="28"/>
          <w:szCs w:val="28"/>
        </w:rPr>
      </w:pPr>
      <w:r>
        <w:rPr>
          <w:rFonts w:eastAsia="方正仿宋_GBK"/>
          <w:sz w:val="28"/>
          <w:szCs w:val="28"/>
        </w:rPr>
        <w:t xml:space="preserve">（5）响应文件组成</w:t>
      </w:r>
      <w:r/>
    </w:p>
    <w:p>
      <w:pPr>
        <w:ind w:firstLine="280"/>
        <w:spacing w:line="500" w:lineRule="exact"/>
        <w:rPr>
          <w:rFonts w:eastAsia="方正仿宋_GBK"/>
          <w:sz w:val="28"/>
          <w:szCs w:val="28"/>
        </w:rPr>
      </w:pPr>
      <w:r>
        <w:rPr>
          <w:rFonts w:hint="eastAsia" w:eastAsia="方正仿宋_GBK"/>
          <w:sz w:val="28"/>
          <w:szCs w:val="28"/>
        </w:rPr>
        <w:t xml:space="preserve">（6）合同签订与验收付款</w:t>
      </w:r>
      <w:r/>
    </w:p>
    <w:p>
      <w:pPr>
        <w:ind w:firstLine="28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eastAsia="方正仿宋_GBK"/>
          <w:b/>
          <w:bCs/>
          <w:sz w:val="28"/>
          <w:szCs w:val="28"/>
        </w:rPr>
        <w:outlineLvl w:val="3"/>
      </w:pPr>
      <w:r/>
      <w:bookmarkStart w:id="27" w:name="_Toc513029211"/>
      <w:r/>
      <w:bookmarkStart w:id="28" w:name="_Toc20823283"/>
      <w:r/>
      <w:bookmarkStart w:id="29" w:name="_Toc16938527"/>
      <w:r/>
      <w:bookmarkStart w:id="30" w:name="_Toc462564070"/>
      <w:r>
        <w:rPr>
          <w:rFonts w:eastAsia="方正仿宋_GBK"/>
          <w:sz w:val="28"/>
          <w:szCs w:val="28"/>
        </w:rPr>
        <w:t xml:space="preserve">2.谈判文件的澄清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1" w:name="_Toc462564071"/>
      <w:r/>
      <w:bookmarkStart w:id="32" w:name="_Toc20823284"/>
      <w:r/>
      <w:bookmarkStart w:id="33" w:name="_Toc16938528"/>
      <w:r/>
      <w:bookmarkStart w:id="34" w:name="_Toc513029212"/>
      <w:r>
        <w:rPr>
          <w:rFonts w:eastAsia="方正仿宋_GBK"/>
          <w:sz w:val="28"/>
          <w:szCs w:val="28"/>
        </w:rPr>
        <w:t xml:space="preserve">3.谈判文件的修改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在谈判响应文件提交截止时间前，</w:t>
      </w:r>
      <w:r>
        <w:rPr>
          <w:rFonts w:hint="eastAsia" w:eastAsia="方正仿宋_GBK"/>
          <w:sz w:val="28"/>
          <w:szCs w:val="28"/>
        </w:rPr>
        <w:t xml:space="preserve">采购人</w:t>
      </w:r>
      <w:r>
        <w:rPr>
          <w:rFonts w:eastAsia="方正仿宋_GBK"/>
          <w:sz w:val="28"/>
          <w:szCs w:val="28"/>
        </w:rPr>
        <w:t xml:space="preserve">可以对谈判文件进行修改。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w:t>
      </w:r>
      <w:r>
        <w:rPr>
          <w:rFonts w:eastAsia="方正仿宋_GBK"/>
          <w:sz w:val="28"/>
          <w:szCs w:val="28"/>
        </w:rPr>
        <w:t xml:space="preserve">有权按照法定的要求推迟响应文件提交截止日期和谈判日期。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谈判文件的修改将在</w:t>
      </w:r>
      <w:r>
        <w:rPr>
          <w:rFonts w:hint="eastAsia" w:eastAsia="方正仿宋_GBK"/>
          <w:sz w:val="28"/>
          <w:szCs w:val="28"/>
        </w:rPr>
        <w:t xml:space="preserve">“江苏政府采购网”</w:t>
      </w:r>
      <w:r>
        <w:rPr>
          <w:rFonts w:eastAsia="方正仿宋_GBK"/>
          <w:sz w:val="28"/>
          <w:szCs w:val="28"/>
        </w:rPr>
        <w:t xml:space="preserve">公布，补充文件将作为谈判文件的组成部分，并对供应商具有约束力。</w:t>
      </w:r>
      <w:r/>
    </w:p>
    <w:p>
      <w:pPr>
        <w:keepLines/>
        <w:keepNext/>
        <w:spacing w:line="500" w:lineRule="exact"/>
        <w:rPr>
          <w:rFonts w:eastAsia="方正仿宋_GBK"/>
          <w:b/>
          <w:bCs/>
          <w:sz w:val="28"/>
          <w:szCs w:val="28"/>
        </w:rPr>
        <w:outlineLvl w:val="2"/>
      </w:pPr>
      <w:r/>
      <w:bookmarkStart w:id="35" w:name="_Toc16938529"/>
      <w:r/>
      <w:bookmarkStart w:id="36" w:name="_Toc513029213"/>
      <w:r/>
      <w:bookmarkStart w:id="37" w:name="_Toc20823285"/>
      <w:r/>
      <w:bookmarkStart w:id="38" w:name="_Toc120614216"/>
      <w:r/>
      <w:bookmarkStart w:id="39" w:name="_Toc462564072"/>
      <w:r>
        <w:rPr>
          <w:rFonts w:eastAsia="方正仿宋_GBK"/>
          <w:b/>
          <w:bCs/>
          <w:sz w:val="28"/>
          <w:szCs w:val="28"/>
        </w:rPr>
        <w:t xml:space="preserve">（三）响应文件的编制</w:t>
      </w:r>
      <w:bookmarkEnd w:id="35"/>
      <w:r/>
      <w:bookmarkEnd w:id="36"/>
      <w:r/>
      <w:bookmarkEnd w:id="37"/>
      <w:r/>
      <w:bookmarkEnd w:id="38"/>
      <w:r/>
      <w:bookmarkEnd w:id="39"/>
      <w:r/>
      <w:r/>
    </w:p>
    <w:p>
      <w:pPr>
        <w:keepNext/>
        <w:spacing w:line="500" w:lineRule="exact"/>
        <w:rPr>
          <w:rFonts w:eastAsia="方正仿宋_GBK"/>
          <w:bCs/>
          <w:sz w:val="28"/>
          <w:szCs w:val="28"/>
        </w:rPr>
        <w:outlineLvl w:val="3"/>
      </w:pPr>
      <w:r/>
      <w:bookmarkStart w:id="40" w:name="_Toc513029214"/>
      <w:r/>
      <w:bookmarkStart w:id="41" w:name="_Toc462564073"/>
      <w:r/>
      <w:bookmarkStart w:id="42" w:name="_Toc16938530"/>
      <w:r/>
      <w:bookmarkStart w:id="43" w:name="_Toc20823286"/>
      <w:r>
        <w:rPr>
          <w:rFonts w:eastAsia="方正仿宋_GBK"/>
          <w:sz w:val="28"/>
          <w:szCs w:val="28"/>
        </w:rPr>
        <w:t xml:space="preserve">1.响应文件的语言及度量衡单位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4" w:name="_Toc20823287"/>
      <w:r/>
      <w:bookmarkStart w:id="45" w:name="_Toc513029215"/>
      <w:r/>
      <w:bookmarkStart w:id="46" w:name="_Toc462564074"/>
      <w:r/>
      <w:bookmarkStart w:id="47" w:name="_Toc16938531"/>
      <w:r>
        <w:rPr>
          <w:rFonts w:eastAsia="方正仿宋_GBK"/>
          <w:sz w:val="28"/>
          <w:szCs w:val="28"/>
        </w:rPr>
        <w:t xml:space="preserve">2.响应文件构成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8" w:name="_Hlt26954838"/>
      <w:r/>
      <w:bookmarkEnd w:id="48"/>
      <w:r/>
      <w:bookmarkStart w:id="49" w:name="_Hlt26668975"/>
      <w:r/>
      <w:bookmarkEnd w:id="49"/>
      <w:r/>
      <w:bookmarkStart w:id="50" w:name="_Hlt26670360"/>
      <w:r/>
      <w:bookmarkEnd w:id="50"/>
      <w:r/>
      <w:bookmarkStart w:id="51" w:name="_Toc49090511"/>
      <w:r/>
      <w:bookmarkStart w:id="52" w:name="_Toc14577360"/>
      <w:r>
        <w:rPr>
          <w:rFonts w:eastAsia="方正仿宋_GBK"/>
          <w:sz w:val="28"/>
          <w:szCs w:val="28"/>
        </w:rPr>
        <w:t xml:space="preserve">3.</w:t>
      </w:r>
      <w:bookmarkEnd w:id="51"/>
      <w:r/>
      <w:bookmarkEnd w:id="52"/>
      <w:r>
        <w:rPr>
          <w:rFonts w:eastAsia="方正仿宋_GBK"/>
          <w:sz w:val="28"/>
          <w:szCs w:val="28"/>
        </w:rPr>
        <w:t xml:space="preserve">谈判响应有效期</w:t>
      </w:r>
      <w:r/>
    </w:p>
    <w:p>
      <w:pPr>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4.谈判响应有效期的延长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w:t>
      </w:r>
      <w:r>
        <w:rPr>
          <w:rFonts w:eastAsia="方正仿宋_GBK"/>
          <w:bCs/>
          <w:sz w:val="28"/>
          <w:szCs w:val="28"/>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3" w:name="_Hlt26954739"/>
      <w:r/>
      <w:bookmarkEnd w:id="53"/>
      <w:r/>
      <w:bookmarkStart w:id="54" w:name="_Hlt26954852"/>
      <w:r/>
      <w:bookmarkEnd w:id="54"/>
      <w:r/>
      <w:bookmarkStart w:id="55" w:name="_Toc120614217"/>
      <w:r/>
      <w:bookmarkStart w:id="56" w:name="_Toc16938540"/>
      <w:r/>
      <w:bookmarkStart w:id="57" w:name="_Toc513029224"/>
      <w:r/>
      <w:bookmarkStart w:id="58" w:name="_Toc20823296"/>
      <w:r>
        <w:rPr>
          <w:rFonts w:eastAsia="方正仿宋_GBK"/>
          <w:b/>
          <w:bCs/>
          <w:sz w:val="28"/>
          <w:szCs w:val="28"/>
        </w:rPr>
        <w:t xml:space="preserve">（四）响应文件的</w:t>
      </w:r>
      <w:bookmarkEnd w:id="55"/>
      <w:r/>
      <w:bookmarkEnd w:id="56"/>
      <w:r/>
      <w:bookmarkEnd w:id="57"/>
      <w:r/>
      <w:bookmarkEnd w:id="58"/>
      <w:r>
        <w:rPr>
          <w:rFonts w:eastAsia="方正仿宋_GBK"/>
          <w:b/>
          <w:bCs/>
          <w:sz w:val="28"/>
          <w:szCs w:val="28"/>
        </w:rPr>
        <w:t xml:space="preserve">提交</w:t>
      </w:r>
      <w:r/>
    </w:p>
    <w:p>
      <w:pPr>
        <w:keepNext/>
        <w:spacing w:line="500" w:lineRule="exact"/>
        <w:rPr>
          <w:rFonts w:eastAsia="方正仿宋_GBK"/>
          <w:b/>
          <w:bCs/>
          <w:sz w:val="28"/>
          <w:szCs w:val="28"/>
        </w:rPr>
        <w:outlineLvl w:val="3"/>
      </w:pPr>
      <w:r/>
      <w:bookmarkStart w:id="59" w:name="_Toc16938541"/>
      <w:r/>
      <w:bookmarkStart w:id="60" w:name="_Toc462564084"/>
      <w:r/>
      <w:bookmarkStart w:id="61" w:name="_Toc513029225"/>
      <w:r/>
      <w:bookmarkStart w:id="62" w:name="_Toc20823297"/>
      <w:r>
        <w:rPr>
          <w:rFonts w:eastAsia="方正仿宋_GBK"/>
          <w:sz w:val="28"/>
          <w:szCs w:val="28"/>
        </w:rPr>
        <w:t xml:space="preserve">1.响应文件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3" w:name="_Toc513029226"/>
      <w:r/>
      <w:bookmarkStart w:id="64" w:name="_Toc20823298"/>
      <w:r/>
      <w:bookmarkStart w:id="65"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供应商上传电子响应文件的时间不得迟于谈判公告中规定的响应文件提交截止时间。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6" w:name="_Toc16938543"/>
      <w:r/>
      <w:bookmarkStart w:id="67" w:name="_Toc20823299"/>
      <w:r/>
      <w:bookmarkStart w:id="68" w:name="_Toc513029227"/>
      <w:r>
        <w:rPr>
          <w:rFonts w:eastAsia="方正仿宋_GBK"/>
          <w:sz w:val="28"/>
          <w:szCs w:val="28"/>
        </w:rPr>
        <w:t xml:space="preserve">3.响应文件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keepNext/>
        <w:spacing w:line="500" w:lineRule="exact"/>
        <w:rPr>
          <w:rFonts w:eastAsia="方正仿宋_GBK"/>
          <w:b/>
          <w:bCs/>
          <w:sz w:val="28"/>
          <w:szCs w:val="28"/>
        </w:rPr>
        <w:outlineLvl w:val="3"/>
      </w:pPr>
      <w:r/>
      <w:bookmarkStart w:id="69" w:name="_Toc513029228"/>
      <w:r/>
      <w:bookmarkStart w:id="70" w:name="_Toc16938544"/>
      <w:r/>
      <w:bookmarkStart w:id="71" w:name="_Toc20823300"/>
      <w:r>
        <w:rPr>
          <w:rFonts w:eastAsia="方正仿宋_GBK"/>
          <w:sz w:val="28"/>
          <w:szCs w:val="28"/>
        </w:rPr>
        <w:t xml:space="preserve">4. 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供应商撤回电子响应文件，则认为其不再参与本项目谈判活动。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在响应文件截止时间至响应文件中规定的谈判响应有效期满之间的这段时间内，供应商不得撤回其响应文件。</w:t>
      </w:r>
      <w:r/>
    </w:p>
    <w:p>
      <w:pPr>
        <w:spacing w:line="500" w:lineRule="exact"/>
        <w:rPr>
          <w:rFonts w:eastAsia="方正仿宋_GBK"/>
          <w:b/>
          <w:bCs/>
          <w:sz w:val="28"/>
          <w:szCs w:val="28"/>
        </w:rPr>
      </w:pPr>
      <w:r/>
      <w:bookmarkStart w:id="72" w:name="_Toc16938545"/>
      <w:r/>
      <w:bookmarkStart w:id="73" w:name="_Toc20823301"/>
      <w:r/>
      <w:bookmarkStart w:id="74" w:name="_Toc120614218"/>
      <w:r/>
      <w:bookmarkStart w:id="75" w:name="_Toc513029229"/>
      <w:r>
        <w:rPr>
          <w:rFonts w:eastAsia="方正仿宋_GBK"/>
          <w:b/>
          <w:bCs/>
          <w:sz w:val="28"/>
          <w:szCs w:val="28"/>
        </w:rPr>
        <w:t xml:space="preserve">（五）</w:t>
      </w:r>
      <w:bookmarkEnd w:id="72"/>
      <w:r/>
      <w:bookmarkEnd w:id="73"/>
      <w:r/>
      <w:bookmarkEnd w:id="74"/>
      <w:r/>
      <w:bookmarkEnd w:id="75"/>
      <w:r/>
      <w:bookmarkStart w:id="76" w:name="_Toc20823302"/>
      <w:r/>
      <w:bookmarkStart w:id="77" w:name="_Toc513029230"/>
      <w:r/>
      <w:bookmarkStart w:id="78" w:name="_Toc16938546"/>
      <w:r>
        <w:rPr>
          <w:rFonts w:eastAsia="方正仿宋_GBK"/>
          <w:b/>
          <w:bCs/>
          <w:sz w:val="28"/>
          <w:szCs w:val="28"/>
        </w:rPr>
        <w:t xml:space="preserve">谈判与评审</w:t>
      </w:r>
      <w:r/>
    </w:p>
    <w:p>
      <w:pPr>
        <w:ind w:firstLine="420"/>
        <w:spacing w:line="500" w:lineRule="exact"/>
        <w:rPr>
          <w:rFonts w:eastAsia="方正仿宋_GBK"/>
          <w:bCs/>
          <w:sz w:val="28"/>
          <w:szCs w:val="28"/>
        </w:rPr>
      </w:pPr>
      <w:r>
        <w:rPr>
          <w:rFonts w:eastAsia="方正仿宋_GBK"/>
          <w:bCs/>
          <w:sz w:val="28"/>
          <w:szCs w:val="28"/>
        </w:rPr>
        <w:t xml:space="preserve">1.谈判仪式</w:t>
      </w:r>
      <w:r/>
    </w:p>
    <w:p>
      <w:pPr>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中心将在谈判公告中规定的时间和地点组织谈判开始仪式。供应商应当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参加谈判活动，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1.2 供应商在谈判过程中涉及到的谈判文件解密、谈判结果确认等工作，按照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2.竞争性谈判小组</w:t>
      </w:r>
      <w:r/>
    </w:p>
    <w:p>
      <w:pPr>
        <w:ind w:firstLine="560"/>
        <w:spacing w:line="500" w:lineRule="exact"/>
        <w:rPr>
          <w:rFonts w:eastAsia="方正仿宋_GBK"/>
          <w:sz w:val="28"/>
          <w:szCs w:val="28"/>
        </w:rPr>
      </w:pPr>
      <w:r>
        <w:rPr>
          <w:rFonts w:eastAsia="方正仿宋_GBK"/>
          <w:sz w:val="28"/>
          <w:szCs w:val="28"/>
        </w:rPr>
        <w:t xml:space="preserve">2.1谈判开始仪式结束后，</w:t>
      </w:r>
      <w:r>
        <w:rPr>
          <w:rFonts w:hint="eastAsia" w:eastAsia="方正仿宋_GBK"/>
          <w:sz w:val="28"/>
          <w:szCs w:val="28"/>
        </w:rPr>
        <w:t xml:space="preserve">交易</w:t>
      </w:r>
      <w:r>
        <w:rPr>
          <w:rFonts w:eastAsia="方正仿宋_GBK"/>
          <w:sz w:val="28"/>
          <w:szCs w:val="28"/>
        </w:rPr>
        <w:t xml:space="preserve">中心将立即组织竞争性谈判小组进行评审。</w:t>
      </w:r>
      <w:r/>
    </w:p>
    <w:p>
      <w:pPr>
        <w:ind w:firstLine="560"/>
        <w:spacing w:line="500" w:lineRule="exact"/>
        <w:rPr>
          <w:rFonts w:eastAsia="方正仿宋_GBK"/>
          <w:sz w:val="28"/>
          <w:szCs w:val="28"/>
        </w:rPr>
      </w:pPr>
      <w:r>
        <w:rPr>
          <w:rFonts w:eastAsia="方正仿宋_GBK"/>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2.3达到公开招标限额标准的货物或者服务采购项目，竞争性谈判小组应当由5人以上单数组成。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2.5谈判小组独立工作，负责评审所有响应文件并确定成交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谈判评审过程的保密与公正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3.1谈判小组、采购人和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w:t>
      </w:r>
      <w:r>
        <w:rPr>
          <w:rFonts w:eastAsia="方正仿宋_GBK"/>
          <w:bCs/>
          <w:sz w:val="28"/>
          <w:szCs w:val="28"/>
        </w:rPr>
        <w:t xml:space="preserve">中心均不得向供应商或与评审无关的其他人员透露。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4.2接到谈判小组澄清要求的供应商应派人按谈判小组规定的时间和格式在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接到谈判小组澄清要求的供应商如未按规定做出澄清，其风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以确定供应商是否具备参加谈判的资格。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谈判报价总表</w:t>
      </w:r>
      <w:r>
        <w:rPr>
          <w:rFonts w:eastAsia="方正仿宋_GBK"/>
          <w:bCs/>
          <w:sz w:val="28"/>
          <w:szCs w:val="28"/>
        </w:rPr>
        <w:t xml:space="preserve">内容与响应文件中相应内容不一致的，以</w:t>
      </w:r>
      <w:r>
        <w:rPr>
          <w:rFonts w:eastAsia="方正仿宋_GBK"/>
          <w:sz w:val="28"/>
          <w:szCs w:val="28"/>
        </w:rPr>
        <w:t xml:space="preserve">谈判报价总表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谈判报价总表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.5谈判小组将按上述修正错误的方法调整响应文件中的报价，并通过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告知供应商，调整后的价格应对供应商具有约束力。如果供应商不接受修正后的价格，则其谈判活动将被拒绝。</w:t>
      </w:r>
      <w:r/>
    </w:p>
    <w:p>
      <w:pPr>
        <w:ind w:firstLine="560"/>
        <w:spacing w:line="500" w:lineRule="exact"/>
        <w:rPr>
          <w:rFonts w:eastAsia="方正仿宋_GBK"/>
          <w:bCs/>
          <w:sz w:val="28"/>
          <w:szCs w:val="28"/>
        </w:rPr>
      </w:pPr>
      <w:r>
        <w:rPr>
          <w:rFonts w:eastAsia="方正仿宋_GBK"/>
          <w:bCs/>
          <w:sz w:val="28"/>
          <w:szCs w:val="28"/>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sz w:val="28"/>
          <w:szCs w:val="28"/>
        </w:rPr>
      </w:pPr>
      <w:r>
        <w:rPr>
          <w:rFonts w:eastAsia="方正仿宋_GBK"/>
          <w:bCs/>
          <w:sz w:val="28"/>
          <w:szCs w:val="28"/>
        </w:rPr>
        <w:t xml:space="preserve">5.7</w:t>
      </w:r>
      <w:r>
        <w:rPr>
          <w:rFonts w:hint="eastAsia" w:eastAsia="方正仿宋_GBK"/>
          <w:bCs/>
          <w:sz w:val="28"/>
          <w:szCs w:val="28"/>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中心及谈判小组联系。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6.1.4不具备谈判文件中规定的资格要求的。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6.1.10谈判小组认为供应商的报价明显低于其他通过符合性审查供应商的报价，有可能影响产品质量或者不能诚信履约的，将通过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要求其在合理的时间内提供说明，必要时提交相关证明材料；供应商不能证明其报价合理性的，谈判小组应当将其作为无效响应处理。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6.1.12响应文件未按照响应文件要求加盖电子签章。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eastAsia="方正仿宋_GBK"/>
          <w:bCs/>
          <w:sz w:val="28"/>
          <w:szCs w:val="28"/>
        </w:rPr>
        <w:t xml:space="preserve">6.1.14其他法律、法规及本谈判文件规定的属无效响应的情形。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6.2出现下列情形之一的，谈判失败。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6.2.4谈判小组认定谈判文件存在歧义、重大缺陷导致评审工作无法进行。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系统故障原因造成谈判不成功的。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hint="eastAsia"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bookmarkEnd w:id="76"/>
      <w:r/>
      <w:bookmarkEnd w:id="77"/>
      <w:r/>
      <w:bookmarkEnd w:id="78"/>
      <w:r/>
      <w:bookmarkStart w:id="79" w:name="_Toc120614219"/>
      <w:r>
        <w:rPr>
          <w:rFonts w:hint="eastAsia" w:eastAsia="方正仿宋_GBK"/>
          <w:b/>
          <w:sz w:val="28"/>
          <w:szCs w:val="28"/>
        </w:rPr>
        <w:t xml:space="preserve">审查相关情况应当在评审报告中进行记录。</w:t>
      </w:r>
      <w:r/>
    </w:p>
    <w:p>
      <w:pPr>
        <w:ind w:firstLine="562"/>
        <w:spacing w:line="500" w:lineRule="exact"/>
        <w:rPr>
          <w:rFonts w:eastAsia="方正仿宋_GBK"/>
          <w:b/>
          <w:bCs/>
          <w:sz w:val="28"/>
          <w:szCs w:val="28"/>
        </w:rPr>
      </w:pPr>
      <w:r>
        <w:rPr>
          <w:rFonts w:eastAsia="方正仿宋_GBK"/>
          <w:b/>
          <w:bCs/>
          <w:sz w:val="28"/>
          <w:szCs w:val="28"/>
        </w:rPr>
        <w:t xml:space="preserve">（六）</w:t>
      </w:r>
      <w:bookmarkEnd w:id="79"/>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80" w:name="_Toc16938554"/>
      <w:r/>
      <w:bookmarkStart w:id="81" w:name="_Toc20823310"/>
      <w:r>
        <w:rPr>
          <w:rFonts w:eastAsia="方正仿宋_GBK"/>
          <w:sz w:val="28"/>
          <w:szCs w:val="28"/>
        </w:rPr>
        <w:t xml:space="preserve">1.确定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1.1成交候选供应商的选取原则和数量见谈判文件第四部分规定。 </w:t>
      </w:r>
      <w:r/>
    </w:p>
    <w:p>
      <w:pPr>
        <w:ind w:firstLine="560"/>
        <w:spacing w:line="500" w:lineRule="exact"/>
        <w:rPr>
          <w:rFonts w:hint="eastAsia" w:eastAsia="方正仿宋_GBK"/>
          <w:bCs/>
          <w:sz w:val="28"/>
          <w:szCs w:val="28"/>
        </w:rPr>
      </w:pPr>
      <w:r>
        <w:rPr>
          <w:rFonts w:eastAsia="方正仿宋_GBK"/>
          <w:bCs/>
          <w:sz w:val="28"/>
          <w:szCs w:val="28"/>
        </w:rPr>
        <w:t xml:space="preserve">1.2 采购人应根据谈判小组推荐的成交候选供应商确定成交供应商。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bCs/>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1.4.4属于本文件规定的无效条件，但在评审过程中又未被谈判小组会发现的。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w:t>
      </w:r>
      <w:r>
        <w:rPr>
          <w:rFonts w:eastAsia="方正仿宋_GBK"/>
          <w:sz w:val="28"/>
          <w:szCs w:val="28"/>
        </w:rPr>
        <w:t xml:space="preserve">谈判</w:t>
      </w:r>
      <w:r>
        <w:rPr>
          <w:rFonts w:eastAsia="方正仿宋_GBK"/>
          <w:sz w:val="28"/>
          <w:szCs w:val="28"/>
        </w:rPr>
        <w:t xml:space="preserve">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2"/>
      <w:r/>
      <w:r/>
    </w:p>
    <w:p>
      <w:pPr>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提出质疑的供应商应当是参与所质疑项目采购活动的供应商。潜在供应商依法获取其可质疑的谈判文件的，可以对谈判文件提出质疑。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p>
    <w:p>
      <w:pPr>
        <w:ind w:firstLine="560"/>
        <w:spacing w:line="500" w:lineRule="exact"/>
        <w:rPr>
          <w:rFonts w:hint="eastAsia"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未参加谈判活动的供应商或在谈判活动中自身权益未受到损害的供应商所提出的质疑。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2.5.4供应商组成联合体参加谈判，联合体中任何一方或多方未按要求签字、盖章、加盖公章的质疑。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eastAsia="方正仿宋_GBK"/>
          <w:b/>
          <w:bCs/>
          <w:sz w:val="28"/>
          <w:szCs w:val="28"/>
        </w:rPr>
        <w:outlineLvl w:val="2"/>
      </w:pPr>
      <w:r/>
      <w:bookmarkStart w:id="83" w:name="_Toc120614220"/>
      <w:r/>
      <w:bookmarkStart w:id="84" w:name="_Toc20823308"/>
      <w:r/>
      <w:bookmarkStart w:id="85" w:name="_Toc16938552"/>
      <w:r/>
      <w:bookmarkStart w:id="86" w:name="_Toc513029236"/>
      <w:r>
        <w:rPr>
          <w:rFonts w:eastAsia="方正仿宋_GBK"/>
          <w:b/>
          <w:bCs/>
          <w:sz w:val="28"/>
          <w:szCs w:val="28"/>
        </w:rPr>
        <w:t xml:space="preserve">（七）授予合同</w:t>
      </w:r>
      <w:bookmarkEnd w:id="83"/>
      <w:r/>
      <w:bookmarkEnd w:id="84"/>
      <w:r/>
      <w:bookmarkEnd w:id="85"/>
      <w:r/>
      <w:bookmarkEnd w:id="86"/>
      <w:r/>
      <w:r/>
    </w:p>
    <w:p>
      <w:pPr>
        <w:keepNext/>
        <w:spacing w:line="500" w:lineRule="exact"/>
        <w:rPr>
          <w:rFonts w:eastAsia="方正仿宋_GBK"/>
          <w:b/>
          <w:sz w:val="28"/>
          <w:szCs w:val="28"/>
        </w:rPr>
        <w:outlineLvl w:val="3"/>
      </w:pPr>
      <w:r/>
      <w:bookmarkStart w:id="87" w:name="_Toc16938553"/>
      <w:r/>
      <w:bookmarkStart w:id="88" w:name="_Toc20823309"/>
      <w:r/>
      <w:bookmarkStart w:id="89"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7"/>
      <w:r/>
      <w:bookmarkEnd w:id="88"/>
      <w:r/>
      <w:bookmarkEnd w:id="89"/>
      <w:r/>
      <w:r/>
    </w:p>
    <w:p>
      <w:pPr>
        <w:pStyle w:val="868"/>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pStyle w:val="868"/>
        <w:ind w:firstLine="548"/>
        <w:jc w:val="both"/>
        <w:spacing w:line="500" w:lineRule="exact"/>
        <w:rPr>
          <w:rFonts w:eastAsia="方正仿宋_GBK"/>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中标供应商可凭政府采购合同办理融资贷款，详情请见江苏政府采购网“政采贷”专栏。</w:t>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r>
      <w:r/>
    </w:p>
    <w:p>
      <w:pPr>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eastAsia="方正仿宋_GBK"/>
          <w:b/>
          <w:sz w:val="28"/>
          <w:szCs w:val="28"/>
        </w:rPr>
      </w:pPr>
      <w:r>
        <w:rPr>
          <w:rFonts w:hint="eastAsia" w:eastAsia="方正仿宋_GBK"/>
          <w:b/>
          <w:sz w:val="28"/>
          <w:szCs w:val="28"/>
        </w:rPr>
        <w:t xml:space="preserve">有关要求说明：</w:t>
      </w:r>
      <w:r/>
    </w:p>
    <w:p>
      <w:pPr>
        <w:ind w:firstLine="562"/>
        <w:spacing w:line="500" w:lineRule="exact"/>
        <w:rPr>
          <w:rFonts w:hint="eastAsia" w:eastAsia="方正仿宋_GBK"/>
          <w:b/>
          <w:sz w:val="28"/>
          <w:szCs w:val="28"/>
        </w:rPr>
      </w:pPr>
      <w:r>
        <w:rPr>
          <w:rFonts w:hint="eastAsia" w:eastAsia="方正仿宋_GBK"/>
          <w:b/>
          <w:sz w:val="28"/>
          <w:szCs w:val="28"/>
        </w:rPr>
        <w:t xml:space="preserve">关于节能产品和环境标志产品：</w:t>
      </w:r>
      <w:r/>
    </w:p>
    <w:p>
      <w:pPr>
        <w:ind w:firstLine="560"/>
        <w:spacing w:line="500" w:lineRule="exact"/>
        <w:rPr>
          <w:rFonts w:hint="eastAsia"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hint="eastAsia"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ind w:firstLine="562"/>
        <w:spacing w:line="500" w:lineRule="exact"/>
        <w:rPr>
          <w:rFonts w:eastAsia="方正仿宋_GBK"/>
          <w:b/>
          <w:bCs/>
          <w:sz w:val="28"/>
          <w:szCs w:val="28"/>
        </w:rPr>
      </w:pPr>
      <w:r>
        <w:rPr>
          <w:rFonts w:hint="eastAsia" w:eastAsia="方正仿宋_GBK"/>
          <w:b/>
          <w:bCs/>
          <w:sz w:val="28"/>
          <w:szCs w:val="28"/>
        </w:rPr>
        <w:t xml:space="preserve">（一）</w:t>
      </w:r>
      <w:r>
        <w:rPr>
          <w:rFonts w:eastAsia="方正仿宋_GBK"/>
          <w:b/>
          <w:bCs/>
          <w:sz w:val="28"/>
          <w:szCs w:val="28"/>
        </w:rPr>
        <w:t xml:space="preserve">采购标的需实现的功能或者目标，以及为落实政府采购政策需满足的要求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实训室机房需要电脑203台，电脑需满足服装富怡软件、短视频制作软件（如AE、PR等）、PS软件、中望CAD、WPS、GXWorks2等通用及专业教学软件的运行需求。操作系统能适配麒麟、统信、微软等多种系统运行，电脑系统能够物理切换成Windows系统进行一些专业软件的运行，软件运行流程、不卡顿、不死机。</w:t>
      </w:r>
      <w:r/>
    </w:p>
    <w:p>
      <w:pPr>
        <w:ind w:firstLine="562"/>
        <w:spacing w:line="500" w:lineRule="exact"/>
        <w:rPr>
          <w:rFonts w:eastAsia="方正仿宋_GBK"/>
          <w:b/>
          <w:bCs/>
          <w:sz w:val="28"/>
          <w:szCs w:val="28"/>
        </w:rPr>
      </w:pPr>
      <w:r>
        <w:rPr>
          <w:rFonts w:hint="eastAsia" w:eastAsia="方正仿宋_GBK"/>
          <w:b/>
          <w:bCs/>
          <w:sz w:val="28"/>
          <w:szCs w:val="28"/>
        </w:rPr>
        <w:t xml:space="preserve">（二）</w:t>
      </w:r>
      <w:r>
        <w:rPr>
          <w:rFonts w:eastAsia="方正仿宋_GBK"/>
          <w:b/>
          <w:bCs/>
          <w:sz w:val="28"/>
          <w:szCs w:val="28"/>
        </w:rPr>
        <w:t xml:space="preserve">采购标的需执行的国家相关标准、行业标准、地方标准或者其他标准、规范</w:t>
      </w:r>
      <w:r/>
    </w:p>
    <w:p>
      <w:pPr>
        <w:ind w:firstLine="480"/>
        <w:spacing w:line="500" w:lineRule="exact"/>
        <w:widowControl/>
        <w:rPr>
          <w:rFonts w:ascii="仿宋" w:hAnsi="仿宋" w:eastAsia="仿宋"/>
          <w:color w:val="000000"/>
          <w:sz w:val="28"/>
          <w:szCs w:val="28"/>
        </w:rPr>
      </w:pPr>
      <w:r>
        <w:rPr>
          <w:rFonts w:hint="eastAsia" w:ascii="仿宋" w:hAnsi="仿宋" w:eastAsia="仿宋"/>
          <w:color w:val="000000"/>
          <w:sz w:val="28"/>
          <w:szCs w:val="28"/>
        </w:rPr>
        <w:t xml:space="preserve">1.拟投入本项目的产品的技术标准按国家标准执行，无国家标准的，按行业标准执行；无国家和行业标准的，按企业标准执行；但在询价文件中有特别要求的，按询价文件中规定的要求执行，并且符合相关法律、法规规定的要求。</w:t>
      </w:r>
      <w:r/>
    </w:p>
    <w:p>
      <w:pPr>
        <w:ind w:firstLine="480"/>
        <w:spacing w:line="500" w:lineRule="exact"/>
        <w:widowControl/>
        <w:rPr>
          <w:rFonts w:ascii="仿宋" w:hAnsi="仿宋" w:eastAsia="仿宋"/>
          <w:color w:val="000000"/>
          <w:sz w:val="28"/>
          <w:szCs w:val="28"/>
        </w:rPr>
      </w:pPr>
      <w:r>
        <w:rPr>
          <w:rFonts w:hint="eastAsia" w:ascii="仿宋" w:hAnsi="仿宋" w:eastAsia="仿宋"/>
          <w:color w:val="000000"/>
          <w:sz w:val="28"/>
          <w:szCs w:val="28"/>
        </w:rPr>
        <w:t xml:space="preserve">2.项目提供的技术要求(规格)只是对产品的一些原则性要求，并不是最详尽的描述和要求，供应商有责任依据相关设计技术规范和有关行业国家标准执行。</w:t>
      </w:r>
      <w:r/>
    </w:p>
    <w:p>
      <w:pPr>
        <w:ind w:firstLine="480"/>
        <w:spacing w:line="50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3.供应商应保证提供的产品不得侵犯第三方专利权、商标权和设计权、版权等。否则，供应商应负全部责任，并承担由此引起的一切后果。</w:t>
      </w:r>
      <w:r/>
    </w:p>
    <w:p>
      <w:pPr>
        <w:ind w:firstLine="562"/>
        <w:spacing w:line="500" w:lineRule="exact"/>
        <w:rPr>
          <w:rFonts w:eastAsia="方正仿宋_GBK"/>
          <w:b/>
          <w:bCs/>
          <w:sz w:val="28"/>
          <w:szCs w:val="28"/>
        </w:rPr>
      </w:pPr>
      <w:r>
        <w:rPr>
          <w:rFonts w:eastAsia="方正仿宋_GBK"/>
          <w:b/>
          <w:bCs/>
          <w:sz w:val="28"/>
          <w:szCs w:val="28"/>
        </w:rPr>
        <w:t xml:space="preserve">（三）采购标的需满足的质量、安全、技术规格、物理特性等要求</w:t>
      </w:r>
      <w:r/>
    </w:p>
    <w:p>
      <w:pPr>
        <w:ind w:firstLine="562"/>
        <w:spacing w:line="500" w:lineRule="exact"/>
        <w:rPr>
          <w:rFonts w:hint="eastAsia" w:eastAsia="方正仿宋_GBK"/>
          <w:b/>
          <w:bCs/>
          <w:sz w:val="28"/>
          <w:szCs w:val="28"/>
        </w:rPr>
      </w:pPr>
      <w:r>
        <w:rPr>
          <w:rFonts w:hint="eastAsia"/>
          <w:b/>
          <w:bCs/>
          <w:sz w:val="28"/>
          <w:szCs w:val="28"/>
        </w:rPr>
        <w:t xml:space="preserve">1.拟投入本项目的台式电脑技术参数要求：</w:t>
      </w:r>
      <w:r/>
    </w:p>
    <w:tbl>
      <w:tblPr>
        <w:tblStyle w:val="870"/>
        <w:tblpPr w:horzAnchor="page" w:tblpX="2132" w:vertAnchor="text" w:tblpY="312" w:leftFromText="180" w:topFromText="0" w:rightFromText="180" w:bottomFromText="0"/>
        <w:tblW w:w="7865" w:type="dxa"/>
        <w:tblInd w:w="0" w:type="dxa"/>
        <w:tblLayout w:type="autofit"/>
        <w:tblCellMar>
          <w:left w:w="108" w:type="dxa"/>
          <w:top w:w="0" w:type="dxa"/>
          <w:right w:w="108" w:type="dxa"/>
          <w:bottom w:w="0" w:type="dxa"/>
        </w:tblCellMar>
        <w:tblLook w:val="04A0" w:firstRow="1" w:lastRow="0" w:firstColumn="1" w:lastColumn="0" w:noHBand="0" w:noVBand="1"/>
      </w:tblPr>
      <w:tblGrid>
        <w:gridCol w:w="537"/>
        <w:gridCol w:w="592"/>
        <w:gridCol w:w="2386"/>
        <w:gridCol w:w="4350"/>
      </w:tblGrid>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tbRlV"/>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一级</w:t>
            </w:r>
            <w:r>
              <w:rPr>
                <w:rFonts w:ascii="黑体" w:hAnsi="宋体" w:eastAsia="黑体" w:cs="黑体"/>
                <w:b/>
                <w:bCs/>
                <w:color w:val="auto"/>
                <w:sz w:val="18"/>
                <w:szCs w:val="18"/>
                <w:highlight w:val="none"/>
                <w:lang w:bidi="ar"/>
              </w:rPr>
              <w:br/>
            </w:r>
            <w:r>
              <w:rPr>
                <w:rFonts w:ascii="黑体" w:hAnsi="宋体" w:eastAsia="黑体" w:cs="黑体"/>
                <w:b/>
                <w:bCs/>
                <w:color w:val="auto"/>
                <w:sz w:val="18"/>
                <w:szCs w:val="18"/>
                <w:highlight w:val="none"/>
                <w:lang w:bidi="ar"/>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二级</w:t>
            </w:r>
            <w:r>
              <w:rPr>
                <w:rFonts w:ascii="黑体" w:hAnsi="宋体" w:eastAsia="黑体" w:cs="黑体"/>
                <w:b/>
                <w:bCs/>
                <w:color w:val="auto"/>
                <w:sz w:val="18"/>
                <w:szCs w:val="18"/>
                <w:highlight w:val="none"/>
                <w:lang w:bidi="ar"/>
              </w:rPr>
              <w:br/>
            </w:r>
            <w:r>
              <w:rPr>
                <w:rFonts w:ascii="黑体" w:hAnsi="宋体" w:eastAsia="黑体" w:cs="黑体"/>
                <w:b/>
                <w:bCs/>
                <w:color w:val="auto"/>
                <w:sz w:val="18"/>
                <w:szCs w:val="18"/>
                <w:highlight w:val="none"/>
                <w:lang w:bidi="ar"/>
              </w:rPr>
              <w:t xml:space="preserve">指标</w:t>
            </w:r>
            <w:r>
              <w:rPr>
                <w:rFonts w:ascii="黑体" w:hAnsi="宋体" w:eastAsia="黑体" w:cs="黑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widowControl/>
              <w:rPr>
                <w:rFonts w:hint="eastAsia" w:ascii="黑体" w:hAnsi="宋体" w:eastAsia="黑体" w:cs="黑体"/>
                <w:b/>
                <w:bCs/>
                <w:color w:val="auto"/>
                <w:sz w:val="18"/>
                <w:szCs w:val="18"/>
                <w:highlight w:val="none"/>
              </w:rPr>
            </w:pPr>
            <w:r>
              <w:rPr>
                <w:rFonts w:ascii="黑体" w:hAnsi="宋体" w:eastAsia="黑体" w:cs="黑体"/>
                <w:b/>
                <w:bCs/>
                <w:color w:val="auto"/>
                <w:sz w:val="18"/>
                <w:szCs w:val="18"/>
                <w:highlight w:val="none"/>
                <w:lang w:bidi="ar"/>
              </w:rPr>
              <w:t xml:space="preserve">指标要求</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val="en-US" w:eastAsia="zh-CN" w:bidi="ar"/>
              </w:rPr>
              <w:t xml:space="preserve">配置1颗国产CPU，</w:t>
            </w:r>
            <w:r>
              <w:rPr>
                <w:rFonts w:ascii="黑体" w:hAnsi="宋体" w:eastAsia="黑体" w:cs="黑体"/>
                <w:color w:val="auto"/>
                <w:sz w:val="18"/>
                <w:szCs w:val="18"/>
                <w:highlight w:val="none"/>
                <w:lang w:bidi="ar"/>
              </w:rPr>
              <w:t xml:space="preserve">物理核心数≥</w:t>
            </w:r>
            <w:r>
              <w:rPr>
                <w:rFonts w:hint="eastAsia" w:ascii="黑体" w:hAnsi="宋体" w:eastAsia="黑体" w:cs="黑体"/>
                <w:color w:val="auto"/>
                <w:sz w:val="18"/>
                <w:szCs w:val="18"/>
                <w:highlight w:val="none"/>
                <w:lang w:bidi="ar"/>
              </w:rPr>
              <w:t xml:space="preserve">8</w:t>
            </w:r>
            <w:r>
              <w:rPr>
                <w:rFonts w:ascii="黑体" w:hAnsi="宋体" w:eastAsia="黑体" w:cs="黑体"/>
                <w:color w:val="auto"/>
                <w:sz w:val="18"/>
                <w:szCs w:val="18"/>
                <w:highlight w:val="none"/>
                <w:lang w:bidi="ar"/>
              </w:rPr>
              <w:t xml:space="preserve">核、主频≥</w:t>
            </w:r>
            <w:r>
              <w:rPr>
                <w:rFonts w:hint="eastAsia" w:ascii="黑体" w:hAnsi="宋体" w:eastAsia="黑体" w:cs="黑体"/>
                <w:color w:val="auto"/>
                <w:sz w:val="18"/>
                <w:szCs w:val="18"/>
                <w:highlight w:val="none"/>
                <w:lang w:bidi="ar"/>
              </w:rPr>
              <w:t xml:space="preserve">3.0</w:t>
            </w:r>
            <w:r>
              <w:rPr>
                <w:rFonts w:ascii="黑体" w:hAnsi="宋体" w:eastAsia="黑体" w:cs="黑体"/>
                <w:color w:val="auto"/>
                <w:sz w:val="18"/>
                <w:szCs w:val="18"/>
                <w:highlight w:val="none"/>
                <w:lang w:bidi="ar"/>
              </w:rPr>
              <w:t xml:space="preserve">GHz</w:t>
            </w:r>
            <w:r>
              <w:rPr>
                <w:rFonts w:hint="eastAsia" w:ascii="黑体" w:hAnsi="宋体" w:eastAsia="黑体" w:cs="黑体"/>
                <w:color w:val="auto"/>
                <w:sz w:val="18"/>
                <w:szCs w:val="18"/>
                <w:highlight w:val="none"/>
                <w:lang w:bidi="ar"/>
              </w:rPr>
              <w:t xml:space="preserve">，智能频率可提升至≥3.3GHz</w:t>
            </w:r>
            <w:r>
              <w:rPr>
                <w:rFonts w:ascii="黑体" w:hAnsi="宋体" w:eastAsia="黑体" w:cs="黑体"/>
                <w:color w:val="auto"/>
                <w:sz w:val="18"/>
                <w:szCs w:val="18"/>
                <w:highlight w:val="none"/>
                <w:lang w:bidi="ar"/>
              </w:rPr>
              <w:t xml:space="preserve">、末级缓存容量≥</w:t>
            </w:r>
            <w:r>
              <w:rPr>
                <w:rFonts w:hint="eastAsia" w:ascii="黑体" w:hAnsi="宋体" w:eastAsia="黑体" w:cs="黑体"/>
                <w:color w:val="auto"/>
                <w:sz w:val="18"/>
                <w:szCs w:val="18"/>
                <w:highlight w:val="none"/>
                <w:lang w:bidi="ar"/>
              </w:rPr>
              <w:t xml:space="preserve">16</w:t>
            </w:r>
            <w:r>
              <w:rPr>
                <w:rFonts w:ascii="黑体" w:hAnsi="宋体" w:eastAsia="黑体" w:cs="黑体"/>
                <w:color w:val="auto"/>
                <w:sz w:val="18"/>
                <w:szCs w:val="18"/>
                <w:highlight w:val="none"/>
                <w:lang w:bidi="ar"/>
              </w:rPr>
              <w:t xml:space="preserve">MB、线程数≥</w:t>
            </w:r>
            <w:r>
              <w:rPr>
                <w:rFonts w:hint="eastAsia" w:ascii="黑体" w:hAnsi="宋体" w:eastAsia="黑体" w:cs="黑体"/>
                <w:color w:val="auto"/>
                <w:sz w:val="18"/>
                <w:szCs w:val="18"/>
                <w:highlight w:val="none"/>
                <w:lang w:bidi="ar"/>
              </w:rPr>
              <w:t xml:space="preserve">16，支持超线程技术</w:t>
            </w:r>
            <w:r>
              <w:rPr>
                <w:rFonts w:ascii="黑体" w:hAnsi="宋体" w:eastAsia="黑体" w:cs="黑体"/>
                <w:color w:val="auto"/>
                <w:sz w:val="18"/>
                <w:szCs w:val="18"/>
                <w:highlight w:val="none"/>
                <w:lang w:bidi="ar"/>
              </w:rPr>
              <w:t xml:space="preserve">、热设计功耗≤65W</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*内存配置容量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≥16GB</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支持DDR</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 </w:t>
            </w:r>
            <w:r>
              <w:rPr>
                <w:rFonts w:hint="eastAsia" w:ascii="黑体" w:hAnsi="宋体" w:eastAsia="黑体" w:cs="黑体"/>
                <w:color w:val="auto"/>
                <w:sz w:val="18"/>
                <w:szCs w:val="18"/>
                <w:highlight w:val="none"/>
                <w:lang w:bidi="ar"/>
              </w:rPr>
              <w:t xml:space="preserve">32</w:t>
            </w:r>
            <w:r>
              <w:rPr>
                <w:rFonts w:ascii="黑体" w:hAnsi="宋体" w:eastAsia="黑体" w:cs="黑体"/>
                <w:color w:val="auto"/>
                <w:sz w:val="18"/>
                <w:szCs w:val="18"/>
                <w:highlight w:val="none"/>
                <w:lang w:bidi="ar"/>
              </w:rPr>
              <w:t xml:space="preserve">00 及以上内存类型</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*内存条配置数量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成模块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集成资源扩展模块、计算处理模块、音频扩展模块等，主板的互联拓扑可通过处理器或交换电路实现</w:t>
            </w:r>
            <w:r>
              <w:rPr>
                <w:rFonts w:hint="eastAsia" w:ascii="黑体" w:hAnsi="宋体" w:eastAsia="黑体" w:cs="黑体"/>
                <w:color w:val="auto"/>
                <w:sz w:val="18"/>
                <w:szCs w:val="18"/>
                <w:highlight w:val="none"/>
                <w:lang w:bidi="ar"/>
              </w:rPr>
              <w:t xml:space="preserve">，主板采用全固态电容</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*主板支持的 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t xml:space="preserve">3G系列 /</w:t>
            </w:r>
            <w:r>
              <w:rPr>
                <w:rFonts w:ascii="黑体" w:hAnsi="宋体" w:eastAsia="黑体" w:cs="黑体"/>
                <w:color w:val="auto"/>
                <w:sz w:val="18"/>
                <w:szCs w:val="18"/>
                <w:highlight w:val="none"/>
                <w:lang w:bidi="ar"/>
              </w:rPr>
              <w:t xml:space="preserve">DDR</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 </w:t>
            </w:r>
            <w:r>
              <w:rPr>
                <w:rFonts w:hint="eastAsia" w:ascii="黑体" w:hAnsi="宋体" w:eastAsia="黑体" w:cs="黑体"/>
                <w:color w:val="auto"/>
                <w:sz w:val="18"/>
                <w:szCs w:val="18"/>
                <w:highlight w:val="none"/>
                <w:lang w:bidi="ar"/>
              </w:rPr>
              <w:t xml:space="preserve">32</w:t>
            </w:r>
            <w:r>
              <w:rPr>
                <w:rFonts w:ascii="黑体" w:hAnsi="宋体" w:eastAsia="黑体" w:cs="黑体"/>
                <w:color w:val="auto"/>
                <w:sz w:val="18"/>
                <w:szCs w:val="18"/>
                <w:highlight w:val="none"/>
                <w:lang w:bidi="ar"/>
              </w:rPr>
              <w:t xml:space="preserve">00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主板内置PCIe 插槽数量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主板提供不少于1个PCIe x16，不少于1个PCIe x8扩展槽，不少于1个PCIe x1扩展槽</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特殊孔位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a）预留满足 USB3.0 数据传输规范的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接口，工作电压5V，最大过电流应不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小于 3A；</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预留多功能导入装置板卡安装孔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位，采用内置方式与主机一体化集成，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容量不小于 145mm×125mm×16.5mm</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（长×宽×高）</w:t>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*主板其他内置接口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≥4个SATA3接口</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*单内存插槽最大可支持容</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≥32GB</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*内存插槽满配时提供的最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高内存总容量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≥128GB</w:t>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512G</w:t>
            </w:r>
            <w:r>
              <w:rPr>
                <w:rFonts w:ascii="黑体" w:hAnsi="宋体" w:eastAsia="黑体" w:cs="黑体"/>
                <w:color w:val="auto"/>
                <w:sz w:val="18"/>
                <w:szCs w:val="18"/>
                <w:highlight w:val="none"/>
                <w:lang w:bidi="ar"/>
              </w:rPr>
              <w:t xml:space="preserve">B</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*机械硬盘总容量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*机械硬盘转速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SATA3.0 及以上或 SAS3.0 及以上</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*机械硬盘形态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 英寸或 3.5 英寸等</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UFS/SATA/PCIe/NVMe 等类型接口协议</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*固态存储形态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采用插卡或板载等形态，可选用符合M.2或2.5寸SATA或mSATA等标准的插卡形态</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存储设备扩展盘位</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4</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备其他参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a)固态盘应符合 SJ/T 11654 相关规定；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b)机械硬盘准备时间应不大于30s；侧面固定螺丝孔数量可为 4 孔或 6 孔；工作状态环境温度应满足 5℃~55℃ ;其它参数应符合GB/T 12628 相关规定</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卡显存类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若配置独立显卡，显存类型应为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DDR3/DDR4/GDDR5/GDDR6/LPDDR4</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*独立显卡显存位宽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显存位宽≥</w:t>
            </w:r>
            <w:r>
              <w:rPr>
                <w:rFonts w:hint="eastAsia" w:ascii="黑体" w:hAnsi="宋体" w:eastAsia="黑体" w:cs="黑体"/>
                <w:color w:val="auto"/>
                <w:sz w:val="18"/>
                <w:szCs w:val="18"/>
                <w:highlight w:val="none"/>
                <w:lang w:bidi="ar"/>
              </w:rPr>
              <w:t xml:space="preserve">64</w:t>
            </w:r>
            <w:r>
              <w:rPr>
                <w:rFonts w:ascii="黑体" w:hAnsi="宋体" w:eastAsia="黑体" w:cs="黑体"/>
                <w:color w:val="auto"/>
                <w:sz w:val="18"/>
                <w:szCs w:val="18"/>
                <w:highlight w:val="none"/>
                <w:lang w:bidi="ar"/>
              </w:rPr>
              <w:t xml:space="preserve"> 位</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*独立显卡显存容量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显存容量≥</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GB</w:t>
            </w:r>
            <w:r/>
          </w:p>
        </w:tc>
      </w:tr>
      <w:tr>
        <w:trPr>
          <w:trHeight w:val="97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PCIe 协议版本大于等于2.0 或 HT</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（HyperTransport）协议版本大于等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于 3.0 的独立显卡接口协议</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屏占比</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rPr>
                <w:rFonts w:hint="eastAsia" w:ascii="黑体" w:hAnsi="宋体" w:eastAsia="黑体" w:cs="黑体"/>
                <w:color w:val="auto"/>
                <w:sz w:val="18"/>
                <w:szCs w:val="18"/>
                <w:highlight w:val="none"/>
                <w:lang w:bidi="ar"/>
              </w:rPr>
              <w:t xml:space="preserve">8</w:t>
            </w:r>
            <w:r>
              <w:rPr>
                <w:rFonts w:ascii="黑体" w:hAnsi="宋体" w:eastAsia="黑体" w:cs="黑体"/>
                <w:color w:val="auto"/>
                <w:sz w:val="18"/>
                <w:szCs w:val="18"/>
                <w:highlight w:val="none"/>
                <w:lang w:bidi="ar"/>
              </w:rPr>
              <w:t xml:space="preserve">%</w:t>
            </w:r>
            <w:r/>
          </w:p>
        </w:tc>
      </w:tr>
      <w:tr>
        <w:trPr>
          <w:trHeight w:val="96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≥1920x1080</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素密度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≥85像素/英寸</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视角度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水平≥170 °</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23.8</w:t>
            </w:r>
            <w:r>
              <w:rPr>
                <w:rFonts w:ascii="黑体" w:hAnsi="宋体" w:eastAsia="黑体" w:cs="黑体"/>
                <w:color w:val="auto"/>
                <w:sz w:val="18"/>
                <w:szCs w:val="18"/>
                <w:highlight w:val="none"/>
                <w:lang w:bidi="ar"/>
              </w:rPr>
              <w:t xml:space="preserve">英寸</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屏幕比例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16:9/3:2/21:9/16:10 等</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外观颜色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黑色/白色/银色等商务色系</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防蓝光</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支持防蓝光模式，蓝光加权辐射亮度比应≤0.0012W/( ·cd ·sr)（瓦每坎特拉每球面度）</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低频闪</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显示屏应支持低频闪≤-35dB</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防炫目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显示屏镜面反射率≤10%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传声器数量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≥0个</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光驱数量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61 键/86 键/101 键/104 键等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扬声器频率范围</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扬声器总谐波失真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扬声器最大声压级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*键盘连接方式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有线或无线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*键盘键程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2.3mm ~ 4.0mm</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*键盘按键压力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按键压力应在 0.54 N±0.14N</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*有线键盘连接线</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 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黑色/白色/银色等商务色系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键盘其他要求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键盘外观结构、连接方式、主要功能、安全、电磁兼容性、可靠性应符合GB/T14081的相关规定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*鼠标连接方式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有线或无线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*有线鼠标连接线</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 米</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 DPI分辨率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800~1600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黑色/银色/白色等商务色系</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*鼠标其他要求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其它参数应符合GB/T 26245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内置光驱</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支持扩展内置光驱</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*有线网卡数量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无线网卡及天线数量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单无线网卡天线数量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机箱前面板应提供不少于4个USB3.0接口</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机箱后面板提供不少于4个USB3.0接口</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母座</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机箱前面板额外预留</w:t>
            </w:r>
            <w:r>
              <w:rPr>
                <w:rFonts w:hint="eastAsia" w:ascii="黑体" w:hAnsi="宋体" w:eastAsia="黑体" w:cs="黑体"/>
                <w:color w:val="auto"/>
                <w:sz w:val="18"/>
                <w:szCs w:val="18"/>
                <w:highlight w:val="none"/>
                <w:lang w:val="en-US" w:eastAsia="zh-CN" w:bidi="ar"/>
              </w:rPr>
              <w:t xml:space="preserve">2</w:t>
            </w:r>
            <w:r>
              <w:rPr>
                <w:rFonts w:ascii="黑体" w:hAnsi="宋体" w:eastAsia="黑体" w:cs="黑体"/>
                <w:color w:val="auto"/>
                <w:sz w:val="18"/>
                <w:szCs w:val="18"/>
                <w:highlight w:val="none"/>
                <w:lang w:bidi="ar"/>
              </w:rPr>
              <w:t xml:space="preserve">个专用USB母座接口孔位和</w:t>
            </w:r>
            <w:r>
              <w:rPr>
                <w:rFonts w:hint="eastAsia" w:ascii="黑体" w:hAnsi="宋体" w:eastAsia="黑体" w:cs="黑体"/>
                <w:color w:val="auto"/>
                <w:sz w:val="18"/>
                <w:szCs w:val="18"/>
                <w:highlight w:val="none"/>
                <w:lang w:val="en-US" w:eastAsia="zh-CN" w:bidi="ar"/>
              </w:rPr>
              <w:t xml:space="preserve">1</w:t>
            </w:r>
            <w:r>
              <w:rPr>
                <w:rFonts w:ascii="黑体" w:hAnsi="宋体" w:eastAsia="黑体" w:cs="黑体"/>
                <w:color w:val="auto"/>
                <w:sz w:val="18"/>
                <w:szCs w:val="18"/>
                <w:highlight w:val="none"/>
                <w:lang w:bidi="ar"/>
              </w:rPr>
              <w:t xml:space="preserve">个通A型USB母座接口孔位，采用横向排列中心间距应不小于27mm</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*音频接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提供前置2个音频接口，后置3个音频接口</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存储卡接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≥0</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基础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a) 产品表面不应有凹痕、划伤、裂缝、变形和污染等。表面涂层均匀，不应起泡、龟裂、脱落和磨损，金属零部件无锈蚀及其它机械损伤；</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产品表面说明功能的文字、符号、标志，应清晰、端正、牢固</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c</w:t>
            </w: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rPr>
              <w:t xml:space="preserve">机箱模块化设计，免工具拆装，便于维护</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*状态指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示灯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在产品显著位置提供状态指示功能，如运行状态，并由供应商提供详细参数</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vMerge w:val="restart"/>
            <w:textDirection w:val="lrTb"/>
            <w:noWrap w:val="false"/>
          </w:tcPr>
          <w:p>
            <w:pPr>
              <w:jc w:val="left"/>
              <w:widowControl/>
              <w:rPr>
                <w:rFonts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a) 机箱应符合 GB/T 4208、GB/T 26246的相关规定；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产品内部结构应符合通用部件的安装需求；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所有输入输出接口应符合相关国家或行业标准；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 产品零部件应紧固无松动，可插拔部件应可靠连接，开关、按钮和其它控制部件应灵活可靠，布局应方便使用；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e) 所有 I/O 连接器及需插接线缆的部位应预留采购人操作空间，方便插拔解锁与插拔线缆；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f) 可插拔板卡插槽部位应预留安装、拆卸或更换板卡空间；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g) 拆装可能接触到的金属剪口或金属尖角部位应做防划伤处理，以保证安全；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h) 整机内部走线应规整，固线结构和位置要合理可靠并做防割线处理，需便于理线和插拔操作，走线应不影响系统各主要部件组装和拆卸；</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i) 如需通过孔走线，过线孔应做防割线处理；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j) 各插头位置和插拔方向应合理，应做到插拔无障碍设计，具备防呆设计，有效避免误操作；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k) 各主要部件拆装无障碍，使用常规工具拆装，无特殊拆装工具需求；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l) 各主要部件拆装步骤要少，各自拆装需避免相互干扰；</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m) 对于整机或零部件外表面为高亮面的，应粘贴保护膜，保护膜需粘贴牢固，运输、组装等过程不易脱落，撕下无残留；</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n) 其它要求应符合 GB/T 9813.1 的相关规定</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t xml:space="preserve">o) 机箱需配置防尘网，可有效阻隔灰尘，提高产品使用寿命(响应文件中需提供承诺函，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rPr>
              <w:t xml:space="preserve">前向采购单位提供具有CNAS或CMA权威标识的第三方检测证书及检测报告扫描件)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*机箱防</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护要求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机箱应符合 GB/T 4208 中 IP20 防护要求</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产品工作在空闲状态下，产品的声功率级应不超过 3.01Bel</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在环境温度 25℃及处理器满载情况下，产品表面温度应符合如下要求：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a) 出风口在机箱后面板情况下，出风口温度不高于55℃ ;</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可触及面温度不高于45℃ ;</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显示器表面温度：显示屏不高于38℃ , 显示屏上下灯带位置温度（如涉及）不高于40℃ , 出风口温度不高于 45℃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效限定值</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产品能效限定值应达到 GB 28380-2012标准中能效等级 2 级及以上</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塑料/金属等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灰色/黑色等商务色系</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*机箱尺寸容量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13L≤机箱体积≤30L</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物理核数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3.0</w:t>
            </w:r>
            <w:r>
              <w:rPr>
                <w:rFonts w:ascii="黑体" w:hAnsi="宋体" w:eastAsia="黑体" w:cs="黑体"/>
                <w:color w:val="auto"/>
                <w:sz w:val="18"/>
                <w:szCs w:val="18"/>
                <w:highlight w:val="none"/>
                <w:lang w:bidi="ar"/>
              </w:rPr>
              <w:t xml:space="preserve">GHz</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16</w:t>
            </w:r>
            <w:r>
              <w:rPr>
                <w:rFonts w:ascii="黑体" w:hAnsi="宋体" w:eastAsia="黑体" w:cs="黑体"/>
                <w:color w:val="auto"/>
                <w:sz w:val="18"/>
                <w:szCs w:val="18"/>
                <w:highlight w:val="none"/>
                <w:lang w:bidi="ar"/>
              </w:rPr>
              <w:t xml:space="preserve">MB</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支持的内存最高速率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3200</w:t>
            </w:r>
            <w:r>
              <w:rPr>
                <w:rFonts w:ascii="黑体" w:hAnsi="宋体" w:eastAsia="黑体" w:cs="黑体"/>
                <w:color w:val="auto"/>
                <w:sz w:val="18"/>
                <w:szCs w:val="18"/>
                <w:highlight w:val="none"/>
                <w:lang w:bidi="ar"/>
              </w:rPr>
              <w:t xml:space="preserve">MT/s</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*内存读写速率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3200</w:t>
            </w:r>
            <w:r>
              <w:rPr>
                <w:rFonts w:ascii="黑体" w:hAnsi="宋体" w:eastAsia="黑体" w:cs="黑体"/>
                <w:color w:val="auto"/>
                <w:sz w:val="18"/>
                <w:szCs w:val="18"/>
                <w:highlight w:val="none"/>
                <w:lang w:bidi="ar"/>
              </w:rPr>
              <w:t xml:space="preserve">MT/s</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*显示分辨率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≥1920x1080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1300</w:t>
            </w:r>
            <w:r>
              <w:rPr>
                <w:rFonts w:ascii="黑体" w:hAnsi="宋体" w:eastAsia="黑体" w:cs="黑体"/>
                <w:color w:val="auto"/>
                <w:sz w:val="18"/>
                <w:szCs w:val="18"/>
                <w:highlight w:val="none"/>
                <w:lang w:bidi="ar"/>
              </w:rPr>
              <w:t xml:space="preserve">MHz</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2666</w:t>
            </w:r>
            <w:r>
              <w:rPr>
                <w:rFonts w:ascii="黑体" w:hAnsi="宋体" w:eastAsia="黑体" w:cs="黑体"/>
                <w:color w:val="auto"/>
                <w:sz w:val="18"/>
                <w:szCs w:val="18"/>
                <w:highlight w:val="none"/>
                <w:lang w:bidi="ar"/>
              </w:rPr>
              <w:t xml:space="preserve"> MT/s</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*显卡可支持多屏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显卡应支持</w:t>
            </w:r>
            <w:r>
              <w:rPr>
                <w:rFonts w:hint="eastAsia" w:ascii="黑体" w:hAnsi="宋体" w:eastAsia="黑体" w:cs="黑体"/>
                <w:color w:val="auto"/>
                <w:sz w:val="18"/>
                <w:szCs w:val="18"/>
                <w:highlight w:val="none"/>
                <w:lang w:val="en-US" w:eastAsia="zh-CN" w:bidi="ar"/>
              </w:rPr>
              <w:t xml:space="preserve">2</w:t>
            </w:r>
            <w:r>
              <w:rPr>
                <w:rFonts w:ascii="黑体" w:hAnsi="宋体" w:eastAsia="黑体" w:cs="黑体"/>
                <w:color w:val="auto"/>
                <w:sz w:val="18"/>
                <w:szCs w:val="18"/>
                <w:highlight w:val="none"/>
                <w:lang w:bidi="ar"/>
              </w:rPr>
              <w:t xml:space="preserve">块屏幕同时显示，分辨率应不低于 1920×1080</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刷新率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100</w:t>
            </w:r>
            <w:r>
              <w:rPr>
                <w:rFonts w:ascii="黑体" w:hAnsi="宋体" w:eastAsia="黑体" w:cs="黑体"/>
                <w:color w:val="auto"/>
                <w:sz w:val="18"/>
                <w:szCs w:val="18"/>
                <w:highlight w:val="none"/>
                <w:lang w:bidi="ar"/>
              </w:rPr>
              <w:t xml:space="preserve">Hz</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位深</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≥8位</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色域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≥99% sRGB</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色准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△E ≤ 4</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4</w:t>
            </w:r>
            <w:r>
              <w:rPr>
                <w:rFonts w:ascii="黑体" w:hAnsi="宋体" w:eastAsia="黑体" w:cs="黑体"/>
                <w:color w:val="auto"/>
                <w:sz w:val="18"/>
                <w:szCs w:val="18"/>
                <w:highlight w:val="none"/>
                <w:lang w:bidi="ar"/>
              </w:rPr>
              <w:t xml:space="preserve">ms</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亮度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≥250 尼特</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亮度一致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≥70%</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对比度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rPr>
                <w:rFonts w:hint="eastAsia" w:ascii="黑体" w:hAnsi="宋体" w:eastAsia="黑体" w:cs="黑体"/>
                <w:color w:val="auto"/>
                <w:sz w:val="18"/>
                <w:szCs w:val="18"/>
                <w:highlight w:val="none"/>
                <w:lang w:bidi="ar"/>
              </w:rPr>
              <w:t xml:space="preserve">3000</w:t>
            </w:r>
            <w:r>
              <w:rPr>
                <w:rFonts w:ascii="黑体" w:hAnsi="宋体" w:eastAsia="黑体" w:cs="黑体"/>
                <w:color w:val="auto"/>
                <w:sz w:val="18"/>
                <w:szCs w:val="18"/>
                <w:highlight w:val="none"/>
                <w:lang w:bidi="ar"/>
              </w:rPr>
              <w:t xml:space="preserve">：1</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其它参数应符合SJ/T 11292 的相关规定</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卡速率</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最高速率应不低于 1000Mbps，应支持10Mbps、100Mbps、1000Mbps 速率自适应</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支持无线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网络通信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技术协议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WAPI 或 WiFi5.0 及以上协议</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频宽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≥20MHz</w:t>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*内存扩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展接口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(板载内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存不涉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 个</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存储扩展</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载存储不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涉及)</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供应商给出主板支持存储扩展接口类型，如 UFS3.0、SATA3.0、SAS3.0、M.2等类型接口</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 USB</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瞬间过流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保护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支持有瞬间过流保护功能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*主板防</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静电保护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支持防静电保护功能</w:t>
            </w:r>
            <w:r>
              <w:rPr>
                <w:rFonts w:hint="eastAsia" w:ascii="黑体" w:hAnsi="宋体" w:eastAsia="黑体" w:cs="黑体"/>
                <w:color w:val="auto"/>
                <w:sz w:val="18"/>
                <w:szCs w:val="18"/>
                <w:highlight w:val="none"/>
                <w:lang w:bidi="ar"/>
              </w:rPr>
              <w:t xml:space="preserve">，主板直流供电电压大于设计值拉偏±6%</w:t>
            </w:r>
            <w:r/>
          </w:p>
        </w:tc>
      </w:tr>
      <w:tr>
        <w:trPr>
          <w:trHeight w:val="145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*I/O 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vMerge w:val="restart"/>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*显卡外</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接显示接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显卡至少支持 VGA、HDMI、DVI、DP、Type-C 中 1 种显示接口，并与显示器接口相匹配</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独立显卡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显示器应与显卡外接显示接口匹配</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显示器应提供显示器支架，根据采购</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人需求支持屏幕旋转、升降等</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参数调节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a)提供 OSD 选单按钮用于调节色彩、模式等；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b)支持色温、亮度、对比度调节</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摄像头物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理隐私保</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护开关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传声器降噪</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键盘背光</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通过SATA固态存储/PCIe固态存储/UFS固态存储/SATA硬磁盘等存储部件提供存储功能</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内置控制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器固态存</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储加密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固态存储通过内置控制器硬件支持加密，不依赖处理器，保障数据安全性，但不得影响存储性能。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a) 支持加密功能，且加密功能开启不影响 SSD 读写性能；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支持固件加密、安全启动和安全升级；</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支持数据的安全擦除</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a)支持网络连接、网络开启/关闭功能；b)支持访问网络和数据交换功能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频段</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支持双频段</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物理开关</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支持网络设备物理开关</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支持数据传输能力，并提供数据流量和异常日志记录功能</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蓝牙协议</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若支持蓝牙模块，蓝牙协议不低于5.0版本</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*有线网</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卡接口类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RJ45 接口</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无线网卡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若配备无线网卡，产品应符合 GB15629.11 所有部分</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备拆装</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网络设备支持物理拆装，包括无线网卡和蓝牙模块等</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接口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*音频接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3.5mm 孔径 3 段式或 4 段式接口</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至少支持 VGA、HDMI、DVI、DP、Type-C中 2 种显示接口</w:t>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*HDMI、</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DP、</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Type-C 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示接口要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若提供 HDMI 或 DP 或 Type-C 作为显示接口，应支持音频和视频同步输出</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其他接口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 支持串行接口，可实现 GB/T 6107的功能；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支持并行接口，可实现 GB/T18235.1 的功能</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存储卡接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口类型</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SD、TF 等存储卡接口</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*电源线</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适配能力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a)</w:t>
            </w:r>
            <w:r>
              <w:rPr>
                <w:rFonts w:ascii="黑体" w:hAnsi="宋体" w:eastAsia="黑体" w:cs="黑体"/>
                <w:color w:val="auto"/>
                <w:sz w:val="18"/>
                <w:szCs w:val="18"/>
                <w:highlight w:val="none"/>
                <w:lang w:bidi="ar"/>
              </w:rPr>
              <w:t xml:space="preserve">电源适配器电线组件应符合GB/T15934 的要求，可拆线的插头和连接器可以不做要求</w:t>
            </w:r>
            <w:r/>
          </w:p>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b)电源通过80PLUS认证(响应文件中需提供承诺函，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前向采购单位提供检测报告扫描件或者官网截图证明)</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系统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*中文信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息处理要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 18030 的相关规定</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*操作系</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统备份及</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还原功能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支持操作系统备份及还原功能，支持基于BIOS级的一键备份和恢复的功能（非操作系统自带功能），当硬盘分区遭到破坏(使用fdisk等工具删除或破坏分区)，导致系统无法启动情况下，可在不连接网络及外部存储（U盘、移动硬盘等）情况下，使用基于安全区特性的备份恢复系统将主机恢复到可用状态。</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*固件备份还原能力</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支持备份及还原固件的功能</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*操作系统及驱动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支持通过网络、闪存盘等方式对操作系统、驱动进行升级</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支持通过网络、闪存盘等方式对固件进行升级</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*BIOS 支持关闭通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讯接口</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支持BIOS关闭以太网及USB接口，有效防止数据泄露</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看信息</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w:t>
            </w:r>
            <w:r>
              <w:rPr>
                <w:rFonts w:hint="eastAsia" w:ascii="黑体" w:hAnsi="宋体" w:eastAsia="黑体" w:cs="黑体"/>
                <w:color w:val="auto"/>
                <w:sz w:val="18"/>
                <w:szCs w:val="18"/>
                <w:highlight w:val="none"/>
                <w:lang w:bidi="ar"/>
              </w:rPr>
              <w:t xml:space="preserve">查看设备信息,可视化的模块</w:t>
            </w:r>
            <w:r>
              <w:rPr>
                <w:rFonts w:ascii="黑体" w:hAnsi="宋体" w:eastAsia="黑体" w:cs="黑体"/>
                <w:color w:val="auto"/>
                <w:sz w:val="18"/>
                <w:szCs w:val="18"/>
                <w:highlight w:val="none"/>
                <w:lang w:bidi="ar"/>
              </w:rPr>
              <w:t xml:space="preserve">查看固件版本、内存信息、主板信息、处理器信息和系统时间信息</w:t>
            </w:r>
            <w:r>
              <w:rPr>
                <w:rFonts w:hint="eastAsia" w:ascii="黑体" w:hAnsi="宋体" w:eastAsia="黑体" w:cs="黑体"/>
                <w:color w:val="auto"/>
                <w:sz w:val="18"/>
                <w:szCs w:val="18"/>
                <w:highlight w:val="none"/>
                <w:lang w:bidi="ar"/>
              </w:rPr>
              <w:t xml:space="preserve">及运行的状态</w:t>
            </w:r>
            <w:r>
              <w:rPr>
                <w:rFonts w:ascii="黑体" w:hAnsi="宋体" w:eastAsia="黑体" w:cs="黑体"/>
                <w:color w:val="auto"/>
                <w:sz w:val="18"/>
                <w:szCs w:val="18"/>
                <w:highlight w:val="none"/>
                <w:lang w:bidi="ar"/>
              </w:rPr>
              <w:t xml:space="preserve">等功能</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*固件设置启动顺序</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支持设置启动顺序功能，并按照设置的启动顺序启动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置口令</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支持设置口令、修改口令、验证口令功能</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*固件设置网络引导</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支持网络引导启动和关闭功能</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生物</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识别</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指纹识别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指纹识别功能符合GB/T 37742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人脸识别功能符合 GB/T 37036.3 的相关规定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静脉识别</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指静脉识别功能符合GB/T 33135 的相关规定</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硬件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加速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NPU/GPU</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等AI加速</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NPU/GPU 等AI 加速模块</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视频编解</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码加速模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支持视频编解码加速模块</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影像处理</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加速模块</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支持影像处理加速模块</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*存储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*固态存储寿命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TBW ≥ 80TB（条件：240GB 硬盘容量）</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*机械硬盘寿命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通电时间≥5 万小时</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9813.2 的要求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*外设</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*键盘按键寿命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≥1000 万次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*鼠标按键寿命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≥500 万次</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键盘鼠标所用线材经±60 °弯折不低于 3000 次，功能、外观完好</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≥4 万小时</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可靠</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*电磁兼</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容性要求</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的抗扰度</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9254.2 的规定</w:t>
            </w:r>
            <w:r>
              <w:rPr>
                <w:rFonts w:hint="eastAsia" w:ascii="黑体" w:hAnsi="宋体" w:eastAsia="黑体" w:cs="黑体"/>
                <w:color w:val="auto"/>
                <w:sz w:val="18"/>
                <w:szCs w:val="18"/>
                <w:highlight w:val="none"/>
                <w:lang w:bidi="ar"/>
              </w:rPr>
              <w:t xml:space="preserve">，电源端：线-线±1KV；线-地±2KV；信号端：线-地±2KV</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气候环境</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rPr>
                <w:rFonts w:hint="eastAsia" w:ascii="黑体" w:hAnsi="宋体" w:eastAsia="黑体" w:cs="黑体"/>
                <w:color w:val="auto"/>
                <w:sz w:val="18"/>
                <w:szCs w:val="18"/>
                <w:highlight w:val="none"/>
                <w:lang w:bidi="ar"/>
              </w:rPr>
              <w:t xml:space="preserve">，密闭环境中（外温35℃）可正常开机运行，工作温度下限5℃±2℃</w:t>
            </w:r>
            <w:r/>
          </w:p>
        </w:tc>
      </w:tr>
      <w:tr>
        <w:trPr>
          <w:trHeight w:val="97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振动适应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*环境条件要求的</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运输包装件跌落适应性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中规定</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MTBF(m1)≥</w:t>
            </w:r>
            <w:r>
              <w:rPr>
                <w:rFonts w:hint="eastAsia" w:ascii="黑体" w:hAnsi="宋体" w:eastAsia="黑体" w:cs="黑体"/>
                <w:color w:val="auto"/>
                <w:sz w:val="18"/>
                <w:szCs w:val="18"/>
                <w:highlight w:val="none"/>
                <w:lang w:bidi="ar"/>
              </w:rPr>
              <w:t xml:space="preserve">100</w:t>
            </w:r>
            <w:r>
              <w:rPr>
                <w:rFonts w:ascii="黑体" w:hAnsi="宋体" w:eastAsia="黑体" w:cs="黑体"/>
                <w:color w:val="auto"/>
                <w:sz w:val="18"/>
                <w:szCs w:val="18"/>
                <w:highlight w:val="none"/>
                <w:lang w:bidi="ar"/>
              </w:rPr>
              <w:t xml:space="preserve"> 万小时</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*常用软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支持流式软件、版式软件、浏览器、邮件采购人端、解压软件、多媒体、图形图像处理等常用软件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*数据库</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个及以上厂商的数据库产品</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*中间件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个及以上厂商中间件产品</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*平台软</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 3 个及以上厂商云计算及大数据平台</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*包装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及运</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输要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*标志、包</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装、运输</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和贮存</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符合 GB/T 9813.1 和商品包装政府采购需求标准的相关规定</w:t>
            </w:r>
            <w:r>
              <w:rPr>
                <w:rFonts w:hint="eastAsia" w:ascii="黑体" w:hAnsi="宋体" w:eastAsia="黑体" w:cs="黑体"/>
                <w:color w:val="auto"/>
                <w:sz w:val="18"/>
                <w:szCs w:val="18"/>
                <w:highlight w:val="none"/>
                <w:lang w:bidi="ar"/>
              </w:rPr>
              <w:t xml:space="preserve">，在-40℃下贮存24h后可正常运行</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*配置检</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查工具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供应商提供自检测试工具</w:t>
            </w:r>
            <w:r/>
          </w:p>
        </w:tc>
      </w:tr>
      <w:tr>
        <w:trPr>
          <w:trHeight w:val="28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numPr>
                <w:ilvl w:val="0"/>
                <w:numId w:val="3"/>
              </w:num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供应商提供电话、电子邮件、远程连接等多种形式服务；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b)供应商提供同城4h、异地 12h 技术响应服务，2 个工作日解决问题，对于未能解决的问题和故障应提供可行的升级方案，并提供周转设备或更换设备；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c)建立全国技术服务体系和服务团体，符合专业服务体系标准要求，提供原厂中文服务；</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d)服务周期内提供产品的维修、换件和升级服务</w:t>
            </w:r>
            <w:r/>
          </w:p>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e)当日下午4点前报修，下一自然日24点前修复，若没有完成修复，则免费赠送延迟日数对应的月度延保服务，且官网能查询到关于该服务条款的介绍。</w:t>
            </w:r>
            <w:r/>
          </w:p>
        </w:tc>
      </w:tr>
      <w:tr>
        <w:trPr>
          <w:trHeight w:val="147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a) 设备停产后应继续提供质量保障服务（含备品备件），服务终止时间与最后一批设备交付时间间隔不低于6 年；</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产品停止服务时间应提前 1 年告知；</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应明确产品发布日期</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*预装操</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作系统</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预装符合桌面操作系统政府采购需求标准的正版操作系统</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供应商提供培训材料、产品手册、培训视频等培训相关内容</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*典型问</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题解决手</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供应商提供典型问题解决说明文档或视频</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*厂家升</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级软件与</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扩容服务</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供应商提供上门升级部件/软件与扩容的增值服务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*整机质量服务要求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免费服务周期（含换件和维修）应不小于 3 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*合格证书要求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供应商提供产品合格证</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*开箱组装/使用指导要求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供应商提供开箱组装/使用指导</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*驱动下载服务要求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供应商提供驱动光盘或下载方式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*兼容适配软件下载服务要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供应商提供兼容适配软件下载渠道（光盘、网站）</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跨架构平台应用兼容</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lang w:bidi="ar"/>
              </w:rPr>
              <w:t xml:space="preserve">供应商提供跨架构平台的应用兼容工具，支持一种或者一种以上不同架构平台的应用</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链合</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规性</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*产品部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件保障</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供应商保障产品主要部件，提供 6 年的备件服务能力（自购买之日起），或提供可兼容原设备的升级换代产品</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链质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量</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当产品部件出现供应风险时，供应商应通知采购人并提供风险应对方案确保产品的服务保障</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*供应能</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力证明</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供应商提供供应链稳定承诺书，确保产品的部件在产品服务周期内稳定供货</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*关键</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部件</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*关键部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件安全要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rPr>
                <w:rFonts w:ascii="黑体" w:hAnsi="宋体" w:eastAsia="黑体" w:cs="黑体"/>
                <w:color w:val="auto"/>
                <w:sz w:val="8"/>
                <w:szCs w:val="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和操作系统等关键部件应当符合安全可靠测评要求</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*整机</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安全</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性要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*密码算</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法实现</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CPU 芯片应符合 GM/T 0008 的相关规定，或芯片密码模块应符合GB/T 37092或 GM/T 0028 的相关规定</w:t>
            </w:r>
            <w:r/>
          </w:p>
        </w:tc>
      </w:tr>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USB 端口管控</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 USB 端口管控</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安全物理锁</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支持安全物理锁</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*信息安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全基本要</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numPr>
                <w:ilvl w:val="0"/>
                <w:numId w:val="4"/>
              </w:num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产品应符合 GB/T 39276 的 5.2 的规定；</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b) 生产厂商应建立漏洞跟踪表，保证产品版本涉及到的漏洞(如驱动程序等)可查看；</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c) 产品不得包含已知的恶意代码或漏洞，不存在未声明的指令、功能、接口</w:t>
            </w:r>
            <w:r/>
          </w:p>
          <w:p>
            <w:pPr>
              <w:jc w:val="left"/>
              <w:widowControl/>
              <w:rPr>
                <w:rFonts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d)预装电脑管家软件，可以实现设备状态与硬件信息检测、存储空间优化、原厂驱动下载（响应文件中需提供承诺函，签订合同前向采购单位提供电脑管家软件著作权证书）</w:t>
            </w:r>
            <w:r/>
          </w:p>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e)整机IC器件及电子元器件国产化率≥99%（响应文件中需提供承诺函，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前向采购单位提供第三方检测证书扫描件）</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*固件安</w:t>
            </w:r>
            <w:r>
              <w:rPr>
                <w:rFonts w:ascii="黑体" w:hAnsi="宋体" w:eastAsia="黑体" w:cs="黑体"/>
                <w:color w:val="auto"/>
                <w:sz w:val="18"/>
                <w:szCs w:val="18"/>
                <w:highlight w:val="none"/>
                <w:lang w:bidi="ar"/>
              </w:rPr>
              <w:br/>
            </w:r>
            <w:r>
              <w:rPr>
                <w:rFonts w:ascii="黑体" w:hAnsi="宋体" w:eastAsia="黑体" w:cs="黑体"/>
                <w:color w:val="auto"/>
                <w:sz w:val="18"/>
                <w:szCs w:val="18"/>
                <w:highlight w:val="none"/>
                <w:lang w:bidi="ar"/>
              </w:rPr>
              <w:t xml:space="preserve">全启动</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支持固件安全启动功能，固件启动过程中只有通过启动校验才能正常启动</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rPr>
            </w:pPr>
            <w:r>
              <w:rPr>
                <w:rFonts w:ascii="黑体" w:hAnsi="宋体" w:eastAsia="黑体" w:cs="黑体"/>
                <w:color w:val="auto"/>
                <w:sz w:val="18"/>
                <w:szCs w:val="18"/>
                <w:highlight w:val="none"/>
                <w:lang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ascii="黑体" w:hAnsi="宋体" w:eastAsia="黑体" w:cs="黑体"/>
                <w:color w:val="auto"/>
                <w:sz w:val="18"/>
                <w:szCs w:val="18"/>
                <w:highlight w:val="none"/>
                <w:lang w:bidi="ar"/>
              </w:rPr>
              <w:t xml:space="preserve">符合 GB/T 26572 中规定</w:t>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widowControl/>
              <w:rPr>
                <w:rFonts w:hint="eastAsia"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为满足AI实训课教学要求，所投电脑需预装</w:t>
            </w:r>
            <w:r>
              <w:rPr>
                <w:rFonts w:hint="eastAsia" w:ascii="黑体" w:hAnsi="宋体" w:eastAsia="黑体" w:cs="黑体"/>
                <w:color w:val="auto"/>
                <w:sz w:val="18"/>
                <w:szCs w:val="18"/>
                <w:highlight w:val="none"/>
                <w:lang w:bidi="ar"/>
              </w:rPr>
              <w:t xml:space="preserve">正版</w:t>
            </w:r>
            <w:r>
              <w:rPr>
                <w:rFonts w:hint="eastAsia" w:ascii="黑体" w:hAnsi="宋体" w:eastAsia="黑体" w:cs="黑体"/>
                <w:color w:val="auto"/>
                <w:sz w:val="18"/>
                <w:szCs w:val="18"/>
                <w:highlight w:val="none"/>
                <w:lang w:bidi="ar"/>
              </w:rPr>
              <w:t xml:space="preserve">AI软件，采用本地大模型，并具备自然交互理解能力，以下功能断网可用： ①可以在操作系统里面通过划词选择进行文档翻译（支持中英文）、润色、总结。②对操作系统全盘文件以及文件内容进行关键字搜索。③支持通过AI助手软件完成“背景图片切换、声音调大小、截图、锁屏、打开软件”等类似语义的命令，智能体会直接执行操作，一步到位。④音频一键转文本，形成会议纪要、会议待办。（以上功能响应文件中需提供承诺函，</w:t>
            </w:r>
            <w:r>
              <w:rPr>
                <w:rFonts w:hint="eastAsia" w:ascii="黑体" w:hAnsi="宋体" w:eastAsia="黑体" w:cs="黑体"/>
                <w:color w:val="auto"/>
                <w:sz w:val="18"/>
                <w:szCs w:val="18"/>
                <w:highlight w:val="none"/>
                <w:lang w:val="en-US" w:eastAsia="zh-CN"/>
              </w:rPr>
              <w:t xml:space="preserve">签订合同</w:t>
            </w:r>
            <w:r>
              <w:rPr>
                <w:rFonts w:hint="eastAsia" w:ascii="黑体" w:hAnsi="宋体" w:eastAsia="黑体" w:cs="黑体"/>
                <w:color w:val="auto"/>
                <w:sz w:val="18"/>
                <w:szCs w:val="18"/>
                <w:highlight w:val="none"/>
                <w:lang w:bidi="ar"/>
              </w:rPr>
              <w:t xml:space="preserve">前向采购单位提供软件功能截图证明）</w:t>
            </w:r>
            <w:r/>
          </w:p>
        </w:tc>
      </w:tr>
      <w:tr>
        <w:trPr>
          <w:trHeight w:val="1061"/>
        </w:trPr>
        <w:tc>
          <w:tcPr>
            <w:shd w:val="clear" w:color="auto" w:fill="auto"/>
            <w:tcBorders>
              <w:top w:val="single" w:color="000000" w:sz="4" w:space="0"/>
              <w:left w:val="single" w:color="000000" w:sz="4" w:space="0"/>
              <w:bottom w:val="single" w:color="auto" w:sz="4" w:space="0"/>
              <w:right w:val="single" w:color="000000" w:sz="4" w:space="0"/>
            </w:tcBorders>
            <w:tcW w:w="537" w:type="dxa"/>
            <w:vAlign w:val="center"/>
            <w:textDirection w:val="lrTb"/>
            <w:noWrap w:val="false"/>
          </w:tcPr>
          <w:p>
            <w:pPr>
              <w:jc w:val="center"/>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191</w:t>
            </w:r>
            <w:r/>
          </w:p>
        </w:tc>
        <w:tc>
          <w:tcPr>
            <w:shd w:val="clear" w:color="auto" w:fill="auto"/>
            <w:tcBorders>
              <w:top w:val="single" w:color="000000" w:sz="4" w:space="0"/>
              <w:left w:val="single" w:color="000000" w:sz="4" w:space="0"/>
              <w:bottom w:val="single" w:color="auto" w:sz="4" w:space="0"/>
              <w:right w:val="single" w:color="000000" w:sz="4" w:space="0"/>
            </w:tcBorders>
            <w:tcW w:w="592" w:type="dxa"/>
            <w:vAlign w:val="center"/>
            <w:textDirection w:val="lrTb"/>
            <w:noWrap w:val="false"/>
          </w:tcPr>
          <w:p>
            <w:pPr>
              <w:jc w:val="center"/>
              <w:rPr>
                <w:rFonts w:hint="eastAsia" w:ascii="黑体" w:hAnsi="宋体" w:eastAsia="黑体" w:cs="黑体"/>
                <w:color w:val="auto"/>
                <w:sz w:val="18"/>
                <w:szCs w:val="18"/>
                <w:highlight w:val="none"/>
              </w:rPr>
            </w:pPr>
            <w:r>
              <w:rPr>
                <w:rFonts w:hint="eastAsia" w:ascii="黑体" w:hAnsi="宋体" w:eastAsia="黑体" w:cs="黑体"/>
                <w:color w:val="auto"/>
                <w:sz w:val="18"/>
                <w:szCs w:val="18"/>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2386" w:type="dxa"/>
            <w:vAlign w:val="center"/>
            <w:textDirection w:val="lrTb"/>
            <w:noWrap w:val="false"/>
          </w:tcPr>
          <w:p>
            <w:pPr>
              <w:jc w:val="left"/>
              <w:widowControl/>
              <w:rPr>
                <w:rFonts w:hint="default" w:ascii="黑体" w:hAnsi="宋体" w:eastAsia="黑体" w:cs="黑体"/>
                <w:color w:val="auto"/>
                <w:sz w:val="18"/>
                <w:szCs w:val="18"/>
                <w:highlight w:val="none"/>
                <w:lang w:val="en-US" w:eastAsia="zh-CN" w:bidi="ar"/>
              </w:rPr>
            </w:pPr>
            <w:r>
              <w:rPr>
                <w:rFonts w:hint="eastAsia" w:ascii="黑体" w:hAnsi="宋体" w:eastAsia="黑体" w:cs="黑体"/>
                <w:color w:val="auto"/>
                <w:sz w:val="18"/>
                <w:szCs w:val="18"/>
                <w:highlight w:val="none"/>
                <w:lang w:val="en-US" w:eastAsia="zh-CN" w:bidi="ar"/>
              </w:rPr>
              <w:t xml:space="preserve">其他</w:t>
            </w:r>
            <w:r/>
          </w:p>
        </w:tc>
        <w:tc>
          <w:tcPr>
            <w:shd w:val="clear" w:color="auto" w:fill="auto"/>
            <w:tcBorders>
              <w:top w:val="single" w:color="000000" w:sz="4" w:space="0"/>
              <w:left w:val="single" w:color="000000" w:sz="4" w:space="0"/>
              <w:bottom w:val="single" w:color="auto" w:sz="4" w:space="0"/>
              <w:right w:val="single" w:color="000000" w:sz="4" w:space="0"/>
            </w:tcBorders>
            <w:tcW w:w="4350" w:type="dxa"/>
            <w:vAlign w:val="center"/>
            <w:textDirection w:val="lrTb"/>
            <w:noWrap w:val="false"/>
          </w:tcPr>
          <w:p>
            <w:pPr>
              <w:jc w:val="left"/>
              <w:widowControl/>
              <w:rPr>
                <w:rFonts w:hint="eastAsia" w:ascii="黑体" w:hAnsi="宋体" w:eastAsia="黑体" w:cs="黑体"/>
                <w:color w:val="auto"/>
                <w:sz w:val="18"/>
                <w:szCs w:val="18"/>
                <w:highlight w:val="none"/>
                <w:lang w:bidi="ar"/>
              </w:rPr>
            </w:pPr>
            <w:r>
              <w:rPr>
                <w:rFonts w:hint="eastAsia" w:ascii="黑体" w:hAnsi="宋体" w:eastAsia="黑体" w:cs="黑体"/>
                <w:color w:val="auto"/>
                <w:sz w:val="18"/>
                <w:szCs w:val="18"/>
                <w:highlight w:val="none"/>
                <w:lang w:bidi="ar"/>
              </w:rPr>
              <w:t xml:space="preserve">产品属于财政部、国家发改委公布的“节能产品品目清单”范围内，供应商需提供国家确定的认证机构出具的、处于有效期之内的该节能产品认证证书电子扫描件并加盖公章。</w:t>
            </w:r>
            <w:r/>
          </w:p>
        </w:tc>
      </w:tr>
    </w:tbl>
    <w:p>
      <w:pPr>
        <w:ind w:firstLine="562"/>
        <w:spacing w:line="500" w:lineRule="exact"/>
        <w:rPr>
          <w:rFonts w:hint="eastAsia"/>
          <w:b/>
          <w:bCs/>
          <w:sz w:val="28"/>
          <w:szCs w:val="28"/>
        </w:rPr>
      </w:pPr>
      <w:r>
        <w:rPr>
          <w:rFonts w:hint="eastAsia" w:eastAsia="方正仿宋_GBK"/>
          <w:b/>
          <w:bCs/>
          <w:sz w:val="28"/>
          <w:szCs w:val="28"/>
        </w:rPr>
        <w:t xml:space="preserve">2.</w:t>
      </w:r>
      <w:r>
        <w:rPr>
          <w:rFonts w:hint="eastAsia"/>
          <w:b/>
          <w:bCs/>
          <w:sz w:val="28"/>
          <w:szCs w:val="28"/>
        </w:rPr>
        <w:t xml:space="preserve">拟投入本项目的台式电脑主要运行的软件：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（1）办公自动化课程所需的常规软件：office办公软件、WPS等。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（2）专业软件：C语言、服装富怡软件、短视频制作软件（如AE、PR等）、PS软件、中望CAD、GXWorks2、虚拟环境设置及运行等通用及专业教学软件或仿真软件。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（3）要求：操作系统能适配麒麟、统信、微软等多种系统运行，电脑系统能够物理切换成Windows系统进行一些专业软件的运行，软件运行流程、不卡顿、不死机、不闪退等。</w:t>
      </w:r>
      <w:bookmarkStart w:id="108" w:name="_GoBack"/>
      <w:r/>
      <w:bookmarkEnd w:id="10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3.参考品牌：联想、浪潮、中科可控、新华三、清华同方等。</w:t>
      </w:r>
      <w:r/>
    </w:p>
    <w:p>
      <w:pPr>
        <w:ind w:firstLine="562"/>
        <w:spacing w:line="500" w:lineRule="exact"/>
        <w:rPr>
          <w:rFonts w:eastAsia="方正仿宋_GBK"/>
          <w:b/>
          <w:bCs/>
          <w:sz w:val="28"/>
          <w:szCs w:val="28"/>
        </w:rPr>
      </w:pPr>
      <w:r>
        <w:rPr>
          <w:rFonts w:hint="eastAsia" w:eastAsia="方正仿宋_GBK"/>
          <w:b/>
          <w:bCs/>
          <w:sz w:val="28"/>
          <w:szCs w:val="28"/>
        </w:rPr>
        <w:t xml:space="preserve">（四）</w:t>
      </w:r>
      <w:r>
        <w:rPr>
          <w:rFonts w:eastAsia="方正仿宋_GBK"/>
          <w:b/>
          <w:bCs/>
          <w:sz w:val="28"/>
          <w:szCs w:val="28"/>
        </w:rPr>
        <w:t xml:space="preserve">采购标的的数量、采购项目交付或者实施的时间和地点</w:t>
      </w:r>
      <w:r/>
    </w:p>
    <w:p>
      <w:pPr>
        <w:ind w:firstLine="560"/>
        <w:spacing w:line="500" w:lineRule="exact"/>
        <w:rPr>
          <w:rFonts w:hint="eastAsia" w:ascii="仿宋" w:hAnsi="仿宋" w:eastAsia="仿宋"/>
          <w:bCs/>
          <w:szCs w:val="21"/>
        </w:rPr>
      </w:pPr>
      <w:r>
        <w:rPr>
          <w:rFonts w:hint="eastAsia" w:ascii="方正仿宋_GBK" w:hAnsi="方正仿宋_GBK" w:eastAsia="方正仿宋_GBK" w:cs="方正仿宋_GBK"/>
          <w:sz w:val="28"/>
          <w:szCs w:val="28"/>
        </w:rPr>
        <w:t xml:space="preserve">1.采购标的的数量：台式电脑203台</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2.实施时间：合同签订后3个月内安装调试完毕。</w:t>
      </w:r>
      <w:r/>
    </w:p>
    <w:p>
      <w:pPr>
        <w:ind w:firstLine="560"/>
        <w:spacing w:line="500" w:lineRule="exact"/>
        <w:rPr>
          <w:rFonts w:eastAsia="方正仿宋_GBK"/>
          <w:sz w:val="28"/>
          <w:szCs w:val="28"/>
        </w:rPr>
      </w:pPr>
      <w:r>
        <w:rPr>
          <w:rFonts w:hint="eastAsia" w:ascii="方正仿宋_GBK" w:hAnsi="方正仿宋_GBK" w:eastAsia="方正仿宋_GBK" w:cs="方正仿宋_GBK"/>
          <w:sz w:val="28"/>
          <w:szCs w:val="28"/>
        </w:rPr>
        <w:t xml:space="preserve">3.供货地点：学校指定地点</w:t>
      </w:r>
      <w:r/>
    </w:p>
    <w:p>
      <w:pPr>
        <w:ind w:firstLine="562"/>
        <w:spacing w:line="500" w:lineRule="exact"/>
        <w:rPr>
          <w:rFonts w:eastAsia="方正仿宋_GBK"/>
          <w:b/>
          <w:bCs/>
          <w:sz w:val="28"/>
          <w:szCs w:val="28"/>
        </w:rPr>
      </w:pPr>
      <w:r>
        <w:rPr>
          <w:rFonts w:eastAsia="方正仿宋_GBK"/>
          <w:b/>
          <w:bCs/>
          <w:sz w:val="28"/>
          <w:szCs w:val="28"/>
        </w:rPr>
        <w:t xml:space="preserve">（五）采购标的需满足的服务标准、期限、效率等要求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rPr>
          <w:rFonts w:hint="eastAsia" w:ascii="方正仿宋_GBK" w:hAnsi="方正仿宋_GBK" w:eastAsia="方正仿宋_GBK" w:cs="方正仿宋_GBK"/>
          <w:sz w:val="28"/>
          <w:szCs w:val="28"/>
        </w:rPr>
        <w:t xml:space="preserve">成交供应商</w:t>
      </w:r>
      <w:r>
        <w:rPr>
          <w:rFonts w:hint="eastAsia" w:ascii="方正仿宋_GBK" w:hAnsi="方正仿宋_GBK" w:eastAsia="方正仿宋_GBK" w:cs="方正仿宋_GBK"/>
          <w:sz w:val="28"/>
          <w:szCs w:val="28"/>
          <w:lang w:val="zh-CN"/>
        </w:rPr>
        <w:t xml:space="preserve">应保证货物是全新、未使用过的原装合格正品，并完全符合采购文件及本合同规定的质量、规格和性能的要求。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3.产品的包装，国家或行业主管部门有规定的，按规定执行。 </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4.成交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应保证提供的产品不得侵犯第三方专利权、商标权和工业设计权、版权等。否则，成交人应负全部责任，并承担由此引起的一切后果。</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5.成交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应保证其货物在正确安装、正常使用和保养条件下，在其使用寿命期内应具有满意的性能。</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6.成交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应采取必要的安全措施保证货物的运输及安装的安全，并承担货物的运输及安装过程中产生的风险。</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7.成交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所供货物最终验收后，成交人应对由于设计、工艺或材料的缺陷而发生的任何不足或故障负责，并承担由此引起的一切后果。</w:t>
      </w:r>
      <w:r/>
    </w:p>
    <w:p>
      <w:pPr>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8.成交</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lang w:val="zh-CN"/>
        </w:rPr>
        <w:t xml:space="preserve">必须保证所提供的产品符合国家相应质量要求，所有产品必须具备合格证书，并随货同行，产品质保期限为自交货并验收合格之日起计</w:t>
      </w: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zh-CN"/>
        </w:rPr>
        <w:t xml:space="preserve">年。</w:t>
      </w:r>
      <w:r>
        <w:rPr>
          <w:rFonts w:hint="eastAsia" w:ascii="方正仿宋_GBK" w:hAnsi="方正仿宋_GBK" w:eastAsia="方正仿宋_GBK" w:cs="方正仿宋_GBK"/>
          <w:sz w:val="28"/>
          <w:szCs w:val="28"/>
        </w:rPr>
        <w:t xml:space="preserve">成交供应商</w:t>
      </w:r>
      <w:r>
        <w:rPr>
          <w:rFonts w:hint="eastAsia" w:ascii="方正仿宋_GBK" w:hAnsi="方正仿宋_GBK" w:eastAsia="方正仿宋_GBK" w:cs="方正仿宋_GBK"/>
          <w:sz w:val="28"/>
          <w:szCs w:val="28"/>
          <w:lang w:val="zh-CN"/>
        </w:rPr>
        <w:t xml:space="preserve">提供免费送货</w:t>
      </w:r>
      <w:r>
        <w:rPr>
          <w:rFonts w:hint="eastAsia" w:ascii="方正仿宋_GBK" w:hAnsi="方正仿宋_GBK" w:eastAsia="方正仿宋_GBK" w:cs="方正仿宋_GBK"/>
          <w:sz w:val="28"/>
          <w:szCs w:val="28"/>
        </w:rPr>
        <w:t xml:space="preserve">到学校指定位置</w:t>
      </w:r>
      <w:r>
        <w:rPr>
          <w:rFonts w:hint="eastAsia" w:ascii="方正仿宋_GBK" w:hAnsi="方正仿宋_GBK" w:eastAsia="方正仿宋_GBK" w:cs="方正仿宋_GBK"/>
          <w:sz w:val="28"/>
          <w:szCs w:val="28"/>
          <w:lang w:val="zh-CN"/>
        </w:rPr>
        <w:t xml:space="preserve">、产品部署安装调试，在</w:t>
      </w:r>
      <w:r>
        <w:rPr>
          <w:rFonts w:hint="eastAsia" w:ascii="方正仿宋_GBK" w:hAnsi="方正仿宋_GBK" w:eastAsia="方正仿宋_GBK" w:cs="方正仿宋_GBK"/>
          <w:sz w:val="28"/>
          <w:szCs w:val="28"/>
        </w:rPr>
        <w:t xml:space="preserve">五</w:t>
      </w:r>
      <w:r>
        <w:rPr>
          <w:rFonts w:hint="eastAsia" w:ascii="方正仿宋_GBK" w:hAnsi="方正仿宋_GBK" w:eastAsia="方正仿宋_GBK" w:cs="方正仿宋_GBK"/>
          <w:sz w:val="28"/>
          <w:szCs w:val="28"/>
          <w:lang w:val="zh-CN"/>
        </w:rPr>
        <w:t xml:space="preserve">年质保期内免费维修维护及技术支持。</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9.</w:t>
      </w:r>
      <w:r>
        <w:rPr>
          <w:rFonts w:hint="eastAsia" w:ascii="仿宋" w:hAnsi="仿宋" w:eastAsia="仿宋"/>
          <w:b/>
          <w:bCs/>
          <w:sz w:val="28"/>
          <w:szCs w:val="28"/>
        </w:rPr>
        <w:t xml:space="preserve">售后服务：整机提供五年原厂免费上门质保服务，质保期内通过产品序列号在原厂官网可查、可报修。电脑原厂商需提供设备闪修服务：用户当日下午4点前报修，下一自然日24点前修复，若没有完成修复，则为用户免费赠送延迟日数对应的月度延保服务，</w:t>
      </w:r>
      <w:r>
        <w:rPr>
          <w:rFonts w:hint="eastAsia" w:ascii="仿宋" w:hAnsi="仿宋" w:eastAsia="仿宋" w:cs="方正仿宋_GBK"/>
          <w:b/>
          <w:bCs/>
          <w:sz w:val="28"/>
          <w:szCs w:val="28"/>
          <w:lang w:val="zh-CN"/>
        </w:rPr>
        <w:t xml:space="preserve">成交</w:t>
      </w:r>
      <w:r>
        <w:rPr>
          <w:rFonts w:hint="eastAsia" w:ascii="仿宋" w:hAnsi="仿宋" w:eastAsia="仿宋" w:cs="方正仿宋_GBK"/>
          <w:b/>
          <w:bCs/>
          <w:sz w:val="28"/>
          <w:szCs w:val="28"/>
        </w:rPr>
        <w:t xml:space="preserve">供应商在</w:t>
      </w:r>
      <w:r>
        <w:rPr>
          <w:rFonts w:hint="eastAsia" w:ascii="仿宋" w:hAnsi="仿宋" w:eastAsia="仿宋" w:cs="方正仿宋_GBK"/>
          <w:b/>
          <w:bCs/>
          <w:color w:val="auto"/>
          <w:sz w:val="28"/>
          <w:szCs w:val="28"/>
          <w:highlight w:val="none"/>
          <w:lang w:val="en-US" w:eastAsia="zh-CN"/>
        </w:rPr>
        <w:t xml:space="preserve">签订合同</w:t>
      </w:r>
      <w:r>
        <w:rPr>
          <w:rFonts w:hint="eastAsia" w:ascii="仿宋" w:hAnsi="仿宋" w:eastAsia="仿宋" w:cs="方正仿宋_GBK"/>
          <w:b/>
          <w:bCs/>
          <w:sz w:val="28"/>
          <w:szCs w:val="28"/>
        </w:rPr>
        <w:t xml:space="preserve">前</w:t>
      </w:r>
      <w:r>
        <w:rPr>
          <w:rFonts w:hint="eastAsia" w:ascii="仿宋" w:hAnsi="仿宋" w:eastAsia="仿宋" w:cs="方正仿宋_GBK"/>
          <w:b/>
          <w:bCs/>
          <w:sz w:val="28"/>
          <w:szCs w:val="28"/>
          <w:lang w:val="zh-CN"/>
        </w:rPr>
        <w:t xml:space="preserve">向采购单位提供服务承诺函</w:t>
      </w:r>
      <w:r>
        <w:rPr>
          <w:rFonts w:hint="eastAsia" w:ascii="方正仿宋_GBK" w:hAnsi="方正仿宋_GBK" w:eastAsia="方正仿宋_GBK" w:cs="方正仿宋_GBK"/>
          <w:b/>
          <w:bCs/>
          <w:sz w:val="28"/>
          <w:szCs w:val="28"/>
          <w:lang w:val="zh-CN"/>
        </w:rPr>
        <w:t xml:space="preserve">。</w:t>
      </w:r>
      <w:r/>
    </w:p>
    <w:p>
      <w:pPr>
        <w:ind w:firstLine="562"/>
        <w:spacing w:line="500" w:lineRule="exact"/>
        <w:rPr>
          <w:rFonts w:hint="eastAsia"/>
          <w:b/>
          <w:sz w:val="28"/>
          <w:szCs w:val="28"/>
        </w:rPr>
      </w:pPr>
      <w:r>
        <w:rPr>
          <w:rFonts w:hint="eastAsia" w:eastAsia="方正仿宋_GBK"/>
          <w:b/>
          <w:sz w:val="28"/>
          <w:szCs w:val="28"/>
        </w:rPr>
        <w:t xml:space="preserve">10.成交供应商的产品若不能实现软件运行需求，则取消其中标资格，顺延第二中标候选人为成交供应商，若仍不符合要求，则重新组织采购活动</w:t>
      </w:r>
      <w:r>
        <w:rPr>
          <w:rFonts w:hint="eastAsia"/>
          <w:b/>
        </w:rPr>
        <w:t xml:space="preserve">。</w:t>
      </w:r>
      <w:r/>
    </w:p>
    <w:p>
      <w:pPr>
        <w:ind w:firstLine="562"/>
        <w:spacing w:line="500" w:lineRule="exact"/>
        <w:rPr>
          <w:rFonts w:eastAsia="方正仿宋_GBK"/>
          <w:b/>
          <w:bCs/>
          <w:sz w:val="28"/>
          <w:szCs w:val="28"/>
        </w:rPr>
      </w:pPr>
      <w:r>
        <w:rPr>
          <w:rFonts w:eastAsia="方正仿宋_GBK"/>
          <w:b/>
          <w:bCs/>
          <w:sz w:val="28"/>
          <w:szCs w:val="28"/>
        </w:rPr>
        <w:t xml:space="preserve">（六）采购标的的验收标准</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在接到供应商以书面形式提出验收申请后，在5个工作日内及时组织相关专业技术人员，必要时邀请政府采购监督管理部门等相关部门共同参与验收，按照国家相关规定进行验收，并出具验收报告。</w:t>
      </w:r>
      <w:r/>
    </w:p>
    <w:p>
      <w:pPr>
        <w:ind w:firstLine="562"/>
        <w:spacing w:line="500" w:lineRule="exact"/>
        <w:rPr>
          <w:rFonts w:eastAsia="方正仿宋_GBK"/>
          <w:b/>
          <w:bCs/>
          <w:sz w:val="28"/>
          <w:szCs w:val="28"/>
        </w:rPr>
      </w:pPr>
      <w:r>
        <w:rPr>
          <w:rFonts w:eastAsia="方正仿宋_GBK"/>
          <w:b/>
          <w:bCs/>
          <w:sz w:val="28"/>
          <w:szCs w:val="28"/>
        </w:rPr>
        <w:t xml:space="preserve">（七）采购标的的其他技术、服务等要求</w:t>
      </w:r>
      <w:r/>
    </w:p>
    <w:p>
      <w:pPr>
        <w:ind w:firstLine="560"/>
        <w:spacing w:line="500" w:lineRule="exact"/>
        <w:rPr>
          <w:rFonts w:eastAsia="方正仿宋_GBK"/>
          <w:sz w:val="28"/>
          <w:szCs w:val="28"/>
          <w:highlight w:val="yellow"/>
        </w:rPr>
      </w:pPr>
      <w:r>
        <w:rPr>
          <w:rFonts w:hint="eastAsia" w:ascii="方正仿宋_GBK" w:hAnsi="方正仿宋_GBK" w:eastAsia="方正仿宋_GBK" w:cs="方正仿宋_GBK"/>
          <w:sz w:val="28"/>
          <w:szCs w:val="28"/>
        </w:rPr>
        <w:t xml:space="preserve">供应商响应时</w:t>
      </w:r>
      <w:r>
        <w:rPr>
          <w:rFonts w:hint="eastAsia" w:ascii="方正仿宋_GBK" w:hAnsi="方正仿宋_GBK" w:eastAsia="方正仿宋_GBK" w:cs="方正仿宋_GBK"/>
          <w:sz w:val="28"/>
          <w:szCs w:val="28"/>
          <w:lang w:val="zh-CN"/>
        </w:rPr>
        <w:t xml:space="preserve">必须出具承诺函，承诺</w:t>
      </w:r>
      <w:r>
        <w:rPr>
          <w:rFonts w:hint="eastAsia" w:ascii="方正仿宋_GBK" w:hAnsi="方正仿宋_GBK" w:eastAsia="方正仿宋_GBK" w:cs="方正仿宋_GBK"/>
          <w:sz w:val="28"/>
          <w:szCs w:val="28"/>
        </w:rPr>
        <w:t xml:space="preserve">成交公告发布后</w:t>
      </w:r>
      <w:r>
        <w:rPr>
          <w:rFonts w:hint="eastAsia" w:ascii="方正仿宋_GBK" w:hAnsi="方正仿宋_GBK" w:eastAsia="方正仿宋_GBK" w:cs="方正仿宋_GBK"/>
          <w:sz w:val="28"/>
          <w:szCs w:val="28"/>
          <w:lang w:val="zh-CN"/>
        </w:rPr>
        <w:t xml:space="preserve">一周内提供上述产品</w:t>
      </w:r>
      <w:r>
        <w:rPr>
          <w:rFonts w:hint="eastAsia" w:ascii="方正仿宋_GBK" w:hAnsi="方正仿宋_GBK" w:eastAsia="方正仿宋_GBK" w:cs="方正仿宋_GBK"/>
          <w:sz w:val="28"/>
          <w:szCs w:val="28"/>
        </w:rPr>
        <w:t xml:space="preserve">五</w:t>
      </w:r>
      <w:r>
        <w:rPr>
          <w:rFonts w:hint="eastAsia" w:ascii="方正仿宋_GBK" w:hAnsi="方正仿宋_GBK" w:eastAsia="方正仿宋_GBK" w:cs="方正仿宋_GBK"/>
          <w:sz w:val="28"/>
          <w:szCs w:val="28"/>
          <w:lang w:val="zh-CN"/>
        </w:rPr>
        <w:t xml:space="preserve">年质保函。如不能提供或不满足要求则拒签合同，并视同虚假应标则取消成交资格，并将相关证据提交管理部门处理。</w:t>
      </w:r>
      <w:r>
        <w:rPr>
          <w:rFonts w:hint="eastAsia" w:ascii="方正仿宋_GBK" w:hAnsi="方正仿宋_GBK" w:eastAsia="方正仿宋_GBK" w:cs="方正仿宋_GBK"/>
          <w:sz w:val="28"/>
          <w:szCs w:val="28"/>
        </w:rPr>
        <w:t xml:space="preserve">  </w:t>
      </w:r>
      <w:r/>
    </w:p>
    <w:p>
      <w:pPr>
        <w:ind w:firstLine="562"/>
        <w:spacing w:line="500" w:lineRule="exact"/>
        <w:rPr>
          <w:rFonts w:eastAsia="方正仿宋_GBK"/>
          <w:b/>
          <w:bCs/>
          <w:sz w:val="28"/>
          <w:szCs w:val="28"/>
        </w:rPr>
      </w:pPr>
      <w:r>
        <w:rPr>
          <w:rFonts w:hint="eastAsia" w:eastAsia="方正仿宋_GBK"/>
          <w:b/>
          <w:bCs/>
          <w:sz w:val="28"/>
          <w:szCs w:val="28"/>
        </w:rPr>
        <w:t xml:space="preserve">（八）</w:t>
      </w:r>
      <w:r>
        <w:rPr>
          <w:rFonts w:eastAsia="方正仿宋_GBK"/>
          <w:b/>
          <w:bCs/>
          <w:sz w:val="28"/>
          <w:szCs w:val="28"/>
        </w:rPr>
        <w:t xml:space="preserve">采购需求中必须满足的实质性要求</w:t>
      </w:r>
      <w:r/>
    </w:p>
    <w:p>
      <w:pPr>
        <w:pStyle w:val="873"/>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采购文件中项目需求内容均为实质性要求，不得负偏离。参数中要求提供承诺函、证书等证明材料</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val="zh-CN"/>
        </w:rPr>
        <w:t xml:space="preserve">供应商需在响应文件中提供相关材料，否则视为未实质性响应谈判文件要求，按照无效响应处理。</w:t>
      </w:r>
      <w:r/>
    </w:p>
    <w:p>
      <w:pPr>
        <w:ind w:firstLine="562"/>
        <w:spacing w:line="500" w:lineRule="exact"/>
        <w:rPr>
          <w:rFonts w:eastAsia="方正仿宋_GBK"/>
          <w:b/>
          <w:bCs/>
          <w:sz w:val="28"/>
          <w:szCs w:val="28"/>
        </w:rPr>
      </w:pPr>
      <w:r>
        <w:rPr>
          <w:rFonts w:hint="eastAsia" w:eastAsia="方正仿宋_GBK"/>
          <w:b/>
          <w:bCs/>
          <w:sz w:val="28"/>
          <w:szCs w:val="28"/>
        </w:rPr>
        <w:t xml:space="preserve">（九）</w:t>
      </w:r>
      <w:r>
        <w:rPr>
          <w:rFonts w:eastAsia="方正仿宋_GBK"/>
          <w:b/>
          <w:bCs/>
          <w:sz w:val="28"/>
          <w:szCs w:val="28"/>
        </w:rPr>
        <w:t xml:space="preserve">付款方式</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设备安装调试完毕并验收合格后付至合同价款总额的90%，余款满五年并验收合格后一次性付清。如有质量问题，采购人有权顺延付款时间至成交供应商解决质量问题之日。每次支付前，成交人均应出具符合采购人财务规定以及开票报税要求的相应金额的正式发票。</w:t>
      </w:r>
      <w:r/>
    </w:p>
    <w:p>
      <w:pPr>
        <w:ind w:firstLine="562"/>
        <w:spacing w:line="500" w:lineRule="exact"/>
        <w:rPr>
          <w:rFonts w:eastAsia="方正仿宋_GBK"/>
          <w:b/>
          <w:sz w:val="28"/>
          <w:szCs w:val="28"/>
        </w:rPr>
      </w:pPr>
      <w:r>
        <w:rPr>
          <w:rFonts w:hint="eastAsia" w:eastAsia="方正仿宋_GBK"/>
          <w:b/>
          <w:sz w:val="28"/>
          <w:szCs w:val="28"/>
        </w:rPr>
        <w:t xml:space="preserve">（十）</w:t>
      </w:r>
      <w:r>
        <w:rPr>
          <w:rFonts w:eastAsia="方正仿宋_GBK"/>
          <w:b/>
          <w:sz w:val="28"/>
          <w:szCs w:val="28"/>
        </w:rPr>
        <w:t xml:space="preserve">本项目不接受进口产品参与</w:t>
      </w:r>
      <w:r/>
    </w:p>
    <w:p>
      <w:pPr>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（十一）政府采购政策功能要求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4"/>
        <w:spacing w:line="500" w:lineRule="exact"/>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562"/>
        <w:jc w:val="left"/>
        <w:spacing w:line="500" w:lineRule="exact"/>
        <w:rPr>
          <w:rFonts w:eastAsia="方正仿宋_GBK"/>
          <w:b/>
          <w:sz w:val="28"/>
          <w:szCs w:val="28"/>
        </w:rPr>
      </w:pPr>
      <w:r>
        <w:rPr>
          <w:rFonts w:eastAsia="方正仿宋_GBK"/>
          <w:b/>
          <w:sz w:val="28"/>
          <w:szCs w:val="28"/>
        </w:rPr>
        <w:t xml:space="preserve">一、谈判方式</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562"/>
        <w:jc w:val="left"/>
        <w:spacing w:line="500" w:lineRule="exact"/>
        <w:rPr>
          <w:rFonts w:eastAsia="方正仿宋_GBK"/>
          <w:sz w:val="28"/>
          <w:szCs w:val="28"/>
        </w:rPr>
      </w:pPr>
      <w:r>
        <w:rPr>
          <w:rFonts w:eastAsia="方正仿宋_GBK"/>
          <w:b/>
          <w:sz w:val="28"/>
          <w:szCs w:val="28"/>
        </w:rPr>
        <w:t xml:space="preserve">二、</w:t>
      </w:r>
      <w:r>
        <w:rPr>
          <w:rFonts w:eastAsia="方正仿宋_GBK"/>
          <w:b/>
          <w:bCs/>
          <w:sz w:val="28"/>
          <w:szCs w:val="28"/>
        </w:rPr>
        <w:t xml:space="preserve">评审方法和标准</w:t>
      </w:r>
      <w:r/>
    </w:p>
    <w:p>
      <w:pPr>
        <w:ind w:firstLine="560"/>
        <w:spacing w:line="500" w:lineRule="exact"/>
        <w:rPr>
          <w:rFonts w:eastAsia="方正仿宋_GBK"/>
          <w:sz w:val="28"/>
          <w:szCs w:val="28"/>
        </w:rPr>
      </w:pPr>
      <w:r>
        <w:rPr>
          <w:rFonts w:eastAsia="方正仿宋_GBK"/>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视为放弃谈判，其响应文件按无效响应处理。</w:t>
      </w:r>
      <w:r/>
    </w:p>
    <w:p>
      <w:pPr>
        <w:ind w:firstLine="560"/>
        <w:spacing w:line="500" w:lineRule="exact"/>
        <w:rPr>
          <w:rFonts w:eastAsia="方正仿宋_GBK"/>
          <w:bCs/>
          <w:sz w:val="28"/>
          <w:szCs w:val="28"/>
        </w:rPr>
      </w:pPr>
      <w:r>
        <w:rPr>
          <w:rFonts w:eastAsia="方正仿宋_GBK"/>
          <w:bCs/>
          <w:sz w:val="28"/>
          <w:szCs w:val="28"/>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62"/>
        <w:spacing w:line="500" w:lineRule="exact"/>
        <w:rPr>
          <w:rFonts w:eastAsia="方正仿宋_GBK"/>
          <w:b/>
          <w:sz w:val="28"/>
          <w:szCs w:val="28"/>
        </w:rPr>
      </w:pPr>
      <w:r>
        <w:rPr>
          <w:rFonts w:hint="eastAsia" w:eastAsia="方正仿宋_GBK"/>
          <w:b/>
          <w:sz w:val="28"/>
          <w:szCs w:val="28"/>
        </w:rPr>
        <w:t xml:space="preserve"> </w:t>
      </w:r>
      <w:r>
        <w:rPr>
          <w:rFonts w:eastAsia="方正仿宋_GBK"/>
          <w:b/>
          <w:sz w:val="28"/>
          <w:szCs w:val="28"/>
        </w:rPr>
        <w:t xml:space="preserve">（一）谈判小组对供应商资格进行审查。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（四）成交供应商的确定</w:t>
      </w:r>
      <w:r/>
    </w:p>
    <w:p>
      <w:pPr>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p>
    <w:p>
      <w:pPr>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p>
    <w:p>
      <w:pPr>
        <w:ind w:firstLine="557"/>
        <w:spacing w:line="500" w:lineRule="exact"/>
        <w:rPr>
          <w:rFonts w:eastAsia="方正仿宋_GBK"/>
          <w:b/>
          <w:sz w:val="28"/>
          <w:szCs w:val="28"/>
        </w:rPr>
      </w:pPr>
      <w:r>
        <w:rPr>
          <w:rFonts w:eastAsia="方正仿宋_GBK"/>
          <w:b/>
          <w:sz w:val="28"/>
          <w:szCs w:val="28"/>
        </w:rPr>
        <w:t xml:space="preserve">（五）采购人代表宣布评审结果。</w:t>
      </w:r>
      <w:r/>
    </w:p>
    <w:p>
      <w:pPr>
        <w:ind w:firstLine="562"/>
        <w:spacing w:line="500" w:lineRule="exact"/>
        <w:rPr>
          <w:rFonts w:eastAsia="方正仿宋_GBK"/>
          <w:b/>
          <w:sz w:val="28"/>
          <w:szCs w:val="28"/>
        </w:rPr>
      </w:pPr>
      <w:r>
        <w:rPr>
          <w:rFonts w:eastAsia="方正仿宋_GBK"/>
          <w:b/>
          <w:sz w:val="28"/>
          <w:szCs w:val="28"/>
        </w:rPr>
        <w:t xml:space="preserve">（六）公告成交结果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七</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成交供应商须提供一份纸质版响应文件正本至项目谈判经办人。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hint="eastAsia" w:ascii="宋体" w:hAnsi="宋体" w:cs="宋体"/>
          <w:b/>
          <w:sz w:val="28"/>
          <w:szCs w:val="28"/>
          <w:lang w:val="zh-CN"/>
        </w:rPr>
      </w:pPr>
      <w:r>
        <w:rPr>
          <w:rFonts w:hint="eastAsia" w:eastAsia="方正仿宋_GBK"/>
          <w:sz w:val="28"/>
          <w:szCs w:val="28"/>
          <w:lang w:val="zh-CN"/>
        </w:rPr>
        <w:t xml:space="preserve">十六、关于符合本国产品标准的声明函（如有）</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hint="eastAsia" w:ascii="宋体" w:hAnsi="宋体"/>
          <w:bCs/>
          <w:sz w:val="36"/>
          <w:szCs w:val="36"/>
        </w:rPr>
        <w:outlineLvl w:val="0"/>
      </w:pPr>
      <w:r>
        <w:rPr>
          <w:rFonts w:hint="eastAsia" w:ascii="宋体" w:hAnsi="宋体"/>
          <w:bCs/>
          <w:sz w:val="36"/>
          <w:szCs w:val="36"/>
        </w:rPr>
      </w:r>
      <w:r/>
    </w:p>
    <w:p>
      <w:pPr>
        <w:ind w:firstLine="560"/>
        <w:spacing w:line="300" w:lineRule="auto"/>
        <w:rPr>
          <w:rFonts w:hint="eastAsia" w:ascii="仿宋" w:hAnsi="仿宋" w:eastAsia="仿宋"/>
          <w:sz w:val="28"/>
          <w:szCs w:val="28"/>
          <w:lang w:val="zh-CN"/>
        </w:rPr>
      </w:pPr>
      <w:r>
        <w:rPr>
          <w:rFonts w:hint="eastAsia" w:ascii="仿宋" w:hAnsi="仿宋" w:eastAsia="仿宋"/>
          <w:sz w:val="28"/>
          <w:szCs w:val="28"/>
          <w:lang w:val="zh-CN"/>
        </w:rPr>
        <w:t xml:space="preserve">一、成交供应商和采购单位在接到《成交通知书》后</w:t>
      </w:r>
      <w:r>
        <w:rPr>
          <w:rFonts w:hint="eastAsia" w:ascii="仿宋" w:hAnsi="仿宋" w:eastAsia="仿宋"/>
          <w:sz w:val="28"/>
          <w:szCs w:val="28"/>
        </w:rPr>
        <w:t xml:space="preserve">30</w:t>
      </w:r>
      <w:r>
        <w:rPr>
          <w:rFonts w:hint="eastAsia" w:ascii="仿宋" w:hAnsi="仿宋" w:eastAsia="仿宋"/>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2"/>
        <w:spacing w:line="300" w:lineRule="auto"/>
        <w:rPr>
          <w:rFonts w:hint="eastAsia" w:ascii="仿宋" w:hAnsi="仿宋" w:eastAsia="仿宋"/>
          <w:sz w:val="28"/>
          <w:szCs w:val="28"/>
        </w:rPr>
      </w:pPr>
      <w:r>
        <w:rPr>
          <w:rFonts w:hint="eastAsia" w:ascii="仿宋" w:hAnsi="仿宋" w:eastAsia="仿宋"/>
          <w:b/>
          <w:sz w:val="28"/>
          <w:szCs w:val="28"/>
        </w:rPr>
        <w:t xml:space="preserve">二</w:t>
      </w:r>
      <w:r>
        <w:rPr>
          <w:rFonts w:hint="eastAsia" w:ascii="仿宋" w:hAnsi="仿宋" w:eastAsia="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pStyle w:val="871"/>
        <w:contextualSpacing/>
        <w:ind w:right="210" w:firstLine="599"/>
        <w:spacing w:line="300" w:lineRule="auto"/>
        <w:rPr>
          <w:rFonts w:hint="eastAsia" w:ascii="仿宋" w:hAnsi="仿宋" w:eastAsia="仿宋"/>
          <w:b/>
          <w:sz w:val="28"/>
          <w:szCs w:val="28"/>
        </w:rPr>
      </w:pPr>
      <w:r>
        <w:rPr>
          <w:rFonts w:hint="eastAsia" w:ascii="仿宋" w:hAnsi="仿宋" w:eastAsia="仿宋"/>
          <w:sz w:val="28"/>
          <w:szCs w:val="28"/>
          <w:lang w:val="zh-CN"/>
        </w:rPr>
        <w:t xml:space="preserve">五、</w:t>
      </w:r>
      <w:r>
        <w:rPr>
          <w:rFonts w:hint="eastAsia" w:ascii="仿宋" w:hAnsi="仿宋" w:eastAsia="仿宋"/>
          <w:b/>
          <w:sz w:val="28"/>
          <w:szCs w:val="28"/>
        </w:rPr>
        <w:t xml:space="preserve">不响应付款方式的，视同响应文件无效处理。</w:t>
      </w:r>
      <w:r/>
    </w:p>
    <w:p>
      <w:pPr>
        <w:pStyle w:val="871"/>
        <w:contextualSpacing/>
        <w:ind w:left="139" w:right="210" w:firstLine="453"/>
        <w:jc w:val="left"/>
        <w:spacing w:line="300" w:lineRule="auto"/>
        <w:rPr>
          <w:rFonts w:hint="eastAsia" w:ascii="仿宋" w:hAnsi="仿宋" w:eastAsia="仿宋"/>
          <w:sz w:val="28"/>
          <w:szCs w:val="28"/>
        </w:rPr>
      </w:pPr>
      <w:r>
        <w:rPr>
          <w:rFonts w:hint="eastAsia" w:ascii="仿宋" w:hAnsi="仿宋" w:eastAsia="仿宋"/>
          <w:sz w:val="28"/>
          <w:szCs w:val="28"/>
          <w:lang w:val="zh-CN"/>
        </w:rPr>
        <w:t xml:space="preserve">付款要求：见本文件“第三部分项目需求”。</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t xml:space="preserve">款项由采购人按相关财务支付规定办理支付手续。不得故意拖延支付时间。</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jc w:val="center"/>
        <w:spacing w:line="360" w:lineRule="auto"/>
        <w:rPr>
          <w:rFonts w:hint="eastAsia" w:ascii="Courier New" w:hAnsi="Courier New" w:eastAsia="方正魏碑简体"/>
          <w:b/>
          <w:spacing w:val="20"/>
          <w:sz w:val="84"/>
          <w:szCs w:val="84"/>
        </w:rPr>
      </w:pPr>
      <w:r>
        <w:rPr>
          <w:rFonts w:hint="eastAsia" w:ascii="Courier New" w:hAnsi="Courier New" w:eastAsia="方正魏碑简体"/>
          <w:b/>
          <w:spacing w:val="20"/>
          <w:sz w:val="84"/>
          <w:szCs w:val="84"/>
        </w:rPr>
      </w:r>
      <w:r/>
    </w:p>
    <w:p>
      <w:pPr>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江苏省如皋第一中等专业学校实训室机房电脑项目</w:t>
      </w:r>
      <w:r/>
    </w:p>
    <w:p>
      <w:pPr>
        <w:jc w:val="center"/>
        <w:spacing w:before="19"/>
        <w:widowControl/>
        <w:rPr>
          <w:rFonts w:hint="eastAsia" w:ascii="仿宋" w:hAnsi="仿宋" w:eastAsia="仿宋"/>
          <w:sz w:val="24"/>
        </w:rPr>
      </w:pPr>
      <w:r>
        <w:rPr>
          <w:rFonts w:hint="eastAsia" w:ascii="方正小标宋简体" w:eastAsia="方正小标宋简体"/>
          <w:sz w:val="32"/>
          <w:szCs w:val="32"/>
        </w:rPr>
        <w:t xml:space="preserve">采购合同</w:t>
      </w:r>
      <w:r/>
    </w:p>
    <w:p>
      <w:pPr>
        <w:spacing w:before="19"/>
        <w:widowControl/>
        <w:rPr>
          <w:rFonts w:ascii="仿宋" w:hAnsi="仿宋" w:eastAsia="仿宋"/>
          <w:sz w:val="24"/>
        </w:rPr>
      </w:pPr>
      <w:r>
        <w:rPr>
          <w:rFonts w:hint="eastAsia" w:ascii="仿宋" w:hAnsi="仿宋" w:eastAsia="仿宋"/>
          <w:sz w:val="24"/>
        </w:rPr>
        <w:t xml:space="preserve">甲方 : 江苏省如皋第一中等专业学校</w:t>
      </w:r>
      <w:r/>
    </w:p>
    <w:p>
      <w:pPr>
        <w:spacing w:before="19"/>
        <w:widowControl/>
        <w:rPr>
          <w:rFonts w:hint="eastAsia" w:ascii="仿宋" w:hAnsi="仿宋" w:eastAsia="仿宋"/>
          <w:sz w:val="24"/>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江苏省如皋第一中等专业学校实训室机房电脑项目（项目编号：       ）</w:t>
      </w:r>
      <w:r>
        <w:rPr>
          <w:rFonts w:hint="eastAsia" w:ascii="仿宋_GB2312" w:hAnsi="宋体" w:eastAsia="仿宋_GB2312"/>
          <w:sz w:val="24"/>
        </w:rPr>
        <w:t xml:space="preserve">委托如皋市公共资源交易中心进行了政府采购。按照评委会评审推荐、甲方确定乙方为中标单位。现甲乙双方协商同意签订本合同。</w:t>
      </w:r>
      <w:r/>
    </w:p>
    <w:p>
      <w:pPr>
        <w:ind w:left="426"/>
        <w:spacing w:before="19"/>
        <w:widowControl/>
        <w:rPr>
          <w:rFonts w:hint="eastAsia" w:ascii="仿宋" w:hAnsi="仿宋" w:eastAsia="仿宋"/>
          <w:sz w:val="24"/>
          <w:u w:val="single"/>
        </w:rPr>
      </w:pPr>
      <w:r>
        <w:rPr>
          <w:rFonts w:hint="eastAsia" w:ascii="仿宋" w:hAnsi="仿宋" w:eastAsia="仿宋"/>
          <w:b/>
          <w:bCs/>
          <w:sz w:val="24"/>
        </w:rPr>
        <w:t xml:space="preserve">一、货物及其数量如下表</w:t>
      </w:r>
      <w:r>
        <w:rPr>
          <w:rFonts w:hint="eastAsia" w:ascii="仿宋" w:hAnsi="仿宋" w:eastAsia="仿宋"/>
          <w:sz w:val="24"/>
        </w:rPr>
        <w:t xml:space="preserve">：</w:t>
      </w:r>
      <w:r/>
    </w:p>
    <w:tbl>
      <w:tblPr>
        <w:tblStyle w:val="87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货物名称</w:t>
            </w:r>
            <w:r/>
          </w:p>
        </w:tc>
        <w:tc>
          <w:tcPr>
            <w:tcW w:w="325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单位</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rPr>
                <w:rFonts w:ascii="仿宋" w:hAnsi="仿宋" w:eastAsia="仿宋"/>
                <w:sz w:val="24"/>
              </w:rPr>
            </w:pPr>
            <w:r>
              <w:rPr>
                <w:rFonts w:hint="eastAsia" w:ascii="仿宋" w:hAnsi="仿宋" w:eastAsia="仿宋"/>
                <w:sz w:val="24"/>
              </w:rPr>
              <w:t xml:space="preserve">台式电脑</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tc>
        <w:tc>
          <w:tcPr>
            <w:tcW w:w="3256" w:type="dxa"/>
            <w:textDirection w:val="lrTb"/>
            <w:noWrap w:val="false"/>
          </w:tcPr>
          <w:p>
            <w:pPr>
              <w:rPr>
                <w:rFonts w:hint="eastAsia" w:ascii="仿宋" w:hAnsi="仿宋" w:eastAsia="仿宋"/>
                <w:sz w:val="24"/>
              </w:rPr>
            </w:pPr>
            <w:r>
              <w:rPr>
                <w:rFonts w:hint="eastAsia" w:ascii="仿宋" w:hAnsi="仿宋" w:eastAsia="仿宋"/>
                <w:sz w:val="24"/>
              </w:rPr>
            </w:r>
            <w:r/>
          </w:p>
        </w:tc>
        <w:tc>
          <w:tcPr>
            <w:tcW w:w="769" w:type="dxa"/>
            <w:textDirection w:val="lrTb"/>
            <w:noWrap w:val="false"/>
          </w:tcPr>
          <w:p>
            <w:pPr>
              <w:rPr>
                <w:rFonts w:hint="eastAsia" w:ascii="仿宋" w:hAnsi="仿宋" w:eastAsia="仿宋"/>
                <w:sz w:val="24"/>
              </w:rPr>
            </w:pPr>
            <w:r>
              <w:rPr>
                <w:rFonts w:hint="eastAsia" w:ascii="仿宋" w:hAnsi="仿宋" w:eastAsia="仿宋"/>
                <w:sz w:val="24"/>
              </w:rPr>
              <w:t xml:space="preserve">台</w:t>
            </w:r>
            <w:r/>
          </w:p>
        </w:tc>
        <w:tc>
          <w:tcPr>
            <w:tcW w:w="769" w:type="dxa"/>
            <w:textDirection w:val="lrTb"/>
            <w:noWrap w:val="false"/>
          </w:tcPr>
          <w:p>
            <w:pPr>
              <w:rPr>
                <w:rFonts w:ascii="仿宋" w:hAnsi="仿宋" w:eastAsia="仿宋"/>
                <w:sz w:val="24"/>
              </w:rPr>
            </w:pPr>
            <w:r>
              <w:rPr>
                <w:rFonts w:hint="eastAsia" w:ascii="仿宋" w:hAnsi="仿宋" w:eastAsia="仿宋"/>
                <w:sz w:val="24"/>
              </w:rPr>
              <w:t xml:space="preserve">203</w:t>
            </w:r>
            <w:r/>
          </w:p>
        </w:tc>
        <w:tc>
          <w:tcPr>
            <w:tcW w:w="1203" w:type="dxa"/>
            <w:textDirection w:val="lrTb"/>
            <w:noWrap w:val="false"/>
          </w:tcPr>
          <w:p>
            <w:pPr>
              <w:rPr>
                <w:rFonts w:hint="eastAsia" w:ascii="仿宋" w:hAnsi="仿宋" w:eastAsia="仿宋"/>
                <w:sz w:val="24"/>
              </w:rPr>
            </w:pPr>
            <w:r>
              <w:rPr>
                <w:rFonts w:hint="eastAsia" w:ascii="仿宋" w:hAnsi="仿宋" w:eastAsia="仿宋"/>
                <w:sz w:val="24"/>
              </w:rPr>
            </w:r>
            <w:r/>
          </w:p>
        </w:tc>
        <w:tc>
          <w:tcPr>
            <w:tcW w:w="1425" w:type="dxa"/>
            <w:textDirection w:val="lrTb"/>
            <w:noWrap w:val="false"/>
          </w:tcPr>
          <w:p>
            <w:pPr>
              <w:rPr>
                <w:rFonts w:hint="eastAsia" w:ascii="仿宋" w:hAnsi="仿宋" w:eastAsia="仿宋"/>
                <w:sz w:val="24"/>
              </w:rPr>
            </w:pPr>
            <w:r>
              <w:rPr>
                <w:rFonts w:hint="eastAsia" w:ascii="仿宋" w:hAnsi="仿宋" w:eastAsia="仿宋"/>
                <w:sz w:val="24"/>
              </w:rPr>
            </w:r>
            <w:r/>
          </w:p>
        </w:tc>
      </w:tr>
      <w:tr>
        <w:trPr>
          <w:cantSplit/>
          <w:jc w:val="center"/>
          <w:trHeight w:val="510"/>
        </w:trPr>
        <w:tc>
          <w:tcPr>
            <w:tcW w:w="1580"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总      计</w:t>
            </w:r>
            <w:r/>
          </w:p>
        </w:tc>
        <w:tc>
          <w:tcPr>
            <w:gridSpan w:val="3"/>
            <w:tcW w:w="4794"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（大写）</w:t>
            </w:r>
            <w:r/>
          </w:p>
        </w:tc>
        <w:tc>
          <w:tcPr>
            <w:gridSpan w:val="2"/>
            <w:tcW w:w="2628" w:type="dxa"/>
            <w:vAlign w:val="center"/>
            <w:textDirection w:val="lrTb"/>
            <w:noWrap w:val="false"/>
          </w:tcPr>
          <w:p>
            <w:pPr>
              <w:rPr>
                <w:rFonts w:hint="eastAsia" w:ascii="仿宋" w:hAnsi="仿宋" w:eastAsia="仿宋"/>
                <w:sz w:val="24"/>
              </w:rPr>
            </w:pPr>
            <w:r>
              <w:rPr>
                <w:rFonts w:hint="eastAsia" w:ascii="仿宋" w:hAnsi="仿宋" w:eastAsia="仿宋"/>
                <w:b/>
                <w:bCs/>
                <w:sz w:val="24"/>
              </w:rPr>
              <w:t xml:space="preserve">￥</w:t>
            </w:r>
            <w:r/>
          </w:p>
        </w:tc>
      </w:tr>
    </w:tbl>
    <w:p>
      <w:pPr>
        <w:ind w:left="426"/>
        <w:spacing w:before="19"/>
        <w:widowControl/>
        <w:rPr>
          <w:rFonts w:hint="eastAsia" w:ascii="仿宋" w:hAnsi="仿宋" w:eastAsia="仿宋"/>
          <w:sz w:val="24"/>
        </w:rPr>
      </w:pPr>
      <w:r>
        <w:rPr>
          <w:rFonts w:hint="eastAsia" w:ascii="仿宋" w:hAnsi="仿宋" w:eastAsia="仿宋"/>
          <w:b/>
          <w:bCs/>
          <w:sz w:val="24"/>
        </w:rPr>
        <w:t xml:space="preserve">二、质保期</w:t>
      </w:r>
      <w:r>
        <w:rPr>
          <w:rFonts w:hint="eastAsia" w:ascii="仿宋" w:hAnsi="仿宋" w:eastAsia="仿宋"/>
          <w:sz w:val="24"/>
        </w:rPr>
        <w:t xml:space="preserve">：</w:t>
      </w:r>
      <w:r>
        <w:rPr>
          <w:rFonts w:hint="eastAsia" w:ascii="仿宋" w:hAnsi="仿宋" w:eastAsia="仿宋"/>
          <w:sz w:val="24"/>
          <w:u w:val="single"/>
        </w:rPr>
        <w:t xml:space="preserve">          伍年           </w:t>
      </w:r>
      <w:r/>
    </w:p>
    <w:p>
      <w:pPr>
        <w:ind w:left="426"/>
        <w:spacing w:before="19"/>
        <w:widowControl/>
        <w:rPr>
          <w:rFonts w:hint="eastAsia" w:ascii="仿宋" w:hAnsi="仿宋" w:eastAsia="仿宋"/>
          <w:sz w:val="24"/>
        </w:rPr>
      </w:pPr>
      <w:r>
        <w:rPr>
          <w:rFonts w:hint="eastAsia" w:ascii="仿宋" w:hAnsi="仿宋" w:eastAsia="仿宋"/>
          <w:b/>
          <w:bCs/>
          <w:sz w:val="24"/>
        </w:rPr>
        <w:t xml:space="preserve">三、交货时间</w:t>
      </w:r>
      <w:r>
        <w:rPr>
          <w:rFonts w:hint="eastAsia" w:ascii="仿宋" w:hAnsi="仿宋" w:eastAsia="仿宋"/>
          <w:sz w:val="24"/>
        </w:rPr>
        <w:t xml:space="preserve">：</w:t>
      </w:r>
      <w:r>
        <w:rPr>
          <w:rFonts w:hint="eastAsia" w:ascii="仿宋" w:hAnsi="仿宋" w:eastAsia="仿宋"/>
          <w:sz w:val="24"/>
          <w:u w:val="single"/>
        </w:rPr>
        <w:t xml:space="preserve">     合同签订后3个月内</w:t>
      </w:r>
      <w:r/>
    </w:p>
    <w:p>
      <w:pPr>
        <w:ind w:left="426"/>
        <w:spacing w:before="19"/>
        <w:widowControl/>
        <w:rPr>
          <w:rFonts w:hint="eastAsia" w:ascii="仿宋" w:hAnsi="仿宋" w:eastAsia="仿宋"/>
          <w:sz w:val="24"/>
        </w:rPr>
      </w:pPr>
      <w:r>
        <w:rPr>
          <w:rFonts w:hint="eastAsia" w:ascii="仿宋" w:hAnsi="仿宋" w:eastAsia="仿宋"/>
          <w:b/>
          <w:bCs/>
          <w:sz w:val="24"/>
        </w:rPr>
        <w:t xml:space="preserve">四、交货地点</w:t>
      </w:r>
      <w:r>
        <w:rPr>
          <w:rFonts w:hint="eastAsia" w:ascii="仿宋" w:hAnsi="仿宋" w:eastAsia="仿宋"/>
          <w:sz w:val="24"/>
        </w:rPr>
        <w:t xml:space="preserve">：</w:t>
      </w:r>
      <w:r>
        <w:rPr>
          <w:rFonts w:hint="eastAsia" w:ascii="仿宋" w:hAnsi="仿宋" w:eastAsia="仿宋"/>
          <w:sz w:val="24"/>
          <w:u w:val="single"/>
        </w:rPr>
        <w:t xml:space="preserve">     学校指定位置      </w:t>
      </w:r>
      <w:r/>
    </w:p>
    <w:p>
      <w:pPr>
        <w:ind w:firstLine="482"/>
        <w:spacing w:line="500" w:lineRule="exact"/>
        <w:rPr>
          <w:rFonts w:hint="eastAsia" w:ascii="仿宋" w:hAnsi="仿宋" w:eastAsia="仿宋"/>
          <w:sz w:val="24"/>
        </w:rPr>
      </w:pPr>
      <w:r>
        <w:rPr>
          <w:rFonts w:hint="eastAsia" w:ascii="仿宋" w:hAnsi="仿宋" w:eastAsia="仿宋"/>
          <w:b/>
          <w:bCs/>
          <w:sz w:val="24"/>
        </w:rPr>
        <w:t xml:space="preserve">五、付款</w:t>
      </w:r>
      <w:r>
        <w:rPr>
          <w:rFonts w:hint="eastAsia" w:ascii="仿宋" w:hAnsi="仿宋" w:eastAsia="仿宋"/>
          <w:sz w:val="24"/>
        </w:rPr>
        <w:t xml:space="preserve">：</w:t>
      </w:r>
      <w:r>
        <w:rPr>
          <w:rFonts w:hint="eastAsia" w:ascii="方正仿宋_GBK" w:hAnsi="方正仿宋_GBK" w:eastAsia="方正仿宋_GBK" w:cs="方正仿宋_GBK"/>
          <w:sz w:val="28"/>
          <w:szCs w:val="28"/>
        </w:rPr>
        <w:t xml:space="preserve">设备安装调试完毕并验收合格后付至合同价款总额的90%，余款满五年并验收合格后一次性付清。如有质量问题，采购人有权顺延付款时间至成交供应商解决质量问题之日。每次支付前，成交人均应出具符合采购人财务规定以及开票报税要求的相应金额的正式发票</w:t>
      </w:r>
      <w:r>
        <w:rPr>
          <w:rFonts w:hint="eastAsia" w:ascii="仿宋" w:hAnsi="仿宋" w:eastAsia="仿宋"/>
          <w:sz w:val="24"/>
        </w:rPr>
        <w:t xml:space="preserve">；</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六、合同纠纷处理：</w:t>
      </w:r>
      <w:r>
        <w:rPr>
          <w:rFonts w:hint="eastAsia" w:ascii="仿宋" w:hAnsi="仿宋" w:eastAsia="仿宋"/>
          <w:sz w:val="24"/>
        </w:rPr>
        <w:t xml:space="preserve">本合同执行过程中发生纠纷，由甲方和乙方协商处理。</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七、合同生效：</w:t>
      </w:r>
      <w:r>
        <w:rPr>
          <w:rFonts w:hint="eastAsia" w:ascii="仿宋" w:hAnsi="仿宋" w:eastAsia="仿宋"/>
          <w:sz w:val="24"/>
        </w:rPr>
        <w:t xml:space="preserve">本合同由甲乙双方签字盖章后生效。</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八、组成本合同的文件包括：</w:t>
      </w:r>
      <w:r/>
    </w:p>
    <w:p>
      <w:pPr>
        <w:ind w:firstLine="480"/>
        <w:spacing w:before="19"/>
        <w:widowControl/>
        <w:rPr>
          <w:rFonts w:hint="eastAsia"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hint="eastAsia"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hint="eastAsia" w:ascii="仿宋" w:hAnsi="仿宋" w:eastAsia="仿宋"/>
          <w:bCs/>
          <w:sz w:val="24"/>
        </w:rPr>
      </w:pPr>
      <w:r>
        <w:rPr>
          <w:rFonts w:hint="eastAsia" w:ascii="仿宋" w:hAnsi="仿宋" w:eastAsia="仿宋"/>
          <w:bCs/>
          <w:sz w:val="24"/>
        </w:rPr>
        <w:t xml:space="preserve">本合同一式肆份，甲方持叁份，乙方持一份。</w:t>
      </w:r>
      <w:r/>
    </w:p>
    <w:tbl>
      <w:tblPr>
        <w:tblStyle w:val="8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b/>
                <w:sz w:val="24"/>
                <w:u w:val="single"/>
              </w:rPr>
              <w:t xml:space="preserve">                   </w:t>
            </w:r>
            <w:r/>
          </w:p>
          <w:p>
            <w:pPr>
              <w:spacing w:before="19"/>
              <w:widowControl/>
              <w:rPr>
                <w:rFonts w:hint="eastAsia" w:ascii="仿宋" w:hAnsi="仿宋" w:eastAsia="仿宋"/>
                <w:b/>
                <w:sz w:val="24"/>
                <w:u w:val="single"/>
              </w:rPr>
            </w:pPr>
            <w:r>
              <w:rPr>
                <w:rFonts w:hint="eastAsia" w:ascii="仿宋" w:hAnsi="仿宋" w:eastAsia="仿宋"/>
                <w:sz w:val="24"/>
              </w:rPr>
              <w:t xml:space="preserve">地址：</w:t>
            </w:r>
            <w:r>
              <w:rPr>
                <w:rFonts w:hint="eastAsia" w:ascii="仿宋" w:hAnsi="仿宋" w:eastAsia="仿宋"/>
                <w:sz w:val="24"/>
                <w:u w:val="single"/>
              </w:rPr>
              <w:t xml:space="preserve">  如皋市长江镇教育路1号                    </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乙方（公章）：</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户名：</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开户银行：</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账号：</w:t>
            </w:r>
            <w:r>
              <w:rPr>
                <w:rFonts w:hint="eastAsia" w:ascii="仿宋" w:hAnsi="仿宋" w:eastAsia="仿宋"/>
                <w:sz w:val="24"/>
                <w:u w:val="single"/>
              </w:rPr>
              <w:t xml:space="preserve">                       </w:t>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r>
    </w:tbl>
    <w:p>
      <w:pPr>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照采购文件</w:t>
      </w:r>
      <w:r>
        <w:rPr>
          <w:rFonts w:ascii="仿宋" w:hAnsi="仿宋" w:eastAsia="仿宋"/>
          <w:sz w:val="24"/>
        </w:rPr>
        <w:t xml:space="preserve">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b/>
          <w:bCs/>
          <w:sz w:val="24"/>
          <w:u w:val="single"/>
        </w:rPr>
        <w:t xml:space="preserve">伍</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0"/>
        <w:rPr>
          <w:rFonts w:hint="eastAsia" w:ascii="仿宋" w:hAnsi="仿宋" w:eastAsia="仿宋"/>
          <w:sz w:val="24"/>
        </w:rPr>
      </w:pPr>
      <w:r>
        <w:rPr>
          <w:rFonts w:hint="eastAsia" w:ascii="仿宋" w:hAnsi="仿宋" w:eastAsia="仿宋"/>
          <w:sz w:val="24"/>
        </w:rPr>
        <w:t xml:space="preserve">本合同项下所有款项均在乙方货物交付验收合格后，并提交所需单据后</w:t>
      </w:r>
      <w:r/>
    </w:p>
    <w:p>
      <w:pPr>
        <w:ind w:firstLine="480"/>
        <w:rPr>
          <w:rFonts w:hint="eastAsia" w:ascii="仿宋" w:hAnsi="仿宋" w:eastAsia="仿宋"/>
          <w:sz w:val="24"/>
        </w:rPr>
      </w:pPr>
      <w:r>
        <w:rPr>
          <w:rFonts w:hint="eastAsia" w:ascii="仿宋" w:hAnsi="仿宋" w:eastAsia="仿宋"/>
          <w:sz w:val="24"/>
        </w:rPr>
        <w:t xml:space="preserve">按合同约定的付款方支付货款。</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880"/>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本合同自签订之日起生效。</w:t>
      </w:r>
      <w:r/>
    </w:p>
    <w:p>
      <w:pPr>
        <w:contextualSpacing/>
        <w:spacing w:line="400" w:lineRule="exact"/>
        <w:rPr>
          <w:rFonts w:eastAsia="方正黑体_GBK"/>
          <w:sz w:val="32"/>
          <w:szCs w:val="32"/>
          <w:lang w:val="zh-CN"/>
        </w:r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90"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1" w:name="_格式3__银行出具的资信证明"/>
      <w:r/>
      <w:bookmarkEnd w:id="91"/>
      <w:r/>
      <w:bookmarkStart w:id="92" w:name="_Hlt26671380"/>
      <w:r/>
      <w:bookmarkEnd w:id="92"/>
      <w:r/>
      <w:bookmarkStart w:id="93" w:name="_Hlt26955070"/>
      <w:r/>
      <w:bookmarkEnd w:id="93"/>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ascii="宋体" w:hAnsi="宋体"/>
          <w:b/>
          <w:bCs/>
          <w:sz w:val="28"/>
          <w:szCs w:val="28"/>
          <w:lang w:bidi="zh-CN"/>
        </w:rPr>
        <w:br w:type="page" w:clear="all"/>
      </w: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7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rPr>
                <w:rFonts w:hint="eastAsia"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hint="eastAsia" w:ascii="宋体" w:hAnsi="宋体"/>
          <w:sz w:val="24"/>
        </w:rPr>
      </w:pPr>
      <w:r>
        <w:rPr>
          <w:rFonts w:hint="eastAsia" w:ascii="宋体" w:hAnsi="宋体"/>
          <w:sz w:val="24"/>
        </w:rPr>
        <w:t xml:space="preserve">备注：</w:t>
      </w:r>
      <w:r/>
    </w:p>
    <w:p>
      <w:pPr>
        <w:rPr>
          <w:rFonts w:hint="eastAsia"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hint="eastAsia"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hint="eastAsia"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sz w:val="24"/>
        </w:rPr>
      </w:pPr>
      <w:r>
        <w:rPr>
          <w:rFonts w:hint="eastAsia" w:ascii="宋体" w:hAnsi="宋体"/>
          <w:sz w:val="24"/>
        </w:rPr>
        <w:t xml:space="preserve">备注：该表适用于货物类项目。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0"/>
      <w:r/>
      <w:r/>
    </w:p>
    <w:p>
      <w:pPr>
        <w:jc w:val="center"/>
        <w:rPr>
          <w:rFonts w:hint="eastAsia" w:ascii="黑体" w:hAnsi="黑体" w:eastAsia="黑体"/>
          <w:b/>
          <w:sz w:val="32"/>
          <w:szCs w:val="32"/>
        </w:rPr>
      </w:pPr>
      <w:r/>
      <w:bookmarkStart w:id="94" w:name="_Hlt26955054"/>
      <w:r/>
      <w:bookmarkEnd w:id="94"/>
      <w:r>
        <w:rPr>
          <w:rFonts w:hint="eastAsia" w:ascii="黑体" w:hAnsi="黑体" w:eastAsia="黑体"/>
          <w:b/>
          <w:sz w:val="32"/>
          <w:szCs w:val="32"/>
        </w:rPr>
        <w:t xml:space="preserve">十四、商务要求响应及偏离表（分包号：**）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5" w:name="_Hlt24879081"/>
            <w:r/>
            <w:bookmarkEnd w:id="95"/>
            <w:r/>
            <w:bookmarkStart w:id="96" w:name="_Hlt26671372"/>
            <w:r/>
            <w:bookmarkEnd w:id="96"/>
            <w:r/>
            <w:bookmarkStart w:id="97" w:name="_Hlt26955064"/>
            <w:r/>
            <w:bookmarkEnd w:id="97"/>
            <w:r/>
            <w:bookmarkStart w:id="98" w:name="_Hlt26955056"/>
            <w:r/>
            <w:bookmarkEnd w:id="98"/>
            <w:r/>
            <w:bookmarkStart w:id="99" w:name="_Hlt26782999"/>
            <w:r/>
            <w:bookmarkEnd w:id="99"/>
            <w:r/>
            <w:bookmarkStart w:id="100" w:name="_Hlt26671343"/>
            <w:r/>
            <w:bookmarkEnd w:id="100"/>
            <w:r/>
            <w:bookmarkStart w:id="101" w:name="_Hlt26609391"/>
            <w:r/>
            <w:bookmarkEnd w:id="101"/>
            <w:r/>
            <w:bookmarkStart w:id="102" w:name="_Hlt26580838"/>
            <w:r/>
            <w:bookmarkEnd w:id="102"/>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3" w:name="_Hlt26671374"/>
      <w:r/>
      <w:bookmarkEnd w:id="103"/>
      <w:r/>
      <w:bookmarkStart w:id="104" w:name="_Hlt26609389"/>
      <w:r/>
      <w:bookmarkEnd w:id="104"/>
      <w:r/>
      <w:bookmarkStart w:id="105" w:name="_Hlt26955066"/>
      <w:r/>
      <w:bookmarkEnd w:id="105"/>
      <w:r/>
      <w:bookmarkStart w:id="106" w:name="_Toc462564146"/>
      <w:r/>
      <w:bookmarkEnd w:id="106"/>
      <w:r/>
      <w:r/>
    </w:p>
    <w:p>
      <w:pPr>
        <w:rPr>
          <w:rFonts w:hint="eastAsia" w:eastAsia="仿宋_GB2312"/>
          <w:sz w:val="24"/>
          <w:szCs w:val="20"/>
        </w:rPr>
      </w:pPr>
      <w:r/>
      <w:bookmarkStart w:id="107" w:name="_格式2__法定代表人授权书"/>
      <w:r/>
      <w:bookmarkEnd w:id="107"/>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lang w:val="zh-CN"/>
        </w:rPr>
      </w:pPr>
      <w:r>
        <w:rPr>
          <w:rFonts w:hint="eastAsia" w:ascii="黑体" w:hAnsi="黑体" w:eastAsia="黑体"/>
          <w:b/>
          <w:sz w:val="32"/>
          <w:szCs w:val="32"/>
          <w:highlight w:val="green"/>
          <w:lang w:val="zh-CN"/>
        </w:rPr>
        <w:br w:type="page" w:clear="all"/>
      </w:r>
      <w:r>
        <w:rPr>
          <w:rFonts w:hint="eastAsia" w:ascii="黑体" w:hAnsi="黑体" w:eastAsia="黑体"/>
          <w:b/>
          <w:sz w:val="32"/>
          <w:szCs w:val="32"/>
          <w:lang w:val="zh-CN"/>
        </w:rPr>
        <w:t xml:space="preserve">十六、关于符合本国产品标准的声明函</w:t>
      </w:r>
      <w:r/>
    </w:p>
    <w:p>
      <w:pPr>
        <w:pStyle w:val="883"/>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3"/>
        <w:ind w:firstLine="420"/>
        <w:spacing w:before="0" w:beforeAutospacing="0" w:after="0" w:afterAutospacing="0" w:line="460" w:lineRule="exact"/>
        <w:rPr>
          <w:rFonts w:hint="eastAsia"/>
        </w:rPr>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p>
    <w:p>
      <w:pPr>
        <w:pStyle w:val="883"/>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2"/>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89"/>
          <w:rFonts w:hint="eastAsia"/>
          <w:b w:val="0"/>
          <w:bCs w:val="0"/>
          <w:u w:val="single"/>
          <w:shd w:val="clear" w:color="auto" w:fill="ffffff"/>
        </w:rPr>
        <w:t xml:space="preserve">（产品名称1）</w:t>
      </w:r>
      <w:r>
        <w:rPr>
          <w:rStyle w:val="889"/>
          <w:rFonts w:hint="eastAsia"/>
          <w:b w:val="0"/>
          <w:bCs w:val="0"/>
          <w:shd w:val="clear" w:color="auto" w:fill="ffffff"/>
          <w:vertAlign w:val="superscript"/>
        </w:rPr>
        <w:t xml:space="preserve">1</w:t>
      </w:r>
      <w:r>
        <w:rPr>
          <w:rFonts w:hint="eastAsia"/>
          <w:shd w:val="clear" w:color="auto" w:fill="ffffff"/>
        </w:rPr>
        <w:t xml:space="preserve">，生产厂为</w:t>
      </w:r>
      <w:r>
        <w:rPr>
          <w:rStyle w:val="889"/>
          <w:rFonts w:hint="eastAsia"/>
          <w:b w:val="0"/>
          <w:bCs w:val="0"/>
          <w:u w:val="single"/>
          <w:shd w:val="clear" w:color="auto" w:fill="ffffff"/>
        </w:rPr>
        <w:t xml:space="preserve">（厂名）</w:t>
      </w:r>
      <w:r>
        <w:rPr>
          <w:rStyle w:val="889"/>
          <w:rFonts w:hint="eastAsia"/>
          <w:b w:val="0"/>
          <w:bCs w:val="0"/>
          <w:shd w:val="clear" w:color="auto" w:fill="ffffff"/>
          <w:vertAlign w:val="superscript"/>
        </w:rPr>
        <w:t xml:space="preserve">2</w:t>
      </w:r>
      <w:r>
        <w:rPr>
          <w:rFonts w:hint="eastAsia"/>
          <w:shd w:val="clear" w:color="auto" w:fill="ffffff"/>
        </w:rPr>
        <w:t xml:space="preserve">，厂址为</w:t>
      </w:r>
      <w:r>
        <w:rPr>
          <w:rStyle w:val="889"/>
          <w:rFonts w:hint="eastAsia"/>
          <w:b w:val="0"/>
          <w:bCs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89"/>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889"/>
          <w:rFonts w:hint="eastAsia"/>
          <w:b w:val="0"/>
          <w:bCs w:val="0"/>
          <w:u w:val="single"/>
          <w:shd w:val="clear" w:color="auto" w:fill="ffffff"/>
        </w:rPr>
        <w:t xml:space="preserve">（规定比例）</w:t>
      </w:r>
      <w:r>
        <w:rPr>
          <w:rStyle w:val="889"/>
          <w:rFonts w:hint="eastAsia"/>
          <w:b w:val="0"/>
          <w:bCs w:val="0"/>
          <w:shd w:val="clear" w:color="auto" w:fill="ffffff"/>
          <w:vertAlign w:val="superscript"/>
        </w:rPr>
        <w:t xml:space="preserve">3</w:t>
      </w:r>
      <w:r>
        <w:rPr>
          <w:rFonts w:hint="eastAsia"/>
          <w:shd w:val="clear" w:color="auto" w:fill="ffffff"/>
        </w:rPr>
        <w:t xml:space="preserve">。</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（关键组件）</w:t>
      </w:r>
      <w:r>
        <w:rPr>
          <w:rStyle w:val="889"/>
          <w:rFonts w:hint="eastAsia"/>
          <w:b w:val="0"/>
          <w:bCs w:val="0"/>
          <w:shd w:val="clear" w:color="auto" w:fill="ffffff"/>
          <w:vertAlign w:val="superscript"/>
        </w:rPr>
        <w:t xml:space="preserve">4</w:t>
      </w:r>
      <w:r>
        <w:rPr>
          <w:rFonts w:hint="eastAsia"/>
          <w:shd w:val="clear" w:color="auto" w:fill="ffffff"/>
        </w:rPr>
        <w:t xml:space="preserve">在中国境内生产。</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（关键工序）</w:t>
      </w:r>
      <w:r>
        <w:rPr>
          <w:rStyle w:val="889"/>
          <w:rFonts w:hint="eastAsia"/>
          <w:b w:val="0"/>
          <w:bCs w:val="0"/>
          <w:shd w:val="clear" w:color="auto" w:fill="ffffff"/>
          <w:vertAlign w:val="superscript"/>
        </w:rPr>
        <w:t xml:space="preserve">5</w:t>
      </w:r>
      <w:r>
        <w:rPr>
          <w:rFonts w:hint="eastAsia"/>
          <w:shd w:val="clear" w:color="auto" w:fill="ffffff"/>
        </w:rPr>
        <w:t xml:space="preserve">在中国境内完成。</w:t>
      </w:r>
      <w:r/>
    </w:p>
    <w:p>
      <w:pPr>
        <w:pStyle w:val="883"/>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89"/>
          <w:rFonts w:hint="eastAsia"/>
          <w:b w:val="0"/>
          <w:bCs w:val="0"/>
          <w:u w:val="single"/>
          <w:shd w:val="clear" w:color="auto" w:fill="ffffff"/>
        </w:rPr>
        <w:t xml:space="preserve">（产品名称2）</w:t>
      </w:r>
      <w:r>
        <w:rPr>
          <w:rFonts w:hint="eastAsia"/>
          <w:shd w:val="clear" w:color="auto" w:fill="ffffff"/>
        </w:rPr>
        <w:t xml:space="preserve">，生产厂为</w:t>
      </w:r>
      <w:r>
        <w:rPr>
          <w:rStyle w:val="889"/>
          <w:rFonts w:hint="eastAsia"/>
          <w:b w:val="0"/>
          <w:bCs w:val="0"/>
          <w:u w:val="single"/>
          <w:shd w:val="clear" w:color="auto" w:fill="ffffff"/>
        </w:rPr>
        <w:t xml:space="preserve">（厂名）</w:t>
      </w:r>
      <w:r>
        <w:rPr>
          <w:rFonts w:hint="eastAsia"/>
          <w:shd w:val="clear" w:color="auto" w:fill="ffffff"/>
        </w:rPr>
        <w:t xml:space="preserve">，厂址为</w:t>
      </w:r>
      <w:r>
        <w:rPr>
          <w:rStyle w:val="889"/>
          <w:rFonts w:hint="eastAsia"/>
          <w:b w:val="0"/>
          <w:bCs w:val="0"/>
          <w:u w:val="single"/>
          <w:shd w:val="clear" w:color="auto" w:fill="ffffff"/>
        </w:rPr>
        <w:t xml:space="preserve">（生产厂址）</w:t>
      </w:r>
      <w:r>
        <w:rPr>
          <w:rFonts w:hint="eastAsia"/>
          <w:shd w:val="clear" w:color="auto" w:fill="ffffff"/>
        </w:rPr>
        <w:t xml:space="preserve">。</w:t>
      </w:r>
      <w:r>
        <w:rPr>
          <w:rStyle w:val="889"/>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889"/>
          <w:rFonts w:hint="eastAsia"/>
          <w:b w:val="0"/>
          <w:bCs w:val="0"/>
          <w:u w:val="single"/>
          <w:shd w:val="clear" w:color="auto" w:fill="ffffff"/>
        </w:rPr>
        <w:t xml:space="preserve">（规定比例）</w:t>
      </w:r>
      <w:r>
        <w:rPr>
          <w:rFonts w:hint="eastAsia"/>
          <w:shd w:val="clear" w:color="auto" w:fill="ffffff"/>
        </w:rPr>
        <w:t xml:space="preserve">。</w:t>
      </w:r>
      <w:r>
        <w:rPr>
          <w:rStyle w:val="889"/>
          <w:rFonts w:hint="eastAsia"/>
          <w:b w:val="0"/>
          <w:bCs w:val="0"/>
          <w:u w:val="single"/>
          <w:shd w:val="clear" w:color="auto" w:fill="ffffff"/>
        </w:rPr>
        <w:t xml:space="preserve">（产品名称2）</w:t>
      </w:r>
      <w:r>
        <w:rPr>
          <w:rFonts w:hint="eastAsia"/>
          <w:shd w:val="clear" w:color="auto" w:fill="ffffff"/>
        </w:rPr>
        <w:t xml:space="preserve">的</w:t>
      </w:r>
      <w:r>
        <w:rPr>
          <w:rStyle w:val="889"/>
          <w:rFonts w:hint="eastAsia"/>
          <w:b w:val="0"/>
          <w:bCs w:val="0"/>
          <w:u w:val="single"/>
          <w:shd w:val="clear" w:color="auto" w:fill="ffffff"/>
        </w:rPr>
        <w:t xml:space="preserve">（关键组件）</w:t>
      </w:r>
      <w:r>
        <w:rPr>
          <w:rFonts w:hint="eastAsia"/>
          <w:shd w:val="clear" w:color="auto" w:fill="ffffff"/>
        </w:rPr>
        <w:t xml:space="preserve">在中国境内生产。</w:t>
      </w:r>
      <w:r>
        <w:rPr>
          <w:rStyle w:val="889"/>
          <w:rFonts w:hint="eastAsia"/>
          <w:b w:val="0"/>
          <w:bCs w:val="0"/>
          <w:u w:val="single"/>
          <w:shd w:val="clear" w:color="auto" w:fill="ffffff"/>
        </w:rPr>
        <w:t xml:space="preserve">（产品名称1）</w:t>
      </w:r>
      <w:r>
        <w:rPr>
          <w:rFonts w:hint="eastAsia"/>
          <w:shd w:val="clear" w:color="auto" w:fill="ffffff"/>
        </w:rPr>
        <w:t xml:space="preserve">的</w:t>
      </w:r>
      <w:r>
        <w:rPr>
          <w:rStyle w:val="889"/>
          <w:rFonts w:hint="eastAsia"/>
          <w:b w:val="0"/>
          <w:bCs w:val="0"/>
          <w:u w:val="single"/>
          <w:shd w:val="clear" w:color="auto" w:fill="ffffff"/>
        </w:rPr>
        <w:t xml:space="preserve">（关键工序）</w:t>
      </w:r>
      <w:r>
        <w:rPr>
          <w:rFonts w:hint="eastAsia"/>
          <w:shd w:val="clear" w:color="auto" w:fill="ffffff"/>
        </w:rPr>
        <w:t xml:space="preserve">在中国境内完成。</w:t>
      </w:r>
      <w:r/>
    </w:p>
    <w:p>
      <w:pPr>
        <w:pStyle w:val="883"/>
        <w:ind w:firstLine="420"/>
        <w:spacing w:before="30" w:beforeAutospacing="0" w:after="30" w:afterAutospacing="0" w:line="460" w:lineRule="exact"/>
        <w:rPr>
          <w:rFonts w:hint="eastAsia"/>
        </w:rPr>
      </w:pPr>
      <w:r>
        <w:rPr>
          <w:rFonts w:hint="eastAsia"/>
          <w:shd w:val="clear" w:color="auto" w:fill="ffffff"/>
        </w:rPr>
        <w:t xml:space="preserve">……</w:t>
      </w:r>
      <w:r/>
    </w:p>
    <w:p>
      <w:pPr>
        <w:pStyle w:val="883"/>
        <w:ind w:firstLine="420"/>
        <w:spacing w:before="30" w:beforeAutospacing="0" w:after="30" w:afterAutospacing="0" w:line="460" w:lineRule="exact"/>
        <w:rPr>
          <w:rFonts w:hint="eastAsia"/>
        </w:rPr>
      </w:pPr>
      <w:r>
        <w:rPr>
          <w:rFonts w:hint="eastAsia"/>
          <w:shd w:val="clear" w:color="auto" w:fill="ffffff"/>
        </w:rPr>
        <w:t xml:space="preserve">本公司（单位）对上述声明内容的真实性负责。如有虚假，愿承担相应法律责任。</w:t>
      </w:r>
      <w:r/>
    </w:p>
    <w:p>
      <w:pPr>
        <w:pStyle w:val="883"/>
        <w:spacing w:before="30" w:beforeAutospacing="0" w:after="30" w:afterAutospacing="0" w:line="460" w:lineRule="exact"/>
        <w:rPr>
          <w:rFonts w:hint="eastAsia"/>
        </w:rPr>
      </w:pPr>
      <w:r>
        <w:rPr>
          <w:rFonts w:hint="eastAsia"/>
        </w:rPr>
      </w:r>
      <w:r/>
    </w:p>
    <w:p>
      <w:pPr>
        <w:pStyle w:val="883"/>
        <w:ind w:right="480" w:firstLine="3720"/>
        <w:spacing w:before="30" w:beforeAutospacing="0" w:after="30" w:afterAutospacing="0" w:line="460" w:lineRule="exact"/>
        <w:rPr>
          <w:rFonts w:hint="eastAsia"/>
        </w:rPr>
      </w:pPr>
      <w:r>
        <w:rPr>
          <w:rFonts w:hint="eastAsia"/>
          <w:shd w:val="clear" w:color="auto" w:fill="ffffff"/>
        </w:rPr>
        <w:t xml:space="preserve">公司（单位）名称（盖章）：　        </w:t>
      </w:r>
      <w:r/>
    </w:p>
    <w:p>
      <w:pPr>
        <w:pStyle w:val="883"/>
        <w:jc w:val="center"/>
        <w:spacing w:before="30" w:beforeAutospacing="0" w:after="30" w:afterAutospacing="0" w:line="460" w:lineRule="exact"/>
        <w:rPr>
          <w:rFonts w:hint="eastAsia"/>
        </w:rPr>
      </w:pPr>
      <w:r>
        <w:rPr>
          <w:rFonts w:hint="eastAsia"/>
          <w:shd w:val="clear" w:color="auto" w:fill="ffffff"/>
        </w:rPr>
        <w:t xml:space="preserve">                                日期：　   年　  月　  日         </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注：</w:t>
      </w:r>
      <w:r/>
    </w:p>
    <w:p>
      <w:pPr>
        <w:pStyle w:val="883"/>
        <w:spacing w:before="30" w:beforeAutospacing="0" w:after="30" w:afterAutospacing="0" w:line="460" w:lineRule="exact"/>
        <w:rPr>
          <w:rFonts w:hint="eastAsia"/>
        </w:rPr>
      </w:pPr>
      <w:r>
        <w:rPr>
          <w:rFonts w:hint="eastAsia"/>
          <w:shd w:val="clear" w:color="auto" w:fill="ffffff"/>
        </w:rPr>
        <w:t xml:space="preserve">1.产品如有型号，请在“产品名称”栏一并填写。</w:t>
      </w:r>
      <w:r/>
    </w:p>
    <w:p>
      <w:pPr>
        <w:pStyle w:val="883"/>
        <w:spacing w:before="30" w:beforeAutospacing="0" w:after="30" w:afterAutospacing="0" w:line="460" w:lineRule="exact"/>
        <w:rPr>
          <w:rFonts w:hint="eastAsia"/>
        </w:rPr>
      </w:pPr>
      <w:r>
        <w:rPr>
          <w:rFonts w:hint="eastAsia"/>
          <w:shd w:val="clear" w:color="auto" w:fill="ffffff"/>
        </w:rPr>
        <w:t xml:space="preserve">2.生产厂名与厂址应与生产厂营业执照载明的相关信息保持一致。</w:t>
      </w:r>
      <w:r/>
    </w:p>
    <w:p>
      <w:pPr>
        <w:pStyle w:val="883"/>
        <w:spacing w:before="30" w:beforeAutospacing="0" w:after="30" w:afterAutospacing="0" w:line="46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883"/>
        <w:spacing w:before="30" w:beforeAutospacing="0" w:after="30" w:afterAutospacing="0" w:line="460" w:lineRule="exact"/>
        <w:rPr>
          <w:rFonts w:hint="eastAsia"/>
        </w:rPr>
      </w:pPr>
      <w:r>
        <w:rPr>
          <w:rFonts w:hint="eastAsia"/>
          <w:shd w:val="clear" w:color="auto" w:fill="ffffff"/>
        </w:rPr>
        <w:t xml:space="preserve">4.该产品的关键组件要求实施前，“关键组件”栏可不填，下同。</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883"/>
        <w:spacing w:before="30" w:beforeAutospacing="0" w:after="30" w:afterAutospacing="0" w:line="460" w:lineRule="exact"/>
        <w:rPr>
          <w:rFonts w:hint="eastAsia"/>
          <w:shd w:val="clear" w:color="auto" w:fill="ffffff"/>
        </w:rPr>
      </w:pPr>
      <w:r>
        <w:rPr>
          <w:rFonts w:hint="eastAsia"/>
          <w:shd w:val="clear" w:color="auto" w:fill="ffffff"/>
        </w:rPr>
        <w:t xml:space="preserve">6.用斜线划除的地方无需填写。</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20" w:lineRule="exact"/>
        <w:rPr>
          <w:rFonts w:hint="eastAsia" w:ascii="宋体" w:hAnsi="宋体" w:cs="仿宋"/>
          <w:b/>
          <w:bCs/>
          <w:sz w:val="32"/>
          <w:szCs w:val="32"/>
        </w:rPr>
      </w:pPr>
      <w:r>
        <w:rPr>
          <w:rFonts w:hint="eastAsia" w:ascii="仿宋" w:hAnsi="仿宋" w:eastAsia="仿宋"/>
          <w:b/>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p>
      <w:pPr>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24</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90</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9"/>
    <w:link w:val="865"/>
    <w:uiPriority w:val="9"/>
    <w:rPr>
      <w:rFonts w:ascii="Arial" w:hAnsi="Arial" w:eastAsia="Arial" w:cs="Arial"/>
      <w:sz w:val="40"/>
      <w:szCs w:val="40"/>
    </w:rPr>
  </w:style>
  <w:style w:type="character" w:styleId="695">
    <w:name w:val="Heading 2 Char"/>
    <w:basedOn w:val="869"/>
    <w:link w:val="866"/>
    <w:uiPriority w:val="9"/>
    <w:rPr>
      <w:rFonts w:ascii="Arial" w:hAnsi="Arial" w:eastAsia="Arial" w:cs="Arial"/>
      <w:sz w:val="34"/>
    </w:rPr>
  </w:style>
  <w:style w:type="character" w:styleId="696">
    <w:name w:val="Heading 3 Char"/>
    <w:basedOn w:val="869"/>
    <w:link w:val="867"/>
    <w:uiPriority w:val="9"/>
    <w:rPr>
      <w:rFonts w:ascii="Arial" w:hAnsi="Arial" w:eastAsia="Arial" w:cs="Arial"/>
      <w:sz w:val="30"/>
      <w:szCs w:val="30"/>
    </w:rPr>
  </w:style>
  <w:style w:type="character" w:styleId="697">
    <w:name w:val="Heading 4 Char"/>
    <w:basedOn w:val="869"/>
    <w:link w:val="868"/>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9"/>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9"/>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9"/>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9"/>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9"/>
    <w:link w:val="706"/>
    <w:uiPriority w:val="9"/>
    <w:rPr>
      <w:rFonts w:ascii="Arial" w:hAnsi="Arial" w:eastAsia="Arial" w:cs="Arial"/>
      <w:i/>
      <w:iCs/>
      <w:sz w:val="21"/>
      <w:szCs w:val="21"/>
    </w:rPr>
  </w:style>
  <w:style w:type="paragraph" w:styleId="708">
    <w:name w:val="List Paragraph"/>
    <w:basedOn w:val="864"/>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4"/>
    <w:next w:val="864"/>
    <w:link w:val="711"/>
    <w:uiPriority w:val="10"/>
    <w:qFormat/>
    <w:pPr>
      <w:contextualSpacing/>
      <w:spacing w:before="300" w:after="200"/>
    </w:pPr>
    <w:rPr>
      <w:sz w:val="48"/>
      <w:szCs w:val="48"/>
    </w:rPr>
  </w:style>
  <w:style w:type="character" w:styleId="711">
    <w:name w:val="Title Char"/>
    <w:basedOn w:val="869"/>
    <w:link w:val="710"/>
    <w:uiPriority w:val="10"/>
    <w:rPr>
      <w:sz w:val="48"/>
      <w:szCs w:val="48"/>
    </w:rPr>
  </w:style>
  <w:style w:type="paragraph" w:styleId="712">
    <w:name w:val="Subtitle"/>
    <w:basedOn w:val="864"/>
    <w:next w:val="864"/>
    <w:link w:val="713"/>
    <w:uiPriority w:val="11"/>
    <w:qFormat/>
    <w:pPr>
      <w:spacing w:before="200" w:after="200"/>
    </w:pPr>
    <w:rPr>
      <w:sz w:val="24"/>
      <w:szCs w:val="24"/>
    </w:rPr>
  </w:style>
  <w:style w:type="character" w:styleId="713">
    <w:name w:val="Subtitle Char"/>
    <w:basedOn w:val="869"/>
    <w:link w:val="712"/>
    <w:uiPriority w:val="11"/>
    <w:rPr>
      <w:sz w:val="24"/>
      <w:szCs w:val="24"/>
    </w:rPr>
  </w:style>
  <w:style w:type="paragraph" w:styleId="714">
    <w:name w:val="Quote"/>
    <w:basedOn w:val="864"/>
    <w:next w:val="864"/>
    <w:link w:val="715"/>
    <w:uiPriority w:val="29"/>
    <w:qFormat/>
    <w:pPr>
      <w:ind w:left="720" w:right="720"/>
    </w:pPr>
    <w:rPr>
      <w:i/>
    </w:rPr>
  </w:style>
  <w:style w:type="character" w:styleId="715">
    <w:name w:val="Quote Char"/>
    <w:link w:val="714"/>
    <w:uiPriority w:val="29"/>
    <w:rPr>
      <w:i/>
    </w:rPr>
  </w:style>
  <w:style w:type="paragraph" w:styleId="716">
    <w:name w:val="Intense Quote"/>
    <w:basedOn w:val="864"/>
    <w:next w:val="86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9"/>
    <w:link w:val="881"/>
    <w:uiPriority w:val="99"/>
  </w:style>
  <w:style w:type="character" w:styleId="719">
    <w:name w:val="Footer Char"/>
    <w:basedOn w:val="869"/>
    <w:link w:val="880"/>
    <w:uiPriority w:val="99"/>
  </w:style>
  <w:style w:type="paragraph" w:styleId="720">
    <w:name w:val="Caption"/>
    <w:basedOn w:val="864"/>
    <w:next w:val="864"/>
    <w:uiPriority w:val="35"/>
    <w:semiHidden/>
    <w:unhideWhenUsed/>
    <w:qFormat/>
    <w:pPr>
      <w:spacing w:line="276" w:lineRule="auto"/>
    </w:pPr>
    <w:rPr>
      <w:b/>
      <w:bCs/>
      <w:color w:val="4f81bd" w:themeColor="accent1"/>
      <w:sz w:val="18"/>
      <w:szCs w:val="18"/>
    </w:rPr>
  </w:style>
  <w:style w:type="character" w:styleId="721">
    <w:name w:val="Caption Char"/>
    <w:basedOn w:val="720"/>
    <w:link w:val="880"/>
    <w:uiPriority w:val="99"/>
  </w:style>
  <w:style w:type="table" w:styleId="722">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9"/>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9"/>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5">
    <w:name w:val="Heading 1"/>
    <w:basedOn w:val="864"/>
    <w:next w:val="864"/>
    <w:link w:val="899"/>
    <w:uiPriority w:val="0"/>
    <w:qFormat/>
    <w:pPr>
      <w:keepLines/>
      <w:keepNext/>
      <w:spacing w:before="340" w:after="330" w:line="578" w:lineRule="auto"/>
      <w:outlineLvl w:val="0"/>
    </w:pPr>
    <w:rPr>
      <w:b/>
      <w:bCs/>
      <w:sz w:val="44"/>
      <w:szCs w:val="44"/>
    </w:rPr>
  </w:style>
  <w:style w:type="paragraph" w:styleId="866">
    <w:name w:val="Heading 2"/>
    <w:basedOn w:val="864"/>
    <w:next w:val="864"/>
    <w:link w:val="900"/>
    <w:uiPriority w:val="0"/>
    <w:qFormat/>
    <w:pPr>
      <w:keepLines/>
      <w:keepNext/>
      <w:spacing w:before="260" w:after="260" w:line="416" w:lineRule="auto"/>
      <w:outlineLvl w:val="1"/>
    </w:pPr>
    <w:rPr>
      <w:rFonts w:ascii="Arial" w:hAnsi="Arial" w:eastAsia="黑体"/>
      <w:b/>
      <w:bCs/>
      <w:sz w:val="32"/>
      <w:szCs w:val="32"/>
    </w:rPr>
  </w:style>
  <w:style w:type="paragraph" w:styleId="867">
    <w:name w:val="Heading 3"/>
    <w:basedOn w:val="864"/>
    <w:next w:val="864"/>
    <w:link w:val="901"/>
    <w:uiPriority w:val="0"/>
    <w:qFormat/>
    <w:pPr>
      <w:keepLines/>
      <w:keepNext/>
      <w:spacing w:before="260" w:after="260" w:line="416" w:lineRule="auto"/>
      <w:outlineLvl w:val="2"/>
    </w:pPr>
    <w:rPr>
      <w:b/>
      <w:bCs/>
      <w:sz w:val="32"/>
      <w:szCs w:val="32"/>
    </w:rPr>
  </w:style>
  <w:style w:type="paragraph" w:styleId="868">
    <w:name w:val="Heading 4"/>
    <w:basedOn w:val="864"/>
    <w:next w:val="864"/>
    <w:link w:val="902"/>
    <w:uiPriority w:val="0"/>
    <w:qFormat/>
    <w:pPr>
      <w:jc w:val="center"/>
      <w:keepNext/>
      <w:outlineLvl w:val="3"/>
    </w:pPr>
    <w:rPr>
      <w:rFonts w:eastAsia="新宋体"/>
      <w:sz w:val="30"/>
      <w:szCs w:val="21"/>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64"/>
    <w:link w:val="903"/>
    <w:uiPriority w:val="0"/>
    <w:qFormat/>
    <w:pPr>
      <w:ind w:firstLine="420"/>
    </w:pPr>
    <w:rPr>
      <w:szCs w:val="20"/>
    </w:rPr>
  </w:style>
  <w:style w:type="paragraph" w:styleId="872">
    <w:name w:val="Document Map"/>
    <w:basedOn w:val="864"/>
    <w:link w:val="904"/>
    <w:uiPriority w:val="0"/>
    <w:semiHidden/>
    <w:qFormat/>
    <w:pPr>
      <w:shd w:val="clear" w:color="auto" w:fill="000080"/>
    </w:pPr>
  </w:style>
  <w:style w:type="paragraph" w:styleId="873">
    <w:name w:val="annotation text"/>
    <w:basedOn w:val="864"/>
    <w:uiPriority w:val="99"/>
    <w:unhideWhenUsed/>
    <w:qFormat/>
    <w:pPr>
      <w:jc w:val="left"/>
    </w:pPr>
  </w:style>
  <w:style w:type="paragraph" w:styleId="874">
    <w:name w:val="Body Text"/>
    <w:basedOn w:val="864"/>
    <w:next w:val="864"/>
    <w:uiPriority w:val="99"/>
    <w:qFormat/>
    <w:pPr>
      <w:spacing w:after="120"/>
    </w:pPr>
  </w:style>
  <w:style w:type="paragraph" w:styleId="875">
    <w:name w:val="Body Text Indent"/>
    <w:basedOn w:val="864"/>
    <w:link w:val="905"/>
    <w:uiPriority w:val="0"/>
    <w:qFormat/>
    <w:pPr>
      <w:ind w:left="420"/>
      <w:spacing w:after="120"/>
    </w:pPr>
  </w:style>
  <w:style w:type="paragraph" w:styleId="876">
    <w:name w:val="Plain Text"/>
    <w:basedOn w:val="864"/>
    <w:uiPriority w:val="0"/>
    <w:qFormat/>
    <w:rPr>
      <w:rFonts w:ascii="宋体" w:hAnsi="Courier New"/>
      <w:sz w:val="20"/>
      <w:szCs w:val="21"/>
    </w:rPr>
  </w:style>
  <w:style w:type="paragraph" w:styleId="877">
    <w:name w:val="Date"/>
    <w:basedOn w:val="864"/>
    <w:next w:val="864"/>
    <w:link w:val="906"/>
    <w:uiPriority w:val="0"/>
    <w:qFormat/>
    <w:pPr>
      <w:ind w:left="100"/>
    </w:pPr>
  </w:style>
  <w:style w:type="paragraph" w:styleId="878">
    <w:name w:val="Body Text Indent 2"/>
    <w:basedOn w:val="864"/>
    <w:uiPriority w:val="0"/>
    <w:qFormat/>
    <w:pPr>
      <w:ind w:firstLine="560"/>
      <w:spacing w:line="500" w:lineRule="exact"/>
    </w:pPr>
    <w:rPr>
      <w:rFonts w:eastAsia="仿宋_GB2312"/>
      <w:sz w:val="28"/>
      <w:szCs w:val="20"/>
    </w:rPr>
  </w:style>
  <w:style w:type="paragraph" w:styleId="879">
    <w:name w:val="Balloon Text"/>
    <w:basedOn w:val="864"/>
    <w:link w:val="907"/>
    <w:uiPriority w:val="0"/>
    <w:semiHidden/>
    <w:qFormat/>
    <w:rPr>
      <w:sz w:val="18"/>
      <w:szCs w:val="18"/>
    </w:rPr>
  </w:style>
  <w:style w:type="paragraph" w:styleId="880">
    <w:name w:val="Footer"/>
    <w:basedOn w:val="864"/>
    <w:link w:val="908"/>
    <w:uiPriority w:val="99"/>
    <w:qFormat/>
    <w:pPr>
      <w:jc w:val="left"/>
      <w:tabs>
        <w:tab w:val="center" w:pos="4153" w:leader="none"/>
        <w:tab w:val="right" w:pos="8306" w:leader="none"/>
      </w:tabs>
    </w:pPr>
    <w:rPr>
      <w:sz w:val="18"/>
      <w:szCs w:val="18"/>
    </w:rPr>
  </w:style>
  <w:style w:type="paragraph" w:styleId="881">
    <w:name w:val="Header"/>
    <w:basedOn w:val="864"/>
    <w:link w:val="909"/>
    <w:uiPriority w:val="0"/>
    <w:qFormat/>
    <w:pPr>
      <w:jc w:val="center"/>
      <w:tabs>
        <w:tab w:val="center" w:pos="4153" w:leader="none"/>
        <w:tab w:val="right" w:pos="8306" w:leader="none"/>
      </w:tabs>
      <w:pBdr>
        <w:bottom w:val="single" w:color="auto" w:sz="6" w:space="1"/>
      </w:pBdr>
    </w:pPr>
    <w:rPr>
      <w:sz w:val="18"/>
      <w:szCs w:val="18"/>
    </w:rPr>
  </w:style>
  <w:style w:type="paragraph" w:styleId="882">
    <w:name w:val="Body Text Indent 3"/>
    <w:basedOn w:val="864"/>
    <w:link w:val="910"/>
    <w:uiPriority w:val="0"/>
    <w:qFormat/>
    <w:pPr>
      <w:ind w:firstLine="539"/>
      <w:spacing w:line="520" w:lineRule="exact"/>
    </w:pPr>
    <w:rPr>
      <w:rFonts w:ascii="宋体"/>
      <w:b/>
      <w:spacing w:val="6"/>
      <w:sz w:val="28"/>
    </w:rPr>
  </w:style>
  <w:style w:type="paragraph" w:styleId="883">
    <w:name w:val="Normal (Web)"/>
    <w:basedOn w:val="864"/>
    <w:uiPriority w:val="0"/>
    <w:unhideWhenUsed/>
    <w:qFormat/>
    <w:pPr>
      <w:jc w:val="left"/>
      <w:spacing w:before="100" w:beforeAutospacing="1" w:after="100" w:afterAutospacing="1"/>
      <w:widowControl/>
    </w:pPr>
    <w:rPr>
      <w:rFonts w:ascii="宋体" w:hAnsi="宋体" w:cs="宋体"/>
      <w:sz w:val="24"/>
    </w:rPr>
  </w:style>
  <w:style w:type="paragraph" w:styleId="884">
    <w:name w:val="Body Text First Indent"/>
    <w:basedOn w:val="874"/>
    <w:uiPriority w:val="0"/>
    <w:qFormat/>
    <w:pPr>
      <w:ind w:firstLine="200"/>
      <w:spacing w:line="360" w:lineRule="auto"/>
    </w:pPr>
    <w:rPr>
      <w:rFonts w:ascii="仿宋_GB2312" w:eastAsia="仿宋_GB2312"/>
      <w:sz w:val="30"/>
      <w:szCs w:val="30"/>
    </w:rPr>
  </w:style>
  <w:style w:type="table" w:styleId="885">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22"/>
    <w:qFormat/>
    <w:rPr>
      <w:b/>
      <w:bCs/>
    </w:rPr>
  </w:style>
  <w:style w:type="character" w:styleId="887">
    <w:name w:val="page number"/>
    <w:uiPriority w:val="0"/>
    <w:qFormat/>
  </w:style>
  <w:style w:type="character" w:styleId="888">
    <w:name w:val="FollowedHyperlink"/>
    <w:uiPriority w:val="99"/>
    <w:unhideWhenUsed/>
    <w:qFormat/>
    <w:rPr>
      <w:color w:val="800080"/>
      <w:u w:val="none"/>
    </w:rPr>
  </w:style>
  <w:style w:type="character" w:styleId="889">
    <w:name w:val="Emphasis"/>
    <w:uiPriority w:val="0"/>
    <w:qFormat/>
    <w:rPr>
      <w:b/>
      <w:bCs/>
    </w:rPr>
  </w:style>
  <w:style w:type="character" w:styleId="890">
    <w:name w:val="HTML Definition"/>
    <w:uiPriority w:val="99"/>
    <w:unhideWhenUsed/>
    <w:qFormat/>
  </w:style>
  <w:style w:type="character" w:styleId="891">
    <w:name w:val="HTML Typewriter"/>
    <w:uiPriority w:val="99"/>
    <w:unhideWhenUsed/>
    <w:qFormat/>
    <w:rPr>
      <w:rFonts w:hint="default" w:ascii="monospace" w:hAnsi="monospace" w:eastAsia="monospace" w:cs="monospace"/>
      <w:sz w:val="20"/>
    </w:rPr>
  </w:style>
  <w:style w:type="character" w:styleId="892">
    <w:name w:val="HTML Acronym"/>
    <w:uiPriority w:val="99"/>
    <w:unhideWhenUsed/>
    <w:qFormat/>
  </w:style>
  <w:style w:type="character" w:styleId="893">
    <w:name w:val="HTML Variable"/>
    <w:uiPriority w:val="99"/>
    <w:unhideWhenUsed/>
    <w:qFormat/>
  </w:style>
  <w:style w:type="character" w:styleId="894">
    <w:name w:val="Hyperlink"/>
    <w:uiPriority w:val="99"/>
    <w:unhideWhenUsed/>
    <w:qFormat/>
    <w:rPr>
      <w:color w:val="0000ff"/>
      <w:u w:val="none"/>
    </w:rPr>
  </w:style>
  <w:style w:type="character" w:styleId="895">
    <w:name w:val="HTML Code"/>
    <w:uiPriority w:val="99"/>
    <w:unhideWhenUsed/>
    <w:qFormat/>
    <w:rPr>
      <w:rFonts w:hint="default" w:ascii="monospace" w:hAnsi="monospace" w:eastAsia="monospace" w:cs="monospace"/>
      <w:sz w:val="20"/>
    </w:rPr>
  </w:style>
  <w:style w:type="character" w:styleId="896">
    <w:name w:val="HTML Cite"/>
    <w:uiPriority w:val="99"/>
    <w:unhideWhenUsed/>
    <w:qFormat/>
  </w:style>
  <w:style w:type="character" w:styleId="897">
    <w:name w:val="HTML Keyboard"/>
    <w:uiPriority w:val="99"/>
    <w:unhideWhenUsed/>
    <w:qFormat/>
    <w:rPr>
      <w:rFonts w:ascii="monospace" w:hAnsi="monospace" w:eastAsia="monospace" w:cs="monospace"/>
      <w:sz w:val="20"/>
    </w:rPr>
  </w:style>
  <w:style w:type="character" w:styleId="898">
    <w:name w:val="HTML Sample"/>
    <w:uiPriority w:val="99"/>
    <w:unhideWhenUsed/>
    <w:qFormat/>
    <w:rPr>
      <w:rFonts w:hint="default" w:ascii="monospace" w:hAnsi="monospace" w:eastAsia="monospace" w:cs="monospace"/>
    </w:rPr>
  </w:style>
  <w:style w:type="character" w:styleId="899" w:customStyle="1">
    <w:name w:val="标题 1 Char"/>
    <w:link w:val="865"/>
    <w:uiPriority w:val="0"/>
    <w:qFormat/>
    <w:rPr>
      <w:b/>
      <w:bCs/>
      <w:sz w:val="44"/>
      <w:szCs w:val="44"/>
    </w:rPr>
  </w:style>
  <w:style w:type="character" w:styleId="900" w:customStyle="1">
    <w:name w:val="标题 2 Char"/>
    <w:link w:val="866"/>
    <w:uiPriority w:val="0"/>
    <w:qFormat/>
    <w:rPr>
      <w:rFonts w:ascii="Arial" w:hAnsi="Arial" w:eastAsia="黑体"/>
      <w:b/>
      <w:bCs/>
      <w:sz w:val="32"/>
      <w:szCs w:val="32"/>
    </w:rPr>
  </w:style>
  <w:style w:type="character" w:styleId="901" w:customStyle="1">
    <w:name w:val="标题 3 Char"/>
    <w:link w:val="867"/>
    <w:uiPriority w:val="0"/>
    <w:qFormat/>
    <w:rPr>
      <w:b/>
      <w:bCs/>
      <w:sz w:val="32"/>
      <w:szCs w:val="32"/>
    </w:rPr>
  </w:style>
  <w:style w:type="character" w:styleId="902" w:customStyle="1">
    <w:name w:val="标题 4 Char"/>
    <w:link w:val="868"/>
    <w:uiPriority w:val="0"/>
    <w:qFormat/>
    <w:rPr>
      <w:rFonts w:eastAsia="新宋体"/>
      <w:sz w:val="30"/>
      <w:szCs w:val="21"/>
    </w:rPr>
  </w:style>
  <w:style w:type="character" w:styleId="903" w:customStyle="1">
    <w:name w:val="正文缩进 Char"/>
    <w:link w:val="871"/>
    <w:uiPriority w:val="0"/>
    <w:qFormat/>
    <w:rPr>
      <w:sz w:val="21"/>
    </w:rPr>
  </w:style>
  <w:style w:type="character" w:styleId="904" w:customStyle="1">
    <w:name w:val="文档结构图 Char"/>
    <w:link w:val="872"/>
    <w:uiPriority w:val="0"/>
    <w:semiHidden/>
    <w:qFormat/>
    <w:rPr>
      <w:sz w:val="21"/>
      <w:szCs w:val="24"/>
      <w:shd w:val="clear" w:color="auto" w:fill="000080"/>
    </w:rPr>
  </w:style>
  <w:style w:type="character" w:styleId="905" w:customStyle="1">
    <w:name w:val="正文文本缩进 Char"/>
    <w:link w:val="875"/>
    <w:uiPriority w:val="0"/>
    <w:qFormat/>
    <w:rPr>
      <w:sz w:val="21"/>
      <w:szCs w:val="24"/>
    </w:rPr>
  </w:style>
  <w:style w:type="character" w:styleId="906" w:customStyle="1">
    <w:name w:val="日期 Char"/>
    <w:link w:val="877"/>
    <w:uiPriority w:val="0"/>
    <w:qFormat/>
    <w:rPr>
      <w:sz w:val="21"/>
      <w:szCs w:val="24"/>
    </w:rPr>
  </w:style>
  <w:style w:type="character" w:styleId="907" w:customStyle="1">
    <w:name w:val="批注框文本 Char"/>
    <w:link w:val="879"/>
    <w:uiPriority w:val="0"/>
    <w:semiHidden/>
    <w:qFormat/>
    <w:rPr>
      <w:sz w:val="18"/>
      <w:szCs w:val="18"/>
    </w:rPr>
  </w:style>
  <w:style w:type="character" w:styleId="908" w:customStyle="1">
    <w:name w:val="页脚 Char"/>
    <w:link w:val="880"/>
    <w:uiPriority w:val="99"/>
    <w:qFormat/>
    <w:rPr>
      <w:sz w:val="18"/>
      <w:szCs w:val="18"/>
    </w:rPr>
  </w:style>
  <w:style w:type="character" w:styleId="909" w:customStyle="1">
    <w:name w:val="页眉 Char"/>
    <w:link w:val="881"/>
    <w:uiPriority w:val="0"/>
    <w:qFormat/>
    <w:rPr>
      <w:sz w:val="18"/>
      <w:szCs w:val="18"/>
    </w:rPr>
  </w:style>
  <w:style w:type="character" w:styleId="910" w:customStyle="1">
    <w:name w:val="正文文本缩进 3 Char"/>
    <w:link w:val="882"/>
    <w:uiPriority w:val="0"/>
    <w:qFormat/>
    <w:rPr>
      <w:rFonts w:ascii="宋体"/>
      <w:b/>
      <w:spacing w:val="6"/>
      <w:sz w:val="28"/>
      <w:szCs w:val="24"/>
    </w:rPr>
  </w:style>
  <w:style w:type="character" w:styleId="911" w:customStyle="1">
    <w:name w:val="正文缩进2格 Char"/>
    <w:link w:val="912"/>
    <w:uiPriority w:val="0"/>
    <w:qFormat/>
    <w:rPr>
      <w:rFonts w:ascii="仿宋_GB2312" w:hAnsi="宋体" w:eastAsia="仿宋_GB2312"/>
      <w:sz w:val="31"/>
      <w:szCs w:val="28"/>
    </w:rPr>
  </w:style>
  <w:style w:type="paragraph" w:styleId="912" w:customStyle="1">
    <w:name w:val="正文缩进2格"/>
    <w:basedOn w:val="864"/>
    <w:link w:val="911"/>
    <w:uiPriority w:val="0"/>
    <w:qFormat/>
    <w:pPr>
      <w:ind w:firstLine="639"/>
      <w:spacing w:line="600" w:lineRule="exact"/>
    </w:pPr>
    <w:rPr>
      <w:rFonts w:ascii="仿宋_GB2312" w:hAnsi="宋体" w:eastAsia="仿宋_GB2312"/>
      <w:sz w:val="31"/>
      <w:szCs w:val="28"/>
    </w:rPr>
  </w:style>
  <w:style w:type="character" w:styleId="913" w:customStyle="1">
    <w:name w:val="标题 3.1 Char"/>
    <w:link w:val="914"/>
    <w:uiPriority w:val="0"/>
    <w:qFormat/>
    <w:rPr>
      <w:rFonts w:ascii="宋体" w:hAnsi="宋体"/>
      <w:b/>
      <w:bCs/>
      <w:color w:val="000000"/>
      <w:sz w:val="32"/>
      <w:szCs w:val="32"/>
    </w:rPr>
  </w:style>
  <w:style w:type="paragraph" w:styleId="914" w:customStyle="1">
    <w:name w:val="标题 3.1"/>
    <w:basedOn w:val="867"/>
    <w:link w:val="913"/>
    <w:uiPriority w:val="0"/>
    <w:qFormat/>
    <w:pPr>
      <w:spacing w:line="600" w:lineRule="exact"/>
      <w:tabs>
        <w:tab w:val="left" w:pos="1440" w:leader="none"/>
        <w:tab w:val="left" w:pos="1620" w:leader="none"/>
      </w:tabs>
    </w:pPr>
    <w:rPr>
      <w:rFonts w:ascii="宋体" w:hAnsi="宋体"/>
      <w:color w:val="000000"/>
    </w:rPr>
  </w:style>
  <w:style w:type="paragraph" w:styleId="915" w:customStyle="1">
    <w:name w:val=" Char"/>
    <w:basedOn w:val="864"/>
    <w:uiPriority w:val="0"/>
    <w:qFormat/>
    <w:rPr>
      <w:rFonts w:ascii="Tahoma" w:hAnsi="Tahoma"/>
      <w:sz w:val="24"/>
      <w:szCs w:val="20"/>
    </w:rPr>
  </w:style>
  <w:style w:type="paragraph" w:styleId="916" w:customStyle="1">
    <w:name w:val="正文缩进4格"/>
    <w:basedOn w:val="912"/>
    <w:uiPriority w:val="0"/>
    <w:qFormat/>
    <w:pPr>
      <w:ind w:left="2" w:firstLine="538"/>
    </w:pPr>
    <w:rPr>
      <w:color w:val="000000"/>
      <w:sz w:val="28"/>
    </w:rPr>
  </w:style>
  <w:style w:type="paragraph" w:styleId="917" w:customStyle="1">
    <w:name w:val=" Char Char Char Char"/>
    <w:basedOn w:val="864"/>
    <w:uiPriority w:val="0"/>
    <w:qFormat/>
    <w:rPr>
      <w:rFonts w:ascii="Tahoma" w:hAnsi="Tahoma"/>
      <w:sz w:val="24"/>
      <w:szCs w:val="20"/>
    </w:rPr>
  </w:style>
  <w:style w:type="paragraph" w:styleId="918" w:customStyle="1">
    <w:name w:val="Char1"/>
    <w:basedOn w:val="864"/>
    <w:uiPriority w:val="0"/>
    <w:qFormat/>
    <w:pPr>
      <w:ind w:left="840" w:hanging="420"/>
      <w:tabs>
        <w:tab w:val="left" w:pos="840" w:leader="none"/>
      </w:tabs>
    </w:pPr>
    <w:rPr>
      <w:sz w:val="24"/>
    </w:rPr>
  </w:style>
  <w:style w:type="paragraph" w:styleId="919" w:customStyle="1">
    <w:name w:val=" Char Char1 Char Char Char Char Char Char"/>
    <w:basedOn w:val="864"/>
    <w:uiPriority w:val="0"/>
    <w:qFormat/>
    <w:pPr>
      <w:jc w:val="left"/>
      <w:spacing w:after="160" w:line="240" w:lineRule="exact"/>
      <w:widowControl/>
    </w:pPr>
    <w:rPr>
      <w:rFonts w:ascii="Verdana" w:hAnsi="Verdana" w:eastAsia="仿宋_GB2312"/>
      <w:sz w:val="24"/>
      <w:szCs w:val="20"/>
      <w:lang w:eastAsia="en-US"/>
    </w:rPr>
  </w:style>
  <w:style w:type="paragraph" w:styleId="920" w:customStyle="1">
    <w:name w:val="msonormalcxspmiddle"/>
    <w:basedOn w:val="864"/>
    <w:uiPriority w:val="0"/>
    <w:qFormat/>
    <w:pPr>
      <w:jc w:val="left"/>
      <w:spacing w:before="100" w:beforeAutospacing="1" w:after="100" w:afterAutospacing="1"/>
      <w:widowControl/>
    </w:pPr>
    <w:rPr>
      <w:rFonts w:ascii="宋体" w:hAnsi="宋体" w:cs="宋体"/>
      <w:sz w:val="24"/>
    </w:rPr>
  </w:style>
  <w:style w:type="paragraph" w:styleId="921" w:customStyle="1">
    <w:name w:val=" Char Char 字元 字元 字元 Char Char Char Char"/>
    <w:basedOn w:val="864"/>
    <w:uiPriority w:val="0"/>
    <w:qFormat/>
    <w:pPr>
      <w:spacing w:line="360" w:lineRule="auto"/>
    </w:pPr>
    <w:rPr>
      <w:sz w:val="24"/>
      <w:szCs w:val="20"/>
    </w:rPr>
  </w:style>
  <w:style w:type="paragraph" w:styleId="922" w:customStyle="1">
    <w:name w:val="para"/>
    <w:basedOn w:val="864"/>
    <w:uiPriority w:val="0"/>
    <w:qFormat/>
    <w:pPr>
      <w:jc w:val="left"/>
      <w:spacing w:before="100" w:beforeAutospacing="1" w:after="100" w:afterAutospacing="1"/>
      <w:widowControl/>
    </w:pPr>
    <w:rPr>
      <w:rFonts w:ascii="Arial" w:hAnsi="Arial" w:cs="Arial"/>
      <w:sz w:val="18"/>
      <w:szCs w:val="18"/>
    </w:rPr>
  </w:style>
  <w:style w:type="paragraph" w:styleId="923" w:customStyle="1">
    <w:name w:val="Char"/>
    <w:basedOn w:val="864"/>
    <w:uiPriority w:val="0"/>
    <w:qFormat/>
    <w:rPr>
      <w:rFonts w:ascii="Tahoma" w:hAnsi="Tahoma"/>
      <w:sz w:val="24"/>
      <w:szCs w:val="20"/>
    </w:rPr>
  </w:style>
  <w:style w:type="paragraph" w:styleId="924" w:customStyle="1">
    <w:name w:val="msonormalcxsplast"/>
    <w:basedOn w:val="864"/>
    <w:uiPriority w:val="0"/>
    <w:qFormat/>
    <w:pPr>
      <w:jc w:val="left"/>
      <w:spacing w:before="100" w:beforeAutospacing="1" w:after="100" w:afterAutospacing="1"/>
      <w:widowControl/>
    </w:pPr>
    <w:rPr>
      <w:rFonts w:ascii="宋体" w:hAnsi="宋体" w:cs="宋体"/>
      <w:sz w:val="24"/>
    </w:rPr>
  </w:style>
  <w:style w:type="character" w:styleId="925" w:customStyle="1">
    <w:name w:val="普通正文 Char"/>
    <w:link w:val="926"/>
    <w:uiPriority w:val="0"/>
    <w:qFormat/>
    <w:rPr>
      <w:rFonts w:ascii="Arial" w:hAnsi="Arial"/>
      <w:sz w:val="24"/>
      <w:szCs w:val="24"/>
    </w:rPr>
  </w:style>
  <w:style w:type="paragraph" w:styleId="926" w:customStyle="1">
    <w:name w:val="普通正文"/>
    <w:basedOn w:val="864"/>
    <w:link w:val="925"/>
    <w:uiPriority w:val="0"/>
    <w:qFormat/>
    <w:pPr>
      <w:ind w:left="-2" w:right="120" w:firstLine="480"/>
      <w:jc w:val="center"/>
      <w:spacing w:before="120" w:after="120" w:line="360" w:lineRule="auto"/>
    </w:pPr>
    <w:rPr>
      <w:rFonts w:ascii="Arial" w:hAnsi="Arial"/>
      <w:sz w:val="24"/>
    </w:rPr>
  </w:style>
  <w:style w:type="character" w:styleId="927" w:customStyle="1">
    <w:name w:val="mini-outputtext1"/>
    <w:uiPriority w:val="0"/>
    <w:qFormat/>
  </w:style>
  <w:style w:type="character" w:styleId="928" w:customStyle="1">
    <w:name w:val="font31"/>
    <w:uiPriority w:val="0"/>
    <w:qFormat/>
    <w:rPr>
      <w:rFonts w:hint="eastAsia" w:ascii="宋体" w:hAnsi="宋体" w:eastAsia="宋体" w:cs="宋体"/>
      <w:color w:val="000000"/>
      <w:sz w:val="21"/>
      <w:szCs w:val="21"/>
      <w:u w:val="none"/>
    </w:rPr>
  </w:style>
  <w:style w:type="character" w:styleId="929" w:customStyle="1">
    <w:name w:val="font61"/>
    <w:uiPriority w:val="0"/>
    <w:qFormat/>
    <w:rPr>
      <w:rFonts w:hint="default" w:ascii="Times New Roman" w:hAnsi="Times New Roman" w:cs="Times New Roman"/>
      <w:color w:val="000000"/>
      <w:sz w:val="21"/>
      <w:szCs w:val="21"/>
      <w:u w:val="none"/>
    </w:rPr>
  </w:style>
  <w:style w:type="character" w:styleId="930" w:customStyle="1">
    <w:name w:val="font01"/>
    <w:uiPriority w:val="0"/>
    <w:qFormat/>
    <w:rPr>
      <w:rFonts w:hint="default" w:ascii="等线" w:hAnsi="等线" w:eastAsia="等线" w:cs="等线"/>
      <w:color w:val="000000"/>
      <w:sz w:val="22"/>
      <w:szCs w:val="22"/>
      <w:u w:val="none"/>
    </w:rPr>
  </w:style>
  <w:style w:type="character" w:styleId="931" w:customStyle="1">
    <w:name w:val="font51"/>
    <w:uiPriority w:val="0"/>
    <w:qFormat/>
    <w:rPr>
      <w:rFonts w:hint="default" w:ascii="等线" w:hAnsi="等线" w:eastAsia="等线" w:cs="等线"/>
      <w:b/>
      <w:bCs/>
      <w:color w:val="000000"/>
      <w:sz w:val="22"/>
      <w:szCs w:val="22"/>
      <w:u w:val="none"/>
    </w:rPr>
  </w:style>
  <w:style w:type="paragraph" w:styleId="932" w:customStyle="1">
    <w:name w:val="普通(网站) Char"/>
    <w:basedOn w:val="864"/>
    <w:uiPriority w:val="0"/>
    <w:qFormat/>
    <w:pPr>
      <w:jc w:val="left"/>
      <w:spacing w:before="100" w:beforeAutospacing="1" w:after="100" w:afterAutospacing="1"/>
      <w:widowControl/>
    </w:pPr>
    <w:rPr>
      <w:rFonts w:hint="eastAsia" w:ascii="宋体" w:hAnsi="宋体"/>
      <w:sz w:val="24"/>
    </w:rPr>
  </w:style>
  <w:style w:type="character" w:styleId="933" w:customStyle="1">
    <w:name w:val="页脚 字符"/>
    <w:basedOn w:val="869"/>
    <w:uiPriority w:val="99"/>
    <w:qFormat/>
  </w:style>
  <w:style w:type="paragraph" w:styleId="934" w:customStyle="1">
    <w:name w:val="*正文"/>
    <w:basedOn w:val="864"/>
    <w:uiPriority w:val="99"/>
    <w:qFormat/>
    <w:pPr>
      <w:ind w:firstLine="482"/>
      <w:spacing w:line="360" w:lineRule="auto"/>
    </w:pPr>
    <w:rPr>
      <w:rFonts w:eastAsia="仿宋_GB2312"/>
      <w:sz w:val="28"/>
    </w:rPr>
  </w:style>
  <w:style w:type="paragraph" w:styleId="93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table" w:styleId="936" w:customStyle="1">
    <w:name w:val="网格型2"/>
    <w:basedOn w:val="8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7" w:customStyle="1">
    <w:name w:val="style4"/>
    <w:basedOn w:val="864"/>
    <w:next w:val="864"/>
    <w:uiPriority w:val="0"/>
    <w:qFormat/>
    <w:pPr>
      <w:spacing w:before="280" w:after="280"/>
      <w:widowControl/>
    </w:pPr>
    <w:rPr>
      <w:rFonts w:ascii="宋体"/>
      <w:sz w:val="18"/>
      <w:lang w:bidi="en-US"/>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7</cp:revision>
  <dcterms:created xsi:type="dcterms:W3CDTF">2026-07-18T02:18:00Z</dcterms:created>
  <dcterms:modified xsi:type="dcterms:W3CDTF">2026-10-26T01:29:28Z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F34EC2454FB040F2A74E4198FF5B76CB</vt:lpwstr>
  </property>
  <property fmtid="{D5CDD505-2E9C-101B-9397-08002B2CF9AE}" pid="4" name="KSOTemplateDocerSaveRecord">
    <vt:lpwstr>eyJoZGlkIjoiYmEyZDMxNWRkYmY5MjE3NjUxYTk3ZDA1NDUyNmVkYWEiLCJ1c2VySWQiOiIzMjIwMjM1NTkifQ==</vt:lpwstr>
  </property>
</Properties>
</file>