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项目名称：江苏省苏北人民医院主动脉内球囊反搏泵采购项目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项目编号：JSZC-321000-SHGK-G2026-0092</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代理机构编号：1214-264110595WDX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0411" w:history="1">
        <w:r>
          <w:rPr>
            <w:rStyle w:val="774"/>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738" w:history="1">
        <w:r>
          <w:rPr>
            <w:rStyle w:val="774"/>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820" w:history="1">
        <w:r>
          <w:rPr>
            <w:rStyle w:val="774"/>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6669" w:history="1">
        <w:r>
          <w:rPr>
            <w:rStyle w:val="774"/>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9514" w:history="1">
        <w:r>
          <w:rPr>
            <w:rStyle w:val="774"/>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470" w:history="1">
        <w:r>
          <w:rPr>
            <w:rStyle w:val="774"/>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8055" w:history="1">
        <w:r>
          <w:rPr>
            <w:rStyle w:val="774"/>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受[江苏省苏北人民医院]的委托，江苏苏豪创新科技集团高科有限公司就[主动脉内球囊反搏泵]([项目编号：JSZC-321000-SHGK-G2026-0092]）采购项目进行公开招标采购，欢迎符合条件的供应商投标。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（江苏省苏北人民医院主动脉内球囊反搏泵采购）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2026年10月29日10点00分（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1.项目编号：JSZC-321000-SHGK-G2026-0092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江苏省苏北人民医院主动脉内球囊反搏泵采购项目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3.预算金额：120万元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120万元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主动脉内球囊反搏泵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2026年10月29日10点00分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8"/>
          <w:sz w:val="24"/>
        </w:rPr>
        <w:t xml:space="preserve">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招标代理服务费不在投标报价中单列，包含在投标总价中，由中标单位支付给代理机构，应在领取中标通知书前缴纳。专家评审费按扬财购【2020】40号文《关于进一步规范扬州市政府采购专家评审费标准的通知》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核心产品：主动脉内球囊反搏泵</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主动脉内球囊反搏泵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2.1操作系统：全中文操作系统—显示界面、菜单均为中文。</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▲2.2触控显示屏：≥12英寸，分辨率≥1280*800，</w:t>
      </w:r>
      <w:r>
        <w:rPr>
          <w:rFonts w:ascii="SimSun" w:hAnsi="SimSun" w:eastAsia="SimSun" w:cs="SimSun"/>
          <w:color w:val="000000"/>
          <w:spacing w:val="-6"/>
          <w:sz w:val="24"/>
        </w:rPr>
        <w:t xml:space="preserve">屏幕左右旋转≥270°，且任意角度可悬停</w:t>
      </w:r>
      <w:r>
        <w:rPr>
          <w:rFonts w:ascii="SimSun" w:hAnsi="SimSun" w:eastAsia="SimSun" w:cs="SimSun"/>
          <w:color w:val="000000"/>
          <w:sz w:val="24"/>
        </w:rPr>
        <w:t xml:space="preserve">，可脱离，可视角度大，在不同角度时清晰地观察到屏幕上的波形。</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2.3配备触控屏和实体按键，支持关键常用功能双重操作。</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显示内容：包含ECG和血压波形，有收缩压、舒张压、平均压、反搏增压的显示；显示当前所用触发信号及来源，心电导联有故障时可明确显示；要求血压波形能自动取标，自动将压差显示到最大；要求有球囊工作状态模拟、氦气瓶容量及电池剩余容量显示。</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2.5驱动系统：采用气泵驱动，通过正负压罐，稳定提供正负压，使机器始终处于最佳状态。</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▲2.6反搏频率：反搏频率至少包含：1:1，1:2，1:3，并且可实现物理按键与触控调节，反博频率与心率实时同步，心率范围20bpm～210bpm。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2.7工作模式：自动和半自动可选，自动模式下机器可以自动根据病人情况选择最佳触发信号，选取最合适的充放气点，并保持动态监测随时根据病情变化自动调整充放气时相，减少医护人员参与调整。</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2.8触发模式(要求5种触发模式):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(1)ECG触发----可选择5导联信号</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(2)血压触发— 变动操作时用户可随意由7至30mmHg+3mmHg调校</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(3)内置触发—变动值：40～120 次/分；要求开机预设为80次/分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(4)A起搏触发</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(5)V/A-V起搏触发</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ECG心率测量范围：20bpm～210bpm。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2.10配备先进的智能型心律同步软件，对各种异常心律如早搏、室上速、房颤等可自动识别跟踪处理，无需人工手动调节。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2.11血压触发情况下，血压显示范围：0～300mmHg。</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2.12具备安全盘隔离保护装置，有效隔离高压氦气保护病人更安全。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▲2.13具备独立防回血监测安全装置，保护病人安全，防止血液回流入机器内部气动系统，造成机器损坏。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2.14报警系统：分级报警设计，全中文帮助指导信息。</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▲2.15除水系统：可持续除凝，无需积水瓶或电热除凝，减少人力消耗及能耗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2.16整机噪声：正常使用的情况下，整机噪声不超过55dB。</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▲2.17配备可热插拔锂电池，满电后可工作≥180 分钟。方便远距离无交流电情况下转运病人时更换电池，无需停机。</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2.18主机车架可分离，主机≤35kg，方便转运，内置气瓶，无需额外配备氦气瓶。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2.19能够直接在空气中模拟球囊充放气工作状态，方便教学演示和维护保养。</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2.20配置气瓶为可再充式气瓶。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▲2.21产品使用年限≥15年（提供设备铭牌照片或产品说明书佐证）。</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1"/>
        <w:gridCol w:w="2911"/>
        <w:gridCol w:w="2911"/>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分30分，其他投标人的价格分按照下列公式计算：投标报价得分=（评标基准价/投标报价）×30，即满足招标文件要求且投标价格最低的得30分（小数点后保留两位小数）。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所投产品（同品牌同型号）自2022年1月1日至投标截止时间（以合同签订时间为准）有销售业绩。未提供或未按要求提供不得分。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2分（每份业绩需提供完整合同文件作为佐证材料；如买方名称、供货品牌/型号、合同金额、数量、签订时间等信息缺失，则视作无效业绩），最高得8分；业绩仅需对应产品业绩，无需由投标人本身销售。</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评委根据投标文件中的《技术要求响应/偏离表》结合投标文件提供的佐证材料等进行评审：满足招标文件第四章采购需求之“技术要求”项下全部内容的，得28分。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投标人质保期满足招标文件第四章项目需求之 “商务要求”在满足招标文件规定的免费质保期基础上，每增加一年制造商提供的免费质保期加1.5分，最多加3分。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1、实施方案（9分）：针对投标人提供的关于交货、安装、调试等项目实施方案综合打分。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a.方案内容全面，详细合理，针对性强，技术保障措施完善，得9分；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b.方案内容较全面合理，针对性一般，技术保障措施较为完善，得6分；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c.方案内容简单，未突出重点，技术保障措施一般，得3分。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2、培训计划（9分）：根据提供培训计划的内容、方式、时间、人次数等综合评分。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a.培训计划实用，方式多样，安排合理得9分；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b.培训计划较实用，方式较多样，安排较合理得6分；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c.培训计划简单，形式单一，得3分。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1、应急响应方案（8分）：根据对维修设备的响应和应急故障修复方案等综合评分。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a.维修响应速度快，维修方案全面可行性强，应急故障修复方案完善得8分；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b.维修响应较快，维修方案较全面，可行性较强，应急故障修复方案较完善得5分；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c.维修响应一般，维修方案简单，应急故障修复方案一般得2分。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2、配件/耗材情况（4分）：根据所投产品列出保修期外主要配件/耗材的清单和价格，评委根据配件/耗材的质量品质、价格等综合评分。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a.提供的清单完整、适应性强、配套性高、价格最优惠得4分；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b.提供的清单完整度一般、适应性一般、配套一般、价格较优惠得2分；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c.未提供的不得分。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特别说明：投标人需提供环境标志产品证书/节能产品证书并标识出产品型号，如未提供，将不予认可。</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r>
        <w:rPr>
          <w:rFonts w:ascii="SimSun" w:hAnsi="SimSun" w:eastAsia="SimSun" w:cs="SimSun"/>
          <w:b/>
          <w:color w:val="000000"/>
          <w:sz w:val="36"/>
        </w:rPr>
        <w:t xml:space="preserve">开标一览表</w:t>
      </w:r>
      <w:r/>
      <w:r>
        <w:rPr>
          <w:sz w:val="36"/>
        </w:rP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2025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r>
        <w:rPr>
          <w:rFonts w:ascii="SimSun" w:hAnsi="SimSun" w:eastAsia="SimSun" w:cs="SimSun"/>
          <w:b/>
          <w:color w:val="000000"/>
          <w:sz w:val="36"/>
        </w:rPr>
        <w:t xml:space="preserve">法人授权</w:t>
      </w:r>
      <w:r/>
      <w:r>
        <w:rPr>
          <w:sz w:val="36"/>
        </w:rP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r>
        <w:rPr>
          <w:rFonts w:ascii="SimSun" w:hAnsi="SimSun" w:eastAsia="SimSun" w:cs="SimSun"/>
          <w:b/>
          <w:color w:val="000000"/>
          <w:sz w:val="36"/>
        </w:rPr>
        <w:t xml:space="preserve">业绩情况表（如有）</w:t>
      </w:r>
      <w:r/>
      <w:r>
        <w:rPr>
          <w:sz w:val="36"/>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61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476852"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82944"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56327"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92929"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799051"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98652"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126856"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70946"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152909"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26123"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10739"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79791"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88286"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55648"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r>
        <w:rPr>
          <w:rFonts w:ascii="SimSun" w:hAnsi="SimSun" w:eastAsia="SimSun" w:cs="SimSun"/>
          <w:b/>
          <w:color w:val="000000"/>
          <w:sz w:val="36"/>
        </w:rPr>
        <w:t xml:space="preserve">投标人认为需要提供的其他材料（如有）</w:t>
      </w:r>
      <w:r/>
      <w:r>
        <w:rPr>
          <w:sz w:val="36"/>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6"/>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6"/>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rPr>
        <w:rStyle w:val="771"/>
      </w:rPr>
    </w:r>
    <w:r/>
  </w:p>
  <w:p>
    <w:pPr>
      <w:pStyle w:val="7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76"/>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699"/>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正文文本缩进"/>
    <w:basedOn w:val="699"/>
    <w:next w:val="732"/>
    <w:link w:val="733"/>
    <w:unhideWhenUsed/>
    <w:pPr>
      <w:ind w:left="420"/>
      <w:spacing w:after="120"/>
    </w:pPr>
  </w:style>
  <w:style w:type="character" w:styleId="733">
    <w:name w:val="正文文本缩进 字符"/>
    <w:next w:val="733"/>
    <w:link w:val="732"/>
    <w:uiPriority w:val="99"/>
    <w:semiHidden/>
  </w:style>
  <w:style w:type="paragraph" w:styleId="734">
    <w:name w:val="列表 2"/>
    <w:basedOn w:val="699"/>
    <w:next w:val="734"/>
    <w:link w:val="699"/>
    <w:pPr>
      <w:ind w:left="100" w:hanging="200"/>
    </w:pPr>
    <w:rPr>
      <w:rFonts w:ascii="Times New Roman" w:hAnsi="Times New Roman" w:eastAsia="宋体" w:cs="Times New Roman"/>
      <w:szCs w:val="21"/>
    </w:rPr>
  </w:style>
  <w:style w:type="paragraph" w:styleId="735">
    <w:name w:val="目录 5"/>
    <w:basedOn w:val="699"/>
    <w:next w:val="699"/>
    <w:link w:val="699"/>
    <w:semiHidden/>
    <w:pPr>
      <w:ind w:left="840"/>
      <w:jc w:val="left"/>
    </w:pPr>
    <w:rPr>
      <w:rFonts w:ascii="Times New Roman" w:hAnsi="Times New Roman" w:eastAsia="宋体" w:cs="Times New Roman"/>
      <w:szCs w:val="21"/>
    </w:rPr>
  </w:style>
  <w:style w:type="paragraph" w:styleId="736">
    <w:name w:val="目录 3"/>
    <w:basedOn w:val="699"/>
    <w:next w:val="699"/>
    <w:link w:val="699"/>
    <w:semiHidden/>
    <w:pPr>
      <w:ind w:left="420"/>
      <w:jc w:val="left"/>
    </w:pPr>
    <w:rPr>
      <w:rFonts w:ascii="Times New Roman" w:hAnsi="Times New Roman" w:eastAsia="宋体" w:cs="Times New Roman"/>
      <w:i/>
      <w:iCs/>
      <w:szCs w:val="24"/>
    </w:rPr>
  </w:style>
  <w:style w:type="paragraph" w:styleId="737">
    <w:name w:val="纯文本"/>
    <w:basedOn w:val="699"/>
    <w:next w:val="737"/>
    <w:link w:val="738"/>
    <w:rPr>
      <w:rFonts w:ascii="宋体" w:hAnsi="Courier New" w:eastAsia="宋体" w:cs="Courier New"/>
      <w:szCs w:val="21"/>
    </w:rPr>
  </w:style>
  <w:style w:type="character" w:styleId="738">
    <w:name w:val="纯文本 字符"/>
    <w:next w:val="738"/>
    <w:link w:val="737"/>
    <w:rPr>
      <w:rFonts w:ascii="宋体" w:hAnsi="Courier New" w:eastAsia="宋体" w:cs="Courier New"/>
      <w:szCs w:val="21"/>
    </w:rPr>
  </w:style>
  <w:style w:type="paragraph" w:styleId="739">
    <w:name w:val="目录 8"/>
    <w:basedOn w:val="699"/>
    <w:next w:val="699"/>
    <w:link w:val="699"/>
    <w:semiHidden/>
    <w:pPr>
      <w:ind w:left="1470"/>
      <w:jc w:val="left"/>
    </w:pPr>
    <w:rPr>
      <w:rFonts w:ascii="Times New Roman" w:hAnsi="Times New Roman" w:eastAsia="宋体" w:cs="Times New Roman"/>
      <w:szCs w:val="21"/>
    </w:rPr>
  </w:style>
  <w:style w:type="paragraph" w:styleId="740">
    <w:name w:val="日期"/>
    <w:basedOn w:val="699"/>
    <w:next w:val="699"/>
    <w:link w:val="741"/>
    <w:rPr>
      <w:rFonts w:ascii="Times New Roman" w:hAnsi="Times New Roman" w:eastAsia="宋体" w:cs="Times New Roman"/>
      <w:sz w:val="24"/>
      <w:szCs w:val="24"/>
    </w:rPr>
  </w:style>
  <w:style w:type="character" w:styleId="741">
    <w:name w:val="日期 字符"/>
    <w:next w:val="741"/>
    <w:link w:val="740"/>
    <w:rPr>
      <w:rFonts w:ascii="Times New Roman" w:hAnsi="Times New Roman" w:eastAsia="宋体" w:cs="Times New Roman"/>
      <w:sz w:val="24"/>
      <w:szCs w:val="24"/>
    </w:rPr>
  </w:style>
  <w:style w:type="paragraph" w:styleId="742">
    <w:name w:val="正文文本缩进 2"/>
    <w:basedOn w:val="699"/>
    <w:next w:val="742"/>
    <w:link w:val="743"/>
    <w:pPr>
      <w:ind w:left="630" w:firstLine="645"/>
    </w:pPr>
    <w:rPr>
      <w:rFonts w:ascii="Arial" w:hAnsi="Arial" w:eastAsia="仿宋_GB2312" w:cs="Arial"/>
      <w:sz w:val="32"/>
      <w:szCs w:val="32"/>
    </w:rPr>
  </w:style>
  <w:style w:type="character" w:styleId="743">
    <w:name w:val="正文文本缩进 2 字符"/>
    <w:next w:val="743"/>
    <w:link w:val="742"/>
    <w:rPr>
      <w:rFonts w:ascii="Arial" w:hAnsi="Arial" w:eastAsia="仿宋_GB2312" w:cs="Arial"/>
      <w:sz w:val="32"/>
      <w:szCs w:val="32"/>
    </w:rPr>
  </w:style>
  <w:style w:type="paragraph" w:styleId="744">
    <w:name w:val="批注框文本"/>
    <w:basedOn w:val="699"/>
    <w:next w:val="744"/>
    <w:link w:val="745"/>
    <w:semiHidden/>
    <w:rPr>
      <w:rFonts w:ascii="Times New Roman" w:hAnsi="Times New Roman" w:eastAsia="宋体" w:cs="Times New Roman"/>
      <w:sz w:val="18"/>
      <w:szCs w:val="18"/>
    </w:rPr>
  </w:style>
  <w:style w:type="character" w:styleId="745">
    <w:name w:val="批注框文本 字符"/>
    <w:next w:val="745"/>
    <w:link w:val="744"/>
    <w:semiHidden/>
    <w:rPr>
      <w:rFonts w:ascii="Times New Roman" w:hAnsi="Times New Roman" w:eastAsia="宋体" w:cs="Times New Roman"/>
      <w:sz w:val="18"/>
      <w:szCs w:val="18"/>
    </w:rPr>
  </w:style>
  <w:style w:type="paragraph" w:styleId="746">
    <w:name w:val="页脚"/>
    <w:basedOn w:val="699"/>
    <w:next w:val="746"/>
    <w:link w:val="747"/>
    <w:pPr>
      <w:jc w:val="left"/>
      <w:tabs>
        <w:tab w:val="center" w:pos="4153" w:leader="none"/>
        <w:tab w:val="right" w:pos="8306" w:leader="none"/>
      </w:tabs>
    </w:pPr>
    <w:rPr>
      <w:rFonts w:ascii="Times New Roman" w:hAnsi="Times New Roman" w:eastAsia="宋体" w:cs="Times New Roman"/>
      <w:sz w:val="18"/>
      <w:szCs w:val="18"/>
    </w:rPr>
  </w:style>
  <w:style w:type="character" w:styleId="747">
    <w:name w:val="页脚 字符"/>
    <w:next w:val="747"/>
    <w:link w:val="746"/>
    <w:rPr>
      <w:rFonts w:ascii="Times New Roman" w:hAnsi="Times New Roman" w:eastAsia="宋体" w:cs="Times New Roman"/>
      <w:sz w:val="18"/>
      <w:szCs w:val="18"/>
    </w:rPr>
  </w:style>
  <w:style w:type="paragraph" w:styleId="748">
    <w:name w:val="页眉"/>
    <w:basedOn w:val="699"/>
    <w:next w:val="748"/>
    <w:link w:val="74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9">
    <w:name w:val="页眉 字符"/>
    <w:next w:val="749"/>
    <w:link w:val="748"/>
    <w:rPr>
      <w:rFonts w:ascii="Times New Roman" w:hAnsi="Times New Roman" w:eastAsia="宋体" w:cs="Times New Roman"/>
      <w:sz w:val="18"/>
      <w:szCs w:val="18"/>
    </w:rPr>
  </w:style>
  <w:style w:type="paragraph" w:styleId="750">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1">
    <w:name w:val="目录 4"/>
    <w:basedOn w:val="699"/>
    <w:next w:val="699"/>
    <w:link w:val="699"/>
    <w:semiHidden/>
    <w:pPr>
      <w:ind w:left="630"/>
      <w:jc w:val="left"/>
    </w:pPr>
    <w:rPr>
      <w:rFonts w:ascii="Times New Roman" w:hAnsi="Times New Roman" w:eastAsia="宋体" w:cs="Times New Roman"/>
      <w:szCs w:val="21"/>
    </w:rPr>
  </w:style>
  <w:style w:type="paragraph" w:styleId="752">
    <w:name w:val="列表"/>
    <w:basedOn w:val="699"/>
    <w:next w:val="752"/>
    <w:link w:val="699"/>
    <w:pPr>
      <w:ind w:left="200" w:hanging="200"/>
    </w:pPr>
    <w:rPr>
      <w:rFonts w:ascii="Times New Roman" w:hAnsi="Times New Roman" w:eastAsia="宋体" w:cs="Times New Roman"/>
      <w:szCs w:val="21"/>
    </w:rPr>
  </w:style>
  <w:style w:type="paragraph" w:styleId="753">
    <w:name w:val="目录 6"/>
    <w:basedOn w:val="699"/>
    <w:next w:val="699"/>
    <w:link w:val="699"/>
    <w:semiHidden/>
    <w:pPr>
      <w:ind w:left="1050"/>
      <w:jc w:val="left"/>
    </w:pPr>
    <w:rPr>
      <w:rFonts w:ascii="Times New Roman" w:hAnsi="Times New Roman" w:eastAsia="宋体" w:cs="Times New Roman"/>
      <w:szCs w:val="21"/>
    </w:rPr>
  </w:style>
  <w:style w:type="paragraph" w:styleId="754">
    <w:name w:val="正文文本缩进 3"/>
    <w:basedOn w:val="699"/>
    <w:next w:val="754"/>
    <w:link w:val="755"/>
    <w:pPr>
      <w:ind w:left="645" w:firstLine="645"/>
    </w:pPr>
    <w:rPr>
      <w:rFonts w:ascii="Arial" w:hAnsi="Arial" w:eastAsia="仿宋_GB2312" w:cs="Arial"/>
      <w:color w:val="ffff00"/>
      <w:sz w:val="32"/>
      <w:szCs w:val="32"/>
    </w:rPr>
  </w:style>
  <w:style w:type="character" w:styleId="755">
    <w:name w:val="正文文本缩进 3 字符"/>
    <w:next w:val="755"/>
    <w:link w:val="754"/>
    <w:rPr>
      <w:rFonts w:ascii="Arial" w:hAnsi="Arial" w:eastAsia="仿宋_GB2312" w:cs="Arial"/>
      <w:color w:val="ffff00"/>
      <w:sz w:val="32"/>
      <w:szCs w:val="32"/>
    </w:rPr>
  </w:style>
  <w:style w:type="paragraph" w:styleId="756">
    <w:name w:val="图表目录"/>
    <w:basedOn w:val="699"/>
    <w:next w:val="699"/>
    <w:link w:val="699"/>
    <w:semiHidden/>
    <w:pPr>
      <w:ind w:left="840" w:hanging="420"/>
    </w:pPr>
    <w:rPr>
      <w:rFonts w:ascii="Times New Roman" w:hAnsi="Times New Roman" w:eastAsia="宋体" w:cs="Times New Roman"/>
      <w:szCs w:val="21"/>
    </w:rPr>
  </w:style>
  <w:style w:type="paragraph" w:styleId="757">
    <w:name w:val="目录 2"/>
    <w:basedOn w:val="699"/>
    <w:next w:val="699"/>
    <w:link w:val="699"/>
    <w:semiHidden/>
    <w:pPr>
      <w:ind w:left="210"/>
      <w:jc w:val="left"/>
    </w:pPr>
    <w:rPr>
      <w:rFonts w:ascii="Times New Roman" w:hAnsi="Times New Roman" w:eastAsia="宋体" w:cs="Times New Roman"/>
      <w:smallCaps/>
      <w:szCs w:val="24"/>
    </w:rPr>
  </w:style>
  <w:style w:type="paragraph" w:styleId="758">
    <w:name w:val="目录 9"/>
    <w:basedOn w:val="699"/>
    <w:next w:val="699"/>
    <w:link w:val="699"/>
    <w:semiHidden/>
    <w:pPr>
      <w:ind w:left="1680"/>
      <w:jc w:val="left"/>
    </w:pPr>
    <w:rPr>
      <w:rFonts w:ascii="Times New Roman" w:hAnsi="Times New Roman" w:eastAsia="宋体" w:cs="Times New Roman"/>
      <w:szCs w:val="21"/>
    </w:rPr>
  </w:style>
  <w:style w:type="paragraph" w:styleId="759">
    <w:name w:val="正文文本 2"/>
    <w:basedOn w:val="699"/>
    <w:next w:val="759"/>
    <w:link w:val="760"/>
    <w:pPr>
      <w:jc w:val="center"/>
      <w:widowControl/>
    </w:pPr>
    <w:rPr>
      <w:rFonts w:ascii="楷体_GB2312" w:hAnsi="Times New Roman" w:eastAsia="楷体_GB2312" w:cs="Times New Roman"/>
      <w:sz w:val="28"/>
      <w:szCs w:val="28"/>
    </w:rPr>
  </w:style>
  <w:style w:type="character" w:styleId="760">
    <w:name w:val="正文文本 2 字符"/>
    <w:next w:val="760"/>
    <w:link w:val="759"/>
    <w:rPr>
      <w:rFonts w:ascii="楷体_GB2312" w:hAnsi="Times New Roman" w:eastAsia="楷体_GB2312" w:cs="Times New Roman"/>
      <w:sz w:val="28"/>
      <w:szCs w:val="28"/>
    </w:rPr>
  </w:style>
  <w:style w:type="paragraph" w:styleId="761">
    <w:name w:val="普通(网站)"/>
    <w:basedOn w:val="699"/>
    <w:next w:val="761"/>
    <w:link w:val="699"/>
    <w:uiPriority w:val="99"/>
    <w:pPr>
      <w:jc w:val="left"/>
      <w:spacing w:before="100" w:beforeAutospacing="1" w:after="100" w:afterAutospacing="1"/>
      <w:widowControl/>
    </w:pPr>
    <w:rPr>
      <w:rFonts w:ascii="宋体" w:hAnsi="宋体" w:eastAsia="宋体" w:cs="宋体"/>
      <w:sz w:val="24"/>
      <w:szCs w:val="24"/>
    </w:rPr>
  </w:style>
  <w:style w:type="paragraph" w:styleId="762">
    <w:name w:val="索引 1"/>
    <w:basedOn w:val="699"/>
    <w:next w:val="699"/>
    <w:link w:val="699"/>
    <w:semiHidden/>
    <w:pPr>
      <w:spacing w:line="240" w:lineRule="atLeast"/>
    </w:pPr>
    <w:rPr>
      <w:rFonts w:ascii="Times New Roman" w:hAnsi="Times New Roman" w:eastAsia="宋体" w:cs="Times New Roman"/>
      <w:b/>
      <w:bCs/>
      <w:szCs w:val="21"/>
    </w:rPr>
  </w:style>
  <w:style w:type="paragraph" w:styleId="763">
    <w:name w:val="批注主题"/>
    <w:basedOn w:val="726"/>
    <w:next w:val="726"/>
    <w:link w:val="764"/>
    <w:semiHidden/>
    <w:rPr>
      <w:rFonts w:ascii="Times New Roman" w:hAnsi="Times New Roman" w:eastAsia="宋体" w:cs="Times New Roman"/>
      <w:b/>
      <w:bCs/>
      <w:szCs w:val="21"/>
    </w:rPr>
  </w:style>
  <w:style w:type="character" w:styleId="764">
    <w:name w:val="批注主题 字符"/>
    <w:next w:val="764"/>
    <w:link w:val="763"/>
    <w:semiHidden/>
    <w:rPr>
      <w:rFonts w:ascii="Times New Roman" w:hAnsi="Times New Roman" w:eastAsia="宋体" w:cs="Times New Roman"/>
      <w:b/>
      <w:bCs/>
      <w:szCs w:val="21"/>
    </w:rPr>
  </w:style>
  <w:style w:type="paragraph" w:styleId="765">
    <w:name w:val="正文首行缩进"/>
    <w:basedOn w:val="699"/>
    <w:next w:val="765"/>
    <w:link w:val="766"/>
    <w:pPr>
      <w:ind w:firstLine="200"/>
      <w:spacing w:line="360" w:lineRule="auto"/>
    </w:pPr>
    <w:rPr>
      <w:rFonts w:ascii="仿宋_GB2312" w:hAnsi="Times New Roman" w:eastAsia="仿宋_GB2312" w:cs="Times New Roman"/>
      <w:sz w:val="30"/>
      <w:szCs w:val="30"/>
    </w:rPr>
  </w:style>
  <w:style w:type="character" w:styleId="766">
    <w:name w:val="正文文本首行缩进 字符"/>
    <w:next w:val="766"/>
    <w:link w:val="765"/>
    <w:rPr>
      <w:rFonts w:ascii="仿宋_GB2312" w:hAnsi="Times New Roman" w:eastAsia="仿宋_GB2312" w:cs="Times New Roman"/>
      <w:sz w:val="30"/>
      <w:szCs w:val="30"/>
    </w:rPr>
  </w:style>
  <w:style w:type="paragraph" w:styleId="767">
    <w:name w:val="正文首行缩进 2"/>
    <w:basedOn w:val="732"/>
    <w:next w:val="767"/>
    <w:link w:val="768"/>
    <w:pPr>
      <w:ind w:left="0" w:firstLine="420"/>
      <w:spacing w:after="0" w:line="360" w:lineRule="auto"/>
    </w:pPr>
    <w:rPr>
      <w:rFonts w:ascii="宋体" w:hAnsi="宋体" w:eastAsia="宋体" w:cs="Times New Roman"/>
      <w:szCs w:val="20"/>
    </w:rPr>
  </w:style>
  <w:style w:type="character" w:styleId="768">
    <w:name w:val="正文文本首行缩进 2 字符"/>
    <w:next w:val="768"/>
    <w:link w:val="767"/>
    <w:rPr>
      <w:rFonts w:ascii="宋体" w:hAnsi="宋体" w:eastAsia="宋体" w:cs="Times New Roman"/>
      <w:szCs w:val="20"/>
    </w:rPr>
  </w:style>
  <w:style w:type="table" w:styleId="769">
    <w:name w:val="网格型"/>
    <w:basedOn w:val="710"/>
    <w:next w:val="769"/>
    <w:link w:val="699"/>
    <w:uiPriority w:val="59"/>
    <w:pPr>
      <w:jc w:val="both"/>
      <w:widowControl w:val="off"/>
    </w:pPr>
    <w:rPr>
      <w:rFonts w:ascii="Times New Roman" w:hAnsi="Times New Roman" w:eastAsia="宋体" w:cs="Times New Roman"/>
      <w:sz w:val="20"/>
      <w:szCs w:val="20"/>
    </w:rPr>
    <w:tblPr/>
  </w:style>
  <w:style w:type="character" w:styleId="770">
    <w:name w:val="要点"/>
    <w:next w:val="770"/>
    <w:link w:val="699"/>
    <w:qFormat/>
    <w:rPr>
      <w:b/>
      <w:bCs/>
    </w:rPr>
  </w:style>
  <w:style w:type="character" w:styleId="771">
    <w:name w:val="页码"/>
    <w:next w:val="771"/>
    <w:link w:val="699"/>
  </w:style>
  <w:style w:type="character" w:styleId="772">
    <w:name w:val="已访问的超链接"/>
    <w:next w:val="772"/>
    <w:link w:val="699"/>
    <w:rPr>
      <w:color w:val="800080"/>
      <w:u w:val="single"/>
    </w:rPr>
  </w:style>
  <w:style w:type="character" w:styleId="773">
    <w:name w:val="强调"/>
    <w:next w:val="773"/>
    <w:link w:val="699"/>
    <w:qFormat/>
    <w:rPr>
      <w:i/>
    </w:rPr>
  </w:style>
  <w:style w:type="character" w:styleId="774">
    <w:name w:val="超链接"/>
    <w:next w:val="774"/>
    <w:link w:val="699"/>
    <w:rPr>
      <w:color w:val="0000ff"/>
      <w:u w:val="single"/>
    </w:rPr>
  </w:style>
  <w:style w:type="character" w:styleId="775">
    <w:name w:val="批注引用"/>
    <w:next w:val="775"/>
    <w:link w:val="699"/>
    <w:semiHidden/>
    <w:rPr>
      <w:sz w:val="21"/>
      <w:szCs w:val="21"/>
    </w:rPr>
  </w:style>
  <w:style w:type="paragraph" w:styleId="776">
    <w:name w:val="一级条标题"/>
    <w:basedOn w:val="777"/>
    <w:next w:val="778"/>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77">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78">
    <w:name w:val="段"/>
    <w:basedOn w:val="699"/>
    <w:next w:val="699"/>
    <w:link w:val="699"/>
    <w:qFormat/>
    <w:pPr>
      <w:ind w:firstLine="200"/>
      <w:widowControl/>
    </w:pPr>
    <w:rPr>
      <w:rFonts w:hint="eastAsia" w:ascii="宋体"/>
      <w:szCs w:val="20"/>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4"/>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paragraph" w:styleId="826">
    <w:name w:val="Table Text"/>
    <w:basedOn w:val="699"/>
    <w:next w:val="826"/>
    <w:link w:val="699"/>
    <w:semiHidden/>
    <w:qFormat/>
    <w:rPr>
      <w:rFonts w:ascii="宋体" w:hAnsi="宋体" w:eastAsia="宋体" w:cs="宋体"/>
      <w:sz w:val="22"/>
      <w:szCs w:val="22"/>
    </w:rPr>
  </w:style>
  <w:style w:type="table" w:styleId="827">
    <w:name w:val="Table Normal"/>
    <w:next w:val="827"/>
    <w:link w:val="699"/>
    <w:unhideWhenUsed/>
    <w:qFormat/>
    <w:tblPr/>
  </w:style>
  <w:style w:type="character" w:styleId="9953" w:default="1">
    <w:name w:val="Default Paragraph Font"/>
    <w:uiPriority w:val="1"/>
    <w:semiHidden/>
    <w:unhideWhenUsed/>
  </w:style>
  <w:style w:type="numbering" w:styleId="9954" w:default="1">
    <w:name w:val="No List"/>
    <w:uiPriority w:val="99"/>
    <w:semiHidden/>
    <w:unhideWhenUsed/>
  </w:style>
  <w:style w:type="table" w:styleId="99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1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3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2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66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6</cp:revision>
  <dcterms:created xsi:type="dcterms:W3CDTF">2023-12-18T06:54:00Z</dcterms:created>
  <dcterms:modified xsi:type="dcterms:W3CDTF">2026-10-12T01:55:46Z</dcterms:modified>
</cp:coreProperties>
</file>