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E62B66">
      <w:pPr>
        <w:spacing w:line="360" w:lineRule="auto"/>
        <w:ind w:firstLine="160"/>
        <w:rPr>
          <w:rFonts w:ascii="CESI黑体-GB2312" w:hAnsi="CESI黑体-GB2312" w:eastAsia="CESI黑体-GB2312" w:cs="CESI黑体-GB2312"/>
          <w:color w:val="auto"/>
          <w:sz w:val="32"/>
          <w:szCs w:val="32"/>
          <w:highlight w:val="none"/>
        </w:rPr>
      </w:pPr>
      <w:bookmarkStart w:id="918" w:name="_GoBack"/>
    </w:p>
    <w:p w14:paraId="4FE01535">
      <w:pPr>
        <w:spacing w:line="360" w:lineRule="auto"/>
        <w:ind w:firstLine="300"/>
        <w:rPr>
          <w:color w:val="auto"/>
          <w:sz w:val="60"/>
          <w:szCs w:val="60"/>
          <w:highlight w:val="none"/>
        </w:rPr>
      </w:pPr>
    </w:p>
    <w:p w14:paraId="78B50194">
      <w:pPr>
        <w:jc w:val="center"/>
        <w:rPr>
          <w:b/>
          <w:bCs/>
          <w:color w:val="auto"/>
          <w:sz w:val="60"/>
          <w:szCs w:val="60"/>
          <w:highlight w:val="none"/>
        </w:rPr>
      </w:pPr>
      <w:r>
        <w:rPr>
          <w:b/>
          <w:bCs/>
          <w:color w:val="auto"/>
          <w:sz w:val="60"/>
          <w:szCs w:val="60"/>
          <w:highlight w:val="none"/>
        </w:rPr>
        <w:t>常州市政府采购项目</w:t>
      </w:r>
    </w:p>
    <w:p w14:paraId="16E6F014">
      <w:pPr>
        <w:jc w:val="center"/>
        <w:rPr>
          <w:b/>
          <w:bCs/>
          <w:color w:val="auto"/>
          <w:sz w:val="60"/>
          <w:szCs w:val="60"/>
          <w:highlight w:val="none"/>
        </w:rPr>
      </w:pPr>
      <w:r>
        <w:rPr>
          <w:rFonts w:hint="eastAsia"/>
          <w:b/>
          <w:bCs/>
          <w:color w:val="auto"/>
          <w:sz w:val="60"/>
          <w:szCs w:val="60"/>
          <w:highlight w:val="none"/>
        </w:rPr>
        <w:t>公开</w:t>
      </w:r>
      <w:r>
        <w:rPr>
          <w:b/>
          <w:bCs/>
          <w:color w:val="auto"/>
          <w:sz w:val="60"/>
          <w:szCs w:val="60"/>
          <w:highlight w:val="none"/>
        </w:rPr>
        <w:t>招标文件</w:t>
      </w:r>
    </w:p>
    <w:p w14:paraId="3D25E13F">
      <w:pPr>
        <w:jc w:val="center"/>
        <w:rPr>
          <w:b/>
          <w:bCs/>
          <w:color w:val="auto"/>
          <w:sz w:val="60"/>
          <w:szCs w:val="60"/>
          <w:highlight w:val="none"/>
        </w:rPr>
      </w:pPr>
    </w:p>
    <w:p w14:paraId="25E92B62">
      <w:pPr>
        <w:pStyle w:val="205"/>
        <w:rPr>
          <w:color w:val="auto"/>
          <w:highlight w:val="none"/>
        </w:rPr>
      </w:pPr>
    </w:p>
    <w:p w14:paraId="1FAD07F0">
      <w:pPr>
        <w:jc w:val="center"/>
        <w:rPr>
          <w:b/>
          <w:bCs/>
          <w:color w:val="auto"/>
          <w:sz w:val="44"/>
          <w:szCs w:val="60"/>
          <w:highlight w:val="none"/>
        </w:rPr>
      </w:pPr>
      <w:r>
        <w:rPr>
          <w:rFonts w:hint="eastAsia"/>
          <w:b/>
          <w:bCs/>
          <w:color w:val="auto"/>
          <w:sz w:val="44"/>
          <w:szCs w:val="60"/>
          <w:highlight w:val="none"/>
        </w:rPr>
        <w:t>（服务类）</w:t>
      </w:r>
    </w:p>
    <w:p w14:paraId="79E6420D">
      <w:pPr>
        <w:spacing w:line="360" w:lineRule="auto"/>
        <w:jc w:val="center"/>
        <w:rPr>
          <w:color w:val="auto"/>
          <w:sz w:val="60"/>
          <w:szCs w:val="60"/>
          <w:highlight w:val="none"/>
        </w:rPr>
      </w:pPr>
    </w:p>
    <w:p w14:paraId="26A0B88E">
      <w:pPr>
        <w:spacing w:line="360" w:lineRule="auto"/>
        <w:jc w:val="center"/>
        <w:rPr>
          <w:color w:val="auto"/>
          <w:sz w:val="60"/>
          <w:szCs w:val="60"/>
          <w:highlight w:val="none"/>
        </w:rPr>
      </w:pPr>
    </w:p>
    <w:p w14:paraId="468125B1">
      <w:pPr>
        <w:pStyle w:val="205"/>
        <w:rPr>
          <w:color w:val="auto"/>
          <w:highlight w:val="none"/>
        </w:rPr>
      </w:pPr>
    </w:p>
    <w:p w14:paraId="3C3E0B94">
      <w:pPr>
        <w:tabs>
          <w:tab w:val="left" w:pos="3240"/>
          <w:tab w:val="left" w:pos="3420"/>
        </w:tabs>
        <w:spacing w:line="360" w:lineRule="auto"/>
        <w:ind w:firstLine="360"/>
        <w:jc w:val="left"/>
        <w:rPr>
          <w:bCs/>
          <w:color w:val="auto"/>
          <w:sz w:val="36"/>
          <w:szCs w:val="36"/>
          <w:highlight w:val="none"/>
        </w:rPr>
      </w:pPr>
      <w:r>
        <w:rPr>
          <w:bCs/>
          <w:color w:val="auto"/>
          <w:sz w:val="36"/>
          <w:szCs w:val="36"/>
          <w:highlight w:val="none"/>
        </w:rPr>
        <w:t>项目名称：</w:t>
      </w:r>
      <w:r>
        <w:rPr>
          <w:rFonts w:hint="eastAsia"/>
          <w:bCs/>
          <w:color w:val="auto"/>
          <w:sz w:val="36"/>
          <w:szCs w:val="36"/>
          <w:highlight w:val="none"/>
          <w:lang w:eastAsia="zh-CN"/>
        </w:rPr>
        <w:t>常</w:t>
      </w:r>
      <w:r>
        <w:rPr>
          <w:rFonts w:hint="eastAsia"/>
          <w:bCs/>
          <w:color w:val="auto"/>
          <w:sz w:val="36"/>
          <w:szCs w:val="36"/>
          <w:highlight w:val="none"/>
          <w:lang w:eastAsia="zh-CN"/>
        </w:rPr>
        <w:t>州市住房租赁监管运营支撑服务项目</w:t>
      </w:r>
      <w:r>
        <w:rPr>
          <w:rFonts w:hint="eastAsia"/>
          <w:bCs/>
          <w:color w:val="auto"/>
          <w:sz w:val="36"/>
          <w:szCs w:val="36"/>
          <w:highlight w:val="none"/>
        </w:rPr>
        <w:t xml:space="preserve"> </w:t>
      </w:r>
    </w:p>
    <w:p w14:paraId="24AF90B9">
      <w:pPr>
        <w:tabs>
          <w:tab w:val="left" w:pos="3240"/>
          <w:tab w:val="left" w:pos="3420"/>
        </w:tabs>
        <w:spacing w:line="360" w:lineRule="auto"/>
        <w:ind w:firstLine="360"/>
        <w:jc w:val="left"/>
        <w:rPr>
          <w:rFonts w:hint="eastAsia" w:eastAsia="宋体"/>
          <w:bCs/>
          <w:color w:val="auto"/>
          <w:sz w:val="36"/>
          <w:szCs w:val="36"/>
          <w:highlight w:val="none"/>
          <w:lang w:eastAsia="zh-CN"/>
        </w:rPr>
      </w:pPr>
      <w:r>
        <w:rPr>
          <w:bCs/>
          <w:color w:val="auto"/>
          <w:sz w:val="36"/>
          <w:szCs w:val="36"/>
          <w:highlight w:val="none"/>
        </w:rPr>
        <w:t>项目编号：</w:t>
      </w:r>
      <w:r>
        <w:rPr>
          <w:rFonts w:hint="eastAsia"/>
          <w:bCs/>
          <w:color w:val="auto"/>
          <w:sz w:val="36"/>
          <w:szCs w:val="36"/>
          <w:highlight w:val="none"/>
          <w:lang w:eastAsia="zh-CN"/>
        </w:rPr>
        <w:t>JSZC-320400-ZCCZ-G2026-0033</w:t>
      </w:r>
    </w:p>
    <w:p w14:paraId="3DC6E811">
      <w:pPr>
        <w:tabs>
          <w:tab w:val="left" w:pos="3240"/>
          <w:tab w:val="left" w:pos="3420"/>
        </w:tabs>
        <w:spacing w:line="360" w:lineRule="auto"/>
        <w:ind w:firstLine="360"/>
        <w:jc w:val="left"/>
        <w:rPr>
          <w:bCs/>
          <w:color w:val="auto"/>
          <w:sz w:val="36"/>
          <w:szCs w:val="36"/>
          <w:highlight w:val="none"/>
        </w:rPr>
      </w:pPr>
      <w:r>
        <w:rPr>
          <w:bCs/>
          <w:color w:val="auto"/>
          <w:sz w:val="36"/>
          <w:szCs w:val="36"/>
          <w:highlight w:val="none"/>
        </w:rPr>
        <w:t>采 购 人：</w:t>
      </w:r>
      <w:r>
        <w:rPr>
          <w:rFonts w:hint="eastAsia"/>
          <w:bCs/>
          <w:color w:val="auto"/>
          <w:sz w:val="36"/>
          <w:szCs w:val="36"/>
          <w:highlight w:val="none"/>
          <w:lang w:eastAsia="zh-CN"/>
        </w:rPr>
        <w:t>常州市住房保障中心</w:t>
      </w:r>
      <w:r>
        <w:rPr>
          <w:rFonts w:hint="eastAsia"/>
          <w:bCs/>
          <w:color w:val="auto"/>
          <w:sz w:val="36"/>
          <w:szCs w:val="36"/>
          <w:highlight w:val="none"/>
        </w:rPr>
        <w:t xml:space="preserve"> </w:t>
      </w:r>
    </w:p>
    <w:p w14:paraId="235C24B7">
      <w:pPr>
        <w:tabs>
          <w:tab w:val="left" w:pos="3240"/>
          <w:tab w:val="left" w:pos="3420"/>
        </w:tabs>
        <w:spacing w:line="360" w:lineRule="auto"/>
        <w:ind w:firstLine="360"/>
        <w:jc w:val="left"/>
        <w:rPr>
          <w:bCs/>
          <w:color w:val="auto"/>
          <w:sz w:val="36"/>
          <w:szCs w:val="36"/>
          <w:highlight w:val="none"/>
        </w:rPr>
      </w:pPr>
      <w:r>
        <w:rPr>
          <w:rFonts w:hint="eastAsia"/>
          <w:bCs/>
          <w:color w:val="auto"/>
          <w:sz w:val="36"/>
          <w:szCs w:val="36"/>
          <w:highlight w:val="none"/>
        </w:rPr>
        <w:t>采购</w:t>
      </w:r>
      <w:r>
        <w:rPr>
          <w:bCs/>
          <w:color w:val="auto"/>
          <w:sz w:val="36"/>
          <w:szCs w:val="36"/>
          <w:highlight w:val="none"/>
        </w:rPr>
        <w:t>代理机构：</w:t>
      </w:r>
      <w:r>
        <w:rPr>
          <w:rFonts w:hint="eastAsia"/>
          <w:bCs/>
          <w:color w:val="auto"/>
          <w:sz w:val="36"/>
          <w:szCs w:val="36"/>
          <w:highlight w:val="none"/>
        </w:rPr>
        <w:t>常州中采招投标有限公司</w:t>
      </w:r>
    </w:p>
    <w:p w14:paraId="7B503677">
      <w:pPr>
        <w:widowControl/>
        <w:jc w:val="left"/>
        <w:rPr>
          <w:b/>
          <w:bCs/>
          <w:color w:val="auto"/>
          <w:sz w:val="44"/>
          <w:highlight w:val="none"/>
        </w:rPr>
      </w:pPr>
      <w:r>
        <w:rPr>
          <w:b/>
          <w:bCs/>
          <w:color w:val="auto"/>
          <w:sz w:val="44"/>
          <w:highlight w:val="none"/>
        </w:rPr>
        <w:br w:type="page" w:clear="all"/>
      </w:r>
    </w:p>
    <w:p w14:paraId="17375A92">
      <w:pPr>
        <w:spacing w:line="360" w:lineRule="auto"/>
        <w:jc w:val="center"/>
        <w:outlineLvl w:val="0"/>
        <w:rPr>
          <w:b/>
          <w:color w:val="auto"/>
          <w:sz w:val="36"/>
          <w:szCs w:val="36"/>
          <w:highlight w:val="none"/>
        </w:rPr>
      </w:pPr>
      <w:bookmarkStart w:id="0" w:name="_Toc157413231"/>
      <w:bookmarkStart w:id="1" w:name="_Toc99301418"/>
      <w:bookmarkStart w:id="2" w:name="_Toc148102680"/>
      <w:r>
        <w:rPr>
          <w:b/>
          <w:color w:val="auto"/>
          <w:sz w:val="36"/>
          <w:szCs w:val="36"/>
          <w:highlight w:val="none"/>
        </w:rPr>
        <w:t>目      录</w:t>
      </w:r>
      <w:bookmarkEnd w:id="0"/>
      <w:bookmarkEnd w:id="1"/>
      <w:bookmarkEnd w:id="2"/>
    </w:p>
    <w:p w14:paraId="3ABED8AD">
      <w:pPr>
        <w:rPr>
          <w:color w:val="auto"/>
          <w:highlight w:val="none"/>
        </w:rPr>
      </w:pPr>
    </w:p>
    <w:p w14:paraId="008576CA">
      <w:pPr>
        <w:pStyle w:val="244"/>
        <w:rPr>
          <w:rFonts w:ascii="Calibri" w:hAnsi="Calibri"/>
          <w:b w:val="0"/>
          <w:color w:val="auto"/>
          <w:sz w:val="21"/>
          <w:szCs w:val="22"/>
          <w:highlight w:val="none"/>
        </w:rPr>
      </w:pPr>
      <w:r>
        <w:rPr>
          <w:rFonts w:ascii="Times New Roman" w:hAnsi="Times New Roman"/>
          <w:b w:val="0"/>
          <w:color w:val="auto"/>
          <w:highlight w:val="none"/>
        </w:rPr>
        <w:fldChar w:fldCharType="begin"/>
      </w:r>
      <w:r>
        <w:rPr>
          <w:rFonts w:ascii="Times New Roman" w:hAnsi="Times New Roman"/>
          <w:b w:val="0"/>
          <w:color w:val="auto"/>
          <w:highlight w:val="none"/>
        </w:rPr>
        <w:instrText xml:space="preserve"> TOC \o "1-1" \h \z \u </w:instrText>
      </w:r>
      <w:r>
        <w:rPr>
          <w:rFonts w:ascii="Times New Roman" w:hAnsi="Times New Roman"/>
          <w:b w:val="0"/>
          <w:color w:val="auto"/>
          <w:highlight w:val="none"/>
        </w:rPr>
        <w:fldChar w:fldCharType="separate"/>
      </w:r>
    </w:p>
    <w:p w14:paraId="7F875AAB">
      <w:pPr>
        <w:pStyle w:val="244"/>
        <w:rPr>
          <w:rFonts w:ascii="Calibri" w:hAnsi="Calibri"/>
          <w:b w:val="0"/>
          <w:color w:val="auto"/>
          <w:sz w:val="21"/>
          <w:szCs w:val="22"/>
          <w:highlight w:val="none"/>
        </w:rPr>
      </w:pPr>
      <w:r>
        <w:rPr>
          <w:color w:val="auto"/>
          <w:highlight w:val="none"/>
        </w:rPr>
        <w:fldChar w:fldCharType="begin"/>
      </w:r>
      <w:r>
        <w:rPr>
          <w:color w:val="auto"/>
          <w:highlight w:val="none"/>
        </w:rPr>
        <w:instrText xml:space="preserve"> HYPERLINK \l "_Toc157413232" </w:instrText>
      </w:r>
      <w:r>
        <w:rPr>
          <w:color w:val="auto"/>
          <w:highlight w:val="none"/>
        </w:rPr>
        <w:fldChar w:fldCharType="separate"/>
      </w:r>
      <w:r>
        <w:rPr>
          <w:rStyle w:val="267"/>
          <w:rFonts w:hint="eastAsia"/>
          <w:color w:val="auto"/>
          <w:highlight w:val="none"/>
        </w:rPr>
        <w:t>第一章</w:t>
      </w:r>
      <w:r>
        <w:rPr>
          <w:rStyle w:val="267"/>
          <w:color w:val="auto"/>
          <w:highlight w:val="none"/>
        </w:rPr>
        <w:t xml:space="preserve">   </w:t>
      </w:r>
      <w:r>
        <w:rPr>
          <w:rStyle w:val="267"/>
          <w:rFonts w:hint="eastAsia"/>
          <w:color w:val="auto"/>
          <w:highlight w:val="none"/>
        </w:rPr>
        <w:t>投标邀请</w:t>
      </w:r>
      <w:r>
        <w:rPr>
          <w:color w:val="auto"/>
          <w:highlight w:val="none"/>
        </w:rPr>
        <w:tab/>
      </w:r>
      <w:r>
        <w:rPr>
          <w:color w:val="auto"/>
          <w:highlight w:val="none"/>
        </w:rPr>
        <w:fldChar w:fldCharType="begin"/>
      </w:r>
      <w:r>
        <w:rPr>
          <w:color w:val="auto"/>
          <w:highlight w:val="none"/>
        </w:rPr>
        <w:instrText xml:space="preserve"> PAGEREF _Toc157413232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14:paraId="2260D8A8">
      <w:pPr>
        <w:pStyle w:val="244"/>
        <w:rPr>
          <w:rFonts w:ascii="Calibri" w:hAnsi="Calibri"/>
          <w:b w:val="0"/>
          <w:color w:val="auto"/>
          <w:sz w:val="21"/>
          <w:szCs w:val="22"/>
          <w:highlight w:val="none"/>
        </w:rPr>
      </w:pPr>
      <w:r>
        <w:rPr>
          <w:color w:val="auto"/>
          <w:highlight w:val="none"/>
        </w:rPr>
        <w:fldChar w:fldCharType="begin"/>
      </w:r>
      <w:r>
        <w:rPr>
          <w:color w:val="auto"/>
          <w:highlight w:val="none"/>
        </w:rPr>
        <w:instrText xml:space="preserve"> HYPERLINK \l "_Toc157413233" </w:instrText>
      </w:r>
      <w:r>
        <w:rPr>
          <w:color w:val="auto"/>
          <w:highlight w:val="none"/>
        </w:rPr>
        <w:fldChar w:fldCharType="separate"/>
      </w:r>
      <w:r>
        <w:rPr>
          <w:rStyle w:val="267"/>
          <w:rFonts w:hint="eastAsia"/>
          <w:color w:val="auto"/>
          <w:highlight w:val="none"/>
        </w:rPr>
        <w:t>第二章</w:t>
      </w:r>
      <w:r>
        <w:rPr>
          <w:rStyle w:val="267"/>
          <w:color w:val="auto"/>
          <w:highlight w:val="none"/>
        </w:rPr>
        <w:t xml:space="preserve">   </w:t>
      </w:r>
      <w:r>
        <w:rPr>
          <w:rStyle w:val="267"/>
          <w:rFonts w:hint="eastAsia"/>
          <w:color w:val="auto"/>
          <w:highlight w:val="none"/>
        </w:rPr>
        <w:t>投标人须知</w:t>
      </w:r>
      <w:r>
        <w:rPr>
          <w:color w:val="auto"/>
          <w:highlight w:val="none"/>
        </w:rPr>
        <w:tab/>
      </w:r>
      <w:r>
        <w:rPr>
          <w:color w:val="auto"/>
          <w:highlight w:val="none"/>
        </w:rPr>
        <w:fldChar w:fldCharType="begin"/>
      </w:r>
      <w:r>
        <w:rPr>
          <w:color w:val="auto"/>
          <w:highlight w:val="none"/>
        </w:rPr>
        <w:instrText xml:space="preserve"> PAGEREF _Toc157413233 \h </w:instrText>
      </w:r>
      <w:r>
        <w:rPr>
          <w:color w:val="auto"/>
          <w:highlight w:val="none"/>
        </w:rPr>
        <w:fldChar w:fldCharType="separate"/>
      </w:r>
      <w:r>
        <w:rPr>
          <w:color w:val="auto"/>
          <w:highlight w:val="none"/>
        </w:rPr>
        <w:t>5</w:t>
      </w:r>
      <w:r>
        <w:rPr>
          <w:color w:val="auto"/>
          <w:highlight w:val="none"/>
        </w:rPr>
        <w:fldChar w:fldCharType="end"/>
      </w:r>
      <w:r>
        <w:rPr>
          <w:color w:val="auto"/>
          <w:highlight w:val="none"/>
        </w:rPr>
        <w:fldChar w:fldCharType="end"/>
      </w:r>
    </w:p>
    <w:p w14:paraId="40702B2D">
      <w:pPr>
        <w:pStyle w:val="244"/>
        <w:rPr>
          <w:rFonts w:ascii="Calibri" w:hAnsi="Calibri"/>
          <w:b w:val="0"/>
          <w:color w:val="auto"/>
          <w:sz w:val="21"/>
          <w:szCs w:val="22"/>
          <w:highlight w:val="none"/>
        </w:rPr>
      </w:pPr>
      <w:r>
        <w:rPr>
          <w:color w:val="auto"/>
          <w:highlight w:val="none"/>
        </w:rPr>
        <w:fldChar w:fldCharType="begin"/>
      </w:r>
      <w:r>
        <w:rPr>
          <w:color w:val="auto"/>
          <w:highlight w:val="none"/>
        </w:rPr>
        <w:instrText xml:space="preserve"> HYPERLINK \l "_Toc157413234" </w:instrText>
      </w:r>
      <w:r>
        <w:rPr>
          <w:color w:val="auto"/>
          <w:highlight w:val="none"/>
        </w:rPr>
        <w:fldChar w:fldCharType="separate"/>
      </w:r>
      <w:r>
        <w:rPr>
          <w:rStyle w:val="267"/>
          <w:rFonts w:hint="eastAsia"/>
          <w:color w:val="auto"/>
          <w:highlight w:val="none"/>
        </w:rPr>
        <w:t>第三章</w:t>
      </w:r>
      <w:r>
        <w:rPr>
          <w:rStyle w:val="267"/>
          <w:color w:val="auto"/>
          <w:highlight w:val="none"/>
        </w:rPr>
        <w:t xml:space="preserve">   </w:t>
      </w:r>
      <w:r>
        <w:rPr>
          <w:rStyle w:val="267"/>
          <w:rFonts w:hint="eastAsia"/>
          <w:color w:val="auto"/>
          <w:highlight w:val="none"/>
        </w:rPr>
        <w:t>资格审查</w:t>
      </w:r>
      <w:r>
        <w:rPr>
          <w:color w:val="auto"/>
          <w:highlight w:val="none"/>
        </w:rPr>
        <w:tab/>
      </w:r>
      <w:r>
        <w:rPr>
          <w:color w:val="auto"/>
          <w:highlight w:val="none"/>
        </w:rPr>
        <w:fldChar w:fldCharType="begin"/>
      </w:r>
      <w:r>
        <w:rPr>
          <w:color w:val="auto"/>
          <w:highlight w:val="none"/>
        </w:rPr>
        <w:instrText xml:space="preserve"> PAGEREF _Toc157413234 \h </w:instrText>
      </w:r>
      <w:r>
        <w:rPr>
          <w:color w:val="auto"/>
          <w:highlight w:val="none"/>
        </w:rPr>
        <w:fldChar w:fldCharType="separate"/>
      </w:r>
      <w:r>
        <w:rPr>
          <w:color w:val="auto"/>
          <w:highlight w:val="none"/>
        </w:rPr>
        <w:t>19</w:t>
      </w:r>
      <w:r>
        <w:rPr>
          <w:color w:val="auto"/>
          <w:highlight w:val="none"/>
        </w:rPr>
        <w:fldChar w:fldCharType="end"/>
      </w:r>
      <w:r>
        <w:rPr>
          <w:color w:val="auto"/>
          <w:highlight w:val="none"/>
        </w:rPr>
        <w:fldChar w:fldCharType="end"/>
      </w:r>
    </w:p>
    <w:p w14:paraId="07381EDD">
      <w:pPr>
        <w:pStyle w:val="244"/>
        <w:rPr>
          <w:rFonts w:ascii="Calibri" w:hAnsi="Calibri"/>
          <w:b w:val="0"/>
          <w:color w:val="auto"/>
          <w:sz w:val="21"/>
          <w:szCs w:val="22"/>
          <w:highlight w:val="none"/>
        </w:rPr>
      </w:pPr>
      <w:r>
        <w:rPr>
          <w:color w:val="auto"/>
          <w:highlight w:val="none"/>
        </w:rPr>
        <w:fldChar w:fldCharType="begin"/>
      </w:r>
      <w:r>
        <w:rPr>
          <w:color w:val="auto"/>
          <w:highlight w:val="none"/>
        </w:rPr>
        <w:instrText xml:space="preserve"> HYPERLINK \l "_Toc157413235" </w:instrText>
      </w:r>
      <w:r>
        <w:rPr>
          <w:color w:val="auto"/>
          <w:highlight w:val="none"/>
        </w:rPr>
        <w:fldChar w:fldCharType="separate"/>
      </w:r>
      <w:r>
        <w:rPr>
          <w:rStyle w:val="267"/>
          <w:rFonts w:hint="eastAsia"/>
          <w:color w:val="auto"/>
          <w:highlight w:val="none"/>
        </w:rPr>
        <w:t>第四章</w:t>
      </w:r>
      <w:r>
        <w:rPr>
          <w:rStyle w:val="267"/>
          <w:color w:val="auto"/>
          <w:highlight w:val="none"/>
        </w:rPr>
        <w:t xml:space="preserve">   </w:t>
      </w:r>
      <w:r>
        <w:rPr>
          <w:rStyle w:val="267"/>
          <w:rFonts w:hint="eastAsia"/>
          <w:color w:val="auto"/>
          <w:highlight w:val="none"/>
        </w:rPr>
        <w:t>评标程序、评标方法和评标标准</w:t>
      </w:r>
      <w:r>
        <w:rPr>
          <w:color w:val="auto"/>
          <w:highlight w:val="none"/>
        </w:rPr>
        <w:tab/>
      </w:r>
      <w:r>
        <w:rPr>
          <w:color w:val="auto"/>
          <w:highlight w:val="none"/>
        </w:rPr>
        <w:fldChar w:fldCharType="begin"/>
      </w:r>
      <w:r>
        <w:rPr>
          <w:color w:val="auto"/>
          <w:highlight w:val="none"/>
        </w:rPr>
        <w:instrText xml:space="preserve"> PAGEREF _Toc157413235 \h </w:instrText>
      </w:r>
      <w:r>
        <w:rPr>
          <w:color w:val="auto"/>
          <w:highlight w:val="none"/>
        </w:rPr>
        <w:fldChar w:fldCharType="separate"/>
      </w:r>
      <w:r>
        <w:rPr>
          <w:color w:val="auto"/>
          <w:highlight w:val="none"/>
        </w:rPr>
        <w:t>21</w:t>
      </w:r>
      <w:r>
        <w:rPr>
          <w:color w:val="auto"/>
          <w:highlight w:val="none"/>
        </w:rPr>
        <w:fldChar w:fldCharType="end"/>
      </w:r>
      <w:r>
        <w:rPr>
          <w:color w:val="auto"/>
          <w:highlight w:val="none"/>
        </w:rPr>
        <w:fldChar w:fldCharType="end"/>
      </w:r>
    </w:p>
    <w:p w14:paraId="63FD5863">
      <w:pPr>
        <w:pStyle w:val="244"/>
        <w:rPr>
          <w:rFonts w:ascii="Calibri" w:hAnsi="Calibri"/>
          <w:b w:val="0"/>
          <w:color w:val="auto"/>
          <w:sz w:val="21"/>
          <w:szCs w:val="22"/>
          <w:highlight w:val="none"/>
        </w:rPr>
      </w:pPr>
      <w:r>
        <w:rPr>
          <w:color w:val="auto"/>
          <w:highlight w:val="none"/>
        </w:rPr>
        <w:fldChar w:fldCharType="begin"/>
      </w:r>
      <w:r>
        <w:rPr>
          <w:color w:val="auto"/>
          <w:highlight w:val="none"/>
        </w:rPr>
        <w:instrText xml:space="preserve"> HYPERLINK \l "_Toc157413236" </w:instrText>
      </w:r>
      <w:r>
        <w:rPr>
          <w:color w:val="auto"/>
          <w:highlight w:val="none"/>
        </w:rPr>
        <w:fldChar w:fldCharType="separate"/>
      </w:r>
      <w:r>
        <w:rPr>
          <w:rStyle w:val="267"/>
          <w:rFonts w:hint="eastAsia"/>
          <w:color w:val="auto"/>
          <w:highlight w:val="none"/>
        </w:rPr>
        <w:t>第五章</w:t>
      </w:r>
      <w:r>
        <w:rPr>
          <w:rStyle w:val="267"/>
          <w:color w:val="auto"/>
          <w:highlight w:val="none"/>
        </w:rPr>
        <w:t xml:space="preserve">   </w:t>
      </w:r>
      <w:r>
        <w:rPr>
          <w:rStyle w:val="267"/>
          <w:rFonts w:hint="eastAsia"/>
          <w:color w:val="auto"/>
          <w:highlight w:val="none"/>
        </w:rPr>
        <w:t>采购需求</w:t>
      </w:r>
      <w:r>
        <w:rPr>
          <w:color w:val="auto"/>
          <w:highlight w:val="none"/>
        </w:rPr>
        <w:tab/>
      </w:r>
      <w:r>
        <w:rPr>
          <w:color w:val="auto"/>
          <w:highlight w:val="none"/>
        </w:rPr>
        <w:fldChar w:fldCharType="begin"/>
      </w:r>
      <w:r>
        <w:rPr>
          <w:color w:val="auto"/>
          <w:highlight w:val="none"/>
        </w:rPr>
        <w:instrText xml:space="preserve"> PAGEREF _Toc157413236 \h </w:instrText>
      </w:r>
      <w:r>
        <w:rPr>
          <w:color w:val="auto"/>
          <w:highlight w:val="none"/>
        </w:rPr>
        <w:fldChar w:fldCharType="separate"/>
      </w:r>
      <w:r>
        <w:rPr>
          <w:color w:val="auto"/>
          <w:highlight w:val="none"/>
        </w:rPr>
        <w:t>35</w:t>
      </w:r>
      <w:r>
        <w:rPr>
          <w:color w:val="auto"/>
          <w:highlight w:val="none"/>
        </w:rPr>
        <w:fldChar w:fldCharType="end"/>
      </w:r>
      <w:r>
        <w:rPr>
          <w:color w:val="auto"/>
          <w:highlight w:val="none"/>
        </w:rPr>
        <w:fldChar w:fldCharType="end"/>
      </w:r>
    </w:p>
    <w:p w14:paraId="0C01E2D2">
      <w:pPr>
        <w:pStyle w:val="244"/>
        <w:rPr>
          <w:rFonts w:hint="default" w:ascii="Calibri" w:hAnsi="Calibri" w:eastAsia="宋体"/>
          <w:b w:val="0"/>
          <w:color w:val="auto"/>
          <w:sz w:val="21"/>
          <w:szCs w:val="22"/>
          <w:highlight w:val="none"/>
          <w:lang w:val="en-US" w:eastAsia="zh-CN"/>
        </w:rPr>
      </w:pPr>
      <w:r>
        <w:rPr>
          <w:color w:val="auto"/>
          <w:highlight w:val="none"/>
        </w:rPr>
        <w:fldChar w:fldCharType="begin"/>
      </w:r>
      <w:r>
        <w:rPr>
          <w:color w:val="auto"/>
          <w:highlight w:val="none"/>
        </w:rPr>
        <w:instrText xml:space="preserve"> HYPERLINK \l "_Toc157413237" </w:instrText>
      </w:r>
      <w:r>
        <w:rPr>
          <w:color w:val="auto"/>
          <w:highlight w:val="none"/>
        </w:rPr>
        <w:fldChar w:fldCharType="separate"/>
      </w:r>
      <w:r>
        <w:rPr>
          <w:rStyle w:val="267"/>
          <w:rFonts w:hint="eastAsia"/>
          <w:color w:val="auto"/>
          <w:highlight w:val="none"/>
        </w:rPr>
        <w:t>第六章</w:t>
      </w:r>
      <w:r>
        <w:rPr>
          <w:rStyle w:val="267"/>
          <w:color w:val="auto"/>
          <w:highlight w:val="none"/>
        </w:rPr>
        <w:t xml:space="preserve">   </w:t>
      </w:r>
      <w:r>
        <w:rPr>
          <w:rStyle w:val="267"/>
          <w:rFonts w:hint="eastAsia"/>
          <w:color w:val="auto"/>
          <w:highlight w:val="none"/>
        </w:rPr>
        <w:t>拟签订的合同文本</w:t>
      </w:r>
      <w:r>
        <w:rPr>
          <w:color w:val="auto"/>
          <w:highlight w:val="none"/>
        </w:rPr>
        <w:tab/>
      </w:r>
      <w:r>
        <w:rPr>
          <w:color w:val="auto"/>
          <w:highlight w:val="none"/>
        </w:rPr>
        <w:fldChar w:fldCharType="end"/>
      </w:r>
      <w:r>
        <w:rPr>
          <w:rFonts w:hint="eastAsia"/>
          <w:color w:val="auto"/>
          <w:highlight w:val="none"/>
          <w:lang w:val="en-US" w:eastAsia="zh-CN"/>
        </w:rPr>
        <w:t>48</w:t>
      </w:r>
    </w:p>
    <w:p w14:paraId="527FA945">
      <w:pPr>
        <w:pStyle w:val="244"/>
        <w:rPr>
          <w:rFonts w:ascii="Calibri" w:hAnsi="Calibri"/>
          <w:b w:val="0"/>
          <w:color w:val="auto"/>
          <w:sz w:val="21"/>
          <w:szCs w:val="22"/>
          <w:highlight w:val="none"/>
        </w:rPr>
      </w:pPr>
      <w:r>
        <w:rPr>
          <w:color w:val="auto"/>
          <w:highlight w:val="none"/>
        </w:rPr>
        <w:fldChar w:fldCharType="begin"/>
      </w:r>
      <w:r>
        <w:rPr>
          <w:color w:val="auto"/>
          <w:highlight w:val="none"/>
        </w:rPr>
        <w:instrText xml:space="preserve"> HYPERLINK \l "_Toc157413252" </w:instrText>
      </w:r>
      <w:r>
        <w:rPr>
          <w:color w:val="auto"/>
          <w:highlight w:val="none"/>
        </w:rPr>
        <w:fldChar w:fldCharType="separate"/>
      </w:r>
      <w:r>
        <w:rPr>
          <w:rStyle w:val="267"/>
          <w:rFonts w:hint="eastAsia"/>
          <w:color w:val="auto"/>
          <w:highlight w:val="none"/>
        </w:rPr>
        <w:t>第七章</w:t>
      </w:r>
      <w:r>
        <w:rPr>
          <w:rStyle w:val="267"/>
          <w:color w:val="auto"/>
          <w:highlight w:val="none"/>
        </w:rPr>
        <w:t xml:space="preserve">   </w:t>
      </w:r>
      <w:r>
        <w:rPr>
          <w:rStyle w:val="267"/>
          <w:rFonts w:hint="eastAsia"/>
          <w:color w:val="auto"/>
          <w:highlight w:val="none"/>
        </w:rPr>
        <w:t>投标文件格式</w:t>
      </w:r>
      <w:r>
        <w:rPr>
          <w:color w:val="auto"/>
          <w:highlight w:val="none"/>
        </w:rPr>
        <w:tab/>
      </w:r>
      <w:r>
        <w:rPr>
          <w:color w:val="auto"/>
          <w:highlight w:val="none"/>
        </w:rPr>
        <w:fldChar w:fldCharType="begin"/>
      </w:r>
      <w:r>
        <w:rPr>
          <w:color w:val="auto"/>
          <w:highlight w:val="none"/>
        </w:rPr>
        <w:instrText xml:space="preserve"> PAGEREF _Toc157413252 \h </w:instrText>
      </w:r>
      <w:r>
        <w:rPr>
          <w:color w:val="auto"/>
          <w:highlight w:val="none"/>
        </w:rPr>
        <w:fldChar w:fldCharType="separate"/>
      </w:r>
      <w:r>
        <w:rPr>
          <w:color w:val="auto"/>
          <w:highlight w:val="none"/>
        </w:rPr>
        <w:t>61</w:t>
      </w:r>
      <w:r>
        <w:rPr>
          <w:color w:val="auto"/>
          <w:highlight w:val="none"/>
        </w:rPr>
        <w:fldChar w:fldCharType="end"/>
      </w:r>
      <w:r>
        <w:rPr>
          <w:color w:val="auto"/>
          <w:highlight w:val="none"/>
        </w:rPr>
        <w:fldChar w:fldCharType="end"/>
      </w:r>
    </w:p>
    <w:p w14:paraId="610EB6C7">
      <w:pPr>
        <w:pStyle w:val="244"/>
        <w:spacing w:line="360" w:lineRule="auto"/>
        <w:rPr>
          <w:rFonts w:ascii="Times New Roman" w:hAnsi="Times New Roman"/>
          <w:b w:val="0"/>
          <w:color w:val="auto"/>
          <w:highlight w:val="none"/>
        </w:rPr>
      </w:pPr>
      <w:r>
        <w:rPr>
          <w:rFonts w:ascii="Times New Roman" w:hAnsi="Times New Roman"/>
          <w:b w:val="0"/>
          <w:color w:val="auto"/>
          <w:highlight w:val="none"/>
        </w:rPr>
        <w:fldChar w:fldCharType="end"/>
      </w:r>
    </w:p>
    <w:p w14:paraId="3A835F86">
      <w:pPr>
        <w:spacing w:line="360" w:lineRule="auto"/>
        <w:jc w:val="center"/>
        <w:outlineLvl w:val="0"/>
        <w:rPr>
          <w:color w:val="auto"/>
          <w:sz w:val="24"/>
          <w:highlight w:val="none"/>
        </w:rPr>
        <w:sectPr>
          <w:footerReference r:id="rId4" w:type="first"/>
          <w:headerReference r:id="rId3" w:type="default"/>
          <w:type w:val="nextColumn"/>
          <w:pgSz w:w="11907" w:h="16840"/>
          <w:pgMar w:top="1418" w:right="1417" w:bottom="1418" w:left="1418" w:header="851" w:footer="851" w:gutter="0"/>
          <w:cols w:space="720" w:num="1"/>
          <w:titlePg/>
          <w:docGrid w:linePitch="360" w:charSpace="0"/>
        </w:sectPr>
      </w:pPr>
    </w:p>
    <w:p w14:paraId="71A9C020">
      <w:pPr>
        <w:spacing w:line="360" w:lineRule="auto"/>
        <w:jc w:val="center"/>
        <w:outlineLvl w:val="0"/>
        <w:rPr>
          <w:b/>
          <w:color w:val="auto"/>
          <w:sz w:val="36"/>
          <w:szCs w:val="36"/>
          <w:highlight w:val="none"/>
        </w:rPr>
      </w:pPr>
      <w:bookmarkStart w:id="3" w:name="_Toc157413232"/>
      <w:r>
        <w:rPr>
          <w:b/>
          <w:color w:val="auto"/>
          <w:sz w:val="36"/>
          <w:szCs w:val="36"/>
          <w:highlight w:val="none"/>
        </w:rPr>
        <w:t>第一章   投标邀请</w:t>
      </w:r>
      <w:bookmarkEnd w:id="3"/>
    </w:p>
    <w:p w14:paraId="2F972768">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auto"/>
          <w:sz w:val="24"/>
          <w:highlight w:val="none"/>
        </w:rPr>
      </w:pPr>
      <w:bookmarkStart w:id="4" w:name="_Toc35393790"/>
      <w:bookmarkStart w:id="5" w:name="_Toc28359002"/>
      <w:bookmarkStart w:id="6" w:name="_Toc35393621"/>
      <w:bookmarkStart w:id="7" w:name="_Toc28359079"/>
      <w:bookmarkStart w:id="8" w:name="_Hlk24379207"/>
      <w:r>
        <w:rPr>
          <w:rFonts w:hint="eastAsia" w:ascii="宋体" w:hAnsi="宋体"/>
          <w:color w:val="auto"/>
          <w:sz w:val="24"/>
          <w:highlight w:val="none"/>
        </w:rPr>
        <w:t>项目概况</w:t>
      </w:r>
    </w:p>
    <w:p w14:paraId="219199C1">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auto"/>
          <w:sz w:val="24"/>
          <w:highlight w:val="none"/>
        </w:rPr>
      </w:pPr>
      <w:r>
        <w:rPr>
          <w:rFonts w:hint="eastAsia" w:ascii="宋体" w:hAnsi="宋体"/>
          <w:color w:val="auto"/>
          <w:sz w:val="24"/>
          <w:highlight w:val="none"/>
          <w:u w:val="single"/>
          <w:lang w:eastAsia="zh-CN"/>
        </w:rPr>
        <w:t>常州市住房租赁监管运营支撑服务项目</w:t>
      </w:r>
      <w:r>
        <w:rPr>
          <w:rFonts w:hint="eastAsia" w:ascii="宋体" w:hAnsi="宋体"/>
          <w:color w:val="auto"/>
          <w:sz w:val="24"/>
          <w:highlight w:val="none"/>
        </w:rPr>
        <w:t>的潜在投标人应在“苏采云”政府采购一体化平台获取招标文件，并于</w:t>
      </w:r>
      <w:r>
        <w:rPr>
          <w:rFonts w:ascii="宋体" w:hAnsi="宋体"/>
          <w:bCs/>
          <w:color w:val="auto"/>
          <w:sz w:val="24"/>
          <w:highlight w:val="none"/>
          <w:u w:val="single"/>
        </w:rPr>
        <w:t>2</w:t>
      </w:r>
      <w:r>
        <w:rPr>
          <w:rFonts w:hint="eastAsia" w:ascii="宋体" w:hAnsi="宋体"/>
          <w:bCs/>
          <w:color w:val="auto"/>
          <w:sz w:val="24"/>
          <w:highlight w:val="none"/>
          <w:u w:val="single"/>
        </w:rPr>
        <w:t>02</w:t>
      </w:r>
      <w:r>
        <w:rPr>
          <w:rFonts w:hint="eastAsia" w:ascii="宋体" w:hAnsi="宋体"/>
          <w:bCs/>
          <w:color w:val="auto"/>
          <w:sz w:val="24"/>
          <w:highlight w:val="none"/>
          <w:u w:val="single"/>
          <w:lang w:val="en-US" w:eastAsia="zh-CN"/>
        </w:rPr>
        <w:t>6</w:t>
      </w:r>
      <w:r>
        <w:rPr>
          <w:rFonts w:ascii="宋体" w:hAnsi="宋体"/>
          <w:bCs/>
          <w:color w:val="auto"/>
          <w:sz w:val="24"/>
          <w:highlight w:val="none"/>
          <w:u w:val="single"/>
        </w:rPr>
        <w:t>年</w:t>
      </w:r>
      <w:r>
        <w:rPr>
          <w:rFonts w:hint="eastAsia" w:ascii="宋体" w:hAnsi="宋体"/>
          <w:bCs/>
          <w:color w:val="auto"/>
          <w:sz w:val="24"/>
          <w:highlight w:val="none"/>
          <w:u w:val="single"/>
          <w:lang w:val="en-US" w:eastAsia="zh-CN"/>
        </w:rPr>
        <w:t>11</w:t>
      </w:r>
      <w:r>
        <w:rPr>
          <w:rFonts w:ascii="宋体" w:hAnsi="宋体"/>
          <w:bCs/>
          <w:color w:val="auto"/>
          <w:sz w:val="24"/>
          <w:highlight w:val="none"/>
          <w:u w:val="single"/>
        </w:rPr>
        <w:t>月</w:t>
      </w:r>
      <w:r>
        <w:rPr>
          <w:rFonts w:hint="eastAsia" w:ascii="宋体" w:hAnsi="宋体"/>
          <w:bCs/>
          <w:color w:val="auto"/>
          <w:sz w:val="24"/>
          <w:highlight w:val="none"/>
          <w:u w:val="single"/>
          <w:lang w:val="en-US" w:eastAsia="zh-CN"/>
        </w:rPr>
        <w:t>3</w:t>
      </w:r>
      <w:r>
        <w:rPr>
          <w:rFonts w:ascii="宋体" w:hAnsi="宋体"/>
          <w:bCs/>
          <w:color w:val="auto"/>
          <w:sz w:val="24"/>
          <w:highlight w:val="none"/>
          <w:u w:val="single"/>
        </w:rPr>
        <w:t>日</w:t>
      </w:r>
      <w:r>
        <w:rPr>
          <w:rFonts w:hint="eastAsia" w:ascii="宋体" w:hAnsi="宋体"/>
          <w:bCs/>
          <w:color w:val="auto"/>
          <w:sz w:val="24"/>
          <w:highlight w:val="none"/>
          <w:u w:val="single"/>
          <w:lang w:val="en-US" w:eastAsia="zh-CN"/>
        </w:rPr>
        <w:t>14</w:t>
      </w:r>
      <w:r>
        <w:rPr>
          <w:rFonts w:hint="eastAsia" w:ascii="宋体" w:hAnsi="宋体"/>
          <w:bCs/>
          <w:color w:val="auto"/>
          <w:sz w:val="24"/>
          <w:highlight w:val="none"/>
          <w:u w:val="single"/>
        </w:rPr>
        <w:t>时</w:t>
      </w:r>
      <w:r>
        <w:rPr>
          <w:rFonts w:hint="eastAsia" w:ascii="宋体" w:hAnsi="宋体"/>
          <w:bCs/>
          <w:color w:val="auto"/>
          <w:sz w:val="24"/>
          <w:highlight w:val="none"/>
          <w:u w:val="single"/>
          <w:lang w:val="en-US" w:eastAsia="zh-CN"/>
        </w:rPr>
        <w:t>00</w:t>
      </w:r>
      <w:r>
        <w:rPr>
          <w:rFonts w:ascii="宋体" w:hAnsi="宋体"/>
          <w:bCs/>
          <w:color w:val="auto"/>
          <w:sz w:val="24"/>
          <w:highlight w:val="none"/>
          <w:u w:val="single"/>
        </w:rPr>
        <w:t>分</w:t>
      </w:r>
      <w:r>
        <w:rPr>
          <w:rFonts w:hint="eastAsia" w:ascii="宋体" w:hAnsi="宋体"/>
          <w:bCs/>
          <w:color w:val="auto"/>
          <w:sz w:val="24"/>
          <w:highlight w:val="none"/>
        </w:rPr>
        <w:t>（北京时间）前提交投标文件</w:t>
      </w:r>
      <w:r>
        <w:rPr>
          <w:rFonts w:hint="eastAsia" w:ascii="宋体" w:hAnsi="宋体"/>
          <w:color w:val="auto"/>
          <w:sz w:val="24"/>
          <w:highlight w:val="none"/>
        </w:rPr>
        <w:t>。</w:t>
      </w:r>
    </w:p>
    <w:p w14:paraId="4C27F037">
      <w:pPr>
        <w:pStyle w:val="194"/>
        <w:spacing w:before="0" w:line="360" w:lineRule="auto"/>
        <w:jc w:val="lef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一、项目基本情况</w:t>
      </w:r>
      <w:bookmarkEnd w:id="4"/>
      <w:bookmarkEnd w:id="5"/>
      <w:bookmarkEnd w:id="6"/>
      <w:bookmarkEnd w:id="7"/>
    </w:p>
    <w:p w14:paraId="62385586">
      <w:pPr>
        <w:spacing w:line="360" w:lineRule="auto"/>
        <w:ind w:firstLine="480"/>
        <w:rPr>
          <w:rFonts w:hint="eastAsia" w:ascii="宋体" w:hAnsi="宋体" w:eastAsia="宋体"/>
          <w:color w:val="auto"/>
          <w:sz w:val="24"/>
          <w:highlight w:val="none"/>
          <w:lang w:eastAsia="zh-CN"/>
        </w:rPr>
      </w:pPr>
      <w:r>
        <w:rPr>
          <w:color w:val="auto"/>
          <w:sz w:val="24"/>
          <w:highlight w:val="none"/>
        </w:rPr>
        <w:t>1.</w:t>
      </w:r>
      <w:r>
        <w:rPr>
          <w:rFonts w:ascii="宋体" w:hAnsi="宋体"/>
          <w:color w:val="auto"/>
          <w:sz w:val="24"/>
          <w:highlight w:val="none"/>
        </w:rPr>
        <w:t>项目编号：</w:t>
      </w:r>
      <w:r>
        <w:rPr>
          <w:rFonts w:hint="eastAsia" w:ascii="宋体" w:hAnsi="宋体"/>
          <w:color w:val="auto"/>
          <w:sz w:val="24"/>
          <w:highlight w:val="none"/>
          <w:lang w:eastAsia="zh-CN"/>
        </w:rPr>
        <w:t>JSZC-320400-ZCCZ-G2026-0033</w:t>
      </w:r>
    </w:p>
    <w:p w14:paraId="1F23E9DA">
      <w:pPr>
        <w:spacing w:line="360" w:lineRule="auto"/>
        <w:ind w:firstLine="480"/>
        <w:rPr>
          <w:rFonts w:hint="eastAsia" w:ascii="宋体" w:hAnsi="宋体" w:eastAsia="宋体"/>
          <w:color w:val="auto"/>
          <w:sz w:val="24"/>
          <w:highlight w:val="none"/>
          <w:lang w:eastAsia="zh-CN"/>
        </w:rPr>
      </w:pPr>
      <w:r>
        <w:rPr>
          <w:color w:val="auto"/>
          <w:sz w:val="24"/>
          <w:highlight w:val="none"/>
        </w:rPr>
        <w:t>2.</w:t>
      </w:r>
      <w:r>
        <w:rPr>
          <w:rFonts w:ascii="宋体" w:hAnsi="宋体"/>
          <w:color w:val="auto"/>
          <w:sz w:val="24"/>
          <w:highlight w:val="none"/>
        </w:rPr>
        <w:t>项目名称：</w:t>
      </w:r>
      <w:bookmarkEnd w:id="8"/>
      <w:r>
        <w:rPr>
          <w:rFonts w:hint="eastAsia" w:ascii="宋体" w:hAnsi="宋体"/>
          <w:color w:val="auto"/>
          <w:sz w:val="24"/>
          <w:highlight w:val="none"/>
          <w:lang w:eastAsia="zh-CN"/>
        </w:rPr>
        <w:t>常州市住房租赁监管运营支撑服务项目</w:t>
      </w:r>
    </w:p>
    <w:p w14:paraId="4E4CC26D">
      <w:pPr>
        <w:spacing w:line="360" w:lineRule="auto"/>
        <w:ind w:firstLine="480"/>
        <w:rPr>
          <w:color w:val="auto"/>
          <w:sz w:val="24"/>
          <w:highlight w:val="none"/>
        </w:rPr>
      </w:pPr>
      <w:r>
        <w:rPr>
          <w:rFonts w:hint="eastAsia"/>
          <w:color w:val="auto"/>
          <w:sz w:val="24"/>
          <w:highlight w:val="none"/>
        </w:rPr>
        <w:t>3.采购方式：公开招标</w:t>
      </w:r>
    </w:p>
    <w:p w14:paraId="40B1DB5E">
      <w:pPr>
        <w:spacing w:line="360" w:lineRule="auto"/>
        <w:ind w:firstLine="480"/>
        <w:rPr>
          <w:rFonts w:hint="eastAsia" w:eastAsia="宋体"/>
          <w:color w:val="auto"/>
          <w:sz w:val="24"/>
          <w:highlight w:val="none"/>
          <w:lang w:eastAsia="zh-CN"/>
        </w:rPr>
      </w:pPr>
      <w:r>
        <w:rPr>
          <w:rFonts w:hint="eastAsia"/>
          <w:color w:val="auto"/>
          <w:sz w:val="24"/>
          <w:highlight w:val="none"/>
        </w:rPr>
        <w:t>4</w:t>
      </w:r>
      <w:r>
        <w:rPr>
          <w:color w:val="auto"/>
          <w:sz w:val="24"/>
          <w:highlight w:val="none"/>
        </w:rPr>
        <w:t>.项目预算金额：</w:t>
      </w:r>
      <w:r>
        <w:rPr>
          <w:rFonts w:hint="eastAsia"/>
          <w:color w:val="auto"/>
          <w:sz w:val="24"/>
          <w:highlight w:val="none"/>
          <w:lang w:eastAsia="zh-CN"/>
        </w:rPr>
        <w:t>180万元/三年（60万/年）</w:t>
      </w:r>
    </w:p>
    <w:p w14:paraId="785EFCC6">
      <w:pPr>
        <w:spacing w:line="360" w:lineRule="auto"/>
        <w:ind w:firstLine="480"/>
        <w:rPr>
          <w:rFonts w:hint="eastAsia" w:eastAsia="宋体"/>
          <w:color w:val="auto"/>
          <w:sz w:val="24"/>
          <w:highlight w:val="none"/>
          <w:lang w:eastAsia="zh-CN"/>
        </w:rPr>
      </w:pPr>
      <w:r>
        <w:rPr>
          <w:rFonts w:hint="eastAsia"/>
          <w:color w:val="auto"/>
          <w:sz w:val="24"/>
          <w:highlight w:val="none"/>
        </w:rPr>
        <w:t>5.</w:t>
      </w:r>
      <w:r>
        <w:rPr>
          <w:color w:val="auto"/>
          <w:sz w:val="24"/>
          <w:highlight w:val="none"/>
        </w:rPr>
        <w:t>项目最高限价</w:t>
      </w:r>
      <w:r>
        <w:rPr>
          <w:rFonts w:hint="eastAsia"/>
          <w:color w:val="auto"/>
          <w:sz w:val="24"/>
          <w:highlight w:val="none"/>
        </w:rPr>
        <w:t>：</w:t>
      </w:r>
      <w:r>
        <w:rPr>
          <w:rFonts w:hint="eastAsia"/>
          <w:color w:val="auto"/>
          <w:sz w:val="24"/>
          <w:highlight w:val="none"/>
          <w:lang w:eastAsia="zh-CN"/>
        </w:rPr>
        <w:t>180万元/三年（60万/年）</w:t>
      </w:r>
    </w:p>
    <w:p w14:paraId="07CEB865">
      <w:pPr>
        <w:spacing w:line="360" w:lineRule="auto"/>
        <w:ind w:firstLine="480"/>
        <w:rPr>
          <w:color w:val="auto"/>
          <w:sz w:val="24"/>
          <w:highlight w:val="none"/>
        </w:rPr>
      </w:pPr>
      <w:r>
        <w:rPr>
          <w:rFonts w:hint="eastAsia"/>
          <w:color w:val="auto"/>
          <w:sz w:val="24"/>
          <w:highlight w:val="none"/>
        </w:rPr>
        <w:t>6</w:t>
      </w:r>
      <w:r>
        <w:rPr>
          <w:color w:val="auto"/>
          <w:sz w:val="24"/>
          <w:highlight w:val="none"/>
        </w:rPr>
        <w:t>.采购需求：</w:t>
      </w:r>
      <w:r>
        <w:rPr>
          <w:rFonts w:hint="eastAsia" w:ascii="宋体" w:hAnsi="宋体"/>
          <w:bCs/>
          <w:color w:val="auto"/>
          <w:sz w:val="24"/>
          <w:highlight w:val="none"/>
        </w:rPr>
        <w:t>本项目为</w:t>
      </w:r>
      <w:r>
        <w:rPr>
          <w:rFonts w:hint="eastAsia" w:ascii="宋体" w:hAnsi="宋体"/>
          <w:bCs/>
          <w:color w:val="auto"/>
          <w:sz w:val="24"/>
          <w:highlight w:val="none"/>
          <w:lang w:eastAsia="zh-CN"/>
        </w:rPr>
        <w:t>常州市住房租赁监管运营支撑服务项目。</w:t>
      </w:r>
      <w:r>
        <w:rPr>
          <w:rFonts w:hint="eastAsia" w:ascii="宋体" w:hAnsi="宋体"/>
          <w:bCs/>
          <w:color w:val="auto"/>
          <w:sz w:val="24"/>
          <w:highlight w:val="none"/>
          <w:lang w:val="en-US" w:eastAsia="zh-CN"/>
        </w:rPr>
        <w:t>根据招标</w:t>
      </w:r>
      <w:r>
        <w:rPr>
          <w:rFonts w:hint="eastAsia" w:ascii="宋体" w:hAnsi="宋体"/>
          <w:bCs/>
          <w:color w:val="auto"/>
          <w:sz w:val="24"/>
          <w:highlight w:val="none"/>
          <w:lang w:eastAsia="zh-CN"/>
        </w:rPr>
        <w:t>人住房租赁监管和便民服务工作需要，提供全周期运营支撑服务。</w:t>
      </w:r>
      <w:r>
        <w:rPr>
          <w:rFonts w:hint="eastAsia" w:ascii="宋体" w:hAnsi="宋体" w:eastAsia="宋体" w:cs="宋体"/>
          <w:bCs/>
          <w:color w:val="auto"/>
          <w:sz w:val="24"/>
          <w:szCs w:val="24"/>
          <w:highlight w:val="none"/>
        </w:rPr>
        <w:t>采购内容</w:t>
      </w:r>
      <w:r>
        <w:rPr>
          <w:rFonts w:hint="eastAsia" w:ascii="宋体" w:hAnsi="宋体" w:cs="宋体"/>
          <w:bCs/>
          <w:color w:val="auto"/>
          <w:sz w:val="24"/>
          <w:szCs w:val="24"/>
          <w:highlight w:val="none"/>
          <w:lang w:val="en-US" w:eastAsia="zh-CN"/>
        </w:rPr>
        <w:t>包括</w:t>
      </w:r>
      <w:r>
        <w:rPr>
          <w:rFonts w:hint="eastAsia" w:ascii="宋体" w:hAnsi="宋体" w:eastAsia="宋体" w:cs="宋体"/>
          <w:b w:val="0"/>
          <w:bCs/>
          <w:color w:val="auto"/>
          <w:sz w:val="24"/>
          <w:szCs w:val="24"/>
          <w:highlight w:val="none"/>
        </w:rPr>
        <w:t>日常运营支撑服务、业务资料整理与数据治理服务、业务协同和统计报送服务、技术运维与安全保障服务、培训咨询服务、服务过程资料整理及期满交接等。</w:t>
      </w:r>
      <w:r>
        <w:rPr>
          <w:rFonts w:hint="eastAsia"/>
          <w:color w:val="auto"/>
          <w:sz w:val="24"/>
          <w:highlight w:val="none"/>
        </w:rPr>
        <w:t>具体内容详见</w:t>
      </w:r>
      <w:r>
        <w:rPr>
          <w:rFonts w:hint="eastAsia"/>
          <w:color w:val="auto"/>
          <w:sz w:val="24"/>
          <w:highlight w:val="none"/>
          <w:lang w:val="en-US" w:eastAsia="zh-CN"/>
        </w:rPr>
        <w:t>招标</w:t>
      </w:r>
      <w:r>
        <w:rPr>
          <w:rFonts w:hint="eastAsia"/>
          <w:color w:val="auto"/>
          <w:sz w:val="24"/>
          <w:highlight w:val="none"/>
        </w:rPr>
        <w:t>文件。</w:t>
      </w:r>
    </w:p>
    <w:p w14:paraId="07C57DD5">
      <w:pPr>
        <w:spacing w:line="360" w:lineRule="auto"/>
        <w:ind w:firstLine="480"/>
        <w:rPr>
          <w:color w:val="auto"/>
          <w:sz w:val="24"/>
          <w:highlight w:val="none"/>
        </w:rPr>
      </w:pPr>
      <w:r>
        <w:rPr>
          <w:rFonts w:hint="eastAsia"/>
          <w:color w:val="auto"/>
          <w:sz w:val="24"/>
          <w:highlight w:val="none"/>
        </w:rPr>
        <w:t>7</w:t>
      </w:r>
      <w:r>
        <w:rPr>
          <w:color w:val="auto"/>
          <w:sz w:val="24"/>
          <w:highlight w:val="none"/>
        </w:rPr>
        <w:t>.合同履行期限</w:t>
      </w:r>
      <w:r>
        <w:rPr>
          <w:rFonts w:hint="eastAsia"/>
          <w:color w:val="auto"/>
          <w:sz w:val="24"/>
          <w:highlight w:val="none"/>
        </w:rPr>
        <w:t>：</w:t>
      </w:r>
      <w:r>
        <w:rPr>
          <w:rFonts w:hint="eastAsia" w:ascii="宋体" w:hAnsi="宋体" w:cs="宋体"/>
          <w:color w:val="auto"/>
          <w:sz w:val="24"/>
          <w:highlight w:val="none"/>
        </w:rPr>
        <w:t>合同签订之日起</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年。</w:t>
      </w:r>
    </w:p>
    <w:p w14:paraId="13431F8B">
      <w:pPr>
        <w:spacing w:line="360" w:lineRule="auto"/>
        <w:ind w:firstLine="480"/>
        <w:rPr>
          <w:color w:val="auto"/>
          <w:sz w:val="24"/>
          <w:highlight w:val="none"/>
        </w:rPr>
      </w:pPr>
      <w:r>
        <w:rPr>
          <w:rFonts w:hint="eastAsia"/>
          <w:color w:val="auto"/>
          <w:sz w:val="24"/>
          <w:highlight w:val="none"/>
        </w:rPr>
        <w:t>8</w:t>
      </w:r>
      <w:r>
        <w:rPr>
          <w:color w:val="auto"/>
          <w:sz w:val="24"/>
          <w:highlight w:val="none"/>
        </w:rPr>
        <w:t>.本项目是否接受联合体投标：</w:t>
      </w:r>
      <w:r>
        <w:rPr>
          <w:rFonts w:hint="eastAsia"/>
          <w:color w:val="auto"/>
          <w:sz w:val="24"/>
          <w:highlight w:val="none"/>
        </w:rPr>
        <w:t>□</w:t>
      </w:r>
      <w:r>
        <w:rPr>
          <w:color w:val="auto"/>
          <w:sz w:val="24"/>
          <w:highlight w:val="none"/>
        </w:rPr>
        <w:t xml:space="preserve">是  </w:t>
      </w:r>
      <w:r>
        <w:rPr>
          <w:rFonts w:hint="eastAsia"/>
          <w:color w:val="auto"/>
          <w:sz w:val="24"/>
          <w:highlight w:val="none"/>
          <w:lang w:eastAsia="zh-CN"/>
        </w:rPr>
        <w:t>■</w:t>
      </w:r>
      <w:r>
        <w:rPr>
          <w:color w:val="auto"/>
          <w:sz w:val="24"/>
          <w:highlight w:val="none"/>
        </w:rPr>
        <w:t>否。</w:t>
      </w:r>
    </w:p>
    <w:p w14:paraId="7BBB75B7">
      <w:pPr>
        <w:pStyle w:val="194"/>
        <w:spacing w:before="0" w:line="360" w:lineRule="auto"/>
        <w:jc w:val="left"/>
        <w:rPr>
          <w:rFonts w:ascii="Times New Roman" w:hAnsi="Times New Roman" w:eastAsia="宋体"/>
          <w:color w:val="auto"/>
          <w:sz w:val="24"/>
          <w:szCs w:val="24"/>
          <w:highlight w:val="none"/>
        </w:rPr>
      </w:pPr>
      <w:bookmarkStart w:id="9" w:name="_Toc28359003"/>
      <w:bookmarkStart w:id="10" w:name="_Toc35393622"/>
      <w:bookmarkStart w:id="11" w:name="_Toc28359080"/>
      <w:bookmarkStart w:id="12" w:name="_Toc35393791"/>
      <w:r>
        <w:rPr>
          <w:rFonts w:ascii="Times New Roman" w:hAnsi="Times New Roman" w:eastAsia="宋体"/>
          <w:color w:val="auto"/>
          <w:sz w:val="24"/>
          <w:szCs w:val="24"/>
          <w:highlight w:val="none"/>
        </w:rPr>
        <w:t>二、申请人的资格要求（须同时满足）</w:t>
      </w:r>
      <w:bookmarkEnd w:id="9"/>
      <w:bookmarkEnd w:id="10"/>
      <w:bookmarkEnd w:id="11"/>
      <w:bookmarkEnd w:id="12"/>
    </w:p>
    <w:p w14:paraId="1BE38FD4">
      <w:pPr>
        <w:spacing w:line="360" w:lineRule="auto"/>
        <w:ind w:firstLine="480"/>
        <w:rPr>
          <w:color w:val="auto"/>
          <w:sz w:val="24"/>
          <w:highlight w:val="none"/>
        </w:rPr>
      </w:pPr>
      <w:r>
        <w:rPr>
          <w:color w:val="auto"/>
          <w:sz w:val="24"/>
          <w:highlight w:val="none"/>
        </w:rPr>
        <w:t>1.满足《中华人民共和国政府采购法》第二十二条规定</w:t>
      </w:r>
      <w:r>
        <w:rPr>
          <w:rFonts w:hint="eastAsia"/>
          <w:color w:val="auto"/>
          <w:sz w:val="24"/>
          <w:highlight w:val="none"/>
        </w:rPr>
        <w:t>以及下列情形：</w:t>
      </w:r>
    </w:p>
    <w:p w14:paraId="505A0A20">
      <w:pPr>
        <w:spacing w:line="360" w:lineRule="auto"/>
        <w:ind w:firstLine="480"/>
        <w:rPr>
          <w:color w:val="auto"/>
          <w:sz w:val="24"/>
          <w:highlight w:val="none"/>
        </w:rPr>
      </w:pPr>
      <w:r>
        <w:rPr>
          <w:rFonts w:hint="eastAsia"/>
          <w:color w:val="auto"/>
          <w:sz w:val="24"/>
          <w:highlight w:val="none"/>
        </w:rPr>
        <w:t>1.1未被“信用中国”网站（WWW.creditchina.gov.cn）或“中国政府采购网”网站（www.ccgp.gov.cn）列入失信被执行人、重大税收违法案件当事人名单、政府采购严重失信行为记录名单；</w:t>
      </w:r>
    </w:p>
    <w:p w14:paraId="7F996F5B">
      <w:pPr>
        <w:spacing w:line="360" w:lineRule="auto"/>
        <w:ind w:firstLine="480"/>
        <w:rPr>
          <w:color w:val="auto"/>
          <w:sz w:val="24"/>
          <w:highlight w:val="none"/>
        </w:rPr>
      </w:pPr>
      <w:r>
        <w:rPr>
          <w:rFonts w:hint="eastAsia"/>
          <w:color w:val="auto"/>
          <w:sz w:val="24"/>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5A62B8ED">
      <w:pPr>
        <w:spacing w:line="360" w:lineRule="auto"/>
        <w:ind w:firstLine="480"/>
        <w:rPr>
          <w:color w:val="auto"/>
          <w:sz w:val="24"/>
          <w:highlight w:val="none"/>
        </w:rPr>
      </w:pPr>
      <w:bookmarkStart w:id="13" w:name="_Toc28359004"/>
      <w:bookmarkStart w:id="14" w:name="_Toc28359081"/>
      <w:r>
        <w:rPr>
          <w:color w:val="auto"/>
          <w:sz w:val="24"/>
          <w:highlight w:val="none"/>
        </w:rPr>
        <w:t>2.落实政府采购政策需满足的资格要求：</w:t>
      </w:r>
    </w:p>
    <w:p w14:paraId="0E678037">
      <w:pPr>
        <w:spacing w:line="360" w:lineRule="auto"/>
        <w:ind w:firstLine="480"/>
        <w:rPr>
          <w:color w:val="auto"/>
          <w:sz w:val="24"/>
          <w:highlight w:val="none"/>
        </w:rPr>
      </w:pPr>
      <w:r>
        <w:rPr>
          <w:color w:val="auto"/>
          <w:sz w:val="24"/>
          <w:highlight w:val="none"/>
        </w:rPr>
        <w:t>2.1 中小企业政策</w:t>
      </w:r>
    </w:p>
    <w:p w14:paraId="39CC79B5">
      <w:pPr>
        <w:spacing w:line="360" w:lineRule="auto"/>
        <w:ind w:firstLine="420"/>
        <w:rPr>
          <w:color w:val="auto"/>
          <w:sz w:val="24"/>
          <w:highlight w:val="none"/>
        </w:rPr>
      </w:pPr>
      <w:r>
        <w:rPr>
          <w:rFonts w:hint="eastAsia" w:ascii="MS Gothic" w:hAnsi="MS Gothic" w:eastAsia="宋体" w:cs="MS Gothic"/>
          <w:color w:val="auto"/>
          <w:highlight w:val="none"/>
          <w:shd w:val="clear" w:color="auto" w:fill="FFFFFF"/>
          <w:lang w:eastAsia="zh-CN"/>
        </w:rPr>
        <w:t>□</w:t>
      </w:r>
      <w:r>
        <w:rPr>
          <w:color w:val="auto"/>
          <w:sz w:val="24"/>
          <w:highlight w:val="none"/>
        </w:rPr>
        <w:t>本项目不专门面向中小企业预留采购份额。</w:t>
      </w:r>
    </w:p>
    <w:p w14:paraId="697A94E6">
      <w:pPr>
        <w:spacing w:line="360" w:lineRule="auto"/>
        <w:ind w:firstLine="460"/>
        <w:rPr>
          <w:rFonts w:hint="eastAsia" w:ascii="仿宋" w:hAnsi="仿宋" w:eastAsia="仿宋"/>
          <w:color w:val="auto"/>
          <w:sz w:val="23"/>
          <w:szCs w:val="23"/>
          <w:highlight w:val="none"/>
        </w:rPr>
        <w:sectPr>
          <w:footerReference r:id="rId5" w:type="default"/>
          <w:pgSz w:w="11906" w:h="16838"/>
          <w:pgMar w:top="1111" w:right="1191" w:bottom="1111" w:left="1191" w:header="851" w:footer="705" w:gutter="0"/>
          <w:pgNumType w:fmt="decimal" w:start="1"/>
          <w:cols w:space="1701" w:num="1"/>
          <w:docGrid w:linePitch="360" w:charSpace="0"/>
        </w:sectPr>
      </w:pPr>
    </w:p>
    <w:p w14:paraId="7A98150F">
      <w:pPr>
        <w:spacing w:line="360" w:lineRule="auto"/>
        <w:ind w:firstLine="460"/>
        <w:rPr>
          <w:color w:val="auto"/>
          <w:sz w:val="24"/>
          <w:highlight w:val="none"/>
        </w:rPr>
      </w:pPr>
      <w:r>
        <w:rPr>
          <w:rFonts w:hint="eastAsia" w:ascii="仿宋" w:hAnsi="仿宋" w:eastAsia="仿宋"/>
          <w:color w:val="auto"/>
          <w:sz w:val="23"/>
          <w:szCs w:val="23"/>
          <w:highlight w:val="none"/>
          <w:lang w:eastAsia="zh-CN"/>
        </w:rPr>
        <w:t>■</w:t>
      </w:r>
      <w:r>
        <w:rPr>
          <w:color w:val="auto"/>
          <w:sz w:val="24"/>
          <w:highlight w:val="none"/>
        </w:rPr>
        <w:t xml:space="preserve">本项目专门面向  </w:t>
      </w:r>
      <w:r>
        <w:rPr>
          <w:rFonts w:hint="eastAsia" w:ascii="仿宋" w:hAnsi="仿宋" w:eastAsia="仿宋"/>
          <w:color w:val="auto"/>
          <w:sz w:val="23"/>
          <w:szCs w:val="23"/>
          <w:highlight w:val="none"/>
          <w:lang w:eastAsia="zh-CN"/>
        </w:rPr>
        <w:t>■</w:t>
      </w:r>
      <w:r>
        <w:rPr>
          <w:color w:val="auto"/>
          <w:sz w:val="24"/>
          <w:highlight w:val="none"/>
        </w:rPr>
        <w:t xml:space="preserve">中小 </w:t>
      </w:r>
      <w:r>
        <w:rPr>
          <w:rFonts w:hint="eastAsia" w:ascii="仿宋" w:hAnsi="仿宋" w:eastAsia="仿宋"/>
          <w:color w:val="auto"/>
          <w:sz w:val="23"/>
          <w:szCs w:val="23"/>
          <w:highlight w:val="none"/>
          <w:lang w:eastAsia="zh-CN"/>
        </w:rPr>
        <w:t>■</w:t>
      </w:r>
      <w:r>
        <w:rPr>
          <w:color w:val="auto"/>
          <w:sz w:val="24"/>
          <w:highlight w:val="none"/>
        </w:rPr>
        <w:t xml:space="preserve">小微企业 </w:t>
      </w:r>
      <w:r>
        <w:rPr>
          <w:color w:val="auto"/>
          <w:sz w:val="24"/>
          <w:highlight w:val="none"/>
        </w:rPr>
        <w:t xml:space="preserve"> 采购。即：提供的货物全部由符合政策要求的中小/小微企业制造、服务全部由符合政策要求的中小/小微企业承接。</w:t>
      </w:r>
    </w:p>
    <w:p w14:paraId="364E3DC2">
      <w:pPr>
        <w:spacing w:line="360" w:lineRule="auto"/>
        <w:ind w:firstLine="460"/>
        <w:rPr>
          <w:color w:val="auto"/>
          <w:sz w:val="24"/>
          <w:highlight w:val="none"/>
        </w:rPr>
      </w:pPr>
      <w:r>
        <w:rPr>
          <w:rFonts w:hint="eastAsia" w:ascii="仿宋" w:hAnsi="仿宋" w:eastAsia="仿宋"/>
          <w:color w:val="auto"/>
          <w:sz w:val="23"/>
          <w:szCs w:val="23"/>
          <w:highlight w:val="none"/>
        </w:rPr>
        <w:t>□</w:t>
      </w:r>
      <w:r>
        <w:rPr>
          <w:color w:val="auto"/>
          <w:sz w:val="24"/>
          <w:highlight w:val="none"/>
        </w:rPr>
        <w:t>本项目预留部分采购项目预算专门面向中小企业采购。对于预留份额，提供的货物由符合政策要求的中小企业制造、服务由符合政策要求的中小企业承接。预留份额通过以下措施进行：_______</w:t>
      </w:r>
      <w:r>
        <w:rPr>
          <w:rFonts w:hint="eastAsia" w:ascii="宋体" w:hAnsi="宋体" w:cs="宋体"/>
          <w:color w:val="auto"/>
          <w:sz w:val="24"/>
          <w:highlight w:val="none"/>
          <w:u w:val="single"/>
        </w:rPr>
        <w:t xml:space="preserve"> /</w:t>
      </w:r>
      <w:r>
        <w:rPr>
          <w:color w:val="auto"/>
          <w:sz w:val="24"/>
          <w:highlight w:val="none"/>
        </w:rPr>
        <w:t>________</w:t>
      </w:r>
      <w:r>
        <w:rPr>
          <w:rFonts w:hint="eastAsia"/>
          <w:color w:val="auto"/>
          <w:sz w:val="24"/>
          <w:highlight w:val="none"/>
        </w:rPr>
        <w:t>。</w:t>
      </w:r>
    </w:p>
    <w:p w14:paraId="2C150F4E">
      <w:pPr>
        <w:spacing w:line="360" w:lineRule="auto"/>
        <w:ind w:firstLine="480"/>
        <w:rPr>
          <w:color w:val="auto"/>
          <w:sz w:val="24"/>
          <w:highlight w:val="none"/>
        </w:rPr>
      </w:pPr>
      <w:r>
        <w:rPr>
          <w:color w:val="auto"/>
          <w:sz w:val="24"/>
          <w:highlight w:val="none"/>
        </w:rPr>
        <w:t>2.2 其它落实政府采购政策的资格要求：</w:t>
      </w:r>
      <w:r>
        <w:rPr>
          <w:rFonts w:hint="eastAsia"/>
          <w:color w:val="auto"/>
          <w:sz w:val="24"/>
          <w:highlight w:val="none"/>
        </w:rPr>
        <w:t>无。</w:t>
      </w:r>
    </w:p>
    <w:p w14:paraId="3C18688D">
      <w:pPr>
        <w:spacing w:line="360" w:lineRule="auto"/>
        <w:ind w:firstLine="480"/>
        <w:rPr>
          <w:i/>
          <w:iCs/>
          <w:color w:val="auto"/>
          <w:sz w:val="24"/>
          <w:highlight w:val="none"/>
          <w:u w:val="single"/>
        </w:rPr>
      </w:pPr>
      <w:r>
        <w:rPr>
          <w:color w:val="auto"/>
          <w:sz w:val="24"/>
          <w:highlight w:val="none"/>
        </w:rPr>
        <w:t>3.本项目的特定资格要求：</w:t>
      </w:r>
    </w:p>
    <w:p w14:paraId="6236B84F">
      <w:pPr>
        <w:tabs>
          <w:tab w:val="left" w:pos="900"/>
          <w:tab w:val="left" w:pos="1134"/>
          <w:tab w:val="left" w:pos="1589"/>
          <w:tab w:val="left" w:pos="5521"/>
        </w:tabs>
        <w:spacing w:line="360" w:lineRule="auto"/>
        <w:ind w:firstLine="480"/>
        <w:rPr>
          <w:color w:val="auto"/>
          <w:sz w:val="24"/>
          <w:highlight w:val="none"/>
        </w:rPr>
      </w:pPr>
      <w:r>
        <w:rPr>
          <w:color w:val="auto"/>
          <w:sz w:val="24"/>
          <w:highlight w:val="none"/>
        </w:rPr>
        <w:t>3.1本项目是否接受分支机构参与投标：</w:t>
      </w:r>
      <w:r>
        <w:rPr>
          <w:rFonts w:hint="eastAsia" w:ascii="仿宋" w:hAnsi="仿宋" w:eastAsia="仿宋"/>
          <w:color w:val="auto"/>
          <w:sz w:val="23"/>
          <w:szCs w:val="23"/>
          <w:highlight w:val="none"/>
        </w:rPr>
        <w:t>□</w:t>
      </w:r>
      <w:r>
        <w:rPr>
          <w:color w:val="auto"/>
          <w:sz w:val="24"/>
          <w:highlight w:val="none"/>
        </w:rPr>
        <w:t xml:space="preserve">是   </w:t>
      </w:r>
      <w:r>
        <w:rPr>
          <w:rFonts w:hint="eastAsia" w:ascii="MS Gothic" w:hAnsi="MS Gothic" w:eastAsia="宋体" w:cs="MS Gothic"/>
          <w:color w:val="auto"/>
          <w:highlight w:val="none"/>
          <w:shd w:val="clear" w:color="auto" w:fill="FFFFFF"/>
          <w:lang w:eastAsia="zh-CN"/>
        </w:rPr>
        <w:t>■</w:t>
      </w:r>
      <w:r>
        <w:rPr>
          <w:color w:val="auto"/>
          <w:sz w:val="24"/>
          <w:highlight w:val="none"/>
        </w:rPr>
        <w:t>否；</w:t>
      </w:r>
    </w:p>
    <w:p w14:paraId="2FCD2EBB">
      <w:pPr>
        <w:tabs>
          <w:tab w:val="left" w:pos="900"/>
          <w:tab w:val="left" w:pos="1134"/>
          <w:tab w:val="left" w:pos="1589"/>
          <w:tab w:val="left" w:pos="5521"/>
        </w:tabs>
        <w:spacing w:line="360" w:lineRule="auto"/>
        <w:ind w:firstLine="480"/>
        <w:rPr>
          <w:color w:val="auto"/>
          <w:sz w:val="24"/>
          <w:highlight w:val="none"/>
        </w:rPr>
      </w:pPr>
      <w:r>
        <w:rPr>
          <w:color w:val="auto"/>
          <w:sz w:val="24"/>
          <w:highlight w:val="none"/>
        </w:rPr>
        <w:t>3.2本项目是否属于政府购买服务：</w:t>
      </w:r>
    </w:p>
    <w:p w14:paraId="51360F59">
      <w:pPr>
        <w:tabs>
          <w:tab w:val="left" w:pos="900"/>
          <w:tab w:val="left" w:pos="1134"/>
          <w:tab w:val="left" w:pos="1589"/>
          <w:tab w:val="left" w:pos="5521"/>
        </w:tabs>
        <w:spacing w:line="360" w:lineRule="auto"/>
        <w:ind w:left="991" w:firstLine="2"/>
        <w:rPr>
          <w:color w:val="auto"/>
          <w:sz w:val="24"/>
          <w:highlight w:val="none"/>
        </w:rPr>
      </w:pPr>
      <w:r>
        <w:rPr>
          <w:rFonts w:hint="eastAsia" w:ascii="仿宋" w:hAnsi="仿宋" w:eastAsia="仿宋"/>
          <w:color w:val="auto"/>
          <w:sz w:val="23"/>
          <w:szCs w:val="23"/>
          <w:highlight w:val="none"/>
          <w:lang w:eastAsia="zh-CN"/>
        </w:rPr>
        <w:t>■</w:t>
      </w:r>
      <w:r>
        <w:rPr>
          <w:color w:val="auto"/>
          <w:sz w:val="24"/>
          <w:highlight w:val="none"/>
        </w:rPr>
        <w:t>否</w:t>
      </w:r>
    </w:p>
    <w:p w14:paraId="20A139DE">
      <w:pPr>
        <w:tabs>
          <w:tab w:val="left" w:pos="900"/>
          <w:tab w:val="left" w:pos="1134"/>
          <w:tab w:val="left" w:pos="1589"/>
          <w:tab w:val="left" w:pos="5521"/>
        </w:tabs>
        <w:spacing w:line="360" w:lineRule="auto"/>
        <w:ind w:left="991" w:firstLine="2"/>
        <w:rPr>
          <w:color w:val="auto"/>
          <w:sz w:val="24"/>
          <w:highlight w:val="none"/>
        </w:rPr>
      </w:pPr>
      <w:r>
        <w:rPr>
          <w:rFonts w:hint="eastAsia" w:ascii="MS Gothic" w:hAnsi="MS Gothic" w:cs="MS Gothic"/>
          <w:color w:val="auto"/>
          <w:highlight w:val="none"/>
          <w:shd w:val="clear" w:color="auto" w:fill="FFFFFF"/>
          <w:lang w:eastAsia="zh-CN"/>
        </w:rPr>
        <w:t>□</w:t>
      </w:r>
      <w:r>
        <w:rPr>
          <w:color w:val="auto"/>
          <w:sz w:val="24"/>
          <w:highlight w:val="none"/>
        </w:rPr>
        <w:t>是，公益一类事业单位、使用事业编制且由财政拨款保障的群团组织，不得作为承接主体；</w:t>
      </w:r>
    </w:p>
    <w:p w14:paraId="6E55F544">
      <w:pPr>
        <w:spacing w:line="360" w:lineRule="auto"/>
        <w:ind w:firstLine="480"/>
        <w:rPr>
          <w:rFonts w:ascii="宋体" w:hAnsi="宋体"/>
          <w:color w:val="auto"/>
          <w:sz w:val="24"/>
          <w:highlight w:val="none"/>
        </w:rPr>
      </w:pPr>
      <w:r>
        <w:rPr>
          <w:color w:val="auto"/>
          <w:sz w:val="24"/>
          <w:highlight w:val="none"/>
        </w:rPr>
        <w:t>3.3其他特定资格要求：</w:t>
      </w:r>
      <w:r>
        <w:rPr>
          <w:rFonts w:hint="eastAsia"/>
          <w:color w:val="auto"/>
          <w:sz w:val="24"/>
          <w:highlight w:val="none"/>
        </w:rPr>
        <w:t>无</w:t>
      </w:r>
      <w:r>
        <w:rPr>
          <w:rFonts w:hint="eastAsia" w:ascii="宋体" w:hAnsi="宋体"/>
          <w:color w:val="auto"/>
          <w:sz w:val="24"/>
          <w:highlight w:val="none"/>
        </w:rPr>
        <w:t>。</w:t>
      </w:r>
    </w:p>
    <w:bookmarkEnd w:id="13"/>
    <w:bookmarkEnd w:id="14"/>
    <w:p w14:paraId="7E553CF3">
      <w:pPr>
        <w:pStyle w:val="194"/>
        <w:spacing w:line="360" w:lineRule="auto"/>
        <w:jc w:val="left"/>
        <w:rPr>
          <w:rFonts w:ascii="Times New Roman" w:eastAsia="宋体"/>
          <w:color w:val="auto"/>
          <w:sz w:val="24"/>
          <w:szCs w:val="24"/>
          <w:highlight w:val="none"/>
        </w:rPr>
      </w:pPr>
      <w:bookmarkStart w:id="15" w:name="_Toc28359008"/>
      <w:bookmarkStart w:id="16" w:name="_Toc35393627"/>
      <w:bookmarkStart w:id="17" w:name="_Toc28359085"/>
      <w:bookmarkStart w:id="18" w:name="_Toc35393796"/>
      <w:r>
        <w:rPr>
          <w:rFonts w:hint="eastAsia" w:ascii="Times New Roman" w:eastAsia="宋体"/>
          <w:color w:val="auto"/>
          <w:sz w:val="24"/>
          <w:szCs w:val="24"/>
          <w:highlight w:val="none"/>
        </w:rPr>
        <w:t>三、获取招标文件</w:t>
      </w:r>
    </w:p>
    <w:p w14:paraId="2C1D0E77">
      <w:pPr>
        <w:spacing w:line="360" w:lineRule="auto"/>
        <w:ind w:firstLine="480"/>
        <w:rPr>
          <w:rFonts w:ascii="宋体" w:hAnsi="宋体"/>
          <w:bCs/>
          <w:color w:val="auto"/>
          <w:sz w:val="24"/>
          <w:highlight w:val="none"/>
        </w:rPr>
      </w:pPr>
      <w:bookmarkStart w:id="19" w:name="_Toc35393624"/>
      <w:bookmarkStart w:id="20" w:name="_Toc28359005"/>
      <w:bookmarkStart w:id="21" w:name="_Toc35393793"/>
      <w:bookmarkStart w:id="22" w:name="_Toc28359082"/>
      <w:r>
        <w:rPr>
          <w:rFonts w:hint="eastAsia" w:ascii="宋体" w:hAnsi="宋体"/>
          <w:bCs/>
          <w:color w:val="auto"/>
          <w:sz w:val="24"/>
          <w:highlight w:val="none"/>
        </w:rPr>
        <w:t>1.时间：</w:t>
      </w:r>
      <w:r>
        <w:rPr>
          <w:rFonts w:hint="eastAsia"/>
          <w:color w:val="auto"/>
          <w:sz w:val="24"/>
          <w:highlight w:val="none"/>
          <w:lang w:bidi="ar"/>
        </w:rPr>
        <w:t>本公告发布之日起五个工作日</w:t>
      </w:r>
      <w:r>
        <w:rPr>
          <w:rFonts w:hint="eastAsia" w:ascii="宋体" w:hAnsi="宋体"/>
          <w:color w:val="auto"/>
          <w:sz w:val="24"/>
          <w:highlight w:val="none"/>
        </w:rPr>
        <w:t>（北京时间，法定节假日除外）。</w:t>
      </w:r>
    </w:p>
    <w:p w14:paraId="62CA08E7">
      <w:pPr>
        <w:spacing w:line="360" w:lineRule="auto"/>
        <w:ind w:firstLine="480" w:firstLineChars="200"/>
        <w:rPr>
          <w:rFonts w:hint="eastAsia" w:ascii="宋体" w:hAnsi="宋体"/>
          <w:color w:val="auto"/>
          <w:sz w:val="24"/>
          <w:highlight w:val="none"/>
        </w:rPr>
      </w:pPr>
      <w:r>
        <w:rPr>
          <w:rFonts w:hint="eastAsia" w:ascii="宋体" w:hAnsi="宋体"/>
          <w:bCs/>
          <w:color w:val="auto"/>
          <w:sz w:val="24"/>
          <w:highlight w:val="none"/>
          <w:lang w:val="en-US" w:eastAsia="zh-CN"/>
        </w:rPr>
        <w:t>2.</w:t>
      </w:r>
      <w:r>
        <w:rPr>
          <w:rFonts w:hint="eastAsia" w:ascii="宋体" w:hAnsi="宋体"/>
          <w:bCs/>
          <w:color w:val="auto"/>
          <w:sz w:val="24"/>
          <w:highlight w:val="none"/>
        </w:rPr>
        <w:t>地点：</w:t>
      </w:r>
      <w:bookmarkStart w:id="23" w:name="OLE_LINK182"/>
      <w:bookmarkStart w:id="24" w:name="OLE_LINK183"/>
      <w:r>
        <w:rPr>
          <w:rFonts w:hint="eastAsia" w:ascii="宋体" w:hAnsi="宋体"/>
          <w:bCs/>
          <w:color w:val="auto"/>
          <w:sz w:val="24"/>
          <w:highlight w:val="none"/>
        </w:rPr>
        <w:t>投标人</w:t>
      </w:r>
      <w:bookmarkEnd w:id="23"/>
      <w:bookmarkEnd w:id="24"/>
      <w:r>
        <w:rPr>
          <w:rFonts w:hint="eastAsia" w:ascii="宋体" w:hAnsi="宋体"/>
          <w:bCs/>
          <w:color w:val="auto"/>
          <w:sz w:val="24"/>
          <w:highlight w:val="none"/>
        </w:rPr>
        <w:t>完成注册并办理CA证书后登录“苏采云”（网</w:t>
      </w:r>
      <w:r>
        <w:rPr>
          <w:rFonts w:hint="eastAsia" w:ascii="宋体" w:hAnsi="宋体"/>
          <w:color w:val="auto"/>
          <w:sz w:val="24"/>
          <w:highlight w:val="none"/>
        </w:rPr>
        <w:t>址：</w:t>
      </w:r>
      <w:r>
        <w:rPr>
          <w:rFonts w:ascii="宋体" w:hAnsi="宋体"/>
          <w:color w:val="auto"/>
          <w:sz w:val="24"/>
          <w:highlight w:val="none"/>
        </w:rPr>
        <w:t>http://jszfcg.jsczt.cn/jszc/login</w:t>
      </w:r>
      <w:r>
        <w:rPr>
          <w:rFonts w:hint="eastAsia" w:ascii="宋体" w:hAnsi="宋体"/>
          <w:color w:val="auto"/>
          <w:sz w:val="24"/>
          <w:highlight w:val="none"/>
        </w:rPr>
        <w:t xml:space="preserve">），下载本项目电子版招标文件。   </w:t>
      </w:r>
    </w:p>
    <w:p w14:paraId="25B70106">
      <w:pPr>
        <w:spacing w:line="360" w:lineRule="auto"/>
        <w:ind w:firstLine="480"/>
        <w:rPr>
          <w:rFonts w:ascii="宋体" w:hAnsi="宋体"/>
          <w:bCs/>
          <w:color w:val="auto"/>
          <w:sz w:val="24"/>
          <w:highlight w:val="none"/>
        </w:rPr>
      </w:pPr>
      <w:r>
        <w:rPr>
          <w:rFonts w:hint="eastAsia" w:ascii="宋体" w:hAnsi="宋体"/>
          <w:color w:val="auto"/>
          <w:sz w:val="24"/>
          <w:highlight w:val="none"/>
          <w:lang w:val="en-US" w:eastAsia="zh-CN"/>
        </w:rPr>
        <w:t>3.</w:t>
      </w:r>
      <w:r>
        <w:rPr>
          <w:rFonts w:hint="eastAsia" w:ascii="宋体" w:hAnsi="宋体"/>
          <w:color w:val="auto"/>
          <w:sz w:val="24"/>
          <w:highlight w:val="none"/>
        </w:rPr>
        <w:t>方式：</w:t>
      </w:r>
      <w:r>
        <w:rPr>
          <w:rFonts w:hint="eastAsia" w:ascii="宋体" w:hAnsi="宋体"/>
          <w:bCs/>
          <w:color w:val="auto"/>
          <w:sz w:val="24"/>
          <w:highlight w:val="none"/>
        </w:rPr>
        <w:t>投标人</w:t>
      </w:r>
      <w:r>
        <w:rPr>
          <w:rFonts w:hint="eastAsia" w:ascii="宋体" w:hAnsi="宋体"/>
          <w:color w:val="auto"/>
          <w:sz w:val="24"/>
          <w:highlight w:val="none"/>
        </w:rPr>
        <w:t>持CA数字认证证书登录</w:t>
      </w:r>
      <w:r>
        <w:rPr>
          <w:rFonts w:hint="eastAsia" w:ascii="宋体" w:hAnsi="宋体"/>
          <w:bCs/>
          <w:color w:val="auto"/>
          <w:sz w:val="24"/>
          <w:highlight w:val="none"/>
        </w:rPr>
        <w:t>“苏采云”（网</w:t>
      </w:r>
      <w:r>
        <w:rPr>
          <w:rFonts w:hint="eastAsia" w:ascii="宋体" w:hAnsi="宋体"/>
          <w:color w:val="auto"/>
          <w:sz w:val="24"/>
          <w:highlight w:val="none"/>
        </w:rPr>
        <w:t>址：</w:t>
      </w:r>
      <w:r>
        <w:rPr>
          <w:rFonts w:ascii="宋体" w:hAnsi="宋体"/>
          <w:color w:val="auto"/>
          <w:sz w:val="24"/>
          <w:highlight w:val="none"/>
        </w:rPr>
        <w:t>http://jszfcg.jsczt.cn/jszc/login</w:t>
      </w:r>
      <w:r>
        <w:rPr>
          <w:rFonts w:hint="eastAsia" w:ascii="宋体" w:hAnsi="宋体"/>
          <w:color w:val="auto"/>
          <w:sz w:val="24"/>
          <w:highlight w:val="none"/>
        </w:rPr>
        <w:t>）获取电子版招标文件。</w:t>
      </w:r>
    </w:p>
    <w:p w14:paraId="4CDA1D19">
      <w:pPr>
        <w:pStyle w:val="194"/>
        <w:spacing w:line="360" w:lineRule="auto"/>
        <w:jc w:val="left"/>
        <w:rPr>
          <w:rFonts w:ascii="Times New Roman" w:eastAsia="宋体"/>
          <w:color w:val="auto"/>
          <w:sz w:val="24"/>
          <w:szCs w:val="24"/>
          <w:highlight w:val="none"/>
        </w:rPr>
      </w:pPr>
      <w:r>
        <w:rPr>
          <w:rFonts w:hint="eastAsia" w:ascii="Times New Roman" w:eastAsia="宋体"/>
          <w:color w:val="auto"/>
          <w:sz w:val="24"/>
          <w:szCs w:val="24"/>
          <w:highlight w:val="none"/>
        </w:rPr>
        <w:t>四、投标文件</w:t>
      </w:r>
      <w:bookmarkEnd w:id="19"/>
      <w:bookmarkEnd w:id="20"/>
      <w:bookmarkEnd w:id="21"/>
      <w:bookmarkEnd w:id="22"/>
      <w:r>
        <w:rPr>
          <w:rFonts w:hint="eastAsia" w:ascii="Times New Roman" w:eastAsia="宋体"/>
          <w:color w:val="auto"/>
          <w:sz w:val="24"/>
          <w:szCs w:val="24"/>
          <w:highlight w:val="none"/>
        </w:rPr>
        <w:t>提交</w:t>
      </w:r>
    </w:p>
    <w:p w14:paraId="45D92C1E">
      <w:pPr>
        <w:spacing w:line="360" w:lineRule="auto"/>
        <w:ind w:firstLine="480"/>
        <w:rPr>
          <w:rFonts w:ascii="黑体" w:hAnsi="黑体" w:eastAsia="黑体"/>
          <w:color w:val="auto"/>
          <w:sz w:val="24"/>
          <w:highlight w:val="none"/>
        </w:rPr>
      </w:pPr>
      <w:r>
        <w:rPr>
          <w:rFonts w:hint="eastAsia" w:ascii="宋体" w:hAnsi="宋体"/>
          <w:color w:val="auto"/>
          <w:sz w:val="24"/>
          <w:highlight w:val="none"/>
        </w:rPr>
        <w:t>截止时间：</w:t>
      </w:r>
      <w:r>
        <w:rPr>
          <w:rFonts w:ascii="宋体" w:hAnsi="宋体"/>
          <w:bCs/>
          <w:color w:val="auto"/>
          <w:sz w:val="24"/>
          <w:highlight w:val="none"/>
          <w:u w:val="single"/>
        </w:rPr>
        <w:t>2</w:t>
      </w:r>
      <w:r>
        <w:rPr>
          <w:rFonts w:hint="eastAsia" w:ascii="宋体" w:hAnsi="宋体"/>
          <w:bCs/>
          <w:color w:val="auto"/>
          <w:sz w:val="24"/>
          <w:highlight w:val="none"/>
          <w:u w:val="single"/>
        </w:rPr>
        <w:t>02</w:t>
      </w:r>
      <w:r>
        <w:rPr>
          <w:rFonts w:hint="eastAsia" w:ascii="宋体" w:hAnsi="宋体"/>
          <w:bCs/>
          <w:color w:val="auto"/>
          <w:sz w:val="24"/>
          <w:highlight w:val="none"/>
          <w:u w:val="single"/>
          <w:lang w:val="en-US" w:eastAsia="zh-CN"/>
        </w:rPr>
        <w:t>6</w:t>
      </w:r>
      <w:r>
        <w:rPr>
          <w:rFonts w:ascii="宋体" w:hAnsi="宋体"/>
          <w:bCs/>
          <w:color w:val="auto"/>
          <w:sz w:val="24"/>
          <w:highlight w:val="none"/>
          <w:u w:val="single"/>
        </w:rPr>
        <w:t>年</w:t>
      </w:r>
      <w:r>
        <w:rPr>
          <w:rFonts w:hint="eastAsia" w:ascii="宋体" w:hAnsi="宋体"/>
          <w:bCs/>
          <w:color w:val="auto"/>
          <w:sz w:val="24"/>
          <w:highlight w:val="none"/>
          <w:u w:val="single"/>
          <w:lang w:val="en-US" w:eastAsia="zh-CN"/>
        </w:rPr>
        <w:t>11</w:t>
      </w:r>
      <w:r>
        <w:rPr>
          <w:rFonts w:ascii="宋体" w:hAnsi="宋体"/>
          <w:bCs/>
          <w:color w:val="auto"/>
          <w:sz w:val="24"/>
          <w:highlight w:val="none"/>
          <w:u w:val="single"/>
        </w:rPr>
        <w:t>月</w:t>
      </w:r>
      <w:r>
        <w:rPr>
          <w:rFonts w:hint="eastAsia" w:ascii="宋体" w:hAnsi="宋体"/>
          <w:bCs/>
          <w:color w:val="auto"/>
          <w:sz w:val="24"/>
          <w:highlight w:val="none"/>
          <w:u w:val="single"/>
          <w:lang w:val="en-US" w:eastAsia="zh-CN"/>
        </w:rPr>
        <w:t>3</w:t>
      </w:r>
      <w:r>
        <w:rPr>
          <w:rFonts w:ascii="宋体" w:hAnsi="宋体"/>
          <w:bCs/>
          <w:color w:val="auto"/>
          <w:sz w:val="24"/>
          <w:highlight w:val="none"/>
          <w:u w:val="single"/>
        </w:rPr>
        <w:t>日</w:t>
      </w:r>
      <w:r>
        <w:rPr>
          <w:rFonts w:hint="eastAsia" w:ascii="宋体" w:hAnsi="宋体"/>
          <w:bCs/>
          <w:color w:val="auto"/>
          <w:sz w:val="24"/>
          <w:highlight w:val="none"/>
          <w:u w:val="single"/>
          <w:lang w:val="en-US" w:eastAsia="zh-CN"/>
        </w:rPr>
        <w:t>14</w:t>
      </w:r>
      <w:r>
        <w:rPr>
          <w:rFonts w:hint="eastAsia" w:ascii="宋体" w:hAnsi="宋体"/>
          <w:bCs/>
          <w:color w:val="auto"/>
          <w:sz w:val="24"/>
          <w:highlight w:val="none"/>
          <w:u w:val="single"/>
        </w:rPr>
        <w:t>时</w:t>
      </w:r>
      <w:r>
        <w:rPr>
          <w:rFonts w:hint="eastAsia" w:ascii="宋体" w:hAnsi="宋体"/>
          <w:bCs/>
          <w:color w:val="auto"/>
          <w:sz w:val="24"/>
          <w:highlight w:val="none"/>
          <w:u w:val="single"/>
          <w:lang w:val="en-US" w:eastAsia="zh-CN"/>
        </w:rPr>
        <w:t>00</w:t>
      </w:r>
      <w:r>
        <w:rPr>
          <w:rFonts w:ascii="宋体" w:hAnsi="宋体"/>
          <w:bCs/>
          <w:color w:val="auto"/>
          <w:sz w:val="24"/>
          <w:highlight w:val="none"/>
          <w:u w:val="single"/>
        </w:rPr>
        <w:t>分</w:t>
      </w:r>
      <w:r>
        <w:rPr>
          <w:rFonts w:hint="eastAsia" w:ascii="宋体" w:hAnsi="宋体"/>
          <w:bCs/>
          <w:color w:val="auto"/>
          <w:sz w:val="24"/>
          <w:highlight w:val="none"/>
        </w:rPr>
        <w:t>（北京时间）</w:t>
      </w:r>
    </w:p>
    <w:p w14:paraId="43390EF3">
      <w:pPr>
        <w:spacing w:line="360" w:lineRule="auto"/>
        <w:ind w:firstLine="480"/>
        <w:rPr>
          <w:rFonts w:ascii="宋体" w:hAnsi="宋体"/>
          <w:bCs/>
          <w:color w:val="auto"/>
          <w:sz w:val="24"/>
          <w:highlight w:val="none"/>
        </w:rPr>
      </w:pPr>
      <w:r>
        <w:rPr>
          <w:rFonts w:hint="eastAsia" w:ascii="宋体" w:hAnsi="宋体"/>
          <w:color w:val="auto"/>
          <w:sz w:val="24"/>
          <w:highlight w:val="none"/>
        </w:rPr>
        <w:t>地点：本项目采用远程“不见面”交易方式，无需到现场提交，请</w:t>
      </w:r>
      <w:bookmarkStart w:id="25" w:name="OLE_LINK185"/>
      <w:bookmarkStart w:id="26" w:name="OLE_LINK184"/>
      <w:r>
        <w:rPr>
          <w:rFonts w:hint="eastAsia" w:ascii="宋体" w:hAnsi="宋体"/>
          <w:color w:val="auto"/>
          <w:sz w:val="24"/>
          <w:highlight w:val="none"/>
        </w:rPr>
        <w:t>投标人</w:t>
      </w:r>
      <w:bookmarkEnd w:id="25"/>
      <w:bookmarkEnd w:id="26"/>
      <w:r>
        <w:rPr>
          <w:rFonts w:hint="eastAsia" w:ascii="宋体" w:hAnsi="宋体"/>
          <w:color w:val="auto"/>
          <w:sz w:val="24"/>
          <w:highlight w:val="none"/>
        </w:rPr>
        <w:t>在开启时间截止前提前登入“苏采云”（网址：</w:t>
      </w:r>
      <w:r>
        <w:rPr>
          <w:rFonts w:ascii="宋体" w:hAnsi="宋体"/>
          <w:color w:val="auto"/>
          <w:sz w:val="24"/>
          <w:highlight w:val="none"/>
        </w:rPr>
        <w:t>http://jszfcg.jsczt.cn/jszc/login</w:t>
      </w:r>
      <w:r>
        <w:rPr>
          <w:rFonts w:hint="eastAsia" w:ascii="宋体" w:hAnsi="宋体"/>
          <w:color w:val="auto"/>
          <w:sz w:val="24"/>
          <w:highlight w:val="none"/>
        </w:rPr>
        <w:t>）系统投标人端，通过系统在线提交电子投标文件。</w:t>
      </w:r>
    </w:p>
    <w:p w14:paraId="2F6D84CF">
      <w:pPr>
        <w:pStyle w:val="194"/>
        <w:spacing w:line="360" w:lineRule="auto"/>
        <w:jc w:val="left"/>
        <w:rPr>
          <w:rFonts w:ascii="Times New Roman" w:eastAsia="宋体"/>
          <w:color w:val="auto"/>
          <w:sz w:val="24"/>
          <w:szCs w:val="24"/>
          <w:highlight w:val="none"/>
        </w:rPr>
      </w:pPr>
      <w:bookmarkStart w:id="27" w:name="_Toc28359007"/>
      <w:bookmarkStart w:id="28" w:name="_Toc28359084"/>
      <w:bookmarkStart w:id="29" w:name="_Toc35393625"/>
      <w:bookmarkStart w:id="30" w:name="_Toc35393794"/>
      <w:r>
        <w:rPr>
          <w:rFonts w:hint="eastAsia" w:ascii="Times New Roman" w:eastAsia="宋体"/>
          <w:color w:val="auto"/>
          <w:sz w:val="24"/>
          <w:szCs w:val="24"/>
          <w:highlight w:val="none"/>
        </w:rPr>
        <w:t>五、开启</w:t>
      </w:r>
    </w:p>
    <w:p w14:paraId="7A79D631">
      <w:pPr>
        <w:spacing w:line="360" w:lineRule="auto"/>
        <w:ind w:firstLine="480"/>
        <w:rPr>
          <w:bCs/>
          <w:color w:val="auto"/>
          <w:sz w:val="24"/>
          <w:highlight w:val="none"/>
        </w:rPr>
      </w:pPr>
      <w:r>
        <w:rPr>
          <w:rFonts w:hint="eastAsia"/>
          <w:bCs/>
          <w:color w:val="auto"/>
          <w:sz w:val="24"/>
          <w:highlight w:val="none"/>
        </w:rPr>
        <w:t>时间</w:t>
      </w:r>
      <w:r>
        <w:rPr>
          <w:rFonts w:hint="eastAsia" w:ascii="宋体" w:hAnsi="宋体"/>
          <w:color w:val="auto"/>
          <w:sz w:val="24"/>
          <w:highlight w:val="none"/>
        </w:rPr>
        <w:t>：</w:t>
      </w:r>
      <w:r>
        <w:rPr>
          <w:rFonts w:ascii="宋体" w:hAnsi="宋体"/>
          <w:bCs/>
          <w:color w:val="auto"/>
          <w:sz w:val="24"/>
          <w:highlight w:val="none"/>
          <w:u w:val="single"/>
        </w:rPr>
        <w:t>2</w:t>
      </w:r>
      <w:r>
        <w:rPr>
          <w:rFonts w:hint="eastAsia" w:ascii="宋体" w:hAnsi="宋体"/>
          <w:bCs/>
          <w:color w:val="auto"/>
          <w:sz w:val="24"/>
          <w:highlight w:val="none"/>
          <w:u w:val="single"/>
        </w:rPr>
        <w:t>02</w:t>
      </w:r>
      <w:r>
        <w:rPr>
          <w:rFonts w:hint="eastAsia" w:ascii="宋体" w:hAnsi="宋体"/>
          <w:bCs/>
          <w:color w:val="auto"/>
          <w:sz w:val="24"/>
          <w:highlight w:val="none"/>
          <w:u w:val="single"/>
          <w:lang w:val="en-US" w:eastAsia="zh-CN"/>
        </w:rPr>
        <w:t>6</w:t>
      </w:r>
      <w:r>
        <w:rPr>
          <w:rFonts w:ascii="宋体" w:hAnsi="宋体"/>
          <w:bCs/>
          <w:color w:val="auto"/>
          <w:sz w:val="24"/>
          <w:highlight w:val="none"/>
          <w:u w:val="single"/>
        </w:rPr>
        <w:t>年</w:t>
      </w:r>
      <w:r>
        <w:rPr>
          <w:rFonts w:hint="eastAsia" w:ascii="宋体" w:hAnsi="宋体"/>
          <w:bCs/>
          <w:color w:val="auto"/>
          <w:sz w:val="24"/>
          <w:highlight w:val="none"/>
          <w:u w:val="single"/>
          <w:lang w:val="en-US" w:eastAsia="zh-CN"/>
        </w:rPr>
        <w:t>11</w:t>
      </w:r>
      <w:r>
        <w:rPr>
          <w:rFonts w:ascii="宋体" w:hAnsi="宋体"/>
          <w:bCs/>
          <w:color w:val="auto"/>
          <w:sz w:val="24"/>
          <w:highlight w:val="none"/>
          <w:u w:val="single"/>
        </w:rPr>
        <w:t>月</w:t>
      </w:r>
      <w:r>
        <w:rPr>
          <w:rFonts w:hint="eastAsia" w:ascii="宋体" w:hAnsi="宋体"/>
          <w:bCs/>
          <w:color w:val="auto"/>
          <w:sz w:val="24"/>
          <w:highlight w:val="none"/>
          <w:u w:val="single"/>
          <w:lang w:val="en-US" w:eastAsia="zh-CN"/>
        </w:rPr>
        <w:t>3</w:t>
      </w:r>
      <w:r>
        <w:rPr>
          <w:rFonts w:ascii="宋体" w:hAnsi="宋体"/>
          <w:bCs/>
          <w:color w:val="auto"/>
          <w:sz w:val="24"/>
          <w:highlight w:val="none"/>
          <w:u w:val="single"/>
        </w:rPr>
        <w:t>日</w:t>
      </w:r>
      <w:r>
        <w:rPr>
          <w:rFonts w:hint="eastAsia" w:ascii="宋体" w:hAnsi="宋体"/>
          <w:bCs/>
          <w:color w:val="auto"/>
          <w:sz w:val="24"/>
          <w:highlight w:val="none"/>
          <w:u w:val="single"/>
          <w:lang w:val="en-US" w:eastAsia="zh-CN"/>
        </w:rPr>
        <w:t>14</w:t>
      </w:r>
      <w:r>
        <w:rPr>
          <w:rFonts w:hint="eastAsia" w:ascii="宋体" w:hAnsi="宋体"/>
          <w:bCs/>
          <w:color w:val="auto"/>
          <w:sz w:val="24"/>
          <w:highlight w:val="none"/>
          <w:u w:val="single"/>
        </w:rPr>
        <w:t>时</w:t>
      </w:r>
      <w:r>
        <w:rPr>
          <w:rFonts w:hint="eastAsia" w:ascii="宋体" w:hAnsi="宋体"/>
          <w:bCs/>
          <w:color w:val="auto"/>
          <w:sz w:val="24"/>
          <w:highlight w:val="none"/>
          <w:u w:val="single"/>
          <w:lang w:val="en-US" w:eastAsia="zh-CN"/>
        </w:rPr>
        <w:t>00</w:t>
      </w:r>
      <w:r>
        <w:rPr>
          <w:rFonts w:ascii="宋体" w:hAnsi="宋体"/>
          <w:bCs/>
          <w:color w:val="auto"/>
          <w:sz w:val="24"/>
          <w:highlight w:val="none"/>
          <w:u w:val="single"/>
        </w:rPr>
        <w:t>分</w:t>
      </w:r>
      <w:r>
        <w:rPr>
          <w:rFonts w:hint="eastAsia" w:ascii="宋体" w:hAnsi="宋体"/>
          <w:bCs/>
          <w:color w:val="auto"/>
          <w:sz w:val="24"/>
          <w:highlight w:val="none"/>
        </w:rPr>
        <w:t>（</w:t>
      </w:r>
      <w:r>
        <w:rPr>
          <w:rFonts w:hint="eastAsia"/>
          <w:bCs/>
          <w:color w:val="auto"/>
          <w:sz w:val="24"/>
          <w:highlight w:val="none"/>
        </w:rPr>
        <w:t>北京时间）</w:t>
      </w:r>
    </w:p>
    <w:p w14:paraId="1AAC925F">
      <w:pPr>
        <w:spacing w:line="360" w:lineRule="auto"/>
        <w:ind w:firstLine="480"/>
        <w:rPr>
          <w:rFonts w:ascii="宋体" w:hAnsi="宋体"/>
          <w:bCs/>
          <w:color w:val="auto"/>
          <w:sz w:val="24"/>
          <w:highlight w:val="none"/>
        </w:rPr>
      </w:pPr>
      <w:r>
        <w:rPr>
          <w:rFonts w:hint="eastAsia"/>
          <w:bCs/>
          <w:color w:val="auto"/>
          <w:sz w:val="24"/>
          <w:highlight w:val="none"/>
        </w:rPr>
        <w:t>地点：</w:t>
      </w:r>
      <w:r>
        <w:rPr>
          <w:rFonts w:hint="eastAsia" w:ascii="宋体" w:hAnsi="宋体"/>
          <w:bCs/>
          <w:color w:val="auto"/>
          <w:sz w:val="24"/>
          <w:highlight w:val="none"/>
        </w:rPr>
        <w:t>“苏采云”政府采购一体化平台系统网上开标大厅</w:t>
      </w:r>
      <w:r>
        <w:rPr>
          <w:rFonts w:hint="eastAsia" w:ascii="宋体" w:hAnsi="宋体"/>
          <w:color w:val="auto"/>
          <w:sz w:val="24"/>
          <w:highlight w:val="none"/>
        </w:rPr>
        <w:t>。</w:t>
      </w:r>
    </w:p>
    <w:p w14:paraId="2D123044">
      <w:pPr>
        <w:pStyle w:val="194"/>
        <w:spacing w:line="360" w:lineRule="auto"/>
        <w:jc w:val="left"/>
        <w:rPr>
          <w:rFonts w:ascii="Times New Roman" w:eastAsia="宋体"/>
          <w:color w:val="auto"/>
          <w:sz w:val="24"/>
          <w:szCs w:val="24"/>
          <w:highlight w:val="none"/>
        </w:rPr>
      </w:pPr>
      <w:r>
        <w:rPr>
          <w:rFonts w:hint="eastAsia" w:ascii="Times New Roman" w:eastAsia="宋体"/>
          <w:color w:val="auto"/>
          <w:sz w:val="24"/>
          <w:szCs w:val="24"/>
          <w:highlight w:val="none"/>
        </w:rPr>
        <w:t>六、公告期限</w:t>
      </w:r>
      <w:bookmarkEnd w:id="27"/>
      <w:bookmarkEnd w:id="28"/>
      <w:bookmarkEnd w:id="29"/>
      <w:bookmarkEnd w:id="30"/>
    </w:p>
    <w:p w14:paraId="6B488A72">
      <w:pPr>
        <w:spacing w:line="360" w:lineRule="auto"/>
        <w:ind w:firstLine="480"/>
        <w:rPr>
          <w:rFonts w:ascii="宋体" w:hAnsi="宋体"/>
          <w:color w:val="auto"/>
          <w:sz w:val="24"/>
          <w:highlight w:val="none"/>
        </w:rPr>
      </w:pPr>
      <w:r>
        <w:rPr>
          <w:rFonts w:hint="eastAsia" w:ascii="宋体" w:hAnsi="宋体"/>
          <w:color w:val="auto"/>
          <w:sz w:val="24"/>
          <w:highlight w:val="none"/>
        </w:rPr>
        <w:t>自本公告发布之日起5个工作日。</w:t>
      </w:r>
    </w:p>
    <w:p w14:paraId="459D3739">
      <w:pPr>
        <w:pStyle w:val="194"/>
        <w:spacing w:line="360" w:lineRule="auto"/>
        <w:jc w:val="left"/>
        <w:rPr>
          <w:rFonts w:ascii="Times New Roman" w:eastAsia="宋体"/>
          <w:color w:val="auto"/>
          <w:sz w:val="24"/>
          <w:szCs w:val="24"/>
          <w:highlight w:val="none"/>
        </w:rPr>
      </w:pPr>
      <w:bookmarkStart w:id="31" w:name="_Toc35393626"/>
      <w:bookmarkStart w:id="32" w:name="_Toc35393795"/>
      <w:r>
        <w:rPr>
          <w:rFonts w:hint="eastAsia" w:ascii="Times New Roman" w:eastAsia="宋体"/>
          <w:color w:val="auto"/>
          <w:sz w:val="24"/>
          <w:szCs w:val="24"/>
          <w:highlight w:val="none"/>
        </w:rPr>
        <w:t>七、其他补充事宜</w:t>
      </w:r>
      <w:bookmarkEnd w:id="31"/>
      <w:bookmarkEnd w:id="32"/>
    </w:p>
    <w:p w14:paraId="3AB6AF2D">
      <w:pPr>
        <w:spacing w:line="360" w:lineRule="auto"/>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1.本项目采用“不见面”交易方式，请</w:t>
      </w:r>
      <w:bookmarkStart w:id="33" w:name="OLE_LINK188"/>
      <w:bookmarkStart w:id="34" w:name="OLE_LINK187"/>
      <w:bookmarkStart w:id="35" w:name="OLE_LINK186"/>
      <w:r>
        <w:rPr>
          <w:rFonts w:hint="eastAsia" w:ascii="宋体" w:hAnsi="宋体" w:eastAsia="宋体" w:cs="Times New Roman"/>
          <w:color w:val="auto"/>
          <w:sz w:val="24"/>
          <w:highlight w:val="none"/>
        </w:rPr>
        <w:t>投标人（供应商）</w:t>
      </w:r>
      <w:bookmarkEnd w:id="33"/>
      <w:bookmarkEnd w:id="34"/>
      <w:bookmarkEnd w:id="35"/>
      <w:r>
        <w:rPr>
          <w:rFonts w:hint="eastAsia" w:ascii="宋体" w:hAnsi="宋体" w:eastAsia="宋体" w:cs="Times New Roman"/>
          <w:color w:val="auto"/>
          <w:sz w:val="24"/>
          <w:highlight w:val="none"/>
        </w:rPr>
        <w:t>认真学习常州市政府采购网发布的相关操作手册，办理CA认证证书、进行“苏采云”平台注册绑定，并认真核实数字认证证书情况确认是否符合本项目电子化采购流程要求。</w:t>
      </w:r>
    </w:p>
    <w:p w14:paraId="19DEF75E">
      <w:pPr>
        <w:spacing w:line="360" w:lineRule="auto"/>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技术支持服务热线   0519-85588210</w:t>
      </w:r>
    </w:p>
    <w:p w14:paraId="59442E57">
      <w:pPr>
        <w:spacing w:line="360" w:lineRule="auto"/>
        <w:ind w:firstLine="480" w:firstLineChars="2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CA认证证书办理（可邮寄）联系电话   0519-85588120</w:t>
      </w:r>
    </w:p>
    <w:p w14:paraId="6F5BD18D">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1.1办理CA认证证书</w:t>
      </w:r>
    </w:p>
    <w:p w14:paraId="2C368CB9">
      <w:pPr>
        <w:spacing w:line="360" w:lineRule="auto"/>
        <w:ind w:firstLine="480"/>
        <w:rPr>
          <w:rFonts w:hint="eastAsia" w:ascii="宋体" w:hAnsi="宋体" w:eastAsia="宋体" w:cs="Times New Roman"/>
          <w:color w:val="auto"/>
          <w:sz w:val="24"/>
          <w:highlight w:val="none"/>
        </w:rPr>
      </w:pPr>
      <w:bookmarkStart w:id="36" w:name="OLE_LINK190"/>
      <w:bookmarkStart w:id="37" w:name="OLE_LINK192"/>
      <w:bookmarkStart w:id="38" w:name="OLE_LINK191"/>
      <w:bookmarkStart w:id="39" w:name="OLE_LINK193"/>
      <w:bookmarkStart w:id="40" w:name="OLE_LINK189"/>
      <w:r>
        <w:rPr>
          <w:rFonts w:hint="eastAsia" w:ascii="宋体" w:hAnsi="宋体" w:eastAsia="宋体" w:cs="Times New Roman"/>
          <w:color w:val="auto"/>
          <w:sz w:val="24"/>
          <w:highlight w:val="none"/>
        </w:rPr>
        <w:t>投标人（供应商）</w:t>
      </w:r>
      <w:bookmarkEnd w:id="36"/>
      <w:bookmarkEnd w:id="37"/>
      <w:bookmarkEnd w:id="38"/>
      <w:bookmarkEnd w:id="39"/>
      <w:bookmarkEnd w:id="40"/>
      <w:r>
        <w:rPr>
          <w:rFonts w:hint="eastAsia" w:ascii="宋体" w:hAnsi="宋体" w:eastAsia="宋体" w:cs="Times New Roman"/>
          <w:color w:val="auto"/>
          <w:sz w:val="24"/>
          <w:highlight w:val="none"/>
        </w:rPr>
        <w:t>登录常州市政府采购网“下载中心”下载并查阅 “江苏省政府采购数字证书CA及电子签章办理指南”，按照程序要求办理。因投标人（供应商）完成注册并办理CA证书需要一定时间,请提前办理好相关手续,逾期未成功下载采购文件的责任由投标人（供应商）自行承担。</w:t>
      </w:r>
    </w:p>
    <w:p w14:paraId="70A63D03">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1.2注册</w:t>
      </w:r>
    </w:p>
    <w:p w14:paraId="52B7401C">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投标人（供应商）登录常州市政府采购网-下载中心-“苏采云”系统投标人（供应商）操作手册”下载相关操作手册，查阅后进行自助注册。</w:t>
      </w:r>
    </w:p>
    <w:p w14:paraId="03C83237">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1.3控件、客户端下载</w:t>
      </w:r>
    </w:p>
    <w:p w14:paraId="32B3CE89">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投标人（供应商）登录“苏采云”“驱动中心”下载相关控件和客户端。</w:t>
      </w:r>
    </w:p>
    <w:p w14:paraId="74150ECB">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1.4 获取电子采购文件</w:t>
      </w:r>
    </w:p>
    <w:p w14:paraId="52EE74A8">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投标人（供应商）持CA数字认证证书登录“苏采云”获取电子采购文件。未在规定期限内通过“苏采云”获取采购文件的投标（响应）无效。</w:t>
      </w:r>
    </w:p>
    <w:p w14:paraId="1EE4D5C8">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1.5编制电子投标文件</w:t>
      </w:r>
    </w:p>
    <w:p w14:paraId="638D9AE7">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投标人（供应商）必须通过“苏采云”投标（响应）文件制作客户端”制作并使用CA证书加密上传投标（响应）文件，除上述方式之外，不接受投标人（供应商）以纸质文件以及其他任何方式提交的投标（响应）文件。如无法按照要求在电子投标（响应）文件中加盖电子签章和加密，请及时通过技术支持服务热线联系技术人员。</w:t>
      </w:r>
    </w:p>
    <w:p w14:paraId="2B613430">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1.6提交电子投标文件</w:t>
      </w:r>
    </w:p>
    <w:p w14:paraId="74DDE0F7">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投标人（供应商）应于响应截止时间（开启）前在“苏采云”提交电子投标（响应）文件，上传电子投标（响应）文件过程中请保持与互联网的连接畅通。</w:t>
      </w:r>
    </w:p>
    <w:p w14:paraId="3C3C17CD">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1.7电子开标</w:t>
      </w:r>
    </w:p>
    <w:p w14:paraId="217509FF">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投标人（供应商）使用CA认证证书登录“苏采云”进行电子化不见面开标。</w:t>
      </w:r>
    </w:p>
    <w:p w14:paraId="17BD5794">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1.8注意事项</w:t>
      </w:r>
    </w:p>
    <w:p w14:paraId="50CD9B0A">
      <w:pPr>
        <w:spacing w:line="360" w:lineRule="auto"/>
        <w:ind w:firstLine="720" w:firstLineChars="3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1）有关本次招标的事项若存在变动或修改，敬请及时关注常州市政府采购网发布的更正公告。</w:t>
      </w:r>
    </w:p>
    <w:p w14:paraId="3B93D0E9">
      <w:pPr>
        <w:spacing w:line="360" w:lineRule="auto"/>
        <w:ind w:firstLine="720" w:firstLineChars="3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投标人（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投标人（供应商）自行承担。</w:t>
      </w:r>
    </w:p>
    <w:p w14:paraId="1E651A5F">
      <w:pPr>
        <w:spacing w:line="360" w:lineRule="auto"/>
        <w:ind w:firstLine="787" w:firstLineChars="328"/>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3）如潜在投标人（供应商）未按上述要求操作，将自行承担所产生的风险。</w:t>
      </w:r>
    </w:p>
    <w:p w14:paraId="578F5602">
      <w:pPr>
        <w:spacing w:line="360" w:lineRule="auto"/>
        <w:ind w:firstLine="480" w:firstLineChars="200"/>
        <w:rPr>
          <w:rFonts w:hint="eastAsia" w:ascii="宋体" w:hAnsi="宋体" w:eastAsia="宋体" w:cs="Times New Roman"/>
          <w:color w:val="auto"/>
          <w:sz w:val="24"/>
          <w:highlight w:val="none"/>
          <w:lang w:val="zh-TW"/>
        </w:rPr>
      </w:pPr>
      <w:r>
        <w:rPr>
          <w:rFonts w:hint="eastAsia" w:ascii="宋体" w:hAnsi="宋体" w:eastAsia="宋体" w:cs="Times New Roman"/>
          <w:color w:val="auto"/>
          <w:sz w:val="24"/>
          <w:highlight w:val="none"/>
        </w:rPr>
        <w:t>2.</w:t>
      </w:r>
      <w:r>
        <w:rPr>
          <w:rFonts w:hint="eastAsia" w:ascii="宋体" w:hAnsi="宋体" w:eastAsia="宋体" w:cs="Times New Roman"/>
          <w:color w:val="auto"/>
          <w:sz w:val="24"/>
          <w:highlight w:val="none"/>
          <w:lang w:val="zh-TW"/>
        </w:rPr>
        <w:t>关于常州市中小企业政府采购信用融资：</w:t>
      </w:r>
    </w:p>
    <w:p w14:paraId="6F6AA88E">
      <w:pPr>
        <w:spacing w:line="360" w:lineRule="auto"/>
        <w:ind w:firstLine="480" w:firstLineChars="20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TW" w:eastAsia="zh-CN"/>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供应商）提供相应额度贷款的融资模式。申请条件及操作流程等事项详见该文件相关内容或者常州市政府采购网--政采融资平台栏目。</w:t>
      </w:r>
    </w:p>
    <w:p w14:paraId="3051A33F">
      <w:pPr>
        <w:pStyle w:val="194"/>
        <w:spacing w:before="0" w:line="360" w:lineRule="auto"/>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八</w:t>
      </w:r>
      <w:r>
        <w:rPr>
          <w:rFonts w:ascii="Times New Roman" w:hAnsi="Times New Roman" w:eastAsia="宋体"/>
          <w:color w:val="auto"/>
          <w:sz w:val="24"/>
          <w:szCs w:val="24"/>
          <w:highlight w:val="none"/>
        </w:rPr>
        <w:t>、对本次招标提出询问，请按以下方式联系。</w:t>
      </w:r>
      <w:bookmarkEnd w:id="15"/>
      <w:bookmarkEnd w:id="16"/>
      <w:bookmarkEnd w:id="17"/>
      <w:bookmarkEnd w:id="18"/>
    </w:p>
    <w:p w14:paraId="320518C3">
      <w:pPr>
        <w:widowControl/>
        <w:spacing w:line="360" w:lineRule="auto"/>
        <w:ind w:firstLine="482"/>
        <w:jc w:val="left"/>
        <w:rPr>
          <w:b/>
          <w:color w:val="auto"/>
          <w:sz w:val="24"/>
          <w:highlight w:val="none"/>
        </w:rPr>
      </w:pPr>
      <w:r>
        <w:rPr>
          <w:b/>
          <w:color w:val="auto"/>
          <w:sz w:val="24"/>
          <w:highlight w:val="none"/>
        </w:rPr>
        <w:t>1.</w:t>
      </w:r>
      <w:r>
        <w:rPr>
          <w:rFonts w:hint="eastAsia"/>
          <w:b/>
          <w:color w:val="auto"/>
          <w:sz w:val="24"/>
          <w:highlight w:val="none"/>
        </w:rPr>
        <w:t>招标人</w:t>
      </w:r>
      <w:r>
        <w:rPr>
          <w:b/>
          <w:color w:val="auto"/>
          <w:sz w:val="24"/>
          <w:highlight w:val="none"/>
        </w:rPr>
        <w:t>信息</w:t>
      </w:r>
    </w:p>
    <w:p w14:paraId="12BD02D3">
      <w:pPr>
        <w:spacing w:line="360" w:lineRule="auto"/>
        <w:ind w:firstLine="480"/>
        <w:jc w:val="left"/>
        <w:rPr>
          <w:rFonts w:ascii="宋体" w:hAnsi="宋体" w:cs="宋体"/>
          <w:color w:val="auto"/>
          <w:sz w:val="24"/>
          <w:highlight w:val="none"/>
        </w:rPr>
      </w:pPr>
      <w:bookmarkStart w:id="41" w:name="_Toc28359009"/>
      <w:bookmarkStart w:id="42" w:name="_Toc28359086"/>
      <w:r>
        <w:rPr>
          <w:color w:val="auto"/>
          <w:sz w:val="24"/>
          <w:highlight w:val="none"/>
        </w:rPr>
        <w:t>名    称：</w:t>
      </w:r>
      <w:r>
        <w:rPr>
          <w:rFonts w:hint="eastAsia"/>
          <w:color w:val="auto"/>
          <w:sz w:val="24"/>
          <w:highlight w:val="none"/>
          <w:lang w:eastAsia="zh-CN"/>
        </w:rPr>
        <w:t>常州市住房保障中心</w:t>
      </w:r>
      <w:r>
        <w:rPr>
          <w:rFonts w:hint="eastAsia" w:ascii="宋体" w:hAnsi="宋体" w:cs="宋体"/>
          <w:color w:val="auto"/>
          <w:sz w:val="24"/>
          <w:highlight w:val="none"/>
        </w:rPr>
        <w:t xml:space="preserve"> </w:t>
      </w:r>
    </w:p>
    <w:p w14:paraId="5C740B84">
      <w:pPr>
        <w:spacing w:line="360" w:lineRule="auto"/>
        <w:ind w:firstLine="480"/>
        <w:jc w:val="left"/>
        <w:rPr>
          <w:rFonts w:ascii="宋体" w:hAnsi="宋体" w:cs="宋体"/>
          <w:color w:val="auto"/>
          <w:sz w:val="24"/>
          <w:highlight w:val="none"/>
        </w:rPr>
      </w:pPr>
      <w:r>
        <w:rPr>
          <w:color w:val="auto"/>
          <w:sz w:val="24"/>
          <w:highlight w:val="none"/>
        </w:rPr>
        <w:t>地    址：</w:t>
      </w:r>
      <w:r>
        <w:rPr>
          <w:rFonts w:hint="eastAsia"/>
          <w:color w:val="auto"/>
          <w:sz w:val="24"/>
          <w:highlight w:val="none"/>
        </w:rPr>
        <w:t>常州市晋陵中</w:t>
      </w:r>
      <w:r>
        <w:rPr>
          <w:rFonts w:hint="eastAsia" w:ascii="新宋体" w:hAnsi="新宋体" w:eastAsia="新宋体" w:cs="新宋体"/>
          <w:color w:val="auto"/>
          <w:sz w:val="24"/>
          <w:highlight w:val="none"/>
        </w:rPr>
        <w:t>路607号</w:t>
      </w:r>
    </w:p>
    <w:p w14:paraId="6604D208">
      <w:pPr>
        <w:widowControl/>
        <w:spacing w:line="360" w:lineRule="auto"/>
        <w:ind w:firstLine="480"/>
        <w:jc w:val="left"/>
        <w:rPr>
          <w:rFonts w:hint="default" w:ascii="宋体" w:hAnsi="宋体" w:eastAsia="宋体"/>
          <w:color w:val="auto"/>
          <w:sz w:val="24"/>
          <w:highlight w:val="none"/>
          <w:lang w:val="en-US" w:eastAsia="zh-CN"/>
        </w:rPr>
      </w:pPr>
      <w:r>
        <w:rPr>
          <w:color w:val="auto"/>
          <w:sz w:val="24"/>
          <w:highlight w:val="none"/>
        </w:rPr>
        <w:t>联系方式：</w:t>
      </w:r>
      <w:r>
        <w:rPr>
          <w:rFonts w:hint="eastAsia" w:ascii="宋体" w:hAnsi="宋体" w:cs="宋体"/>
          <w:color w:val="auto"/>
          <w:sz w:val="24"/>
          <w:highlight w:val="none"/>
        </w:rPr>
        <w:t>许女士</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lang w:eastAsia="zh-CN"/>
        </w:rPr>
        <w:t>0519-85610282</w:t>
      </w:r>
    </w:p>
    <w:p w14:paraId="0067A2AB">
      <w:pPr>
        <w:pStyle w:val="205"/>
        <w:rPr>
          <w:color w:val="auto"/>
          <w:highlight w:val="none"/>
        </w:rPr>
      </w:pPr>
    </w:p>
    <w:p w14:paraId="6A4D7F2B">
      <w:pPr>
        <w:spacing w:line="360" w:lineRule="auto"/>
        <w:ind w:firstLine="482"/>
        <w:jc w:val="left"/>
        <w:rPr>
          <w:b/>
          <w:color w:val="auto"/>
          <w:sz w:val="24"/>
          <w:highlight w:val="none"/>
        </w:rPr>
      </w:pPr>
      <w:r>
        <w:rPr>
          <w:b/>
          <w:color w:val="auto"/>
          <w:sz w:val="24"/>
          <w:highlight w:val="none"/>
        </w:rPr>
        <w:t>2.采购代理机构信息</w:t>
      </w:r>
      <w:bookmarkEnd w:id="41"/>
      <w:bookmarkEnd w:id="42"/>
    </w:p>
    <w:p w14:paraId="6D16AE1E">
      <w:pPr>
        <w:spacing w:line="360" w:lineRule="auto"/>
        <w:ind w:firstLine="480"/>
        <w:jc w:val="left"/>
        <w:rPr>
          <w:color w:val="auto"/>
          <w:sz w:val="24"/>
          <w:highlight w:val="none"/>
        </w:rPr>
      </w:pPr>
      <w:bookmarkStart w:id="43" w:name="_Toc28359087"/>
      <w:bookmarkStart w:id="44" w:name="_Toc28359010"/>
      <w:r>
        <w:rPr>
          <w:color w:val="auto"/>
          <w:sz w:val="24"/>
          <w:highlight w:val="none"/>
        </w:rPr>
        <w:t>名    称：</w:t>
      </w:r>
      <w:r>
        <w:rPr>
          <w:rFonts w:hint="eastAsia"/>
          <w:color w:val="auto"/>
          <w:sz w:val="24"/>
          <w:highlight w:val="none"/>
        </w:rPr>
        <w:t>常州中采招投标有限公司</w:t>
      </w:r>
    </w:p>
    <w:p w14:paraId="55B98C62">
      <w:pPr>
        <w:spacing w:line="360" w:lineRule="auto"/>
        <w:ind w:firstLine="480"/>
        <w:jc w:val="left"/>
        <w:rPr>
          <w:rFonts w:ascii="宋体" w:hAnsi="宋体"/>
          <w:color w:val="auto"/>
          <w:sz w:val="24"/>
          <w:highlight w:val="none"/>
        </w:rPr>
      </w:pPr>
      <w:r>
        <w:rPr>
          <w:color w:val="auto"/>
          <w:sz w:val="24"/>
          <w:highlight w:val="none"/>
        </w:rPr>
        <w:t>地    址：</w:t>
      </w:r>
      <w:r>
        <w:rPr>
          <w:rFonts w:hint="eastAsia"/>
          <w:color w:val="auto"/>
          <w:sz w:val="24"/>
          <w:highlight w:val="none"/>
        </w:rPr>
        <w:t>常州市钟楼经济开发区</w:t>
      </w:r>
      <w:r>
        <w:rPr>
          <w:rFonts w:hint="eastAsia" w:ascii="宋体" w:hAnsi="宋体"/>
          <w:color w:val="auto"/>
          <w:sz w:val="24"/>
          <w:highlight w:val="none"/>
        </w:rPr>
        <w:t>玉龙南路280号常州大数据产业园2号楼19楼</w:t>
      </w:r>
    </w:p>
    <w:p w14:paraId="1DCA4D37">
      <w:pPr>
        <w:spacing w:line="360" w:lineRule="auto"/>
        <w:ind w:firstLine="480"/>
        <w:jc w:val="left"/>
        <w:rPr>
          <w:rFonts w:ascii="宋体" w:hAnsi="宋体"/>
          <w:color w:val="auto"/>
          <w:sz w:val="24"/>
          <w:highlight w:val="none"/>
          <w:u w:val="single"/>
        </w:rPr>
      </w:pPr>
      <w:r>
        <w:rPr>
          <w:color w:val="auto"/>
          <w:sz w:val="24"/>
          <w:highlight w:val="none"/>
        </w:rPr>
        <w:t>联系方式：</w:t>
      </w:r>
      <w:r>
        <w:rPr>
          <w:rFonts w:hint="eastAsia" w:ascii="宋体" w:hAnsi="宋体"/>
          <w:color w:val="auto"/>
          <w:sz w:val="24"/>
          <w:highlight w:val="none"/>
        </w:rPr>
        <w:t>0519-86661066</w:t>
      </w:r>
    </w:p>
    <w:p w14:paraId="6EC6A72A">
      <w:pPr>
        <w:spacing w:line="360" w:lineRule="auto"/>
        <w:ind w:firstLine="482"/>
        <w:rPr>
          <w:b/>
          <w:color w:val="auto"/>
          <w:sz w:val="24"/>
          <w:highlight w:val="none"/>
        </w:rPr>
      </w:pPr>
    </w:p>
    <w:p w14:paraId="2623075C">
      <w:pPr>
        <w:spacing w:line="360" w:lineRule="auto"/>
        <w:ind w:firstLine="482"/>
        <w:rPr>
          <w:b/>
          <w:color w:val="auto"/>
          <w:sz w:val="24"/>
          <w:highlight w:val="none"/>
          <w:u w:val="single"/>
        </w:rPr>
      </w:pPr>
      <w:r>
        <w:rPr>
          <w:b/>
          <w:color w:val="auto"/>
          <w:sz w:val="24"/>
          <w:highlight w:val="none"/>
        </w:rPr>
        <w:t>3.项目联系方式</w:t>
      </w:r>
      <w:bookmarkEnd w:id="43"/>
      <w:bookmarkEnd w:id="44"/>
    </w:p>
    <w:p w14:paraId="0A10431B">
      <w:pPr>
        <w:pStyle w:val="231"/>
        <w:spacing w:line="360" w:lineRule="auto"/>
        <w:ind w:firstLine="480"/>
        <w:rPr>
          <w:rFonts w:hint="default" w:ascii="Times New Roman" w:hAnsi="Times New Roman"/>
          <w:color w:val="auto"/>
          <w:sz w:val="24"/>
          <w:szCs w:val="24"/>
          <w:highlight w:val="none"/>
        </w:rPr>
      </w:pPr>
      <w:r>
        <w:rPr>
          <w:rFonts w:ascii="Times New Roman" w:hAnsi="Times New Roman"/>
          <w:color w:val="auto"/>
          <w:sz w:val="24"/>
          <w:szCs w:val="24"/>
          <w:highlight w:val="none"/>
        </w:rPr>
        <w:t>项目联系人：戴</w:t>
      </w:r>
      <w:r>
        <w:rPr>
          <w:rFonts w:hAnsi="宋体" w:cs="宋体"/>
          <w:color w:val="auto"/>
          <w:sz w:val="24"/>
          <w:szCs w:val="24"/>
          <w:highlight w:val="none"/>
        </w:rPr>
        <w:t>女士</w:t>
      </w:r>
    </w:p>
    <w:p w14:paraId="0F6503EF">
      <w:pPr>
        <w:pStyle w:val="231"/>
        <w:spacing w:line="360" w:lineRule="auto"/>
        <w:ind w:firstLine="480"/>
        <w:rPr>
          <w:rFonts w:hint="default" w:ascii="Times New Roman" w:hAnsi="Times New Roman"/>
          <w:color w:val="auto"/>
          <w:sz w:val="24"/>
          <w:szCs w:val="24"/>
          <w:highlight w:val="none"/>
        </w:rPr>
      </w:pPr>
      <w:r>
        <w:rPr>
          <w:rFonts w:ascii="Times New Roman" w:hAnsi="Times New Roman"/>
          <w:color w:val="auto"/>
          <w:sz w:val="24"/>
          <w:highlight w:val="none"/>
        </w:rPr>
        <w:t>电      话：</w:t>
      </w:r>
      <w:r>
        <w:rPr>
          <w:rFonts w:hAnsi="宋体" w:cs="宋体"/>
          <w:color w:val="auto"/>
          <w:sz w:val="24"/>
          <w:szCs w:val="24"/>
          <w:highlight w:val="none"/>
        </w:rPr>
        <w:t>0519-86661067</w:t>
      </w:r>
    </w:p>
    <w:p w14:paraId="03E1CC4D">
      <w:pPr>
        <w:spacing w:line="360" w:lineRule="auto"/>
        <w:jc w:val="center"/>
        <w:outlineLvl w:val="0"/>
        <w:rPr>
          <w:b/>
          <w:color w:val="auto"/>
          <w:sz w:val="32"/>
          <w:szCs w:val="32"/>
          <w:highlight w:val="none"/>
        </w:rPr>
      </w:pPr>
      <w:r>
        <w:rPr>
          <w:color w:val="auto"/>
          <w:sz w:val="24"/>
          <w:highlight w:val="none"/>
        </w:rPr>
        <w:br w:type="page" w:clear="all"/>
      </w:r>
      <w:bookmarkStart w:id="45" w:name="_Toc305158928"/>
      <w:bookmarkStart w:id="46" w:name="_Toc512937850"/>
      <w:bookmarkStart w:id="47" w:name="_Toc195842950"/>
      <w:bookmarkStart w:id="48" w:name="_Toc150774783"/>
      <w:bookmarkStart w:id="49" w:name="_Toc353825548"/>
      <w:bookmarkStart w:id="50" w:name="_Toc157413233"/>
      <w:bookmarkStart w:id="51" w:name="_Toc127151777"/>
      <w:bookmarkStart w:id="52" w:name="_Toc226965856"/>
      <w:bookmarkStart w:id="53" w:name="_Toc127161488"/>
      <w:bookmarkStart w:id="54" w:name="_Toc264969275"/>
      <w:bookmarkStart w:id="55" w:name="_Toc305158854"/>
      <w:bookmarkStart w:id="56" w:name="_Toc353873938"/>
      <w:bookmarkStart w:id="57" w:name="_Toc265228423"/>
      <w:r>
        <w:rPr>
          <w:b/>
          <w:color w:val="auto"/>
          <w:sz w:val="36"/>
          <w:szCs w:val="36"/>
          <w:highlight w:val="none"/>
        </w:rPr>
        <w:t>第二章   投标人须知</w:t>
      </w:r>
      <w:bookmarkEnd w:id="45"/>
      <w:bookmarkEnd w:id="46"/>
      <w:bookmarkEnd w:id="47"/>
      <w:bookmarkEnd w:id="48"/>
      <w:bookmarkEnd w:id="49"/>
      <w:bookmarkEnd w:id="50"/>
      <w:bookmarkEnd w:id="51"/>
      <w:bookmarkEnd w:id="52"/>
      <w:bookmarkEnd w:id="53"/>
      <w:bookmarkEnd w:id="54"/>
      <w:bookmarkEnd w:id="55"/>
      <w:bookmarkEnd w:id="56"/>
      <w:bookmarkEnd w:id="57"/>
    </w:p>
    <w:p w14:paraId="24FC7EF1">
      <w:pPr>
        <w:pStyle w:val="194"/>
        <w:tabs>
          <w:tab w:val="center" w:pos="4592"/>
          <w:tab w:val="left" w:pos="7860"/>
        </w:tabs>
        <w:spacing w:before="0" w:line="360" w:lineRule="auto"/>
        <w:rPr>
          <w:rFonts w:ascii="Times New Roman" w:hAnsi="Times New Roman" w:eastAsia="宋体"/>
          <w:color w:val="auto"/>
          <w:sz w:val="28"/>
          <w:highlight w:val="none"/>
        </w:rPr>
      </w:pPr>
      <w:bookmarkStart w:id="58" w:name="_Toc150774619"/>
      <w:bookmarkStart w:id="59" w:name="_Toc195842884"/>
      <w:bookmarkStart w:id="60" w:name="_Toc226337215"/>
      <w:bookmarkStart w:id="61" w:name="_Toc164608633"/>
      <w:bookmarkStart w:id="62" w:name="_Toc150509270"/>
      <w:bookmarkStart w:id="63" w:name="_Toc151193907"/>
      <w:bookmarkStart w:id="64" w:name="_Toc151193761"/>
      <w:bookmarkStart w:id="65" w:name="_Toc164351613"/>
      <w:bookmarkStart w:id="66" w:name="_Toc142311021"/>
      <w:bookmarkStart w:id="67" w:name="_Toc164229214"/>
      <w:bookmarkStart w:id="68" w:name="_Toc151193833"/>
      <w:bookmarkStart w:id="69" w:name="_Toc127161433"/>
      <w:bookmarkStart w:id="70" w:name="_Toc127151720"/>
      <w:bookmarkStart w:id="71" w:name="_Toc164229360"/>
      <w:bookmarkStart w:id="72" w:name="_Toc520356144"/>
      <w:bookmarkStart w:id="73" w:name="_Toc149720812"/>
      <w:bookmarkStart w:id="74" w:name="_Toc226965792"/>
      <w:bookmarkStart w:id="75" w:name="_Toc151190146"/>
      <w:bookmarkStart w:id="76" w:name="_Toc150774724"/>
      <w:bookmarkStart w:id="77" w:name="_Toc150480757"/>
      <w:bookmarkStart w:id="78" w:name="_Toc151193689"/>
      <w:bookmarkStart w:id="79" w:name="_Toc164608788"/>
      <w:bookmarkStart w:id="80" w:name="_Toc226965709"/>
      <w:bookmarkStart w:id="81" w:name="_Toc226309763"/>
      <w:bookmarkStart w:id="82" w:name="_Toc151193617"/>
      <w:bookmarkStart w:id="83" w:name="_Toc127151519"/>
      <w:r>
        <w:rPr>
          <w:rFonts w:ascii="Times New Roman" w:hAnsi="Times New Roman" w:eastAsia="宋体"/>
          <w:color w:val="auto"/>
          <w:sz w:val="28"/>
          <w:highlight w:val="none"/>
        </w:rPr>
        <w:t>投标人须知资料表</w:t>
      </w:r>
    </w:p>
    <w:p w14:paraId="4171ABE1">
      <w:pPr>
        <w:jc w:val="center"/>
        <w:rPr>
          <w:b/>
          <w:color w:val="auto"/>
          <w:sz w:val="28"/>
          <w:szCs w:val="28"/>
          <w:highlight w:val="none"/>
        </w:rPr>
      </w:pPr>
    </w:p>
    <w:p w14:paraId="3C9DFA0F">
      <w:pPr>
        <w:spacing w:line="360" w:lineRule="auto"/>
        <w:ind w:firstLine="480"/>
        <w:rPr>
          <w:color w:val="auto"/>
          <w:sz w:val="24"/>
          <w:highlight w:val="none"/>
        </w:rPr>
      </w:pPr>
      <w:r>
        <w:rPr>
          <w:color w:val="auto"/>
          <w:sz w:val="24"/>
          <w:highlight w:val="none"/>
        </w:rPr>
        <w:t>本表是对投标人须知的具体补充和修改，如有矛盾，均以本资料表为准。</w:t>
      </w:r>
    </w:p>
    <w:p w14:paraId="187F57E4">
      <w:pPr>
        <w:spacing w:line="360" w:lineRule="auto"/>
        <w:ind w:firstLine="480"/>
        <w:rPr>
          <w:color w:val="auto"/>
          <w:sz w:val="24"/>
          <w:highlight w:val="none"/>
        </w:rPr>
      </w:pPr>
      <w:r>
        <w:rPr>
          <w:color w:val="auto"/>
          <w:sz w:val="24"/>
          <w:highlight w:val="none"/>
        </w:rPr>
        <w:t>标记“</w:t>
      </w:r>
      <w:r>
        <w:rPr>
          <w:b/>
          <w:color w:val="auto"/>
          <w:sz w:val="24"/>
          <w:highlight w:val="none"/>
        </w:rPr>
        <w:t>■</w:t>
      </w:r>
      <w:r>
        <w:rPr>
          <w:color w:val="auto"/>
          <w:sz w:val="24"/>
          <w:highlight w:val="none"/>
        </w:rPr>
        <w:t>”的选项意为适用于本项目，标记“□”的选项意为不适用于本项目。</w:t>
      </w:r>
    </w:p>
    <w:tbl>
      <w:tblPr>
        <w:tblStyle w:val="37"/>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253"/>
      </w:tblGrid>
      <w:tr w14:paraId="2C7D26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blHeader/>
          <w:jc w:val="center"/>
        </w:trPr>
        <w:tc>
          <w:tcPr>
            <w:tcW w:w="988" w:type="dxa"/>
            <w:vAlign w:val="center"/>
          </w:tcPr>
          <w:p w14:paraId="4D2C0E3C">
            <w:pPr>
              <w:jc w:val="center"/>
              <w:rPr>
                <w:b/>
                <w:bCs/>
                <w:color w:val="auto"/>
                <w:sz w:val="24"/>
                <w:highlight w:val="none"/>
              </w:rPr>
            </w:pPr>
            <w:r>
              <w:rPr>
                <w:b/>
                <w:color w:val="auto"/>
                <w:sz w:val="24"/>
                <w:highlight w:val="none"/>
              </w:rPr>
              <w:t>条款号</w:t>
            </w:r>
          </w:p>
        </w:tc>
        <w:tc>
          <w:tcPr>
            <w:tcW w:w="1701" w:type="dxa"/>
            <w:vAlign w:val="center"/>
          </w:tcPr>
          <w:p w14:paraId="70FDE59C">
            <w:pPr>
              <w:jc w:val="center"/>
              <w:rPr>
                <w:b/>
                <w:bCs/>
                <w:color w:val="auto"/>
                <w:sz w:val="24"/>
                <w:highlight w:val="none"/>
              </w:rPr>
            </w:pPr>
            <w:r>
              <w:rPr>
                <w:b/>
                <w:bCs/>
                <w:color w:val="auto"/>
                <w:sz w:val="24"/>
                <w:highlight w:val="none"/>
              </w:rPr>
              <w:t>条目</w:t>
            </w:r>
          </w:p>
        </w:tc>
        <w:tc>
          <w:tcPr>
            <w:tcW w:w="7253" w:type="dxa"/>
            <w:vAlign w:val="center"/>
          </w:tcPr>
          <w:p w14:paraId="0FF0EA9D">
            <w:pPr>
              <w:jc w:val="center"/>
              <w:rPr>
                <w:b/>
                <w:bCs/>
                <w:color w:val="auto"/>
                <w:sz w:val="24"/>
                <w:highlight w:val="none"/>
              </w:rPr>
            </w:pPr>
            <w:r>
              <w:rPr>
                <w:b/>
                <w:bCs/>
                <w:color w:val="auto"/>
                <w:sz w:val="24"/>
                <w:highlight w:val="none"/>
              </w:rPr>
              <w:t>内容</w:t>
            </w:r>
          </w:p>
        </w:tc>
      </w:tr>
      <w:tr w14:paraId="5C8FDD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51757308">
            <w:pPr>
              <w:pStyle w:val="231"/>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2.2</w:t>
            </w:r>
          </w:p>
        </w:tc>
        <w:tc>
          <w:tcPr>
            <w:tcW w:w="1701" w:type="dxa"/>
            <w:vAlign w:val="center"/>
          </w:tcPr>
          <w:p w14:paraId="060F4526">
            <w:pPr>
              <w:jc w:val="center"/>
              <w:rPr>
                <w:color w:val="auto"/>
                <w:sz w:val="24"/>
                <w:highlight w:val="none"/>
              </w:rPr>
            </w:pPr>
            <w:r>
              <w:rPr>
                <w:color w:val="auto"/>
                <w:sz w:val="24"/>
                <w:highlight w:val="none"/>
              </w:rPr>
              <w:t>项目属性</w:t>
            </w:r>
          </w:p>
        </w:tc>
        <w:tc>
          <w:tcPr>
            <w:tcW w:w="7253" w:type="dxa"/>
            <w:vAlign w:val="center"/>
          </w:tcPr>
          <w:p w14:paraId="62387853">
            <w:pPr>
              <w:jc w:val="left"/>
              <w:rPr>
                <w:color w:val="auto"/>
                <w:sz w:val="24"/>
                <w:highlight w:val="none"/>
              </w:rPr>
            </w:pPr>
            <w:r>
              <w:rPr>
                <w:color w:val="auto"/>
                <w:sz w:val="24"/>
                <w:highlight w:val="none"/>
              </w:rPr>
              <w:t>项目属性：</w:t>
            </w:r>
          </w:p>
          <w:p w14:paraId="743BE55F">
            <w:pPr>
              <w:jc w:val="left"/>
              <w:rPr>
                <w:color w:val="auto"/>
                <w:sz w:val="24"/>
                <w:highlight w:val="none"/>
              </w:rPr>
            </w:pPr>
            <w:r>
              <w:rPr>
                <w:b/>
                <w:color w:val="auto"/>
                <w:sz w:val="24"/>
                <w:highlight w:val="none"/>
              </w:rPr>
              <w:t>■</w:t>
            </w:r>
            <w:r>
              <w:rPr>
                <w:color w:val="auto"/>
                <w:sz w:val="24"/>
                <w:highlight w:val="none"/>
              </w:rPr>
              <w:t>服务</w:t>
            </w:r>
          </w:p>
          <w:p w14:paraId="2B244569">
            <w:pPr>
              <w:jc w:val="left"/>
              <w:rPr>
                <w:color w:val="auto"/>
                <w:sz w:val="24"/>
                <w:highlight w:val="none"/>
              </w:rPr>
            </w:pPr>
            <w:r>
              <w:rPr>
                <w:color w:val="auto"/>
                <w:sz w:val="24"/>
                <w:highlight w:val="none"/>
              </w:rPr>
              <w:t>□货物</w:t>
            </w:r>
          </w:p>
          <w:p w14:paraId="38C15791">
            <w:pPr>
              <w:jc w:val="left"/>
              <w:rPr>
                <w:color w:val="auto"/>
                <w:sz w:val="24"/>
                <w:highlight w:val="none"/>
                <w:u w:val="single"/>
              </w:rPr>
            </w:pPr>
            <w:r>
              <w:rPr>
                <w:color w:val="auto"/>
                <w:sz w:val="24"/>
                <w:highlight w:val="none"/>
              </w:rPr>
              <w:t>□</w:t>
            </w:r>
            <w:r>
              <w:rPr>
                <w:rFonts w:hint="eastAsia"/>
                <w:color w:val="auto"/>
                <w:sz w:val="24"/>
                <w:highlight w:val="none"/>
              </w:rPr>
              <w:t>工程</w:t>
            </w:r>
          </w:p>
        </w:tc>
      </w:tr>
      <w:tr w14:paraId="67B9F7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jc w:val="center"/>
        </w:trPr>
        <w:tc>
          <w:tcPr>
            <w:tcW w:w="988" w:type="dxa"/>
            <w:vMerge w:val="restart"/>
            <w:vAlign w:val="center"/>
          </w:tcPr>
          <w:p w14:paraId="495D2364">
            <w:pPr>
              <w:pStyle w:val="231"/>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3.1</w:t>
            </w:r>
          </w:p>
        </w:tc>
        <w:tc>
          <w:tcPr>
            <w:tcW w:w="1701" w:type="dxa"/>
            <w:vAlign w:val="center"/>
          </w:tcPr>
          <w:p w14:paraId="71ECF11A">
            <w:pPr>
              <w:jc w:val="center"/>
              <w:rPr>
                <w:color w:val="auto"/>
                <w:sz w:val="24"/>
                <w:highlight w:val="none"/>
              </w:rPr>
            </w:pPr>
            <w:r>
              <w:rPr>
                <w:color w:val="auto"/>
                <w:sz w:val="24"/>
                <w:highlight w:val="none"/>
              </w:rPr>
              <w:t>现场考察</w:t>
            </w:r>
          </w:p>
        </w:tc>
        <w:tc>
          <w:tcPr>
            <w:tcW w:w="7253" w:type="dxa"/>
            <w:vAlign w:val="center"/>
          </w:tcPr>
          <w:p w14:paraId="233A3F12">
            <w:pPr>
              <w:jc w:val="left"/>
              <w:rPr>
                <w:color w:val="auto"/>
                <w:sz w:val="24"/>
                <w:highlight w:val="none"/>
              </w:rPr>
            </w:pPr>
            <w:r>
              <w:rPr>
                <w:b/>
                <w:color w:val="auto"/>
                <w:sz w:val="24"/>
                <w:highlight w:val="none"/>
              </w:rPr>
              <w:t>■</w:t>
            </w:r>
            <w:r>
              <w:rPr>
                <w:color w:val="auto"/>
                <w:sz w:val="24"/>
                <w:highlight w:val="none"/>
              </w:rPr>
              <w:t>不组织</w:t>
            </w:r>
          </w:p>
          <w:p w14:paraId="1966335C">
            <w:pPr>
              <w:jc w:val="left"/>
              <w:rPr>
                <w:bCs/>
                <w:color w:val="auto"/>
                <w:sz w:val="24"/>
                <w:highlight w:val="none"/>
              </w:rPr>
            </w:pPr>
            <w:r>
              <w:rPr>
                <w:color w:val="auto"/>
                <w:sz w:val="24"/>
                <w:highlight w:val="none"/>
              </w:rPr>
              <w:t>□组织，考察时间：___</w:t>
            </w:r>
            <w:r>
              <w:rPr>
                <w:color w:val="auto"/>
                <w:sz w:val="24"/>
                <w:highlight w:val="none"/>
                <w:lang w:bidi="ar"/>
              </w:rPr>
              <w:t>年</w:t>
            </w:r>
            <w:r>
              <w:rPr>
                <w:color w:val="auto"/>
                <w:sz w:val="24"/>
                <w:highlight w:val="none"/>
              </w:rPr>
              <w:t>___</w:t>
            </w:r>
            <w:r>
              <w:rPr>
                <w:color w:val="auto"/>
                <w:sz w:val="24"/>
                <w:highlight w:val="none"/>
                <w:lang w:bidi="ar"/>
              </w:rPr>
              <w:t>月</w:t>
            </w:r>
            <w:r>
              <w:rPr>
                <w:color w:val="auto"/>
                <w:sz w:val="24"/>
                <w:highlight w:val="none"/>
              </w:rPr>
              <w:t>___</w:t>
            </w:r>
            <w:r>
              <w:rPr>
                <w:color w:val="auto"/>
                <w:sz w:val="24"/>
                <w:highlight w:val="none"/>
                <w:lang w:bidi="ar"/>
              </w:rPr>
              <w:t>日</w:t>
            </w:r>
            <w:r>
              <w:rPr>
                <w:color w:val="auto"/>
                <w:sz w:val="24"/>
                <w:highlight w:val="none"/>
              </w:rPr>
              <w:t>___</w:t>
            </w:r>
            <w:r>
              <w:rPr>
                <w:color w:val="auto"/>
                <w:sz w:val="24"/>
                <w:highlight w:val="none"/>
                <w:lang w:bidi="ar"/>
              </w:rPr>
              <w:t>点</w:t>
            </w:r>
            <w:r>
              <w:rPr>
                <w:color w:val="auto"/>
                <w:sz w:val="24"/>
                <w:highlight w:val="none"/>
              </w:rPr>
              <w:t>___</w:t>
            </w:r>
            <w:r>
              <w:rPr>
                <w:color w:val="auto"/>
                <w:sz w:val="24"/>
                <w:highlight w:val="none"/>
                <w:lang w:bidi="ar"/>
              </w:rPr>
              <w:t>分</w:t>
            </w:r>
          </w:p>
          <w:p w14:paraId="374C9F63">
            <w:pPr>
              <w:pStyle w:val="231"/>
              <w:rPr>
                <w:rFonts w:hint="default" w:ascii="Times New Roman" w:hAnsi="Times New Roman"/>
                <w:color w:val="auto"/>
                <w:sz w:val="24"/>
                <w:szCs w:val="24"/>
                <w:highlight w:val="none"/>
              </w:rPr>
            </w:pPr>
            <w:r>
              <w:rPr>
                <w:rFonts w:ascii="Times New Roman" w:hAnsi="Times New Roman"/>
                <w:color w:val="auto"/>
                <w:sz w:val="24"/>
                <w:highlight w:val="none"/>
              </w:rPr>
              <w:t>考察地点：___________。</w:t>
            </w:r>
          </w:p>
        </w:tc>
      </w:tr>
      <w:tr w14:paraId="4EE8E0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jc w:val="center"/>
        </w:trPr>
        <w:tc>
          <w:tcPr>
            <w:tcW w:w="988" w:type="dxa"/>
            <w:vMerge w:val="continue"/>
            <w:vAlign w:val="center"/>
          </w:tcPr>
          <w:p w14:paraId="52C3CD40">
            <w:pPr>
              <w:pStyle w:val="231"/>
              <w:jc w:val="center"/>
              <w:rPr>
                <w:rFonts w:hint="default" w:ascii="Times New Roman" w:hAnsi="Times New Roman"/>
                <w:color w:val="auto"/>
                <w:sz w:val="24"/>
                <w:szCs w:val="24"/>
                <w:highlight w:val="none"/>
              </w:rPr>
            </w:pPr>
          </w:p>
        </w:tc>
        <w:tc>
          <w:tcPr>
            <w:tcW w:w="1701" w:type="dxa"/>
            <w:vAlign w:val="center"/>
          </w:tcPr>
          <w:p w14:paraId="5F508396">
            <w:pPr>
              <w:jc w:val="center"/>
              <w:rPr>
                <w:color w:val="auto"/>
                <w:sz w:val="24"/>
                <w:highlight w:val="none"/>
              </w:rPr>
            </w:pPr>
            <w:r>
              <w:rPr>
                <w:rFonts w:hint="eastAsia"/>
                <w:color w:val="auto"/>
                <w:sz w:val="24"/>
                <w:highlight w:val="none"/>
              </w:rPr>
              <w:t>开标</w:t>
            </w:r>
            <w:r>
              <w:rPr>
                <w:color w:val="auto"/>
                <w:sz w:val="24"/>
                <w:highlight w:val="none"/>
              </w:rPr>
              <w:t>前答疑会</w:t>
            </w:r>
          </w:p>
        </w:tc>
        <w:tc>
          <w:tcPr>
            <w:tcW w:w="7253" w:type="dxa"/>
            <w:vAlign w:val="center"/>
          </w:tcPr>
          <w:p w14:paraId="536633BC">
            <w:pPr>
              <w:jc w:val="left"/>
              <w:rPr>
                <w:color w:val="auto"/>
                <w:sz w:val="24"/>
                <w:highlight w:val="none"/>
              </w:rPr>
            </w:pPr>
            <w:r>
              <w:rPr>
                <w:b/>
                <w:color w:val="auto"/>
                <w:sz w:val="24"/>
                <w:highlight w:val="none"/>
              </w:rPr>
              <w:t>■</w:t>
            </w:r>
            <w:r>
              <w:rPr>
                <w:color w:val="auto"/>
                <w:sz w:val="24"/>
                <w:highlight w:val="none"/>
              </w:rPr>
              <w:t>不召开</w:t>
            </w:r>
          </w:p>
          <w:p w14:paraId="72BD6D5D">
            <w:pPr>
              <w:jc w:val="left"/>
              <w:rPr>
                <w:color w:val="auto"/>
                <w:sz w:val="24"/>
                <w:highlight w:val="none"/>
              </w:rPr>
            </w:pPr>
            <w:r>
              <w:rPr>
                <w:color w:val="auto"/>
                <w:sz w:val="24"/>
                <w:highlight w:val="none"/>
              </w:rPr>
              <w:t>□召开，召开时间：___</w:t>
            </w:r>
            <w:r>
              <w:rPr>
                <w:color w:val="auto"/>
                <w:sz w:val="24"/>
                <w:highlight w:val="none"/>
                <w:lang w:bidi="ar"/>
              </w:rPr>
              <w:t>年</w:t>
            </w:r>
            <w:r>
              <w:rPr>
                <w:color w:val="auto"/>
                <w:sz w:val="24"/>
                <w:highlight w:val="none"/>
              </w:rPr>
              <w:t>___</w:t>
            </w:r>
            <w:r>
              <w:rPr>
                <w:color w:val="auto"/>
                <w:sz w:val="24"/>
                <w:highlight w:val="none"/>
                <w:lang w:bidi="ar"/>
              </w:rPr>
              <w:t>月</w:t>
            </w:r>
            <w:r>
              <w:rPr>
                <w:color w:val="auto"/>
                <w:sz w:val="24"/>
                <w:highlight w:val="none"/>
              </w:rPr>
              <w:t>___</w:t>
            </w:r>
            <w:r>
              <w:rPr>
                <w:color w:val="auto"/>
                <w:sz w:val="24"/>
                <w:highlight w:val="none"/>
                <w:lang w:bidi="ar"/>
              </w:rPr>
              <w:t>日</w:t>
            </w:r>
            <w:r>
              <w:rPr>
                <w:color w:val="auto"/>
                <w:sz w:val="24"/>
                <w:highlight w:val="none"/>
              </w:rPr>
              <w:t>___</w:t>
            </w:r>
            <w:r>
              <w:rPr>
                <w:color w:val="auto"/>
                <w:sz w:val="24"/>
                <w:highlight w:val="none"/>
                <w:lang w:bidi="ar"/>
              </w:rPr>
              <w:t>点</w:t>
            </w:r>
            <w:r>
              <w:rPr>
                <w:color w:val="auto"/>
                <w:sz w:val="24"/>
                <w:highlight w:val="none"/>
              </w:rPr>
              <w:t>___</w:t>
            </w:r>
            <w:r>
              <w:rPr>
                <w:color w:val="auto"/>
                <w:sz w:val="24"/>
                <w:highlight w:val="none"/>
                <w:lang w:bidi="ar"/>
              </w:rPr>
              <w:t>分</w:t>
            </w:r>
          </w:p>
          <w:p w14:paraId="1B9DAFCD">
            <w:pPr>
              <w:jc w:val="left"/>
              <w:rPr>
                <w:color w:val="auto"/>
                <w:sz w:val="24"/>
                <w:highlight w:val="none"/>
              </w:rPr>
            </w:pPr>
            <w:r>
              <w:rPr>
                <w:color w:val="auto"/>
                <w:sz w:val="24"/>
                <w:highlight w:val="none"/>
              </w:rPr>
              <w:t>召开地点：___________</w:t>
            </w:r>
            <w:r>
              <w:rPr>
                <w:rFonts w:hint="eastAsia"/>
                <w:color w:val="auto"/>
                <w:sz w:val="24"/>
                <w:highlight w:val="none"/>
              </w:rPr>
              <w:t>。</w:t>
            </w:r>
          </w:p>
        </w:tc>
      </w:tr>
      <w:tr w14:paraId="6AF187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8" w:hRule="atLeast"/>
          <w:jc w:val="center"/>
        </w:trPr>
        <w:tc>
          <w:tcPr>
            <w:tcW w:w="988" w:type="dxa"/>
            <w:vAlign w:val="center"/>
          </w:tcPr>
          <w:p w14:paraId="4B454522">
            <w:pPr>
              <w:pStyle w:val="231"/>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5.2.5</w:t>
            </w:r>
          </w:p>
        </w:tc>
        <w:tc>
          <w:tcPr>
            <w:tcW w:w="1701" w:type="dxa"/>
            <w:vAlign w:val="center"/>
          </w:tcPr>
          <w:p w14:paraId="7E076BE7">
            <w:pPr>
              <w:jc w:val="center"/>
              <w:rPr>
                <w:color w:val="auto"/>
                <w:sz w:val="24"/>
                <w:highlight w:val="none"/>
              </w:rPr>
            </w:pPr>
            <w:r>
              <w:rPr>
                <w:color w:val="auto"/>
                <w:sz w:val="24"/>
                <w:highlight w:val="none"/>
              </w:rPr>
              <w:t>标的所属行业</w:t>
            </w:r>
          </w:p>
        </w:tc>
        <w:tc>
          <w:tcPr>
            <w:tcW w:w="7253" w:type="dxa"/>
            <w:vAlign w:val="center"/>
          </w:tcPr>
          <w:p w14:paraId="34F20C3E">
            <w:pPr>
              <w:jc w:val="left"/>
              <w:rPr>
                <w:color w:val="auto"/>
                <w:sz w:val="24"/>
                <w:highlight w:val="none"/>
              </w:rPr>
            </w:pPr>
            <w:r>
              <w:rPr>
                <w:color w:val="auto"/>
                <w:sz w:val="24"/>
                <w:highlight w:val="none"/>
              </w:rPr>
              <w:t>本项目采购标的对应的中小企业划分标准所属行业：</w:t>
            </w:r>
            <w:r>
              <w:rPr>
                <w:rFonts w:hint="eastAsia"/>
                <w:color w:val="auto"/>
                <w:sz w:val="24"/>
                <w:highlight w:val="none"/>
                <w:u w:val="single"/>
              </w:rPr>
              <w:t xml:space="preserve">软件和信息技术服务业 </w:t>
            </w:r>
          </w:p>
        </w:tc>
      </w:tr>
      <w:tr w14:paraId="3A3F8B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8" w:hRule="atLeast"/>
          <w:jc w:val="center"/>
        </w:trPr>
        <w:tc>
          <w:tcPr>
            <w:tcW w:w="988" w:type="dxa"/>
            <w:shd w:val="clear" w:color="auto" w:fill="auto"/>
            <w:vAlign w:val="center"/>
          </w:tcPr>
          <w:p w14:paraId="58C2A570">
            <w:pPr>
              <w:pStyle w:val="19"/>
              <w:adjustRightInd w:val="0"/>
              <w:snapToGrid w:val="0"/>
              <w:jc w:val="center"/>
              <w:rPr>
                <w:rFonts w:hint="eastAsia" w:ascii="宋体" w:hAnsi="宋体" w:eastAsia="宋体" w:cs="宋体"/>
                <w:color w:val="auto"/>
                <w:kern w:val="2"/>
                <w:sz w:val="24"/>
                <w:szCs w:val="24"/>
                <w:highlight w:val="none"/>
                <w:lang w:val="en-US" w:eastAsia="zh-CN" w:bidi="ar-SA"/>
              </w:rPr>
            </w:pPr>
            <w:r>
              <w:rPr>
                <w:rFonts w:ascii="Times New Roman" w:hAnsi="Times New Roman"/>
                <w:color w:val="auto"/>
                <w:sz w:val="24"/>
                <w:szCs w:val="24"/>
                <w:highlight w:val="none"/>
              </w:rPr>
              <w:t>5.9</w:t>
            </w:r>
          </w:p>
        </w:tc>
        <w:tc>
          <w:tcPr>
            <w:tcW w:w="1701" w:type="dxa"/>
            <w:shd w:val="clear" w:color="auto" w:fill="auto"/>
            <w:vAlign w:val="center"/>
          </w:tcPr>
          <w:p w14:paraId="08186EA9">
            <w:pPr>
              <w:jc w:val="center"/>
              <w:rPr>
                <w:rFonts w:hint="eastAsia" w:ascii="宋体" w:hAnsi="宋体" w:eastAsia="宋体" w:cs="宋体"/>
                <w:color w:val="auto"/>
                <w:kern w:val="2"/>
                <w:sz w:val="24"/>
                <w:szCs w:val="24"/>
                <w:highlight w:val="none"/>
                <w:lang w:val="en-US" w:eastAsia="zh-CN" w:bidi="ar-SA"/>
              </w:rPr>
            </w:pPr>
            <w:r>
              <w:rPr>
                <w:rFonts w:hint="eastAsia"/>
                <w:color w:val="auto"/>
                <w:sz w:val="24"/>
                <w:highlight w:val="none"/>
              </w:rPr>
              <w:t>本国产品政策支持</w:t>
            </w:r>
          </w:p>
        </w:tc>
        <w:tc>
          <w:tcPr>
            <w:tcW w:w="7253" w:type="dxa"/>
            <w:shd w:val="clear" w:color="auto" w:fill="auto"/>
            <w:vAlign w:val="center"/>
          </w:tcPr>
          <w:p w14:paraId="2A035F45">
            <w:pPr>
              <w:spacing w:line="360" w:lineRule="exact"/>
              <w:jc w:val="left"/>
              <w:rPr>
                <w:rFonts w:hint="eastAsia"/>
                <w:color w:val="auto"/>
                <w:sz w:val="24"/>
                <w:highlight w:val="none"/>
              </w:rPr>
            </w:pPr>
            <w:r>
              <w:rPr>
                <w:color w:val="auto"/>
                <w:sz w:val="24"/>
                <w:highlight w:val="none"/>
              </w:rPr>
              <w:t>关于</w:t>
            </w:r>
            <w:r>
              <w:rPr>
                <w:rFonts w:hint="eastAsia"/>
                <w:color w:val="auto"/>
                <w:sz w:val="24"/>
                <w:highlight w:val="none"/>
              </w:rPr>
              <w:t>对采购本国产品给予政策支持，本项目：</w:t>
            </w:r>
            <w:r>
              <w:rPr>
                <w:color w:val="auto"/>
                <w:sz w:val="24"/>
                <w:highlight w:val="none"/>
              </w:rPr>
              <w:t>□</w:t>
            </w:r>
            <w:r>
              <w:rPr>
                <w:rFonts w:hint="eastAsia"/>
                <w:color w:val="auto"/>
                <w:sz w:val="24"/>
                <w:highlight w:val="none"/>
              </w:rPr>
              <w:t xml:space="preserve">适用 </w:t>
            </w:r>
            <w:r>
              <w:rPr>
                <w:b/>
                <w:color w:val="auto"/>
                <w:sz w:val="24"/>
                <w:highlight w:val="none"/>
              </w:rPr>
              <w:t>■</w:t>
            </w:r>
            <w:r>
              <w:rPr>
                <w:rFonts w:hint="eastAsia"/>
                <w:color w:val="auto"/>
                <w:sz w:val="24"/>
                <w:highlight w:val="none"/>
              </w:rPr>
              <w:t>不适用。</w:t>
            </w:r>
          </w:p>
          <w:p w14:paraId="62E9D898">
            <w:pPr>
              <w:pStyle w:val="194"/>
              <w:keepNext w:val="0"/>
              <w:keepLines w:val="0"/>
              <w:widowControl/>
              <w:pBdr>
                <w:top w:val="none" w:color="000000" w:sz="0" w:space="0"/>
                <w:left w:val="none" w:color="000000" w:sz="0" w:space="0"/>
                <w:bottom w:val="none" w:color="000000" w:sz="0" w:space="0"/>
                <w:right w:val="none" w:color="000000" w:sz="0" w:space="0"/>
              </w:pBdr>
              <w:shd w:val="clear" w:color="auto" w:fill="FFFFFF"/>
              <w:spacing w:before="0" w:line="360" w:lineRule="exact"/>
              <w:jc w:val="both"/>
              <w:rPr>
                <w:rFonts w:hint="eastAsia" w:ascii="宋体" w:hAnsi="宋体" w:eastAsia="黑体" w:cs="宋体"/>
                <w:b/>
                <w:color w:val="auto"/>
                <w:kern w:val="2"/>
                <w:sz w:val="24"/>
                <w:szCs w:val="20"/>
                <w:highlight w:val="none"/>
                <w:lang w:val="en-US" w:eastAsia="zh-CN" w:bidi="ar-SA"/>
              </w:rPr>
            </w:pPr>
            <w:r>
              <w:rPr>
                <w:rFonts w:hint="eastAsia" w:ascii="Times New Roman" w:hAnsi="Times New Roman" w:eastAsia="宋体"/>
                <w:b w:val="0"/>
                <w:color w:val="auto"/>
                <w:sz w:val="24"/>
                <w:szCs w:val="24"/>
                <w:highlight w:val="none"/>
              </w:rPr>
              <w:t>在填写《关于符合本国产品标准的声明函》时，如未提供声明函、信息填写错误、未完整填报或不符合《关于在政府采购中实施本国产品标准及相关政策的通知》要求的，则会导致报价不作相应扣除。</w:t>
            </w:r>
          </w:p>
        </w:tc>
      </w:tr>
      <w:tr w14:paraId="4E7EFD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0" w:hRule="atLeast"/>
          <w:jc w:val="center"/>
        </w:trPr>
        <w:tc>
          <w:tcPr>
            <w:tcW w:w="988" w:type="dxa"/>
            <w:vAlign w:val="center"/>
          </w:tcPr>
          <w:p w14:paraId="182B2272">
            <w:pPr>
              <w:pStyle w:val="231"/>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10.2</w:t>
            </w:r>
          </w:p>
        </w:tc>
        <w:tc>
          <w:tcPr>
            <w:tcW w:w="1701" w:type="dxa"/>
            <w:vAlign w:val="center"/>
          </w:tcPr>
          <w:p w14:paraId="75683947">
            <w:pPr>
              <w:jc w:val="center"/>
              <w:rPr>
                <w:color w:val="auto"/>
                <w:sz w:val="24"/>
                <w:highlight w:val="none"/>
              </w:rPr>
            </w:pPr>
            <w:r>
              <w:rPr>
                <w:color w:val="auto"/>
                <w:sz w:val="24"/>
                <w:highlight w:val="none"/>
              </w:rPr>
              <w:t>投标报价</w:t>
            </w:r>
          </w:p>
        </w:tc>
        <w:tc>
          <w:tcPr>
            <w:tcW w:w="7253" w:type="dxa"/>
            <w:vAlign w:val="center"/>
          </w:tcPr>
          <w:p w14:paraId="26072294">
            <w:pPr>
              <w:jc w:val="left"/>
              <w:rPr>
                <w:color w:val="auto"/>
                <w:sz w:val="24"/>
                <w:highlight w:val="none"/>
              </w:rPr>
            </w:pPr>
            <w:r>
              <w:rPr>
                <w:color w:val="auto"/>
                <w:sz w:val="24"/>
                <w:highlight w:val="none"/>
              </w:rPr>
              <w:t>报价的特殊规定：</w:t>
            </w:r>
          </w:p>
          <w:p w14:paraId="3A6A7F74">
            <w:pPr>
              <w:jc w:val="left"/>
              <w:rPr>
                <w:color w:val="auto"/>
                <w:sz w:val="24"/>
                <w:highlight w:val="none"/>
              </w:rPr>
            </w:pPr>
            <w:r>
              <w:rPr>
                <w:b/>
                <w:color w:val="auto"/>
                <w:sz w:val="24"/>
                <w:highlight w:val="none"/>
              </w:rPr>
              <w:t>■</w:t>
            </w:r>
            <w:r>
              <w:rPr>
                <w:color w:val="auto"/>
                <w:sz w:val="24"/>
                <w:highlight w:val="none"/>
              </w:rPr>
              <w:t>无</w:t>
            </w:r>
          </w:p>
          <w:p w14:paraId="6C7F15D5">
            <w:pPr>
              <w:jc w:val="left"/>
              <w:rPr>
                <w:color w:val="auto"/>
                <w:sz w:val="24"/>
                <w:highlight w:val="none"/>
              </w:rPr>
            </w:pPr>
            <w:r>
              <w:rPr>
                <w:color w:val="auto"/>
                <w:sz w:val="24"/>
                <w:highlight w:val="none"/>
              </w:rPr>
              <w:t>□有，具体情形：___________。</w:t>
            </w:r>
          </w:p>
        </w:tc>
      </w:tr>
      <w:tr w14:paraId="310BBA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52ADCF00">
            <w:pPr>
              <w:pStyle w:val="231"/>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11.1</w:t>
            </w:r>
          </w:p>
        </w:tc>
        <w:tc>
          <w:tcPr>
            <w:tcW w:w="1701" w:type="dxa"/>
            <w:vAlign w:val="center"/>
          </w:tcPr>
          <w:p w14:paraId="733C7333">
            <w:pPr>
              <w:jc w:val="center"/>
              <w:rPr>
                <w:color w:val="auto"/>
                <w:sz w:val="24"/>
                <w:highlight w:val="none"/>
              </w:rPr>
            </w:pPr>
            <w:r>
              <w:rPr>
                <w:color w:val="auto"/>
                <w:sz w:val="24"/>
                <w:highlight w:val="none"/>
              </w:rPr>
              <w:t>投标保证金</w:t>
            </w:r>
          </w:p>
        </w:tc>
        <w:tc>
          <w:tcPr>
            <w:tcW w:w="7253" w:type="dxa"/>
            <w:vAlign w:val="center"/>
          </w:tcPr>
          <w:p w14:paraId="4155745B">
            <w:pPr>
              <w:jc w:val="left"/>
              <w:rPr>
                <w:color w:val="auto"/>
                <w:sz w:val="24"/>
                <w:highlight w:val="none"/>
              </w:rPr>
            </w:pPr>
            <w:r>
              <w:rPr>
                <w:rFonts w:hint="eastAsia"/>
                <w:color w:val="auto"/>
                <w:sz w:val="24"/>
                <w:highlight w:val="none"/>
              </w:rPr>
              <w:t>免收</w:t>
            </w:r>
          </w:p>
        </w:tc>
      </w:tr>
      <w:tr w14:paraId="653DCA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2A33386E">
            <w:pPr>
              <w:pStyle w:val="231"/>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12.1</w:t>
            </w:r>
          </w:p>
        </w:tc>
        <w:tc>
          <w:tcPr>
            <w:tcW w:w="1701" w:type="dxa"/>
            <w:vAlign w:val="center"/>
          </w:tcPr>
          <w:p w14:paraId="4D1D5026">
            <w:pPr>
              <w:jc w:val="center"/>
              <w:rPr>
                <w:color w:val="auto"/>
                <w:sz w:val="24"/>
                <w:highlight w:val="none"/>
              </w:rPr>
            </w:pPr>
            <w:r>
              <w:rPr>
                <w:color w:val="auto"/>
                <w:sz w:val="24"/>
                <w:highlight w:val="none"/>
              </w:rPr>
              <w:t>投标有效期</w:t>
            </w:r>
          </w:p>
        </w:tc>
        <w:tc>
          <w:tcPr>
            <w:tcW w:w="7253" w:type="dxa"/>
            <w:vAlign w:val="center"/>
          </w:tcPr>
          <w:p w14:paraId="3EDCB318">
            <w:pPr>
              <w:jc w:val="left"/>
              <w:rPr>
                <w:color w:val="auto"/>
                <w:sz w:val="24"/>
                <w:highlight w:val="none"/>
              </w:rPr>
            </w:pPr>
            <w:r>
              <w:rPr>
                <w:color w:val="auto"/>
                <w:sz w:val="24"/>
                <w:highlight w:val="none"/>
              </w:rPr>
              <w:t>自提交投标文件的截止之日起算</w:t>
            </w:r>
            <w:r>
              <w:rPr>
                <w:rFonts w:hint="eastAsia"/>
                <w:color w:val="auto"/>
                <w:sz w:val="24"/>
                <w:highlight w:val="none"/>
              </w:rPr>
              <w:t>60</w:t>
            </w:r>
            <w:r>
              <w:rPr>
                <w:color w:val="auto"/>
                <w:sz w:val="24"/>
                <w:highlight w:val="none"/>
              </w:rPr>
              <w:t>日历天。</w:t>
            </w:r>
          </w:p>
        </w:tc>
      </w:tr>
      <w:tr w14:paraId="429651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2A2146CF">
            <w:pPr>
              <w:pStyle w:val="231"/>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23.5</w:t>
            </w:r>
          </w:p>
        </w:tc>
        <w:tc>
          <w:tcPr>
            <w:tcW w:w="1701" w:type="dxa"/>
            <w:vAlign w:val="center"/>
          </w:tcPr>
          <w:p w14:paraId="23C068FB">
            <w:pPr>
              <w:jc w:val="center"/>
              <w:rPr>
                <w:color w:val="auto"/>
                <w:sz w:val="24"/>
                <w:highlight w:val="none"/>
              </w:rPr>
            </w:pPr>
            <w:r>
              <w:rPr>
                <w:color w:val="auto"/>
                <w:sz w:val="24"/>
                <w:highlight w:val="none"/>
              </w:rPr>
              <w:t>分包</w:t>
            </w:r>
          </w:p>
        </w:tc>
        <w:tc>
          <w:tcPr>
            <w:tcW w:w="7253" w:type="dxa"/>
            <w:vAlign w:val="center"/>
          </w:tcPr>
          <w:p w14:paraId="05E39B54">
            <w:pPr>
              <w:jc w:val="left"/>
              <w:rPr>
                <w:color w:val="auto"/>
                <w:sz w:val="24"/>
                <w:highlight w:val="none"/>
              </w:rPr>
            </w:pPr>
            <w:r>
              <w:rPr>
                <w:color w:val="auto"/>
                <w:sz w:val="24"/>
                <w:highlight w:val="none"/>
              </w:rPr>
              <w:t xml:space="preserve">本项目是否允许分包： </w:t>
            </w:r>
          </w:p>
          <w:p w14:paraId="0B920670">
            <w:pPr>
              <w:jc w:val="left"/>
              <w:rPr>
                <w:color w:val="auto"/>
                <w:sz w:val="24"/>
                <w:highlight w:val="none"/>
              </w:rPr>
            </w:pPr>
            <w:r>
              <w:rPr>
                <w:b/>
                <w:color w:val="auto"/>
                <w:sz w:val="24"/>
                <w:highlight w:val="none"/>
              </w:rPr>
              <w:t>■</w:t>
            </w:r>
            <w:r>
              <w:rPr>
                <w:color w:val="auto"/>
                <w:sz w:val="24"/>
                <w:highlight w:val="none"/>
              </w:rPr>
              <w:t>不允许</w:t>
            </w:r>
          </w:p>
          <w:p w14:paraId="2CE635C4">
            <w:pPr>
              <w:jc w:val="left"/>
              <w:rPr>
                <w:color w:val="auto"/>
                <w:sz w:val="24"/>
                <w:highlight w:val="none"/>
              </w:rPr>
            </w:pPr>
            <w:r>
              <w:rPr>
                <w:color w:val="auto"/>
                <w:sz w:val="24"/>
                <w:highlight w:val="none"/>
              </w:rPr>
              <w:t>□允许，具体要求：_______。</w:t>
            </w:r>
          </w:p>
          <w:p w14:paraId="3898605D">
            <w:pPr>
              <w:jc w:val="left"/>
              <w:rPr>
                <w:color w:val="auto"/>
                <w:sz w:val="24"/>
                <w:highlight w:val="none"/>
              </w:rPr>
            </w:pPr>
            <w:r>
              <w:rPr>
                <w:color w:val="auto"/>
                <w:sz w:val="24"/>
                <w:highlight w:val="none"/>
              </w:rPr>
              <w:t>（1）可以分包履行的具体内容：_______；</w:t>
            </w:r>
          </w:p>
          <w:p w14:paraId="3B94C437">
            <w:pPr>
              <w:jc w:val="left"/>
              <w:rPr>
                <w:color w:val="auto"/>
                <w:sz w:val="24"/>
                <w:highlight w:val="none"/>
              </w:rPr>
            </w:pPr>
            <w:r>
              <w:rPr>
                <w:color w:val="auto"/>
                <w:sz w:val="24"/>
                <w:highlight w:val="none"/>
              </w:rPr>
              <w:t>（2）允许分包的金额或者比例：_______；</w:t>
            </w:r>
          </w:p>
          <w:p w14:paraId="49379165">
            <w:pPr>
              <w:jc w:val="left"/>
              <w:rPr>
                <w:color w:val="auto"/>
                <w:sz w:val="24"/>
                <w:highlight w:val="none"/>
                <w:u w:val="single"/>
              </w:rPr>
            </w:pPr>
            <w:r>
              <w:rPr>
                <w:color w:val="auto"/>
                <w:sz w:val="24"/>
                <w:highlight w:val="none"/>
              </w:rPr>
              <w:t>（3）其他要求：_______。</w:t>
            </w:r>
          </w:p>
        </w:tc>
      </w:tr>
      <w:tr w14:paraId="1E49A6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6E559BD8">
            <w:pPr>
              <w:pStyle w:val="231"/>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24.1.1</w:t>
            </w:r>
          </w:p>
        </w:tc>
        <w:tc>
          <w:tcPr>
            <w:tcW w:w="1701" w:type="dxa"/>
            <w:vAlign w:val="center"/>
          </w:tcPr>
          <w:p w14:paraId="31090A3B">
            <w:pPr>
              <w:jc w:val="center"/>
              <w:rPr>
                <w:color w:val="auto"/>
                <w:sz w:val="24"/>
                <w:highlight w:val="none"/>
              </w:rPr>
            </w:pPr>
            <w:r>
              <w:rPr>
                <w:color w:val="auto"/>
                <w:sz w:val="24"/>
                <w:highlight w:val="none"/>
              </w:rPr>
              <w:t>询问</w:t>
            </w:r>
          </w:p>
        </w:tc>
        <w:tc>
          <w:tcPr>
            <w:tcW w:w="7253" w:type="dxa"/>
            <w:vAlign w:val="center"/>
          </w:tcPr>
          <w:p w14:paraId="5EC399F9">
            <w:pPr>
              <w:jc w:val="left"/>
              <w:rPr>
                <w:color w:val="auto"/>
                <w:sz w:val="24"/>
                <w:highlight w:val="none"/>
              </w:rPr>
            </w:pPr>
            <w:r>
              <w:rPr>
                <w:color w:val="auto"/>
                <w:sz w:val="24"/>
                <w:highlight w:val="none"/>
              </w:rPr>
              <w:t>询问送达形式：</w:t>
            </w:r>
            <w:r>
              <w:rPr>
                <w:rFonts w:hint="eastAsia"/>
                <w:color w:val="auto"/>
                <w:sz w:val="24"/>
                <w:highlight w:val="none"/>
              </w:rPr>
              <w:t>书面形式</w:t>
            </w:r>
            <w:r>
              <w:rPr>
                <w:color w:val="auto"/>
                <w:sz w:val="24"/>
                <w:highlight w:val="none"/>
              </w:rPr>
              <w:t>。</w:t>
            </w:r>
          </w:p>
        </w:tc>
      </w:tr>
      <w:tr w14:paraId="2269F3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6D1EE300">
            <w:pPr>
              <w:pStyle w:val="231"/>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24.3</w:t>
            </w:r>
          </w:p>
        </w:tc>
        <w:tc>
          <w:tcPr>
            <w:tcW w:w="1701" w:type="dxa"/>
            <w:vAlign w:val="center"/>
          </w:tcPr>
          <w:p w14:paraId="0B05861A">
            <w:pPr>
              <w:jc w:val="center"/>
              <w:rPr>
                <w:color w:val="auto"/>
                <w:sz w:val="24"/>
                <w:highlight w:val="none"/>
              </w:rPr>
            </w:pPr>
            <w:r>
              <w:rPr>
                <w:color w:val="auto"/>
                <w:sz w:val="24"/>
                <w:highlight w:val="none"/>
              </w:rPr>
              <w:t>联系方式</w:t>
            </w:r>
          </w:p>
        </w:tc>
        <w:tc>
          <w:tcPr>
            <w:tcW w:w="7253" w:type="dxa"/>
            <w:vAlign w:val="center"/>
          </w:tcPr>
          <w:p w14:paraId="3C2391B6">
            <w:pPr>
              <w:jc w:val="left"/>
              <w:rPr>
                <w:color w:val="auto"/>
                <w:sz w:val="24"/>
                <w:highlight w:val="none"/>
              </w:rPr>
            </w:pPr>
            <w:r>
              <w:rPr>
                <w:color w:val="auto"/>
                <w:sz w:val="24"/>
                <w:highlight w:val="none"/>
              </w:rPr>
              <w:t>接收询问和质疑的联系方式</w:t>
            </w:r>
          </w:p>
          <w:p w14:paraId="56A8B6F4">
            <w:pPr>
              <w:jc w:val="left"/>
              <w:rPr>
                <w:color w:val="auto"/>
                <w:sz w:val="24"/>
                <w:highlight w:val="none"/>
              </w:rPr>
            </w:pPr>
            <w:r>
              <w:rPr>
                <w:color w:val="auto"/>
                <w:sz w:val="24"/>
                <w:highlight w:val="none"/>
              </w:rPr>
              <w:t>联系部门：</w:t>
            </w:r>
            <w:r>
              <w:rPr>
                <w:rFonts w:hint="eastAsia"/>
                <w:color w:val="auto"/>
                <w:sz w:val="24"/>
                <w:highlight w:val="none"/>
              </w:rPr>
              <w:t>常州中采招投标有限公司</w:t>
            </w:r>
            <w:r>
              <w:rPr>
                <w:color w:val="auto"/>
                <w:sz w:val="24"/>
                <w:highlight w:val="none"/>
              </w:rPr>
              <w:t>；</w:t>
            </w:r>
          </w:p>
          <w:p w14:paraId="6A97D846">
            <w:pPr>
              <w:jc w:val="left"/>
              <w:rPr>
                <w:color w:val="auto"/>
                <w:sz w:val="24"/>
                <w:highlight w:val="none"/>
              </w:rPr>
            </w:pPr>
            <w:r>
              <w:rPr>
                <w:color w:val="auto"/>
                <w:sz w:val="24"/>
                <w:highlight w:val="none"/>
              </w:rPr>
              <w:t>联系电话：</w:t>
            </w:r>
            <w:r>
              <w:rPr>
                <w:rFonts w:hint="eastAsia"/>
                <w:color w:val="auto"/>
                <w:sz w:val="24"/>
                <w:highlight w:val="none"/>
              </w:rPr>
              <w:t>0519-86661066</w:t>
            </w:r>
            <w:r>
              <w:rPr>
                <w:color w:val="auto"/>
                <w:sz w:val="24"/>
                <w:highlight w:val="none"/>
              </w:rPr>
              <w:t>；</w:t>
            </w:r>
          </w:p>
          <w:p w14:paraId="296DBCAB">
            <w:pPr>
              <w:jc w:val="left"/>
              <w:rPr>
                <w:color w:val="auto"/>
                <w:sz w:val="24"/>
                <w:highlight w:val="none"/>
              </w:rPr>
            </w:pPr>
            <w:r>
              <w:rPr>
                <w:color w:val="auto"/>
                <w:sz w:val="24"/>
                <w:highlight w:val="none"/>
              </w:rPr>
              <w:t>通讯地址：</w:t>
            </w:r>
            <w:r>
              <w:rPr>
                <w:rFonts w:hint="eastAsia"/>
                <w:color w:val="auto"/>
                <w:sz w:val="24"/>
                <w:highlight w:val="none"/>
              </w:rPr>
              <w:t>常州市钟楼经济开发区玉龙南路280号常州大数据产业园2号楼19楼</w:t>
            </w:r>
            <w:r>
              <w:rPr>
                <w:color w:val="auto"/>
                <w:sz w:val="24"/>
                <w:highlight w:val="none"/>
              </w:rPr>
              <w:t>。</w:t>
            </w:r>
          </w:p>
        </w:tc>
      </w:tr>
      <w:tr w14:paraId="4BF545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35AC15AA">
            <w:pPr>
              <w:pStyle w:val="231"/>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25</w:t>
            </w:r>
          </w:p>
        </w:tc>
        <w:tc>
          <w:tcPr>
            <w:tcW w:w="1701" w:type="dxa"/>
            <w:vAlign w:val="center"/>
          </w:tcPr>
          <w:p w14:paraId="56382E82">
            <w:pPr>
              <w:jc w:val="center"/>
              <w:rPr>
                <w:color w:val="auto"/>
                <w:sz w:val="24"/>
                <w:highlight w:val="none"/>
              </w:rPr>
            </w:pPr>
            <w:r>
              <w:rPr>
                <w:color w:val="auto"/>
                <w:sz w:val="24"/>
                <w:highlight w:val="none"/>
              </w:rPr>
              <w:t>代理费</w:t>
            </w:r>
          </w:p>
        </w:tc>
        <w:tc>
          <w:tcPr>
            <w:tcW w:w="7253" w:type="dxa"/>
            <w:vAlign w:val="center"/>
          </w:tcPr>
          <w:p w14:paraId="2794DA4C">
            <w:pPr>
              <w:jc w:val="left"/>
              <w:rPr>
                <w:color w:val="auto"/>
                <w:sz w:val="24"/>
                <w:highlight w:val="none"/>
              </w:rPr>
            </w:pPr>
            <w:r>
              <w:rPr>
                <w:color w:val="auto"/>
                <w:sz w:val="24"/>
                <w:highlight w:val="none"/>
              </w:rPr>
              <w:t>收费对象：</w:t>
            </w:r>
          </w:p>
          <w:p w14:paraId="38B41A48">
            <w:pPr>
              <w:jc w:val="left"/>
              <w:rPr>
                <w:color w:val="auto"/>
                <w:sz w:val="24"/>
                <w:highlight w:val="none"/>
              </w:rPr>
            </w:pPr>
            <w:r>
              <w:rPr>
                <w:b/>
                <w:color w:val="auto"/>
                <w:sz w:val="24"/>
                <w:highlight w:val="none"/>
              </w:rPr>
              <w:t>■</w:t>
            </w:r>
            <w:r>
              <w:rPr>
                <w:rFonts w:hint="eastAsia"/>
                <w:color w:val="auto"/>
                <w:sz w:val="24"/>
                <w:highlight w:val="none"/>
              </w:rPr>
              <w:t>招标人</w:t>
            </w:r>
          </w:p>
          <w:p w14:paraId="68F2BB8B">
            <w:pPr>
              <w:jc w:val="left"/>
              <w:rPr>
                <w:color w:val="auto"/>
                <w:sz w:val="24"/>
                <w:highlight w:val="none"/>
              </w:rPr>
            </w:pPr>
            <w:r>
              <w:rPr>
                <w:color w:val="auto"/>
                <w:sz w:val="24"/>
                <w:highlight w:val="none"/>
              </w:rPr>
              <w:t>□</w:t>
            </w:r>
            <w:r>
              <w:rPr>
                <w:rFonts w:hint="eastAsia"/>
                <w:color w:val="auto"/>
                <w:sz w:val="24"/>
                <w:highlight w:val="none"/>
              </w:rPr>
              <w:t>中标人</w:t>
            </w:r>
          </w:p>
          <w:p w14:paraId="539D2576">
            <w:pPr>
              <w:tabs>
                <w:tab w:val="left" w:pos="510"/>
                <w:tab w:val="left" w:pos="735"/>
                <w:tab w:val="left" w:pos="945"/>
                <w:tab w:val="left" w:pos="1129"/>
                <w:tab w:val="left" w:pos="1155"/>
              </w:tabs>
              <w:spacing w:line="360" w:lineRule="auto"/>
              <w:rPr>
                <w:rFonts w:ascii="宋体" w:hAnsi="宋体"/>
                <w:bCs/>
                <w:color w:val="auto"/>
                <w:sz w:val="24"/>
                <w:highlight w:val="none"/>
              </w:rPr>
            </w:pPr>
            <w:r>
              <w:rPr>
                <w:rFonts w:hint="eastAsia" w:ascii="宋体" w:hAnsi="宋体"/>
                <w:bCs/>
                <w:color w:val="auto"/>
                <w:sz w:val="24"/>
                <w:highlight w:val="none"/>
              </w:rPr>
              <w:t>1.采购代理服务费收费标准为：</w:t>
            </w:r>
          </w:p>
          <w:p w14:paraId="305AEC27">
            <w:pPr>
              <w:numPr>
                <w:ilvl w:val="0"/>
                <w:numId w:val="0"/>
              </w:numPr>
              <w:tabs>
                <w:tab w:val="left" w:pos="510"/>
                <w:tab w:val="left" w:pos="735"/>
                <w:tab w:val="left" w:pos="945"/>
                <w:tab w:val="left" w:pos="1155"/>
              </w:tabs>
              <w:spacing w:line="360" w:lineRule="auto"/>
              <w:ind w:firstLine="480" w:firstLineChars="200"/>
              <w:rPr>
                <w:rFonts w:ascii="宋体" w:hAnsi="宋体" w:cs="宋体"/>
                <w:color w:val="auto"/>
                <w:sz w:val="24"/>
                <w:highlight w:val="none"/>
              </w:rPr>
            </w:pPr>
            <w:r>
              <w:rPr>
                <w:rFonts w:hint="eastAsia" w:ascii="宋体" w:hAnsi="宋体" w:cs="宋体"/>
                <w:bCs/>
                <w:color w:val="auto"/>
                <w:sz w:val="24"/>
                <w:highlight w:val="none"/>
                <w:lang w:val="en-US" w:eastAsia="zh-CN"/>
              </w:rPr>
              <w:t>本项目招标代理服务费为19260.00元，由招标人支付。包含所确定的招标范围相应服务的提供、人员（包括工资和补贴）、办公场所及设施、保险、劳保、管理、各种税费、利润、税金、政策性文件规定及合同包含的所有风险、责任等各项应有费用，以及为完成该项服务项目所涉及到的一切相关费用。</w:t>
            </w:r>
          </w:p>
          <w:p w14:paraId="395F867C">
            <w:pPr>
              <w:spacing w:line="360" w:lineRule="auto"/>
              <w:rPr>
                <w:rFonts w:ascii="宋体" w:hAnsi="宋体"/>
                <w:bCs/>
                <w:color w:val="auto"/>
                <w:sz w:val="24"/>
                <w:highlight w:val="none"/>
              </w:rPr>
            </w:pPr>
            <w:r>
              <w:rPr>
                <w:rFonts w:hint="eastAsia" w:ascii="宋体" w:hAnsi="宋体"/>
                <w:bCs/>
                <w:color w:val="auto"/>
                <w:sz w:val="24"/>
                <w:highlight w:val="none"/>
              </w:rPr>
              <w:t>2．在完成招标代理资料整编，提交资料扫描，并由</w:t>
            </w:r>
            <w:r>
              <w:rPr>
                <w:rFonts w:hint="eastAsia" w:ascii="宋体" w:hAnsi="宋体"/>
                <w:bCs/>
                <w:color w:val="auto"/>
                <w:sz w:val="24"/>
                <w:highlight w:val="none"/>
                <w:lang w:val="en-US" w:eastAsia="zh-CN"/>
              </w:rPr>
              <w:t>招标人</w:t>
            </w:r>
            <w:r>
              <w:rPr>
                <w:rFonts w:hint="eastAsia" w:ascii="宋体" w:hAnsi="宋体"/>
                <w:bCs/>
                <w:color w:val="auto"/>
                <w:sz w:val="24"/>
                <w:highlight w:val="none"/>
              </w:rPr>
              <w:t>验收合格后，开具费用票据及提供相关支付凭证，</w:t>
            </w:r>
            <w:r>
              <w:rPr>
                <w:rFonts w:hint="eastAsia" w:ascii="宋体" w:hAnsi="宋体"/>
                <w:bCs/>
                <w:color w:val="auto"/>
                <w:sz w:val="24"/>
                <w:highlight w:val="none"/>
                <w:lang w:val="en-US" w:eastAsia="zh-CN"/>
              </w:rPr>
              <w:t>招标人</w:t>
            </w:r>
            <w:r>
              <w:rPr>
                <w:rFonts w:hint="eastAsia" w:ascii="宋体" w:hAnsi="宋体"/>
                <w:bCs/>
                <w:color w:val="auto"/>
                <w:sz w:val="24"/>
                <w:highlight w:val="none"/>
              </w:rPr>
              <w:t>一次性支付到位。</w:t>
            </w:r>
          </w:p>
          <w:p w14:paraId="05B9253E">
            <w:pPr>
              <w:tabs>
                <w:tab w:val="left" w:pos="510"/>
                <w:tab w:val="left" w:pos="735"/>
                <w:tab w:val="left" w:pos="945"/>
                <w:tab w:val="left" w:pos="1155"/>
                <w:tab w:val="left" w:pos="1980"/>
              </w:tabs>
              <w:spacing w:line="360" w:lineRule="auto"/>
              <w:rPr>
                <w:rFonts w:ascii="宋体" w:hAnsi="宋体"/>
                <w:bCs/>
                <w:color w:val="auto"/>
                <w:sz w:val="24"/>
                <w:highlight w:val="none"/>
              </w:rPr>
            </w:pPr>
            <w:r>
              <w:rPr>
                <w:rFonts w:hint="eastAsia" w:ascii="宋体" w:hAnsi="宋体"/>
                <w:bCs/>
                <w:color w:val="auto"/>
                <w:sz w:val="24"/>
                <w:highlight w:val="none"/>
              </w:rPr>
              <w:t>3.公司账户信息</w:t>
            </w:r>
          </w:p>
          <w:p w14:paraId="0AFB4618">
            <w:pPr>
              <w:tabs>
                <w:tab w:val="left" w:pos="510"/>
                <w:tab w:val="left" w:pos="735"/>
                <w:tab w:val="left" w:pos="945"/>
                <w:tab w:val="left" w:pos="1155"/>
                <w:tab w:val="left" w:pos="1980"/>
              </w:tabs>
              <w:spacing w:line="360" w:lineRule="auto"/>
              <w:ind w:firstLine="960"/>
              <w:rPr>
                <w:rFonts w:ascii="宋体" w:hAnsi="宋体"/>
                <w:bCs/>
                <w:color w:val="auto"/>
                <w:sz w:val="24"/>
                <w:highlight w:val="none"/>
              </w:rPr>
            </w:pPr>
            <w:r>
              <w:rPr>
                <w:rFonts w:hint="eastAsia" w:ascii="宋体" w:hAnsi="宋体"/>
                <w:bCs/>
                <w:color w:val="auto"/>
                <w:sz w:val="24"/>
                <w:highlight w:val="none"/>
              </w:rPr>
              <w:t>单位名称：常州中采招投标有限公司</w:t>
            </w:r>
          </w:p>
          <w:p w14:paraId="3A065A89">
            <w:pPr>
              <w:tabs>
                <w:tab w:val="left" w:pos="510"/>
                <w:tab w:val="left" w:pos="735"/>
                <w:tab w:val="left" w:pos="945"/>
                <w:tab w:val="left" w:pos="1155"/>
                <w:tab w:val="left" w:pos="1980"/>
              </w:tabs>
              <w:spacing w:line="360" w:lineRule="auto"/>
              <w:ind w:firstLine="960"/>
              <w:rPr>
                <w:rFonts w:ascii="宋体" w:hAnsi="宋体"/>
                <w:bCs/>
                <w:color w:val="auto"/>
                <w:sz w:val="24"/>
                <w:highlight w:val="none"/>
              </w:rPr>
            </w:pPr>
            <w:r>
              <w:rPr>
                <w:rFonts w:hint="eastAsia" w:ascii="宋体" w:hAnsi="宋体"/>
                <w:bCs/>
                <w:color w:val="auto"/>
                <w:sz w:val="24"/>
                <w:highlight w:val="none"/>
              </w:rPr>
              <w:t>账  号：32050162970100001741</w:t>
            </w:r>
          </w:p>
          <w:p w14:paraId="5FD8A0A5">
            <w:pPr>
              <w:tabs>
                <w:tab w:val="left" w:pos="510"/>
                <w:tab w:val="left" w:pos="735"/>
                <w:tab w:val="left" w:pos="945"/>
                <w:tab w:val="left" w:pos="1155"/>
                <w:tab w:val="left" w:pos="1980"/>
              </w:tabs>
              <w:spacing w:line="360" w:lineRule="auto"/>
              <w:ind w:firstLine="960"/>
              <w:rPr>
                <w:rFonts w:ascii="宋体" w:hAnsi="宋体"/>
                <w:bCs/>
                <w:color w:val="auto"/>
                <w:sz w:val="24"/>
                <w:highlight w:val="none"/>
              </w:rPr>
            </w:pPr>
            <w:r>
              <w:rPr>
                <w:rFonts w:hint="eastAsia" w:ascii="宋体" w:hAnsi="宋体"/>
                <w:bCs/>
                <w:color w:val="auto"/>
                <w:sz w:val="24"/>
                <w:highlight w:val="none"/>
              </w:rPr>
              <w:t>开户行：建行常州惠民支行</w:t>
            </w:r>
          </w:p>
        </w:tc>
      </w:tr>
    </w:tbl>
    <w:p w14:paraId="28A89B3D">
      <w:pPr>
        <w:spacing w:line="360" w:lineRule="auto"/>
        <w:ind w:firstLine="480"/>
        <w:rPr>
          <w:color w:val="auto"/>
          <w:sz w:val="24"/>
          <w:highlight w:val="none"/>
        </w:rPr>
      </w:pPr>
    </w:p>
    <w:p w14:paraId="01F7968C">
      <w:pPr>
        <w:spacing w:line="360" w:lineRule="auto"/>
        <w:ind w:firstLine="480"/>
        <w:rPr>
          <w:color w:val="auto"/>
          <w:sz w:val="24"/>
          <w:highlight w:val="none"/>
        </w:rPr>
      </w:pPr>
    </w:p>
    <w:p w14:paraId="0B52F220">
      <w:pPr>
        <w:spacing w:line="360" w:lineRule="auto"/>
        <w:ind w:firstLine="480"/>
        <w:rPr>
          <w:color w:val="auto"/>
          <w:sz w:val="24"/>
          <w:highlight w:val="none"/>
        </w:rPr>
      </w:pPr>
    </w:p>
    <w:p w14:paraId="659F5FBC">
      <w:pPr>
        <w:spacing w:line="360" w:lineRule="auto"/>
        <w:ind w:firstLine="480"/>
        <w:rPr>
          <w:color w:val="auto"/>
          <w:sz w:val="24"/>
          <w:highlight w:val="none"/>
        </w:rPr>
      </w:pPr>
    </w:p>
    <w:p w14:paraId="322BF61F">
      <w:pPr>
        <w:spacing w:line="360" w:lineRule="auto"/>
        <w:ind w:firstLine="480"/>
        <w:rPr>
          <w:color w:val="auto"/>
          <w:sz w:val="24"/>
          <w:highlight w:val="none"/>
        </w:rPr>
      </w:pPr>
    </w:p>
    <w:p w14:paraId="34AD637A">
      <w:pPr>
        <w:spacing w:line="360" w:lineRule="auto"/>
        <w:ind w:firstLine="480"/>
        <w:rPr>
          <w:color w:val="auto"/>
          <w:sz w:val="24"/>
          <w:highlight w:val="none"/>
        </w:rPr>
      </w:pPr>
    </w:p>
    <w:p w14:paraId="30B200EF">
      <w:pPr>
        <w:spacing w:line="360" w:lineRule="auto"/>
        <w:rPr>
          <w:color w:val="auto"/>
          <w:sz w:val="24"/>
          <w:highlight w:val="none"/>
        </w:rPr>
      </w:pPr>
    </w:p>
    <w:p w14:paraId="1D9EE812">
      <w:pPr>
        <w:pStyle w:val="205"/>
        <w:rPr>
          <w:color w:val="auto"/>
          <w:highlight w:val="none"/>
        </w:rPr>
      </w:pPr>
    </w:p>
    <w:p w14:paraId="55998529">
      <w:pPr>
        <w:rPr>
          <w:color w:val="auto"/>
          <w:highlight w:val="none"/>
        </w:rPr>
      </w:pPr>
    </w:p>
    <w:p w14:paraId="7BE154F0">
      <w:pPr>
        <w:pageBreakBefore/>
        <w:spacing w:before="240" w:after="240"/>
        <w:jc w:val="center"/>
        <w:rPr>
          <w:b/>
          <w:color w:val="auto"/>
          <w:sz w:val="28"/>
          <w:szCs w:val="28"/>
          <w:highlight w:val="none"/>
        </w:rPr>
      </w:pPr>
      <w:bookmarkStart w:id="84" w:name="_Toc353873932"/>
      <w:bookmarkStart w:id="85" w:name="_Toc265228355"/>
      <w:bookmarkStart w:id="86" w:name="_Toc353873662"/>
      <w:bookmarkStart w:id="87" w:name="_Toc150774722"/>
      <w:bookmarkStart w:id="88" w:name="_Toc195842882"/>
      <w:bookmarkStart w:id="89" w:name="_Toc264969207"/>
      <w:bookmarkStart w:id="90" w:name="_Toc226337213"/>
      <w:bookmarkStart w:id="91" w:name="_Toc142311019"/>
      <w:bookmarkStart w:id="92" w:name="_Toc150480755"/>
      <w:bookmarkStart w:id="93" w:name="_Toc127151517"/>
      <w:bookmarkStart w:id="94" w:name="_Toc226965790"/>
      <w:bookmarkStart w:id="95" w:name="_Toc353825542"/>
      <w:bookmarkStart w:id="96" w:name="_Toc305158785"/>
      <w:bookmarkStart w:id="97" w:name="_Toc305158859"/>
      <w:r>
        <w:rPr>
          <w:b/>
          <w:color w:val="auto"/>
          <w:sz w:val="28"/>
          <w:szCs w:val="28"/>
          <w:highlight w:val="none"/>
        </w:rPr>
        <w:t>投标人须知</w:t>
      </w:r>
      <w:bookmarkEnd w:id="84"/>
      <w:bookmarkEnd w:id="85"/>
      <w:bookmarkEnd w:id="86"/>
      <w:bookmarkEnd w:id="87"/>
      <w:bookmarkEnd w:id="88"/>
      <w:bookmarkEnd w:id="89"/>
      <w:bookmarkEnd w:id="90"/>
      <w:bookmarkEnd w:id="91"/>
      <w:bookmarkEnd w:id="92"/>
      <w:bookmarkEnd w:id="93"/>
      <w:bookmarkEnd w:id="94"/>
      <w:bookmarkEnd w:id="95"/>
      <w:bookmarkEnd w:id="96"/>
      <w:bookmarkEnd w:id="97"/>
    </w:p>
    <w:p w14:paraId="239EA51F">
      <w:pPr>
        <w:pStyle w:val="194"/>
        <w:tabs>
          <w:tab w:val="center" w:pos="4592"/>
          <w:tab w:val="left" w:pos="7860"/>
        </w:tabs>
        <w:spacing w:before="0" w:line="360" w:lineRule="auto"/>
        <w:jc w:val="left"/>
        <w:rPr>
          <w:rFonts w:ascii="Times New Roman" w:hAnsi="Times New Roman" w:eastAsia="宋体"/>
          <w:color w:val="auto"/>
          <w:sz w:val="28"/>
          <w:highlight w:val="none"/>
        </w:rPr>
      </w:pPr>
      <w:bookmarkStart w:id="98" w:name="_Toc520356143"/>
      <w:bookmarkStart w:id="99" w:name="_Toc127151518"/>
      <w:r>
        <w:rPr>
          <w:rFonts w:ascii="Times New Roman" w:hAnsi="Times New Roman" w:eastAsia="宋体"/>
          <w:color w:val="auto"/>
          <w:sz w:val="28"/>
          <w:highlight w:val="none"/>
        </w:rPr>
        <w:tab/>
      </w:r>
      <w:bookmarkStart w:id="100" w:name="_Toc305158860"/>
      <w:bookmarkStart w:id="101" w:name="_Toc151193616"/>
      <w:bookmarkStart w:id="102" w:name="_Toc195842883"/>
      <w:bookmarkStart w:id="103" w:name="_Toc151193832"/>
      <w:bookmarkStart w:id="104" w:name="_Toc226337214"/>
      <w:bookmarkStart w:id="105" w:name="_Toc305158786"/>
      <w:bookmarkStart w:id="106" w:name="_Toc150774618"/>
      <w:bookmarkStart w:id="107" w:name="_Toc150509269"/>
      <w:bookmarkStart w:id="108" w:name="_Toc264969208"/>
      <w:bookmarkStart w:id="109" w:name="_Toc151190145"/>
      <w:bookmarkStart w:id="110" w:name="_Toc142311020"/>
      <w:bookmarkStart w:id="111" w:name="_Toc151193688"/>
      <w:bookmarkStart w:id="112" w:name="_Toc226309762"/>
      <w:bookmarkStart w:id="113" w:name="_Toc151193906"/>
      <w:bookmarkStart w:id="114" w:name="_Toc226965791"/>
      <w:bookmarkStart w:id="115" w:name="_Toc226965708"/>
      <w:bookmarkStart w:id="116" w:name="_Toc150774723"/>
      <w:bookmarkStart w:id="117" w:name="_Toc265228356"/>
      <w:bookmarkStart w:id="118" w:name="_Toc151193760"/>
      <w:bookmarkStart w:id="119" w:name="_Toc150480756"/>
      <w:r>
        <w:rPr>
          <w:rFonts w:ascii="Times New Roman" w:hAnsi="Times New Roman" w:eastAsia="宋体"/>
          <w:color w:val="auto"/>
          <w:sz w:val="28"/>
          <w:highlight w:val="none"/>
        </w:rPr>
        <w:t>一   说  明</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Pr>
          <w:rFonts w:ascii="Times New Roman" w:hAnsi="Times New Roman" w:eastAsia="宋体"/>
          <w:color w:val="auto"/>
          <w:sz w:val="28"/>
          <w:highlight w:val="none"/>
        </w:rPr>
        <w:tab/>
      </w:r>
    </w:p>
    <w:p w14:paraId="41F337B4">
      <w:pPr>
        <w:numPr>
          <w:ilvl w:val="0"/>
          <w:numId w:val="10"/>
        </w:numPr>
        <w:tabs>
          <w:tab w:val="left" w:pos="360"/>
        </w:tabs>
        <w:spacing w:line="360" w:lineRule="auto"/>
        <w:ind w:left="357" w:hanging="357"/>
        <w:outlineLvl w:val="1"/>
        <w:rPr>
          <w:color w:val="auto"/>
          <w:sz w:val="24"/>
          <w:highlight w:val="none"/>
        </w:rPr>
      </w:pPr>
      <w:bookmarkStart w:id="120" w:name="_Toc305158861"/>
      <w:bookmarkStart w:id="121" w:name="_Toc305158787"/>
      <w:bookmarkStart w:id="122" w:name="_Toc264969209"/>
      <w:bookmarkStart w:id="123" w:name="_Toc265228357"/>
      <w:r>
        <w:rPr>
          <w:rFonts w:hint="eastAsia"/>
          <w:color w:val="auto"/>
          <w:sz w:val="24"/>
          <w:highlight w:val="none"/>
        </w:rPr>
        <w:t>招标人</w:t>
      </w:r>
      <w:r>
        <w:rPr>
          <w:color w:val="auto"/>
          <w:sz w:val="24"/>
          <w:highlight w:val="none"/>
        </w:rPr>
        <w:t>、采购代理机构、投标人</w:t>
      </w:r>
      <w:bookmarkEnd w:id="120"/>
      <w:bookmarkEnd w:id="121"/>
      <w:bookmarkEnd w:id="122"/>
      <w:bookmarkEnd w:id="123"/>
      <w:r>
        <w:rPr>
          <w:rFonts w:hint="eastAsia"/>
          <w:color w:val="auto"/>
          <w:sz w:val="24"/>
          <w:highlight w:val="none"/>
        </w:rPr>
        <w:t>、联合体</w:t>
      </w:r>
    </w:p>
    <w:p w14:paraId="720BC364">
      <w:pPr>
        <w:numPr>
          <w:ilvl w:val="1"/>
          <w:numId w:val="10"/>
        </w:numPr>
        <w:tabs>
          <w:tab w:val="left" w:pos="1080"/>
          <w:tab w:val="left" w:pos="1589"/>
          <w:tab w:val="left" w:pos="1873"/>
          <w:tab w:val="left" w:pos="2014"/>
          <w:tab w:val="left" w:pos="5521"/>
        </w:tabs>
        <w:spacing w:line="360" w:lineRule="auto"/>
        <w:ind w:left="1080" w:hanging="720"/>
        <w:rPr>
          <w:color w:val="auto"/>
          <w:sz w:val="24"/>
          <w:highlight w:val="none"/>
        </w:rPr>
      </w:pPr>
      <w:r>
        <w:rPr>
          <w:rFonts w:hint="eastAsia"/>
          <w:color w:val="auto"/>
          <w:sz w:val="24"/>
          <w:highlight w:val="none"/>
        </w:rPr>
        <w:t>招标人</w:t>
      </w:r>
      <w:r>
        <w:rPr>
          <w:color w:val="auto"/>
          <w:sz w:val="24"/>
          <w:highlight w:val="none"/>
        </w:rPr>
        <w:t>、采购代理机构：指依法进行政府采购的国家机关、事业单位、团体组织，及其委托的采购代理机构。本项目</w:t>
      </w:r>
      <w:r>
        <w:rPr>
          <w:rFonts w:hint="eastAsia"/>
          <w:color w:val="auto"/>
          <w:sz w:val="24"/>
          <w:highlight w:val="none"/>
        </w:rPr>
        <w:t>招标人</w:t>
      </w:r>
      <w:r>
        <w:rPr>
          <w:color w:val="auto"/>
          <w:sz w:val="24"/>
          <w:highlight w:val="none"/>
        </w:rPr>
        <w:t>、采购代理机构见第一章《投标邀请》。</w:t>
      </w:r>
    </w:p>
    <w:p w14:paraId="11F3D9A2">
      <w:pPr>
        <w:numPr>
          <w:ilvl w:val="1"/>
          <w:numId w:val="10"/>
        </w:numPr>
        <w:tabs>
          <w:tab w:val="left" w:pos="1080"/>
          <w:tab w:val="left" w:pos="1589"/>
          <w:tab w:val="left" w:pos="1873"/>
          <w:tab w:val="left" w:pos="2014"/>
          <w:tab w:val="left" w:pos="5521"/>
        </w:tabs>
        <w:spacing w:line="360" w:lineRule="auto"/>
        <w:ind w:left="1080" w:hanging="720"/>
        <w:rPr>
          <w:color w:val="auto"/>
          <w:sz w:val="24"/>
          <w:highlight w:val="none"/>
        </w:rPr>
      </w:pPr>
      <w:r>
        <w:rPr>
          <w:color w:val="auto"/>
          <w:sz w:val="24"/>
          <w:highlight w:val="none"/>
        </w:rPr>
        <w:t>投标人（也称</w:t>
      </w:r>
      <w:r>
        <w:rPr>
          <w:rFonts w:hint="eastAsia"/>
          <w:color w:val="auto"/>
          <w:sz w:val="24"/>
          <w:highlight w:val="none"/>
        </w:rPr>
        <w:t>“供应商”、“</w:t>
      </w:r>
      <w:r>
        <w:rPr>
          <w:color w:val="auto"/>
          <w:sz w:val="24"/>
          <w:highlight w:val="none"/>
        </w:rPr>
        <w:t>申请人</w:t>
      </w:r>
      <w:r>
        <w:rPr>
          <w:rFonts w:hint="eastAsia"/>
          <w:color w:val="auto"/>
          <w:sz w:val="24"/>
          <w:highlight w:val="none"/>
        </w:rPr>
        <w:t>”</w:t>
      </w:r>
      <w:r>
        <w:rPr>
          <w:color w:val="auto"/>
          <w:sz w:val="24"/>
          <w:highlight w:val="none"/>
        </w:rPr>
        <w:t>）：指向</w:t>
      </w:r>
      <w:r>
        <w:rPr>
          <w:rFonts w:hint="eastAsia"/>
          <w:color w:val="auto"/>
          <w:sz w:val="24"/>
          <w:highlight w:val="none"/>
        </w:rPr>
        <w:t>招标人</w:t>
      </w:r>
      <w:r>
        <w:rPr>
          <w:color w:val="auto"/>
          <w:sz w:val="24"/>
          <w:highlight w:val="none"/>
        </w:rPr>
        <w:t>提供货物、工程或者服务的法人、其他组织或者自然人。</w:t>
      </w:r>
    </w:p>
    <w:p w14:paraId="31AF9661">
      <w:pPr>
        <w:numPr>
          <w:ilvl w:val="1"/>
          <w:numId w:val="10"/>
        </w:numPr>
        <w:tabs>
          <w:tab w:val="left" w:pos="1080"/>
          <w:tab w:val="left" w:pos="1589"/>
          <w:tab w:val="left" w:pos="1873"/>
          <w:tab w:val="left" w:pos="2014"/>
          <w:tab w:val="left" w:pos="5521"/>
        </w:tabs>
        <w:spacing w:line="360" w:lineRule="auto"/>
        <w:ind w:left="1080" w:hanging="720"/>
        <w:rPr>
          <w:color w:val="auto"/>
          <w:sz w:val="24"/>
          <w:highlight w:val="none"/>
        </w:rPr>
      </w:pPr>
      <w:r>
        <w:rPr>
          <w:rFonts w:hint="eastAsia"/>
          <w:color w:val="auto"/>
          <w:sz w:val="24"/>
          <w:highlight w:val="none"/>
        </w:rPr>
        <w:t>联合体：指两个以上的自然人、法人或者其他组织组成一个联合体，以一个供应商的身份共同参加政府采购。</w:t>
      </w:r>
    </w:p>
    <w:p w14:paraId="099DBA56">
      <w:pPr>
        <w:numPr>
          <w:ilvl w:val="0"/>
          <w:numId w:val="10"/>
        </w:numPr>
        <w:tabs>
          <w:tab w:val="left" w:pos="360"/>
        </w:tabs>
        <w:spacing w:line="360" w:lineRule="auto"/>
        <w:ind w:left="357" w:hanging="357"/>
        <w:outlineLvl w:val="1"/>
        <w:rPr>
          <w:color w:val="auto"/>
          <w:sz w:val="24"/>
          <w:highlight w:val="none"/>
        </w:rPr>
      </w:pPr>
      <w:bookmarkStart w:id="124" w:name="_Toc226965793"/>
      <w:bookmarkStart w:id="125" w:name="_Toc151193908"/>
      <w:bookmarkStart w:id="126" w:name="_Toc151193690"/>
      <w:bookmarkStart w:id="127" w:name="_Toc127151721"/>
      <w:bookmarkStart w:id="128" w:name="_Toc164608634"/>
      <w:bookmarkStart w:id="129" w:name="_Toc164229215"/>
      <w:bookmarkStart w:id="130" w:name="_Toc151190147"/>
      <w:bookmarkStart w:id="131" w:name="_Toc164608789"/>
      <w:bookmarkStart w:id="132" w:name="_Toc264969210"/>
      <w:bookmarkStart w:id="133" w:name="_Toc195842885"/>
      <w:bookmarkStart w:id="134" w:name="_Toc226965710"/>
      <w:bookmarkStart w:id="135" w:name="_Toc142311022"/>
      <w:bookmarkStart w:id="136" w:name="_Toc226309764"/>
      <w:bookmarkStart w:id="137" w:name="_Toc226337216"/>
      <w:bookmarkStart w:id="138" w:name="_Toc149720813"/>
      <w:bookmarkStart w:id="139" w:name="_Toc151193762"/>
      <w:bookmarkStart w:id="140" w:name="_Toc151193834"/>
      <w:bookmarkStart w:id="141" w:name="_Toc164351614"/>
      <w:bookmarkStart w:id="142" w:name="_Toc150774620"/>
      <w:bookmarkStart w:id="143" w:name="_Toc305158862"/>
      <w:bookmarkStart w:id="144" w:name="_Toc127151520"/>
      <w:bookmarkStart w:id="145" w:name="_Toc150509271"/>
      <w:bookmarkStart w:id="146" w:name="_Toc150480758"/>
      <w:bookmarkStart w:id="147" w:name="_Toc305158788"/>
      <w:bookmarkStart w:id="148" w:name="_Toc265228358"/>
      <w:bookmarkStart w:id="149" w:name="_Toc150774725"/>
      <w:bookmarkStart w:id="150" w:name="_Toc151193618"/>
      <w:bookmarkStart w:id="151" w:name="_Toc127161434"/>
      <w:bookmarkStart w:id="152" w:name="_Toc164229361"/>
      <w:r>
        <w:rPr>
          <w:color w:val="auto"/>
          <w:sz w:val="24"/>
          <w:highlight w:val="none"/>
        </w:rPr>
        <w:t>资金来源</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r>
        <w:rPr>
          <w:color w:val="auto"/>
          <w:sz w:val="24"/>
          <w:highlight w:val="none"/>
        </w:rPr>
        <w:t>、项目属性、科研仪器设备采购、核心产品</w:t>
      </w:r>
    </w:p>
    <w:p w14:paraId="7E5E415E">
      <w:pPr>
        <w:numPr>
          <w:ilvl w:val="1"/>
          <w:numId w:val="10"/>
        </w:numPr>
        <w:tabs>
          <w:tab w:val="left" w:pos="1080"/>
          <w:tab w:val="left" w:pos="1589"/>
          <w:tab w:val="left" w:pos="1873"/>
          <w:tab w:val="left" w:pos="2014"/>
        </w:tabs>
        <w:spacing w:line="360" w:lineRule="auto"/>
        <w:ind w:left="1080" w:hanging="720"/>
        <w:rPr>
          <w:color w:val="auto"/>
          <w:sz w:val="24"/>
          <w:highlight w:val="none"/>
        </w:rPr>
      </w:pPr>
      <w:r>
        <w:rPr>
          <w:color w:val="auto"/>
          <w:sz w:val="24"/>
          <w:highlight w:val="none"/>
        </w:rPr>
        <w:t>资金来源为财政性资金和/或本项目采购中无法与财政性资金分割的非财政性资金。</w:t>
      </w:r>
    </w:p>
    <w:p w14:paraId="63D10B34">
      <w:pPr>
        <w:numPr>
          <w:ilvl w:val="1"/>
          <w:numId w:val="10"/>
        </w:numPr>
        <w:tabs>
          <w:tab w:val="left" w:pos="1080"/>
          <w:tab w:val="left" w:pos="1589"/>
          <w:tab w:val="left" w:pos="1873"/>
          <w:tab w:val="left" w:pos="2014"/>
        </w:tabs>
        <w:spacing w:line="360" w:lineRule="auto"/>
        <w:ind w:left="1080" w:hanging="720"/>
        <w:rPr>
          <w:color w:val="auto"/>
          <w:sz w:val="24"/>
          <w:highlight w:val="none"/>
        </w:rPr>
      </w:pPr>
      <w:r>
        <w:rPr>
          <w:color w:val="auto"/>
          <w:sz w:val="24"/>
          <w:highlight w:val="none"/>
        </w:rPr>
        <w:t>项目属性见《投标人须知资料表》。</w:t>
      </w:r>
    </w:p>
    <w:p w14:paraId="013E0236">
      <w:pPr>
        <w:numPr>
          <w:ilvl w:val="1"/>
          <w:numId w:val="10"/>
        </w:numPr>
        <w:tabs>
          <w:tab w:val="left" w:pos="1080"/>
          <w:tab w:val="left" w:pos="1589"/>
          <w:tab w:val="left" w:pos="1873"/>
          <w:tab w:val="left" w:pos="2014"/>
        </w:tabs>
        <w:spacing w:line="360" w:lineRule="auto"/>
        <w:ind w:left="1080" w:hanging="720"/>
        <w:rPr>
          <w:color w:val="auto"/>
          <w:sz w:val="24"/>
          <w:highlight w:val="none"/>
        </w:rPr>
      </w:pPr>
      <w:r>
        <w:rPr>
          <w:color w:val="auto"/>
          <w:sz w:val="24"/>
          <w:highlight w:val="none"/>
        </w:rPr>
        <w:t>是否属于科研仪器设备采购见《投标人须知资料表》。</w:t>
      </w:r>
    </w:p>
    <w:p w14:paraId="1BB56324">
      <w:pPr>
        <w:numPr>
          <w:ilvl w:val="1"/>
          <w:numId w:val="10"/>
        </w:numPr>
        <w:tabs>
          <w:tab w:val="left" w:pos="1080"/>
          <w:tab w:val="left" w:pos="1589"/>
          <w:tab w:val="left" w:pos="1873"/>
          <w:tab w:val="left" w:pos="2014"/>
          <w:tab w:val="left" w:pos="5521"/>
        </w:tabs>
        <w:spacing w:line="360" w:lineRule="auto"/>
        <w:ind w:left="1080" w:hanging="720"/>
        <w:rPr>
          <w:color w:val="auto"/>
          <w:sz w:val="24"/>
          <w:highlight w:val="none"/>
        </w:rPr>
      </w:pPr>
      <w:r>
        <w:rPr>
          <w:color w:val="auto"/>
          <w:sz w:val="24"/>
          <w:highlight w:val="none"/>
        </w:rPr>
        <w:t>核心产品见《投标人须知资料表》。</w:t>
      </w:r>
    </w:p>
    <w:p w14:paraId="1283B1EE">
      <w:pPr>
        <w:numPr>
          <w:ilvl w:val="0"/>
          <w:numId w:val="10"/>
        </w:numPr>
        <w:tabs>
          <w:tab w:val="left" w:pos="360"/>
          <w:tab w:val="left" w:pos="900"/>
        </w:tabs>
        <w:spacing w:line="360" w:lineRule="auto"/>
        <w:ind w:left="357" w:hanging="357"/>
        <w:outlineLvl w:val="1"/>
        <w:rPr>
          <w:color w:val="auto"/>
          <w:sz w:val="24"/>
          <w:highlight w:val="none"/>
        </w:rPr>
      </w:pPr>
      <w:r>
        <w:rPr>
          <w:color w:val="auto"/>
          <w:sz w:val="24"/>
          <w:highlight w:val="none"/>
        </w:rPr>
        <w:t>现场考察、开标前答疑会</w:t>
      </w:r>
    </w:p>
    <w:p w14:paraId="06C2509F">
      <w:pPr>
        <w:numPr>
          <w:ilvl w:val="1"/>
          <w:numId w:val="10"/>
        </w:numPr>
        <w:tabs>
          <w:tab w:val="left" w:pos="1080"/>
          <w:tab w:val="left" w:pos="1589"/>
          <w:tab w:val="left" w:pos="1873"/>
          <w:tab w:val="left" w:pos="2014"/>
        </w:tabs>
        <w:spacing w:line="360" w:lineRule="auto"/>
        <w:ind w:left="1080" w:hanging="720"/>
        <w:rPr>
          <w:color w:val="auto"/>
          <w:sz w:val="28"/>
          <w:highlight w:val="none"/>
        </w:rPr>
      </w:pPr>
      <w:r>
        <w:rPr>
          <w:color w:val="auto"/>
          <w:sz w:val="24"/>
          <w:highlight w:val="none"/>
        </w:rPr>
        <w:t>若《投标人须知资料表》中规定了组织现场考察、召开开标前答疑会，则投标人应按要求在规定的时间和地点参加。</w:t>
      </w:r>
      <w:bookmarkStart w:id="153" w:name="_Toc127151522"/>
      <w:bookmarkStart w:id="154" w:name="_Toc150509273"/>
      <w:bookmarkStart w:id="155" w:name="_Toc195842887"/>
      <w:bookmarkStart w:id="156" w:name="_Toc226337218"/>
      <w:bookmarkStart w:id="157" w:name="_Toc151193620"/>
      <w:bookmarkStart w:id="158" w:name="_Toc151190149"/>
      <w:bookmarkStart w:id="159" w:name="_Toc151193910"/>
      <w:bookmarkStart w:id="160" w:name="_Toc150774727"/>
      <w:bookmarkStart w:id="161" w:name="_Toc305158790"/>
      <w:bookmarkStart w:id="162" w:name="_Toc226965795"/>
      <w:bookmarkStart w:id="163" w:name="_Toc226309766"/>
      <w:bookmarkStart w:id="164" w:name="_Toc150480760"/>
      <w:bookmarkStart w:id="165" w:name="_Toc151193692"/>
      <w:bookmarkStart w:id="166" w:name="_Toc142311024"/>
      <w:bookmarkStart w:id="167" w:name="_Toc151193764"/>
      <w:bookmarkStart w:id="168" w:name="_Toc264969212"/>
      <w:bookmarkStart w:id="169" w:name="_Toc520356146"/>
      <w:bookmarkStart w:id="170" w:name="_Toc151193836"/>
      <w:bookmarkStart w:id="171" w:name="_Toc226965712"/>
      <w:bookmarkStart w:id="172" w:name="_Toc150774622"/>
      <w:bookmarkStart w:id="173" w:name="_Toc265228360"/>
      <w:bookmarkStart w:id="174" w:name="_Toc305158864"/>
    </w:p>
    <w:p w14:paraId="30BA1DD6">
      <w:pPr>
        <w:numPr>
          <w:ilvl w:val="1"/>
          <w:numId w:val="10"/>
        </w:numPr>
        <w:tabs>
          <w:tab w:val="left" w:pos="1080"/>
          <w:tab w:val="left" w:pos="1589"/>
          <w:tab w:val="left" w:pos="1873"/>
          <w:tab w:val="left" w:pos="2014"/>
        </w:tabs>
        <w:spacing w:line="360" w:lineRule="auto"/>
        <w:ind w:left="1080" w:hanging="720"/>
        <w:rPr>
          <w:color w:val="auto"/>
          <w:sz w:val="24"/>
          <w:highlight w:val="none"/>
        </w:rPr>
      </w:pPr>
      <w:r>
        <w:rPr>
          <w:color w:val="auto"/>
          <w:sz w:val="24"/>
          <w:highlight w:val="none"/>
        </w:rPr>
        <w:t>由于未参加现场考察或开标前答疑会而导致对项目实际情况不了解，影响投标文件编制、投标报价准确性、综合因素响应不全面等问题的，由投标人自行承担不利评审后果。</w:t>
      </w:r>
    </w:p>
    <w:p w14:paraId="4590B057">
      <w:pPr>
        <w:numPr>
          <w:ilvl w:val="0"/>
          <w:numId w:val="10"/>
        </w:numPr>
        <w:tabs>
          <w:tab w:val="left" w:pos="360"/>
          <w:tab w:val="left" w:pos="900"/>
        </w:tabs>
        <w:spacing w:line="360" w:lineRule="auto"/>
        <w:ind w:left="357" w:hanging="357"/>
        <w:outlineLvl w:val="1"/>
        <w:rPr>
          <w:color w:val="auto"/>
          <w:sz w:val="24"/>
          <w:highlight w:val="none"/>
        </w:rPr>
      </w:pPr>
      <w:r>
        <w:rPr>
          <w:color w:val="auto"/>
          <w:sz w:val="24"/>
          <w:highlight w:val="none"/>
        </w:rPr>
        <w:t>样品</w:t>
      </w:r>
    </w:p>
    <w:p w14:paraId="6C3068E4">
      <w:pPr>
        <w:numPr>
          <w:ilvl w:val="1"/>
          <w:numId w:val="10"/>
        </w:numPr>
        <w:tabs>
          <w:tab w:val="left" w:pos="1080"/>
          <w:tab w:val="left" w:pos="1560"/>
          <w:tab w:val="left" w:pos="1873"/>
          <w:tab w:val="left" w:pos="2014"/>
        </w:tabs>
        <w:spacing w:line="360" w:lineRule="auto"/>
        <w:ind w:left="1080" w:hanging="720"/>
        <w:rPr>
          <w:color w:val="auto"/>
          <w:sz w:val="24"/>
          <w:highlight w:val="none"/>
        </w:rPr>
      </w:pPr>
      <w:r>
        <w:rPr>
          <w:color w:val="auto"/>
          <w:sz w:val="24"/>
          <w:highlight w:val="none"/>
        </w:rPr>
        <w:t>本项目是否要求投标人提供样品，以及样品制作的标准和要求、是否需要随样品提交相关检测报告、样品的递交与退还等要求见《投标人须知资料表》</w:t>
      </w:r>
      <w:r>
        <w:rPr>
          <w:rFonts w:hint="eastAsia"/>
          <w:color w:val="auto"/>
          <w:sz w:val="24"/>
          <w:highlight w:val="none"/>
        </w:rPr>
        <w:t>。</w:t>
      </w:r>
    </w:p>
    <w:p w14:paraId="4950145F">
      <w:pPr>
        <w:numPr>
          <w:ilvl w:val="1"/>
          <w:numId w:val="10"/>
        </w:numPr>
        <w:tabs>
          <w:tab w:val="left" w:pos="1080"/>
          <w:tab w:val="left" w:pos="1589"/>
          <w:tab w:val="left" w:pos="1873"/>
          <w:tab w:val="left" w:pos="2014"/>
        </w:tabs>
        <w:spacing w:line="360" w:lineRule="auto"/>
        <w:ind w:left="1080" w:hanging="720"/>
        <w:rPr>
          <w:color w:val="auto"/>
          <w:sz w:val="24"/>
          <w:highlight w:val="none"/>
        </w:rPr>
      </w:pPr>
      <w:r>
        <w:rPr>
          <w:color w:val="auto"/>
          <w:sz w:val="24"/>
          <w:highlight w:val="none"/>
        </w:rPr>
        <w:t>样品的评审方法以及评审标准等内容见第四章《评标方法和评标标准》。</w:t>
      </w:r>
    </w:p>
    <w:p w14:paraId="61DA7C0A">
      <w:pPr>
        <w:numPr>
          <w:ilvl w:val="0"/>
          <w:numId w:val="10"/>
        </w:numPr>
        <w:tabs>
          <w:tab w:val="left" w:pos="360"/>
        </w:tabs>
        <w:spacing w:line="360" w:lineRule="auto"/>
        <w:ind w:left="357" w:hanging="357"/>
        <w:outlineLvl w:val="1"/>
        <w:rPr>
          <w:color w:val="auto"/>
          <w:sz w:val="24"/>
          <w:highlight w:val="none"/>
        </w:rPr>
      </w:pPr>
      <w:r>
        <w:rPr>
          <w:color w:val="auto"/>
          <w:sz w:val="24"/>
          <w:highlight w:val="none"/>
        </w:rPr>
        <w:t>政府采购政策（包括但不限于下列具体政策要求）</w:t>
      </w:r>
    </w:p>
    <w:p w14:paraId="2D2FE484">
      <w:pPr>
        <w:numPr>
          <w:ilvl w:val="1"/>
          <w:numId w:val="10"/>
        </w:numPr>
        <w:tabs>
          <w:tab w:val="left" w:pos="1080"/>
          <w:tab w:val="left" w:pos="1589"/>
          <w:tab w:val="left" w:pos="1873"/>
          <w:tab w:val="left" w:pos="2014"/>
        </w:tabs>
        <w:spacing w:line="360" w:lineRule="auto"/>
        <w:ind w:left="1080" w:hanging="720"/>
        <w:rPr>
          <w:color w:val="auto"/>
          <w:sz w:val="24"/>
          <w:highlight w:val="none"/>
        </w:rPr>
      </w:pPr>
      <w:r>
        <w:rPr>
          <w:color w:val="auto"/>
          <w:sz w:val="24"/>
          <w:highlight w:val="none"/>
        </w:rPr>
        <w:t>进口产品</w:t>
      </w:r>
    </w:p>
    <w:p w14:paraId="36204F2C">
      <w:pPr>
        <w:numPr>
          <w:ilvl w:val="2"/>
          <w:numId w:val="10"/>
        </w:numPr>
        <w:tabs>
          <w:tab w:val="left" w:pos="1980"/>
          <w:tab w:val="left" w:pos="2014"/>
          <w:tab w:val="clear" w:pos="2264"/>
        </w:tabs>
        <w:spacing w:line="360" w:lineRule="auto"/>
        <w:ind w:left="1985"/>
        <w:rPr>
          <w:color w:val="auto"/>
          <w:sz w:val="24"/>
          <w:highlight w:val="none"/>
        </w:rPr>
      </w:pPr>
      <w:r>
        <w:rPr>
          <w:color w:val="auto"/>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55BDC39">
      <w:pPr>
        <w:numPr>
          <w:ilvl w:val="1"/>
          <w:numId w:val="10"/>
        </w:numPr>
        <w:tabs>
          <w:tab w:val="left" w:pos="1080"/>
          <w:tab w:val="left" w:pos="1589"/>
          <w:tab w:val="left" w:pos="1873"/>
          <w:tab w:val="left" w:pos="2014"/>
        </w:tabs>
        <w:spacing w:line="360" w:lineRule="auto"/>
        <w:ind w:left="1080" w:hanging="720"/>
        <w:rPr>
          <w:color w:val="auto"/>
          <w:sz w:val="24"/>
          <w:highlight w:val="none"/>
        </w:rPr>
      </w:pPr>
      <w:r>
        <w:rPr>
          <w:color w:val="auto"/>
          <w:sz w:val="24"/>
          <w:highlight w:val="none"/>
        </w:rPr>
        <w:t>中小企业、监狱企业及残疾人福利性单位</w:t>
      </w:r>
    </w:p>
    <w:p w14:paraId="77EE919A">
      <w:pPr>
        <w:numPr>
          <w:ilvl w:val="2"/>
          <w:numId w:val="10"/>
        </w:numPr>
        <w:tabs>
          <w:tab w:val="left" w:pos="1980"/>
        </w:tabs>
        <w:spacing w:line="360" w:lineRule="auto"/>
        <w:ind w:hanging="1130"/>
        <w:rPr>
          <w:color w:val="auto"/>
          <w:sz w:val="24"/>
          <w:highlight w:val="none"/>
        </w:rPr>
      </w:pPr>
      <w:r>
        <w:rPr>
          <w:color w:val="auto"/>
          <w:sz w:val="24"/>
          <w:highlight w:val="none"/>
        </w:rPr>
        <w:t>中小企业定义：</w:t>
      </w:r>
    </w:p>
    <w:p w14:paraId="1BF11F11">
      <w:pPr>
        <w:numPr>
          <w:ilvl w:val="2"/>
          <w:numId w:val="10"/>
        </w:numPr>
        <w:tabs>
          <w:tab w:val="left" w:pos="1980"/>
          <w:tab w:val="clear" w:pos="2264"/>
        </w:tabs>
        <w:spacing w:line="360" w:lineRule="auto"/>
        <w:ind w:left="1985" w:hanging="851"/>
        <w:rPr>
          <w:color w:val="auto"/>
          <w:sz w:val="24"/>
          <w:highlight w:val="none"/>
        </w:rPr>
      </w:pPr>
      <w:r>
        <w:rPr>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6A30AB79">
      <w:pPr>
        <w:numPr>
          <w:ilvl w:val="2"/>
          <w:numId w:val="10"/>
        </w:numPr>
        <w:tabs>
          <w:tab w:val="left" w:pos="1985"/>
          <w:tab w:val="clear" w:pos="2264"/>
        </w:tabs>
        <w:spacing w:line="360" w:lineRule="auto"/>
        <w:ind w:left="1985"/>
        <w:rPr>
          <w:color w:val="auto"/>
          <w:sz w:val="24"/>
          <w:highlight w:val="none"/>
        </w:rPr>
      </w:pPr>
      <w:r>
        <w:rPr>
          <w:color w:val="auto"/>
          <w:sz w:val="24"/>
          <w:highlight w:val="none"/>
        </w:rPr>
        <w:t>供应商提供的货物、工程或者服务符合下列情形的，享受中小企业扶持政策：</w:t>
      </w:r>
    </w:p>
    <w:p w14:paraId="28C80393">
      <w:pPr>
        <w:tabs>
          <w:tab w:val="left" w:pos="1980"/>
        </w:tabs>
        <w:spacing w:line="360" w:lineRule="auto"/>
        <w:ind w:left="1984"/>
        <w:rPr>
          <w:color w:val="auto"/>
          <w:sz w:val="24"/>
          <w:highlight w:val="none"/>
        </w:rPr>
      </w:pPr>
      <w:r>
        <w:rPr>
          <w:color w:val="auto"/>
          <w:sz w:val="24"/>
          <w:highlight w:val="none"/>
        </w:rPr>
        <w:t>（1）在货物采购项目中，货物由中小企业制造，即货物由中小企业生产且使用该中小企业商号或者注册商标；</w:t>
      </w:r>
    </w:p>
    <w:p w14:paraId="64559006">
      <w:pPr>
        <w:tabs>
          <w:tab w:val="left" w:pos="1980"/>
        </w:tabs>
        <w:spacing w:line="360" w:lineRule="auto"/>
        <w:ind w:left="1984"/>
        <w:rPr>
          <w:color w:val="auto"/>
          <w:sz w:val="24"/>
          <w:highlight w:val="none"/>
        </w:rPr>
      </w:pPr>
      <w:r>
        <w:rPr>
          <w:color w:val="auto"/>
          <w:sz w:val="24"/>
          <w:highlight w:val="none"/>
        </w:rPr>
        <w:t>（2）在工程采购项目中，工程由中小企业承建，即工程施工单位为中小企业；</w:t>
      </w:r>
    </w:p>
    <w:p w14:paraId="25FE4807">
      <w:pPr>
        <w:tabs>
          <w:tab w:val="left" w:pos="1980"/>
        </w:tabs>
        <w:spacing w:line="360" w:lineRule="auto"/>
        <w:ind w:left="1984"/>
        <w:rPr>
          <w:color w:val="auto"/>
          <w:sz w:val="24"/>
          <w:highlight w:val="none"/>
        </w:rPr>
      </w:pPr>
      <w:r>
        <w:rPr>
          <w:color w:val="auto"/>
          <w:sz w:val="24"/>
          <w:highlight w:val="none"/>
        </w:rPr>
        <w:t>（3）在服务采购项目中，服务由中小企业承接，即提供服务的人员为中小企业依照《中华人民共和国劳动</w:t>
      </w:r>
      <w:r>
        <w:rPr>
          <w:rFonts w:hint="eastAsia"/>
          <w:color w:val="auto"/>
          <w:sz w:val="24"/>
          <w:highlight w:val="none"/>
        </w:rPr>
        <w:t>合同法</w:t>
      </w:r>
      <w:r>
        <w:rPr>
          <w:color w:val="auto"/>
          <w:sz w:val="24"/>
          <w:highlight w:val="none"/>
        </w:rPr>
        <w:t>》订立劳动合同的从业人员。</w:t>
      </w:r>
    </w:p>
    <w:p w14:paraId="61B1CE53">
      <w:pPr>
        <w:numPr>
          <w:ilvl w:val="2"/>
          <w:numId w:val="10"/>
        </w:numPr>
        <w:tabs>
          <w:tab w:val="left" w:pos="1985"/>
          <w:tab w:val="clear" w:pos="2264"/>
        </w:tabs>
        <w:spacing w:line="360" w:lineRule="auto"/>
        <w:ind w:left="1985" w:hanging="851"/>
        <w:rPr>
          <w:color w:val="auto"/>
          <w:sz w:val="24"/>
          <w:highlight w:val="none"/>
        </w:rPr>
      </w:pPr>
      <w:r>
        <w:rPr>
          <w:color w:val="auto"/>
          <w:sz w:val="24"/>
          <w:highlight w:val="none"/>
        </w:rPr>
        <w:t>在货物采购项目中，供应商提供的货物既有中小企业制造货物，也有大型企业制造货物的，不享受中小企业扶持政策。</w:t>
      </w:r>
    </w:p>
    <w:p w14:paraId="4A200A0B">
      <w:pPr>
        <w:numPr>
          <w:ilvl w:val="2"/>
          <w:numId w:val="10"/>
        </w:numPr>
        <w:tabs>
          <w:tab w:val="left" w:pos="1985"/>
          <w:tab w:val="clear" w:pos="2264"/>
        </w:tabs>
        <w:spacing w:line="360" w:lineRule="auto"/>
        <w:ind w:left="1985" w:hanging="851"/>
        <w:rPr>
          <w:color w:val="auto"/>
          <w:sz w:val="24"/>
          <w:highlight w:val="none"/>
        </w:rPr>
      </w:pPr>
      <w:r>
        <w:rPr>
          <w:color w:val="auto"/>
          <w:sz w:val="24"/>
          <w:highlight w:val="none"/>
        </w:rPr>
        <w:t>以联合体形式参加政府采购活动，联合体各方均为中小企业的，联合体视同中小企业。其中，联合体各方均为小微企业的，联合体视同小微企业。</w:t>
      </w:r>
    </w:p>
    <w:p w14:paraId="4EA62C2B">
      <w:pPr>
        <w:numPr>
          <w:ilvl w:val="2"/>
          <w:numId w:val="10"/>
        </w:numPr>
        <w:tabs>
          <w:tab w:val="left" w:pos="1985"/>
          <w:tab w:val="clear" w:pos="2264"/>
        </w:tabs>
        <w:spacing w:line="360" w:lineRule="auto"/>
        <w:ind w:left="1985" w:hanging="851"/>
        <w:rPr>
          <w:color w:val="auto"/>
          <w:sz w:val="24"/>
          <w:highlight w:val="none"/>
        </w:rPr>
      </w:pPr>
      <w:r>
        <w:rPr>
          <w:color w:val="auto"/>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0847725">
      <w:pPr>
        <w:numPr>
          <w:ilvl w:val="2"/>
          <w:numId w:val="10"/>
        </w:numPr>
        <w:tabs>
          <w:tab w:val="left" w:pos="1985"/>
          <w:tab w:val="clear" w:pos="2264"/>
        </w:tabs>
        <w:spacing w:line="360" w:lineRule="auto"/>
        <w:ind w:left="1985" w:hanging="1130"/>
        <w:rPr>
          <w:color w:val="auto"/>
          <w:sz w:val="24"/>
          <w:highlight w:val="none"/>
        </w:rPr>
      </w:pPr>
      <w:r>
        <w:rPr>
          <w:color w:val="auto"/>
          <w:sz w:val="24"/>
          <w:highlight w:val="none"/>
        </w:rPr>
        <w:t>残疾人福利单位定义：享受政府采购支持政策的残疾人福利性单位应当同时满足以下条件：</w:t>
      </w:r>
    </w:p>
    <w:p w14:paraId="02B3C25C">
      <w:pPr>
        <w:tabs>
          <w:tab w:val="left" w:pos="1985"/>
        </w:tabs>
        <w:spacing w:line="360" w:lineRule="auto"/>
        <w:ind w:left="1982"/>
        <w:rPr>
          <w:color w:val="auto"/>
          <w:sz w:val="24"/>
          <w:highlight w:val="none"/>
        </w:rPr>
      </w:pPr>
      <w:r>
        <w:rPr>
          <w:color w:val="auto"/>
          <w:sz w:val="24"/>
          <w:highlight w:val="none"/>
        </w:rPr>
        <w:t>（</w:t>
      </w:r>
      <w:r>
        <w:rPr>
          <w:rFonts w:hint="eastAsia"/>
          <w:color w:val="auto"/>
          <w:sz w:val="24"/>
          <w:highlight w:val="none"/>
        </w:rPr>
        <w:t>1</w:t>
      </w:r>
      <w:r>
        <w:rPr>
          <w:color w:val="auto"/>
          <w:sz w:val="24"/>
          <w:highlight w:val="none"/>
        </w:rPr>
        <w:t>）安置的残疾人占本单位在职职工人数的比例不低于25%（含25%），并且安置的残疾人人数不少于10 人（含10 人）；</w:t>
      </w:r>
    </w:p>
    <w:p w14:paraId="2F91A18C">
      <w:pPr>
        <w:tabs>
          <w:tab w:val="left" w:pos="1985"/>
        </w:tabs>
        <w:spacing w:line="360" w:lineRule="auto"/>
        <w:ind w:left="1982"/>
        <w:rPr>
          <w:color w:val="auto"/>
          <w:sz w:val="24"/>
          <w:highlight w:val="none"/>
        </w:rPr>
      </w:pPr>
      <w:r>
        <w:rPr>
          <w:color w:val="auto"/>
          <w:sz w:val="24"/>
          <w:highlight w:val="none"/>
        </w:rPr>
        <w:t>（</w:t>
      </w:r>
      <w:r>
        <w:rPr>
          <w:rFonts w:hint="eastAsia"/>
          <w:color w:val="auto"/>
          <w:sz w:val="24"/>
          <w:highlight w:val="none"/>
        </w:rPr>
        <w:t>2</w:t>
      </w:r>
      <w:r>
        <w:rPr>
          <w:color w:val="auto"/>
          <w:sz w:val="24"/>
          <w:highlight w:val="none"/>
        </w:rPr>
        <w:t>）依法与安置的每位残疾人签订了一年以上（含一年）的劳动合同或服务协议；</w:t>
      </w:r>
    </w:p>
    <w:p w14:paraId="50029271">
      <w:pPr>
        <w:tabs>
          <w:tab w:val="left" w:pos="1985"/>
        </w:tabs>
        <w:spacing w:line="360" w:lineRule="auto"/>
        <w:ind w:left="2268" w:hanging="281"/>
        <w:rPr>
          <w:color w:val="auto"/>
          <w:sz w:val="24"/>
          <w:highlight w:val="none"/>
        </w:rPr>
      </w:pPr>
      <w:r>
        <w:rPr>
          <w:color w:val="auto"/>
          <w:sz w:val="24"/>
          <w:highlight w:val="none"/>
        </w:rPr>
        <w:t>（</w:t>
      </w:r>
      <w:r>
        <w:rPr>
          <w:rFonts w:hint="eastAsia"/>
          <w:color w:val="auto"/>
          <w:sz w:val="24"/>
          <w:highlight w:val="none"/>
        </w:rPr>
        <w:t>3</w:t>
      </w:r>
      <w:r>
        <w:rPr>
          <w:color w:val="auto"/>
          <w:sz w:val="24"/>
          <w:highlight w:val="none"/>
        </w:rPr>
        <w:t>）为安置的每位残疾人按月足额缴纳了基本养老保险、基本医</w:t>
      </w:r>
    </w:p>
    <w:p w14:paraId="62BC1AF9">
      <w:pPr>
        <w:tabs>
          <w:tab w:val="left" w:pos="1985"/>
        </w:tabs>
        <w:spacing w:line="360" w:lineRule="auto"/>
        <w:ind w:left="2268" w:hanging="281"/>
        <w:rPr>
          <w:color w:val="auto"/>
          <w:sz w:val="24"/>
          <w:highlight w:val="none"/>
        </w:rPr>
      </w:pPr>
      <w:r>
        <w:rPr>
          <w:color w:val="auto"/>
          <w:sz w:val="24"/>
          <w:highlight w:val="none"/>
        </w:rPr>
        <w:t>疗保险、失业保险、工伤保险和生育保险等社会保险费；</w:t>
      </w:r>
    </w:p>
    <w:p w14:paraId="1B9AAAED">
      <w:pPr>
        <w:tabs>
          <w:tab w:val="left" w:pos="1985"/>
        </w:tabs>
        <w:spacing w:line="360" w:lineRule="auto"/>
        <w:ind w:left="2268" w:hanging="281"/>
        <w:rPr>
          <w:color w:val="auto"/>
          <w:sz w:val="24"/>
          <w:highlight w:val="none"/>
        </w:rPr>
      </w:pPr>
      <w:r>
        <w:rPr>
          <w:color w:val="auto"/>
          <w:sz w:val="24"/>
          <w:highlight w:val="none"/>
        </w:rPr>
        <w:t>（</w:t>
      </w:r>
      <w:r>
        <w:rPr>
          <w:rFonts w:hint="eastAsia"/>
          <w:color w:val="auto"/>
          <w:sz w:val="24"/>
          <w:highlight w:val="none"/>
        </w:rPr>
        <w:t>4</w:t>
      </w:r>
      <w:r>
        <w:rPr>
          <w:color w:val="auto"/>
          <w:sz w:val="24"/>
          <w:highlight w:val="none"/>
        </w:rPr>
        <w:t>）通过银行等金融机构向安置的每位残疾人，按月支付了不低</w:t>
      </w:r>
    </w:p>
    <w:p w14:paraId="3603C0D1">
      <w:pPr>
        <w:tabs>
          <w:tab w:val="left" w:pos="1985"/>
        </w:tabs>
        <w:spacing w:line="360" w:lineRule="auto"/>
        <w:ind w:left="2268" w:hanging="281"/>
        <w:rPr>
          <w:color w:val="auto"/>
          <w:sz w:val="24"/>
          <w:highlight w:val="none"/>
        </w:rPr>
      </w:pPr>
      <w:r>
        <w:rPr>
          <w:color w:val="auto"/>
          <w:sz w:val="24"/>
          <w:highlight w:val="none"/>
        </w:rPr>
        <w:t>于单位所在区县适用的经省级人民政府批准的月最低工资标准的</w:t>
      </w:r>
    </w:p>
    <w:p w14:paraId="45609820">
      <w:pPr>
        <w:tabs>
          <w:tab w:val="left" w:pos="1985"/>
        </w:tabs>
        <w:spacing w:line="360" w:lineRule="auto"/>
        <w:ind w:left="2268" w:hanging="281"/>
        <w:rPr>
          <w:color w:val="auto"/>
          <w:sz w:val="24"/>
          <w:highlight w:val="none"/>
        </w:rPr>
      </w:pPr>
      <w:r>
        <w:rPr>
          <w:color w:val="auto"/>
          <w:sz w:val="24"/>
          <w:highlight w:val="none"/>
        </w:rPr>
        <w:t>工资；</w:t>
      </w:r>
    </w:p>
    <w:p w14:paraId="68824B74">
      <w:pPr>
        <w:tabs>
          <w:tab w:val="left" w:pos="1985"/>
        </w:tabs>
        <w:spacing w:line="360" w:lineRule="auto"/>
        <w:ind w:left="2268" w:hanging="281"/>
        <w:rPr>
          <w:color w:val="auto"/>
          <w:sz w:val="24"/>
          <w:highlight w:val="none"/>
        </w:rPr>
      </w:pPr>
      <w:r>
        <w:rPr>
          <w:color w:val="auto"/>
          <w:sz w:val="24"/>
          <w:highlight w:val="none"/>
        </w:rPr>
        <w:t>（</w:t>
      </w:r>
      <w:r>
        <w:rPr>
          <w:rFonts w:hint="eastAsia"/>
          <w:color w:val="auto"/>
          <w:sz w:val="24"/>
          <w:highlight w:val="none"/>
        </w:rPr>
        <w:t>5</w:t>
      </w:r>
      <w:r>
        <w:rPr>
          <w:color w:val="auto"/>
          <w:sz w:val="24"/>
          <w:highlight w:val="none"/>
        </w:rPr>
        <w:t>）提供本单位制造的货物、承担的工程或者服务（以下简称产</w:t>
      </w:r>
    </w:p>
    <w:p w14:paraId="198DE867">
      <w:pPr>
        <w:tabs>
          <w:tab w:val="left" w:pos="1985"/>
        </w:tabs>
        <w:spacing w:line="360" w:lineRule="auto"/>
        <w:ind w:left="2268" w:hanging="281"/>
        <w:rPr>
          <w:color w:val="auto"/>
          <w:sz w:val="24"/>
          <w:highlight w:val="none"/>
        </w:rPr>
      </w:pPr>
      <w:r>
        <w:rPr>
          <w:color w:val="auto"/>
          <w:sz w:val="24"/>
          <w:highlight w:val="none"/>
        </w:rPr>
        <w:t>品），或者提供其他残疾人福利性单位制造的货物（不包括使用非</w:t>
      </w:r>
    </w:p>
    <w:p w14:paraId="3C119146">
      <w:pPr>
        <w:tabs>
          <w:tab w:val="left" w:pos="1985"/>
        </w:tabs>
        <w:spacing w:line="360" w:lineRule="auto"/>
        <w:ind w:left="2268" w:hanging="281"/>
        <w:rPr>
          <w:color w:val="auto"/>
          <w:sz w:val="24"/>
          <w:highlight w:val="none"/>
        </w:rPr>
      </w:pPr>
      <w:r>
        <w:rPr>
          <w:color w:val="auto"/>
          <w:sz w:val="24"/>
          <w:highlight w:val="none"/>
        </w:rPr>
        <w:t>残疾人福利性单位注册商标的货物）；</w:t>
      </w:r>
    </w:p>
    <w:p w14:paraId="57126283">
      <w:pPr>
        <w:tabs>
          <w:tab w:val="left" w:pos="1985"/>
        </w:tabs>
        <w:spacing w:line="360" w:lineRule="auto"/>
        <w:ind w:left="2268" w:hanging="281"/>
        <w:rPr>
          <w:color w:val="auto"/>
          <w:sz w:val="24"/>
          <w:highlight w:val="none"/>
        </w:rPr>
      </w:pPr>
      <w:r>
        <w:rPr>
          <w:color w:val="auto"/>
          <w:sz w:val="24"/>
          <w:highlight w:val="none"/>
        </w:rPr>
        <w:t>（</w:t>
      </w:r>
      <w:r>
        <w:rPr>
          <w:rFonts w:hint="eastAsia"/>
          <w:color w:val="auto"/>
          <w:sz w:val="24"/>
          <w:highlight w:val="none"/>
        </w:rPr>
        <w:t>6</w:t>
      </w:r>
      <w:r>
        <w:rPr>
          <w:color w:val="auto"/>
          <w:sz w:val="24"/>
          <w:highlight w:val="none"/>
        </w:rPr>
        <w:t>）前款所称残疾人是指法定劳动年龄内，持有《中华人民共和</w:t>
      </w:r>
    </w:p>
    <w:p w14:paraId="2F217917">
      <w:pPr>
        <w:tabs>
          <w:tab w:val="left" w:pos="1985"/>
        </w:tabs>
        <w:spacing w:line="360" w:lineRule="auto"/>
        <w:ind w:left="2268" w:hanging="281"/>
        <w:rPr>
          <w:color w:val="auto"/>
          <w:sz w:val="24"/>
          <w:highlight w:val="none"/>
        </w:rPr>
      </w:pPr>
      <w:r>
        <w:rPr>
          <w:color w:val="auto"/>
          <w:sz w:val="24"/>
          <w:highlight w:val="none"/>
        </w:rPr>
        <w:t>国残疾人证》或者《中华人民共和国残疾军人证（1 至8 级）》</w:t>
      </w:r>
    </w:p>
    <w:p w14:paraId="74EF70E6">
      <w:pPr>
        <w:tabs>
          <w:tab w:val="left" w:pos="1985"/>
        </w:tabs>
        <w:spacing w:line="360" w:lineRule="auto"/>
        <w:ind w:left="2268" w:hanging="281"/>
        <w:rPr>
          <w:color w:val="auto"/>
          <w:sz w:val="24"/>
          <w:highlight w:val="none"/>
        </w:rPr>
      </w:pPr>
      <w:r>
        <w:rPr>
          <w:color w:val="auto"/>
          <w:sz w:val="24"/>
          <w:highlight w:val="none"/>
        </w:rPr>
        <w:t>的自然人，包括具有劳动条件和劳动意愿的精神残疾人。在职职工</w:t>
      </w:r>
    </w:p>
    <w:p w14:paraId="695DC491">
      <w:pPr>
        <w:tabs>
          <w:tab w:val="left" w:pos="1985"/>
        </w:tabs>
        <w:spacing w:line="360" w:lineRule="auto"/>
        <w:ind w:left="2268" w:hanging="281"/>
        <w:rPr>
          <w:color w:val="auto"/>
          <w:sz w:val="24"/>
          <w:highlight w:val="none"/>
        </w:rPr>
      </w:pPr>
      <w:r>
        <w:rPr>
          <w:color w:val="auto"/>
          <w:sz w:val="24"/>
          <w:highlight w:val="none"/>
        </w:rPr>
        <w:t>人数是指与残疾人福利性单位建立劳动关系并依法签订劳动合同</w:t>
      </w:r>
    </w:p>
    <w:p w14:paraId="38D9176A">
      <w:pPr>
        <w:tabs>
          <w:tab w:val="left" w:pos="1985"/>
        </w:tabs>
        <w:spacing w:line="360" w:lineRule="auto"/>
        <w:ind w:left="2268" w:hanging="281"/>
        <w:rPr>
          <w:color w:val="auto"/>
          <w:sz w:val="24"/>
          <w:highlight w:val="none"/>
        </w:rPr>
      </w:pPr>
      <w:r>
        <w:rPr>
          <w:color w:val="auto"/>
          <w:sz w:val="24"/>
          <w:highlight w:val="none"/>
        </w:rPr>
        <w:t>或服务协议的雇员人数。</w:t>
      </w:r>
    </w:p>
    <w:p w14:paraId="5ED6C47D">
      <w:pPr>
        <w:numPr>
          <w:ilvl w:val="2"/>
          <w:numId w:val="10"/>
        </w:numPr>
        <w:tabs>
          <w:tab w:val="left" w:pos="1980"/>
        </w:tabs>
        <w:spacing w:line="360" w:lineRule="auto"/>
        <w:ind w:hanging="1413"/>
        <w:rPr>
          <w:color w:val="auto"/>
          <w:sz w:val="24"/>
          <w:highlight w:val="none"/>
        </w:rPr>
      </w:pPr>
      <w:r>
        <w:rPr>
          <w:color w:val="auto"/>
          <w:sz w:val="24"/>
          <w:highlight w:val="none"/>
        </w:rPr>
        <w:t>本项目是否专门面向中小企业预留采购份额见第一章《投标邀请》。</w:t>
      </w:r>
    </w:p>
    <w:p w14:paraId="38611E6A">
      <w:pPr>
        <w:numPr>
          <w:ilvl w:val="2"/>
          <w:numId w:val="10"/>
        </w:numPr>
        <w:tabs>
          <w:tab w:val="left" w:pos="1985"/>
          <w:tab w:val="clear" w:pos="2264"/>
        </w:tabs>
        <w:spacing w:line="360" w:lineRule="auto"/>
        <w:ind w:left="1985" w:hanging="1134"/>
        <w:rPr>
          <w:color w:val="auto"/>
          <w:sz w:val="24"/>
          <w:highlight w:val="none"/>
        </w:rPr>
      </w:pPr>
      <w:r>
        <w:rPr>
          <w:color w:val="auto"/>
          <w:sz w:val="24"/>
          <w:highlight w:val="none"/>
        </w:rPr>
        <w:t>采购标的对应的中小企业划分标准所属行业见《投标人须知资料表》。</w:t>
      </w:r>
    </w:p>
    <w:p w14:paraId="0662F77A">
      <w:pPr>
        <w:numPr>
          <w:ilvl w:val="2"/>
          <w:numId w:val="10"/>
        </w:numPr>
        <w:tabs>
          <w:tab w:val="left" w:pos="1980"/>
          <w:tab w:val="clear" w:pos="2264"/>
        </w:tabs>
        <w:spacing w:line="360" w:lineRule="auto"/>
        <w:ind w:left="1985" w:hanging="1134"/>
        <w:rPr>
          <w:color w:val="auto"/>
          <w:sz w:val="24"/>
          <w:highlight w:val="none"/>
        </w:rPr>
      </w:pPr>
      <w:r>
        <w:rPr>
          <w:color w:val="auto"/>
          <w:sz w:val="24"/>
          <w:highlight w:val="none"/>
        </w:rPr>
        <w:t>小微企业价格评审优惠的政策调整：见第四章《评标方法和评标标准》。</w:t>
      </w:r>
    </w:p>
    <w:p w14:paraId="62A37D42">
      <w:pPr>
        <w:numPr>
          <w:ilvl w:val="1"/>
          <w:numId w:val="10"/>
        </w:numPr>
        <w:tabs>
          <w:tab w:val="left" w:pos="1080"/>
          <w:tab w:val="left" w:pos="1589"/>
          <w:tab w:val="left" w:pos="1873"/>
          <w:tab w:val="left" w:pos="2014"/>
        </w:tabs>
        <w:spacing w:line="360" w:lineRule="auto"/>
        <w:ind w:left="1080" w:hanging="720"/>
        <w:rPr>
          <w:color w:val="auto"/>
          <w:sz w:val="24"/>
          <w:highlight w:val="none"/>
        </w:rPr>
      </w:pPr>
      <w:r>
        <w:rPr>
          <w:color w:val="auto"/>
          <w:sz w:val="24"/>
          <w:highlight w:val="none"/>
        </w:rPr>
        <w:t>政府采购节能产品、环境标志产品</w:t>
      </w:r>
    </w:p>
    <w:p w14:paraId="1A8C957A">
      <w:pPr>
        <w:numPr>
          <w:ilvl w:val="2"/>
          <w:numId w:val="10"/>
        </w:numPr>
        <w:tabs>
          <w:tab w:val="left" w:pos="1980"/>
          <w:tab w:val="clear" w:pos="2264"/>
        </w:tabs>
        <w:spacing w:line="360" w:lineRule="auto"/>
        <w:ind w:left="1985"/>
        <w:rPr>
          <w:color w:val="auto"/>
          <w:sz w:val="24"/>
          <w:highlight w:val="none"/>
        </w:rPr>
      </w:pPr>
      <w:r>
        <w:rPr>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115B9B1">
      <w:pPr>
        <w:numPr>
          <w:ilvl w:val="2"/>
          <w:numId w:val="10"/>
        </w:numPr>
        <w:tabs>
          <w:tab w:val="left" w:pos="1985"/>
          <w:tab w:val="clear" w:pos="2264"/>
        </w:tabs>
        <w:spacing w:line="360" w:lineRule="auto"/>
        <w:ind w:left="1985"/>
        <w:rPr>
          <w:color w:val="auto"/>
          <w:sz w:val="24"/>
          <w:highlight w:val="none"/>
        </w:rPr>
      </w:pPr>
      <w:r>
        <w:rPr>
          <w:rFonts w:hint="eastAsia"/>
          <w:color w:val="auto"/>
          <w:sz w:val="24"/>
          <w:highlight w:val="none"/>
        </w:rPr>
        <w:t>招标人</w:t>
      </w:r>
      <w:r>
        <w:rPr>
          <w:color w:val="auto"/>
          <w:sz w:val="24"/>
          <w:highlight w:val="none"/>
        </w:rPr>
        <w:t>拟采购的产品属于品目清单范围的，</w:t>
      </w:r>
      <w:r>
        <w:rPr>
          <w:rFonts w:hint="eastAsia"/>
          <w:color w:val="auto"/>
          <w:sz w:val="24"/>
          <w:highlight w:val="none"/>
        </w:rPr>
        <w:t>招标人</w:t>
      </w:r>
      <w:r>
        <w:rPr>
          <w:color w:val="auto"/>
          <w:sz w:val="24"/>
          <w:highlight w:val="none"/>
        </w:rPr>
        <w:t xml:space="preserve">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026A4809">
      <w:pPr>
        <w:numPr>
          <w:ilvl w:val="2"/>
          <w:numId w:val="10"/>
        </w:numPr>
        <w:tabs>
          <w:tab w:val="left" w:pos="1985"/>
          <w:tab w:val="clear" w:pos="2264"/>
        </w:tabs>
        <w:spacing w:line="360" w:lineRule="auto"/>
        <w:ind w:left="1985"/>
        <w:rPr>
          <w:color w:val="auto"/>
          <w:sz w:val="24"/>
          <w:highlight w:val="none"/>
        </w:rPr>
      </w:pPr>
      <w:r>
        <w:rPr>
          <w:color w:val="auto"/>
          <w:sz w:val="24"/>
          <w:highlight w:val="none"/>
        </w:rPr>
        <w:t>如本项目采购产品属于实施政府强制采购品目清单范围的节能产品，则投标人所报产品必须获得国家确定的认证机构出具的、处于有效期之内的节能产品认证证书，否则</w:t>
      </w:r>
      <w:r>
        <w:rPr>
          <w:b/>
          <w:color w:val="auto"/>
          <w:sz w:val="24"/>
          <w:highlight w:val="none"/>
        </w:rPr>
        <w:t>投标无效</w:t>
      </w:r>
      <w:r>
        <w:rPr>
          <w:color w:val="auto"/>
          <w:sz w:val="24"/>
          <w:highlight w:val="none"/>
        </w:rPr>
        <w:t>；</w:t>
      </w:r>
    </w:p>
    <w:p w14:paraId="0DEA8FE9">
      <w:pPr>
        <w:numPr>
          <w:ilvl w:val="2"/>
          <w:numId w:val="10"/>
        </w:numPr>
        <w:tabs>
          <w:tab w:val="left" w:pos="1985"/>
          <w:tab w:val="clear" w:pos="2264"/>
        </w:tabs>
        <w:spacing w:line="360" w:lineRule="auto"/>
        <w:ind w:left="1985"/>
        <w:rPr>
          <w:color w:val="auto"/>
          <w:sz w:val="24"/>
          <w:highlight w:val="none"/>
        </w:rPr>
      </w:pPr>
      <w:r>
        <w:rPr>
          <w:color w:val="auto"/>
          <w:sz w:val="24"/>
          <w:highlight w:val="none"/>
        </w:rPr>
        <w:t>非政府强制采购的节能产品或环境标志产品，依据品目清单和认证证书实施政府优先采购。优先采购的具体规定见第四章《评标方法和评标标准》（如涉及）。</w:t>
      </w:r>
    </w:p>
    <w:p w14:paraId="01D31DF2">
      <w:pPr>
        <w:numPr>
          <w:ilvl w:val="2"/>
          <w:numId w:val="10"/>
        </w:numPr>
        <w:tabs>
          <w:tab w:val="left" w:pos="1985"/>
          <w:tab w:val="left" w:pos="2014"/>
          <w:tab w:val="clear" w:pos="2264"/>
        </w:tabs>
        <w:spacing w:line="360" w:lineRule="auto"/>
        <w:ind w:left="1985"/>
        <w:rPr>
          <w:color w:val="auto"/>
          <w:sz w:val="24"/>
          <w:highlight w:val="none"/>
        </w:rPr>
      </w:pPr>
      <w:r>
        <w:rPr>
          <w:rFonts w:hint="eastAsia"/>
          <w:color w:val="auto"/>
          <w:sz w:val="24"/>
          <w:highlight w:val="none"/>
        </w:rPr>
        <w:t>依据</w:t>
      </w:r>
      <w:r>
        <w:rPr>
          <w:color w:val="auto"/>
          <w:sz w:val="24"/>
          <w:highlight w:val="none"/>
        </w:rPr>
        <w:t>《关于印发〈商品包装政府采购需求标准（试行）〉、〈快递包装政府采购需求标准（试行）〉的通知》（财办库〔2020〕123号）</w:t>
      </w:r>
      <w:r>
        <w:rPr>
          <w:rFonts w:hint="eastAsia"/>
          <w:color w:val="auto"/>
          <w:sz w:val="24"/>
          <w:highlight w:val="none"/>
        </w:rPr>
        <w:t>文件</w:t>
      </w:r>
      <w:r>
        <w:rPr>
          <w:color w:val="auto"/>
          <w:sz w:val="24"/>
          <w:highlight w:val="none"/>
        </w:rPr>
        <w:t>精神</w:t>
      </w:r>
      <w:r>
        <w:rPr>
          <w:rFonts w:hint="eastAsia"/>
          <w:color w:val="auto"/>
          <w:sz w:val="24"/>
          <w:highlight w:val="none"/>
        </w:rPr>
        <w:t>，招标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746FADC6">
      <w:pPr>
        <w:numPr>
          <w:ilvl w:val="1"/>
          <w:numId w:val="10"/>
        </w:numPr>
        <w:tabs>
          <w:tab w:val="left" w:pos="1080"/>
          <w:tab w:val="left" w:pos="1589"/>
          <w:tab w:val="left" w:pos="1873"/>
          <w:tab w:val="left" w:pos="2014"/>
        </w:tabs>
        <w:spacing w:line="360" w:lineRule="auto"/>
        <w:ind w:left="1080" w:hanging="720"/>
        <w:rPr>
          <w:color w:val="auto"/>
          <w:sz w:val="24"/>
          <w:highlight w:val="none"/>
        </w:rPr>
      </w:pPr>
      <w:r>
        <w:rPr>
          <w:color w:val="auto"/>
          <w:sz w:val="24"/>
          <w:highlight w:val="none"/>
        </w:rPr>
        <w:t>支持乡村产业振兴管理</w:t>
      </w:r>
    </w:p>
    <w:p w14:paraId="4F53396C">
      <w:pPr>
        <w:numPr>
          <w:ilvl w:val="2"/>
          <w:numId w:val="10"/>
        </w:numPr>
        <w:tabs>
          <w:tab w:val="left" w:pos="1985"/>
          <w:tab w:val="left" w:pos="2014"/>
          <w:tab w:val="clear" w:pos="2264"/>
        </w:tabs>
        <w:spacing w:line="360" w:lineRule="auto"/>
        <w:ind w:left="1985"/>
        <w:rPr>
          <w:color w:val="auto"/>
          <w:sz w:val="24"/>
          <w:highlight w:val="none"/>
        </w:rPr>
      </w:pPr>
      <w:r>
        <w:rPr>
          <w:color w:val="auto"/>
          <w:sz w:val="24"/>
          <w:highlight w:val="none"/>
        </w:rPr>
        <w:t>为落实《关于运用政府采购政策支持乡村产业振兴的通知》（财库〔2021〕19号）有关要求，做好支持脱贫攻坚工作，本项目采购活动中对于支持乡村振兴管理的相关要求见第五章《采购需求》（如涉及）。</w:t>
      </w:r>
    </w:p>
    <w:p w14:paraId="62D7251B">
      <w:pPr>
        <w:numPr>
          <w:ilvl w:val="1"/>
          <w:numId w:val="10"/>
        </w:numPr>
        <w:tabs>
          <w:tab w:val="left" w:pos="1080"/>
          <w:tab w:val="left" w:pos="1589"/>
          <w:tab w:val="left" w:pos="1873"/>
          <w:tab w:val="left" w:pos="2014"/>
        </w:tabs>
        <w:spacing w:line="360" w:lineRule="auto"/>
        <w:ind w:left="1080" w:hanging="720"/>
        <w:rPr>
          <w:color w:val="auto"/>
          <w:sz w:val="24"/>
          <w:highlight w:val="none"/>
        </w:rPr>
      </w:pPr>
      <w:r>
        <w:rPr>
          <w:color w:val="auto"/>
          <w:sz w:val="24"/>
          <w:highlight w:val="none"/>
        </w:rPr>
        <w:t>正版软件</w:t>
      </w:r>
    </w:p>
    <w:p w14:paraId="11DE1B61">
      <w:pPr>
        <w:numPr>
          <w:ilvl w:val="2"/>
          <w:numId w:val="10"/>
        </w:numPr>
        <w:tabs>
          <w:tab w:val="left" w:pos="1985"/>
          <w:tab w:val="clear" w:pos="2264"/>
        </w:tabs>
        <w:spacing w:line="360" w:lineRule="auto"/>
        <w:ind w:left="1985"/>
        <w:rPr>
          <w:color w:val="auto"/>
          <w:sz w:val="24"/>
          <w:highlight w:val="none"/>
        </w:rPr>
      </w:pPr>
      <w:r>
        <w:rPr>
          <w:color w:val="auto"/>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color w:val="auto"/>
          <w:sz w:val="24"/>
          <w:highlight w:val="none"/>
        </w:rPr>
        <w:t>投标无效</w:t>
      </w:r>
      <w:r>
        <w:rPr>
          <w:color w:val="auto"/>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66AE46BD">
      <w:pPr>
        <w:numPr>
          <w:ilvl w:val="2"/>
          <w:numId w:val="10"/>
        </w:numPr>
        <w:tabs>
          <w:tab w:val="left" w:pos="1985"/>
          <w:tab w:val="clear" w:pos="2264"/>
        </w:tabs>
        <w:spacing w:line="360" w:lineRule="auto"/>
        <w:ind w:left="1985"/>
        <w:rPr>
          <w:color w:val="auto"/>
          <w:sz w:val="24"/>
          <w:highlight w:val="none"/>
        </w:rPr>
      </w:pPr>
      <w:r>
        <w:rPr>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2B97527C">
      <w:pPr>
        <w:numPr>
          <w:ilvl w:val="1"/>
          <w:numId w:val="10"/>
        </w:numPr>
        <w:tabs>
          <w:tab w:val="left" w:pos="1080"/>
          <w:tab w:val="left" w:pos="1589"/>
          <w:tab w:val="left" w:pos="1873"/>
          <w:tab w:val="left" w:pos="2014"/>
        </w:tabs>
        <w:spacing w:line="360" w:lineRule="auto"/>
        <w:ind w:hanging="1326"/>
        <w:rPr>
          <w:color w:val="auto"/>
          <w:sz w:val="24"/>
          <w:highlight w:val="none"/>
        </w:rPr>
      </w:pPr>
      <w:r>
        <w:rPr>
          <w:rFonts w:hint="eastAsia"/>
          <w:color w:val="auto"/>
          <w:sz w:val="24"/>
          <w:highlight w:val="none"/>
        </w:rPr>
        <w:t>政府采购创新产品政策</w:t>
      </w:r>
    </w:p>
    <w:p w14:paraId="793B2678">
      <w:pPr>
        <w:numPr>
          <w:ilvl w:val="2"/>
          <w:numId w:val="10"/>
        </w:numPr>
        <w:tabs>
          <w:tab w:val="left" w:pos="1985"/>
          <w:tab w:val="left" w:pos="2014"/>
          <w:tab w:val="clear" w:pos="2264"/>
        </w:tabs>
        <w:spacing w:line="360" w:lineRule="auto"/>
        <w:ind w:left="1985"/>
        <w:rPr>
          <w:color w:val="auto"/>
          <w:sz w:val="24"/>
          <w:highlight w:val="none"/>
        </w:rPr>
      </w:pPr>
      <w:r>
        <w:rPr>
          <w:rFonts w:hint="eastAsia"/>
          <w:color w:val="auto"/>
          <w:sz w:val="24"/>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0AFB1593">
      <w:pPr>
        <w:numPr>
          <w:ilvl w:val="1"/>
          <w:numId w:val="10"/>
        </w:numPr>
        <w:tabs>
          <w:tab w:val="left" w:pos="1080"/>
          <w:tab w:val="left" w:pos="1589"/>
          <w:tab w:val="left" w:pos="1873"/>
          <w:tab w:val="left" w:pos="2014"/>
        </w:tabs>
        <w:spacing w:line="360" w:lineRule="auto"/>
        <w:ind w:hanging="1326"/>
        <w:rPr>
          <w:color w:val="auto"/>
          <w:sz w:val="24"/>
          <w:highlight w:val="none"/>
        </w:rPr>
      </w:pPr>
      <w:r>
        <w:rPr>
          <w:rFonts w:hint="eastAsia"/>
          <w:color w:val="auto"/>
          <w:sz w:val="24"/>
          <w:highlight w:val="none"/>
        </w:rPr>
        <w:t>绿色采购政策</w:t>
      </w:r>
    </w:p>
    <w:p w14:paraId="76398B26">
      <w:pPr>
        <w:numPr>
          <w:ilvl w:val="2"/>
          <w:numId w:val="10"/>
        </w:numPr>
        <w:tabs>
          <w:tab w:val="left" w:pos="2014"/>
        </w:tabs>
        <w:spacing w:line="360" w:lineRule="auto"/>
        <w:ind w:hanging="1130"/>
        <w:rPr>
          <w:color w:val="auto"/>
          <w:sz w:val="24"/>
          <w:highlight w:val="none"/>
        </w:rPr>
      </w:pPr>
      <w:r>
        <w:rPr>
          <w:rFonts w:hint="eastAsia"/>
          <w:color w:val="auto"/>
          <w:sz w:val="24"/>
          <w:highlight w:val="none"/>
        </w:rPr>
        <w:t>绿色数据中心政策</w:t>
      </w:r>
    </w:p>
    <w:p w14:paraId="7E1896E7">
      <w:pPr>
        <w:pStyle w:val="205"/>
        <w:spacing w:line="360" w:lineRule="auto"/>
        <w:ind w:left="1984"/>
        <w:rPr>
          <w:rFonts w:ascii="Times New Roman" w:hAnsi="Times New Roman"/>
          <w:color w:val="auto"/>
          <w:highlight w:val="none"/>
        </w:rPr>
      </w:pPr>
      <w:r>
        <w:rPr>
          <w:rFonts w:hint="eastAsia" w:ascii="Times New Roman" w:hAnsi="Times New Roman"/>
          <w:color w:val="auto"/>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12E104A">
      <w:pPr>
        <w:numPr>
          <w:ilvl w:val="2"/>
          <w:numId w:val="10"/>
        </w:numPr>
        <w:tabs>
          <w:tab w:val="left" w:pos="2014"/>
        </w:tabs>
        <w:spacing w:line="360" w:lineRule="auto"/>
        <w:ind w:hanging="1130"/>
        <w:rPr>
          <w:color w:val="auto"/>
          <w:sz w:val="24"/>
          <w:highlight w:val="none"/>
        </w:rPr>
      </w:pPr>
      <w:r>
        <w:rPr>
          <w:rFonts w:hint="eastAsia"/>
          <w:color w:val="auto"/>
          <w:sz w:val="24"/>
          <w:highlight w:val="none"/>
        </w:rPr>
        <w:t>推广应用绿色建材</w:t>
      </w:r>
    </w:p>
    <w:p w14:paraId="3F24E273">
      <w:pPr>
        <w:tabs>
          <w:tab w:val="left" w:pos="2014"/>
        </w:tabs>
        <w:spacing w:line="360" w:lineRule="auto"/>
        <w:ind w:left="1843" w:firstLine="1"/>
        <w:rPr>
          <w:color w:val="auto"/>
          <w:sz w:val="24"/>
          <w:highlight w:val="none"/>
        </w:rPr>
      </w:pPr>
      <w:r>
        <w:rPr>
          <w:rFonts w:hint="eastAsia"/>
          <w:color w:val="auto"/>
          <w:sz w:val="24"/>
          <w:highlight w:val="none"/>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12A2F8EB">
      <w:pPr>
        <w:numPr>
          <w:ilvl w:val="2"/>
          <w:numId w:val="10"/>
        </w:numPr>
        <w:tabs>
          <w:tab w:val="left" w:pos="2014"/>
        </w:tabs>
        <w:spacing w:line="360" w:lineRule="auto"/>
        <w:ind w:hanging="1130"/>
        <w:rPr>
          <w:color w:val="auto"/>
          <w:sz w:val="24"/>
          <w:highlight w:val="none"/>
        </w:rPr>
      </w:pPr>
      <w:r>
        <w:rPr>
          <w:rFonts w:hint="eastAsia"/>
          <w:color w:val="auto"/>
          <w:sz w:val="24"/>
          <w:highlight w:val="none"/>
        </w:rPr>
        <w:t>优先使用低挥发性有机化合物产品</w:t>
      </w:r>
    </w:p>
    <w:p w14:paraId="46AABCC6">
      <w:pPr>
        <w:pStyle w:val="205"/>
        <w:spacing w:line="360" w:lineRule="auto"/>
        <w:ind w:left="1842"/>
        <w:rPr>
          <w:color w:val="auto"/>
          <w:highlight w:val="none"/>
        </w:rPr>
      </w:pPr>
      <w:r>
        <w:rPr>
          <w:rFonts w:hint="eastAsia"/>
          <w:color w:val="auto"/>
          <w:highlight w:val="none"/>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0DD6D53B">
      <w:pPr>
        <w:numPr>
          <w:ilvl w:val="1"/>
          <w:numId w:val="10"/>
        </w:numPr>
        <w:tabs>
          <w:tab w:val="left" w:pos="1080"/>
          <w:tab w:val="left" w:pos="1589"/>
          <w:tab w:val="left" w:pos="1873"/>
          <w:tab w:val="left" w:pos="2014"/>
        </w:tabs>
        <w:spacing w:line="360" w:lineRule="auto"/>
        <w:ind w:hanging="1326"/>
        <w:rPr>
          <w:color w:val="auto"/>
          <w:sz w:val="24"/>
          <w:highlight w:val="none"/>
        </w:rPr>
      </w:pPr>
      <w:r>
        <w:rPr>
          <w:rFonts w:hint="eastAsia"/>
          <w:color w:val="auto"/>
          <w:sz w:val="24"/>
          <w:highlight w:val="none"/>
        </w:rPr>
        <w:t>履约保证金相关政策</w:t>
      </w:r>
    </w:p>
    <w:p w14:paraId="5EC752B2">
      <w:pPr>
        <w:numPr>
          <w:ilvl w:val="2"/>
          <w:numId w:val="10"/>
        </w:numPr>
        <w:tabs>
          <w:tab w:val="left" w:pos="2014"/>
          <w:tab w:val="clear" w:pos="2264"/>
        </w:tabs>
        <w:spacing w:line="360" w:lineRule="auto"/>
        <w:ind w:left="1985" w:hanging="851"/>
        <w:rPr>
          <w:color w:val="auto"/>
          <w:sz w:val="24"/>
          <w:highlight w:val="none"/>
        </w:rPr>
      </w:pPr>
      <w:r>
        <w:rPr>
          <w:rFonts w:hint="eastAsia"/>
          <w:color w:val="auto"/>
          <w:sz w:val="24"/>
          <w:highlight w:val="none"/>
        </w:rPr>
        <w:t>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p>
    <w:p w14:paraId="07855FB5">
      <w:pPr>
        <w:numPr>
          <w:ilvl w:val="2"/>
          <w:numId w:val="10"/>
        </w:numPr>
        <w:tabs>
          <w:tab w:val="left" w:pos="2014"/>
          <w:tab w:val="clear" w:pos="2264"/>
        </w:tabs>
        <w:spacing w:line="360" w:lineRule="auto"/>
        <w:ind w:left="1985" w:hanging="851"/>
        <w:rPr>
          <w:color w:val="auto"/>
          <w:sz w:val="24"/>
          <w:highlight w:val="none"/>
        </w:rPr>
      </w:pPr>
      <w:r>
        <w:rPr>
          <w:rFonts w:hint="eastAsia"/>
          <w:color w:val="auto"/>
          <w:sz w:val="24"/>
          <w:highlight w:val="none"/>
        </w:rPr>
        <w:t>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5903C406">
      <w:pPr>
        <w:numPr>
          <w:ilvl w:val="0"/>
          <w:numId w:val="10"/>
        </w:numPr>
        <w:tabs>
          <w:tab w:val="left" w:pos="360"/>
          <w:tab w:val="left" w:pos="900"/>
        </w:tabs>
        <w:spacing w:line="360" w:lineRule="auto"/>
        <w:ind w:left="357" w:hanging="357"/>
        <w:outlineLvl w:val="1"/>
        <w:rPr>
          <w:color w:val="auto"/>
          <w:sz w:val="24"/>
          <w:highlight w:val="none"/>
        </w:rPr>
      </w:pPr>
      <w:r>
        <w:rPr>
          <w:color w:val="auto"/>
          <w:sz w:val="24"/>
          <w:highlight w:val="none"/>
        </w:rPr>
        <w:t>投标费用</w:t>
      </w:r>
    </w:p>
    <w:p w14:paraId="0A1FF076">
      <w:pPr>
        <w:numPr>
          <w:ilvl w:val="1"/>
          <w:numId w:val="10"/>
        </w:numPr>
        <w:tabs>
          <w:tab w:val="left" w:pos="1080"/>
          <w:tab w:val="left" w:pos="1589"/>
          <w:tab w:val="left" w:pos="1873"/>
          <w:tab w:val="left" w:pos="2014"/>
        </w:tabs>
        <w:spacing w:line="360" w:lineRule="auto"/>
        <w:ind w:left="1080" w:hanging="720"/>
        <w:rPr>
          <w:color w:val="auto"/>
          <w:sz w:val="24"/>
          <w:highlight w:val="none"/>
        </w:rPr>
      </w:pPr>
      <w:r>
        <w:rPr>
          <w:color w:val="auto"/>
          <w:sz w:val="24"/>
          <w:highlight w:val="none"/>
        </w:rPr>
        <w:t>投标人应自行承担所有与准备和参加投标有关的费用，无论投标的结果如何，</w:t>
      </w:r>
      <w:r>
        <w:rPr>
          <w:rFonts w:hint="eastAsia"/>
          <w:color w:val="auto"/>
          <w:sz w:val="24"/>
          <w:highlight w:val="none"/>
        </w:rPr>
        <w:t>招标人</w:t>
      </w:r>
      <w:r>
        <w:rPr>
          <w:color w:val="auto"/>
          <w:sz w:val="24"/>
          <w:highlight w:val="none"/>
        </w:rPr>
        <w:t>或采购代理机构在任何情况下均无承担这些费用的义务和责任。</w:t>
      </w:r>
    </w:p>
    <w:p w14:paraId="2104BF14">
      <w:pPr>
        <w:tabs>
          <w:tab w:val="left" w:pos="1080"/>
        </w:tabs>
        <w:spacing w:line="360" w:lineRule="auto"/>
        <w:ind w:left="1080"/>
        <w:rPr>
          <w:color w:val="auto"/>
          <w:sz w:val="28"/>
          <w:highlight w:val="none"/>
        </w:rPr>
      </w:pPr>
      <w:bookmarkStart w:id="175" w:name="_1.8_计量单位"/>
      <w:bookmarkEnd w:id="175"/>
    </w:p>
    <w:p w14:paraId="11CF812E">
      <w:pPr>
        <w:pStyle w:val="194"/>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二   招标文件</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p>
    <w:p w14:paraId="06E53B7C">
      <w:pPr>
        <w:numPr>
          <w:ilvl w:val="0"/>
          <w:numId w:val="10"/>
        </w:numPr>
        <w:tabs>
          <w:tab w:val="left" w:pos="360"/>
          <w:tab w:val="left" w:pos="900"/>
        </w:tabs>
        <w:spacing w:line="360" w:lineRule="auto"/>
        <w:ind w:left="357" w:hanging="357"/>
        <w:outlineLvl w:val="1"/>
        <w:rPr>
          <w:color w:val="auto"/>
          <w:sz w:val="24"/>
          <w:highlight w:val="none"/>
        </w:rPr>
      </w:pPr>
      <w:bookmarkStart w:id="176" w:name="_Toc151193693"/>
      <w:bookmarkStart w:id="177" w:name="_Toc164229218"/>
      <w:bookmarkStart w:id="178" w:name="_Toc226309767"/>
      <w:bookmarkStart w:id="179" w:name="_Toc264969213"/>
      <w:bookmarkStart w:id="180" w:name="_Toc150774623"/>
      <w:bookmarkStart w:id="181" w:name="_Toc150480761"/>
      <w:bookmarkStart w:id="182" w:name="_Toc151193911"/>
      <w:bookmarkStart w:id="183" w:name="_Toc226337219"/>
      <w:bookmarkStart w:id="184" w:name="_Toc150774728"/>
      <w:bookmarkStart w:id="185" w:name="_Toc164351617"/>
      <w:bookmarkStart w:id="186" w:name="_Toc265228361"/>
      <w:bookmarkStart w:id="187" w:name="_Toc151190150"/>
      <w:bookmarkStart w:id="188" w:name="_Toc150509274"/>
      <w:bookmarkStart w:id="189" w:name="_Toc226965713"/>
      <w:bookmarkStart w:id="190" w:name="_Toc305158791"/>
      <w:bookmarkStart w:id="191" w:name="_Toc520356147"/>
      <w:bookmarkStart w:id="192" w:name="_Toc149720816"/>
      <w:bookmarkStart w:id="193" w:name="_Toc305158865"/>
      <w:bookmarkStart w:id="194" w:name="_Toc164608637"/>
      <w:bookmarkStart w:id="195" w:name="_Toc151193765"/>
      <w:bookmarkStart w:id="196" w:name="_Toc127151523"/>
      <w:bookmarkStart w:id="197" w:name="_Toc151193621"/>
      <w:bookmarkStart w:id="198" w:name="_Toc127161437"/>
      <w:bookmarkStart w:id="199" w:name="_Toc151193837"/>
      <w:bookmarkStart w:id="200" w:name="_Toc226965796"/>
      <w:bookmarkStart w:id="201" w:name="_Toc127151724"/>
      <w:bookmarkStart w:id="202" w:name="_Toc142311025"/>
      <w:bookmarkStart w:id="203" w:name="_Toc164229364"/>
      <w:bookmarkStart w:id="204" w:name="_Toc164608792"/>
      <w:bookmarkStart w:id="205" w:name="_Toc195842888"/>
      <w:r>
        <w:rPr>
          <w:color w:val="auto"/>
          <w:sz w:val="24"/>
          <w:highlight w:val="none"/>
        </w:rPr>
        <w:t>招标文件构</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r>
        <w:rPr>
          <w:color w:val="auto"/>
          <w:sz w:val="24"/>
          <w:highlight w:val="none"/>
        </w:rPr>
        <w:t>成</w:t>
      </w:r>
    </w:p>
    <w:p w14:paraId="07F081E6">
      <w:pPr>
        <w:numPr>
          <w:ilvl w:val="1"/>
          <w:numId w:val="10"/>
        </w:numPr>
        <w:tabs>
          <w:tab w:val="left" w:pos="1080"/>
          <w:tab w:val="left" w:pos="1589"/>
          <w:tab w:val="left" w:pos="1873"/>
          <w:tab w:val="left" w:pos="2014"/>
        </w:tabs>
        <w:spacing w:line="360" w:lineRule="auto"/>
        <w:ind w:left="1080" w:hanging="720"/>
        <w:rPr>
          <w:color w:val="auto"/>
          <w:sz w:val="24"/>
          <w:highlight w:val="none"/>
        </w:rPr>
      </w:pPr>
      <w:r>
        <w:rPr>
          <w:color w:val="auto"/>
          <w:sz w:val="24"/>
          <w:highlight w:val="none"/>
        </w:rPr>
        <w:t>招标文件包括以下部分：</w:t>
      </w:r>
    </w:p>
    <w:p w14:paraId="37C88121">
      <w:pPr>
        <w:numPr>
          <w:ilvl w:val="0"/>
          <w:numId w:val="11"/>
        </w:numPr>
        <w:tabs>
          <w:tab w:val="left" w:pos="1980"/>
          <w:tab w:val="left" w:pos="2520"/>
        </w:tabs>
        <w:spacing w:line="360" w:lineRule="auto"/>
        <w:ind w:left="1440" w:firstLine="5"/>
        <w:rPr>
          <w:color w:val="auto"/>
          <w:sz w:val="24"/>
          <w:highlight w:val="none"/>
        </w:rPr>
      </w:pPr>
      <w:r>
        <w:rPr>
          <w:color w:val="auto"/>
          <w:sz w:val="24"/>
          <w:highlight w:val="none"/>
        </w:rPr>
        <w:t>投标邀请</w:t>
      </w:r>
    </w:p>
    <w:p w14:paraId="1C29CA22">
      <w:pPr>
        <w:numPr>
          <w:ilvl w:val="0"/>
          <w:numId w:val="11"/>
        </w:numPr>
        <w:tabs>
          <w:tab w:val="left" w:pos="1980"/>
          <w:tab w:val="left" w:pos="2520"/>
        </w:tabs>
        <w:spacing w:line="360" w:lineRule="auto"/>
        <w:ind w:left="1440" w:firstLine="5"/>
        <w:rPr>
          <w:color w:val="auto"/>
          <w:sz w:val="24"/>
          <w:highlight w:val="none"/>
        </w:rPr>
      </w:pPr>
      <w:r>
        <w:rPr>
          <w:color w:val="auto"/>
          <w:sz w:val="24"/>
          <w:highlight w:val="none"/>
        </w:rPr>
        <w:t>投标人须知</w:t>
      </w:r>
    </w:p>
    <w:p w14:paraId="0FB47B85">
      <w:pPr>
        <w:numPr>
          <w:ilvl w:val="0"/>
          <w:numId w:val="11"/>
        </w:numPr>
        <w:tabs>
          <w:tab w:val="left" w:pos="1980"/>
          <w:tab w:val="left" w:pos="2520"/>
        </w:tabs>
        <w:spacing w:line="360" w:lineRule="auto"/>
        <w:ind w:left="1440" w:firstLine="5"/>
        <w:rPr>
          <w:color w:val="auto"/>
          <w:sz w:val="24"/>
          <w:highlight w:val="none"/>
        </w:rPr>
      </w:pPr>
      <w:r>
        <w:rPr>
          <w:color w:val="auto"/>
          <w:sz w:val="24"/>
          <w:highlight w:val="none"/>
        </w:rPr>
        <w:t>资格审查</w:t>
      </w:r>
    </w:p>
    <w:p w14:paraId="0C97704B">
      <w:pPr>
        <w:numPr>
          <w:ilvl w:val="0"/>
          <w:numId w:val="11"/>
        </w:numPr>
        <w:tabs>
          <w:tab w:val="left" w:pos="1980"/>
          <w:tab w:val="left" w:pos="2520"/>
        </w:tabs>
        <w:spacing w:line="360" w:lineRule="auto"/>
        <w:ind w:left="1440" w:firstLine="5"/>
        <w:rPr>
          <w:color w:val="auto"/>
          <w:sz w:val="24"/>
          <w:highlight w:val="none"/>
        </w:rPr>
      </w:pPr>
      <w:r>
        <w:rPr>
          <w:color w:val="auto"/>
          <w:sz w:val="24"/>
          <w:highlight w:val="none"/>
        </w:rPr>
        <w:t>评标程序、评标方法和评标标准</w:t>
      </w:r>
    </w:p>
    <w:p w14:paraId="57A083EF">
      <w:pPr>
        <w:numPr>
          <w:ilvl w:val="0"/>
          <w:numId w:val="11"/>
        </w:numPr>
        <w:tabs>
          <w:tab w:val="left" w:pos="1980"/>
          <w:tab w:val="left" w:pos="2520"/>
        </w:tabs>
        <w:spacing w:line="360" w:lineRule="auto"/>
        <w:ind w:left="1440" w:firstLine="5"/>
        <w:rPr>
          <w:color w:val="auto"/>
          <w:sz w:val="24"/>
          <w:highlight w:val="none"/>
        </w:rPr>
      </w:pPr>
      <w:r>
        <w:rPr>
          <w:color w:val="auto"/>
          <w:sz w:val="24"/>
          <w:highlight w:val="none"/>
        </w:rPr>
        <w:t>采购需求</w:t>
      </w:r>
    </w:p>
    <w:p w14:paraId="6E956DE6">
      <w:pPr>
        <w:numPr>
          <w:ilvl w:val="0"/>
          <w:numId w:val="11"/>
        </w:numPr>
        <w:tabs>
          <w:tab w:val="left" w:pos="1980"/>
          <w:tab w:val="left" w:pos="2520"/>
        </w:tabs>
        <w:spacing w:line="360" w:lineRule="auto"/>
        <w:ind w:left="1440" w:firstLine="5"/>
        <w:rPr>
          <w:color w:val="auto"/>
          <w:sz w:val="24"/>
          <w:highlight w:val="none"/>
        </w:rPr>
      </w:pPr>
      <w:r>
        <w:rPr>
          <w:color w:val="auto"/>
          <w:sz w:val="24"/>
          <w:highlight w:val="none"/>
        </w:rPr>
        <w:t>拟签订的合同文本</w:t>
      </w:r>
    </w:p>
    <w:p w14:paraId="7D0B40B5">
      <w:pPr>
        <w:numPr>
          <w:ilvl w:val="0"/>
          <w:numId w:val="11"/>
        </w:numPr>
        <w:tabs>
          <w:tab w:val="left" w:pos="1980"/>
          <w:tab w:val="left" w:pos="2520"/>
        </w:tabs>
        <w:spacing w:line="360" w:lineRule="auto"/>
        <w:ind w:left="1440" w:firstLine="5"/>
        <w:rPr>
          <w:color w:val="auto"/>
          <w:sz w:val="24"/>
          <w:highlight w:val="none"/>
        </w:rPr>
      </w:pPr>
      <w:r>
        <w:rPr>
          <w:color w:val="auto"/>
          <w:sz w:val="24"/>
          <w:highlight w:val="none"/>
        </w:rPr>
        <w:t>投标文件格式</w:t>
      </w:r>
    </w:p>
    <w:p w14:paraId="282A1A64">
      <w:pPr>
        <w:numPr>
          <w:ilvl w:val="1"/>
          <w:numId w:val="10"/>
        </w:numPr>
        <w:tabs>
          <w:tab w:val="left" w:pos="1080"/>
          <w:tab w:val="left" w:pos="1589"/>
          <w:tab w:val="left" w:pos="1873"/>
          <w:tab w:val="left" w:pos="2014"/>
        </w:tabs>
        <w:spacing w:line="360" w:lineRule="auto"/>
        <w:ind w:left="1080" w:hanging="720"/>
        <w:rPr>
          <w:color w:val="auto"/>
          <w:sz w:val="24"/>
          <w:highlight w:val="none"/>
        </w:rPr>
      </w:pPr>
      <w:r>
        <w:rPr>
          <w:color w:val="auto"/>
          <w:sz w:val="24"/>
          <w:highlight w:val="none"/>
        </w:rPr>
        <w:t>投标人应认真阅读招标文件的全部内容。投标人应按照招标文件要求提交投标文件并保证所提供的全部资料的真实性，并对招标文件做出实质性响应，否则</w:t>
      </w:r>
      <w:r>
        <w:rPr>
          <w:b/>
          <w:color w:val="auto"/>
          <w:sz w:val="24"/>
          <w:highlight w:val="none"/>
        </w:rPr>
        <w:t>投标无效</w:t>
      </w:r>
      <w:r>
        <w:rPr>
          <w:color w:val="auto"/>
          <w:sz w:val="24"/>
          <w:highlight w:val="none"/>
        </w:rPr>
        <w:t>。</w:t>
      </w:r>
    </w:p>
    <w:p w14:paraId="69BD0BDA">
      <w:pPr>
        <w:numPr>
          <w:ilvl w:val="0"/>
          <w:numId w:val="10"/>
        </w:numPr>
        <w:tabs>
          <w:tab w:val="left" w:pos="900"/>
          <w:tab w:val="left" w:pos="1080"/>
          <w:tab w:val="left" w:pos="2014"/>
        </w:tabs>
        <w:spacing w:line="360" w:lineRule="auto"/>
        <w:ind w:left="357" w:hanging="357"/>
        <w:outlineLvl w:val="1"/>
        <w:rPr>
          <w:color w:val="auto"/>
          <w:sz w:val="24"/>
          <w:highlight w:val="none"/>
        </w:rPr>
      </w:pPr>
      <w:r>
        <w:rPr>
          <w:color w:val="auto"/>
          <w:sz w:val="24"/>
          <w:highlight w:val="none"/>
        </w:rPr>
        <w:t>对招标文件的澄清或修改</w:t>
      </w:r>
    </w:p>
    <w:p w14:paraId="0AAC3BBB">
      <w:pPr>
        <w:numPr>
          <w:ilvl w:val="1"/>
          <w:numId w:val="10"/>
        </w:numPr>
        <w:tabs>
          <w:tab w:val="left" w:pos="1080"/>
          <w:tab w:val="left" w:pos="1561"/>
          <w:tab w:val="left" w:pos="1589"/>
          <w:tab w:val="left" w:pos="1873"/>
          <w:tab w:val="left" w:pos="2014"/>
        </w:tabs>
        <w:spacing w:line="360" w:lineRule="auto"/>
        <w:ind w:left="1080" w:hanging="720"/>
        <w:rPr>
          <w:color w:val="auto"/>
          <w:sz w:val="24"/>
          <w:highlight w:val="none"/>
        </w:rPr>
      </w:pPr>
      <w:r>
        <w:rPr>
          <w:rFonts w:hint="eastAsia"/>
          <w:color w:val="auto"/>
          <w:sz w:val="24"/>
          <w:highlight w:val="none"/>
        </w:rPr>
        <w:t>招标人</w:t>
      </w:r>
      <w:r>
        <w:rPr>
          <w:color w:val="auto"/>
          <w:sz w:val="24"/>
          <w:highlight w:val="none"/>
        </w:rPr>
        <w:t>或采购代理机构对已发出的招标文件进行必要澄清或者修改的，将在原公告发布媒体上以</w:t>
      </w:r>
      <w:r>
        <w:rPr>
          <w:rFonts w:hint="eastAsia"/>
          <w:color w:val="auto"/>
          <w:sz w:val="24"/>
          <w:highlight w:val="none"/>
        </w:rPr>
        <w:t>发布</w:t>
      </w:r>
      <w:r>
        <w:rPr>
          <w:color w:val="auto"/>
          <w:sz w:val="24"/>
          <w:highlight w:val="none"/>
        </w:rPr>
        <w:t>更正公告</w:t>
      </w:r>
      <w:r>
        <w:rPr>
          <w:rFonts w:hint="eastAsia"/>
          <w:color w:val="auto"/>
          <w:sz w:val="24"/>
          <w:highlight w:val="none"/>
        </w:rPr>
        <w:t>的</w:t>
      </w:r>
      <w:r>
        <w:rPr>
          <w:color w:val="auto"/>
          <w:sz w:val="24"/>
          <w:highlight w:val="none"/>
        </w:rPr>
        <w:t>形式通知所有获取招标文件的潜在投标人。</w:t>
      </w:r>
    </w:p>
    <w:p w14:paraId="118582D7">
      <w:pPr>
        <w:numPr>
          <w:ilvl w:val="1"/>
          <w:numId w:val="10"/>
        </w:numPr>
        <w:tabs>
          <w:tab w:val="left" w:pos="1080"/>
          <w:tab w:val="left" w:pos="1561"/>
          <w:tab w:val="left" w:pos="1589"/>
          <w:tab w:val="left" w:pos="1873"/>
          <w:tab w:val="left" w:pos="2014"/>
        </w:tabs>
        <w:spacing w:line="360" w:lineRule="auto"/>
        <w:ind w:left="1080" w:hanging="720"/>
        <w:rPr>
          <w:color w:val="auto"/>
          <w:sz w:val="24"/>
          <w:highlight w:val="none"/>
        </w:rPr>
      </w:pPr>
      <w:r>
        <w:rPr>
          <w:color w:val="auto"/>
          <w:sz w:val="24"/>
          <w:highlight w:val="none"/>
        </w:rPr>
        <w:t>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p>
    <w:p w14:paraId="5B473948">
      <w:pPr>
        <w:pStyle w:val="194"/>
        <w:spacing w:before="0" w:line="360" w:lineRule="auto"/>
        <w:rPr>
          <w:rFonts w:ascii="Times New Roman" w:hAnsi="Times New Roman" w:eastAsia="宋体"/>
          <w:color w:val="auto"/>
          <w:sz w:val="28"/>
          <w:highlight w:val="none"/>
        </w:rPr>
      </w:pPr>
      <w:bookmarkStart w:id="206" w:name="_Toc516367020"/>
      <w:bookmarkStart w:id="207" w:name="_Toc127151526"/>
      <w:bookmarkStart w:id="208" w:name="_Toc151193768"/>
      <w:bookmarkStart w:id="209" w:name="_Toc151190153"/>
      <w:bookmarkStart w:id="210" w:name="_Toc151193696"/>
      <w:bookmarkStart w:id="211" w:name="_Toc305158794"/>
      <w:bookmarkStart w:id="212" w:name="_Toc226337222"/>
      <w:bookmarkStart w:id="213" w:name="_Toc264969216"/>
      <w:bookmarkStart w:id="214" w:name="_Toc150509277"/>
      <w:bookmarkStart w:id="215" w:name="_Toc142311028"/>
      <w:bookmarkStart w:id="216" w:name="_Toc151193840"/>
      <w:bookmarkStart w:id="217" w:name="_Toc226965799"/>
      <w:bookmarkStart w:id="218" w:name="_Toc265228364"/>
      <w:bookmarkStart w:id="219" w:name="_Toc150774731"/>
      <w:bookmarkStart w:id="220" w:name="_Toc151193624"/>
      <w:bookmarkStart w:id="221" w:name="_Toc150480764"/>
      <w:bookmarkStart w:id="222" w:name="_Toc226965716"/>
      <w:bookmarkStart w:id="223" w:name="_Toc226309770"/>
      <w:bookmarkStart w:id="224" w:name="_Toc305158868"/>
      <w:bookmarkStart w:id="225" w:name="_Toc151193914"/>
      <w:bookmarkStart w:id="226" w:name="_Toc150774626"/>
      <w:bookmarkStart w:id="227" w:name="_Toc520356150"/>
      <w:bookmarkStart w:id="228" w:name="_Toc195842891"/>
      <w:r>
        <w:rPr>
          <w:rFonts w:ascii="Times New Roman" w:hAnsi="Times New Roman" w:eastAsia="宋体"/>
          <w:color w:val="auto"/>
          <w:sz w:val="28"/>
          <w:highlight w:val="none"/>
        </w:rPr>
        <w:t>三   投标文件</w:t>
      </w:r>
      <w:bookmarkEnd w:id="206"/>
      <w:r>
        <w:rPr>
          <w:rFonts w:ascii="Times New Roman" w:hAnsi="Times New Roman" w:eastAsia="宋体"/>
          <w:color w:val="auto"/>
          <w:sz w:val="28"/>
          <w:highlight w:val="none"/>
        </w:rPr>
        <w:t>的编制</w:t>
      </w:r>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p>
    <w:p w14:paraId="6174275B">
      <w:pPr>
        <w:numPr>
          <w:ilvl w:val="0"/>
          <w:numId w:val="10"/>
        </w:numPr>
        <w:tabs>
          <w:tab w:val="left" w:pos="360"/>
          <w:tab w:val="left" w:pos="900"/>
        </w:tabs>
        <w:spacing w:line="360" w:lineRule="auto"/>
        <w:ind w:left="357" w:hanging="357"/>
        <w:outlineLvl w:val="1"/>
        <w:rPr>
          <w:color w:val="auto"/>
          <w:sz w:val="24"/>
          <w:highlight w:val="none"/>
        </w:rPr>
      </w:pPr>
      <w:bookmarkStart w:id="229" w:name="_Toc520356151"/>
      <w:bookmarkStart w:id="230" w:name="_Toc151193625"/>
      <w:bookmarkStart w:id="231" w:name="_Toc151193841"/>
      <w:bookmarkStart w:id="232" w:name="_Toc164608641"/>
      <w:bookmarkStart w:id="233" w:name="_Toc164229368"/>
      <w:bookmarkStart w:id="234" w:name="_Toc149720820"/>
      <w:bookmarkStart w:id="235" w:name="_Toc264969217"/>
      <w:bookmarkStart w:id="236" w:name="_Toc226965717"/>
      <w:bookmarkStart w:id="237" w:name="_Toc151190154"/>
      <w:bookmarkStart w:id="238" w:name="_Toc265228365"/>
      <w:bookmarkStart w:id="239" w:name="_Toc150480765"/>
      <w:bookmarkStart w:id="240" w:name="_Toc164229222"/>
      <w:bookmarkStart w:id="241" w:name="_Toc305158869"/>
      <w:bookmarkStart w:id="242" w:name="_Toc127161441"/>
      <w:bookmarkStart w:id="243" w:name="_Toc226965800"/>
      <w:bookmarkStart w:id="244" w:name="_Toc150774627"/>
      <w:bookmarkStart w:id="245" w:name="_Toc226309771"/>
      <w:bookmarkStart w:id="246" w:name="_Toc151193915"/>
      <w:bookmarkStart w:id="247" w:name="_Toc226337223"/>
      <w:bookmarkStart w:id="248" w:name="_Toc150774732"/>
      <w:bookmarkStart w:id="249" w:name="_Toc151193769"/>
      <w:bookmarkStart w:id="250" w:name="_Toc305158795"/>
      <w:bookmarkStart w:id="251" w:name="_Toc127151527"/>
      <w:bookmarkStart w:id="252" w:name="_Toc151193697"/>
      <w:bookmarkStart w:id="253" w:name="_Toc516367021"/>
      <w:bookmarkStart w:id="254" w:name="_Toc127151728"/>
      <w:bookmarkStart w:id="255" w:name="_Toc195842892"/>
      <w:bookmarkStart w:id="256" w:name="_Toc164351621"/>
      <w:bookmarkStart w:id="257" w:name="_Toc150509278"/>
      <w:bookmarkStart w:id="258" w:name="_Toc142311029"/>
      <w:bookmarkStart w:id="259" w:name="_Toc164608796"/>
      <w:r>
        <w:rPr>
          <w:color w:val="auto"/>
          <w:sz w:val="24"/>
          <w:highlight w:val="none"/>
        </w:rPr>
        <w:t>投标范围、投标文件中计量单位的使用</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r>
        <w:rPr>
          <w:color w:val="auto"/>
          <w:sz w:val="24"/>
          <w:highlight w:val="none"/>
        </w:rPr>
        <w:t>及投标语言</w:t>
      </w:r>
    </w:p>
    <w:p w14:paraId="1D2284BB">
      <w:pPr>
        <w:numPr>
          <w:ilvl w:val="1"/>
          <w:numId w:val="10"/>
        </w:numPr>
        <w:tabs>
          <w:tab w:val="left" w:pos="1080"/>
          <w:tab w:val="left" w:pos="1589"/>
          <w:tab w:val="left" w:pos="1873"/>
          <w:tab w:val="left" w:pos="2014"/>
        </w:tabs>
        <w:spacing w:line="360" w:lineRule="auto"/>
        <w:ind w:left="1080" w:hanging="720"/>
        <w:rPr>
          <w:color w:val="auto"/>
          <w:sz w:val="24"/>
          <w:highlight w:val="none"/>
        </w:rPr>
      </w:pPr>
      <w:r>
        <w:rPr>
          <w:color w:val="auto"/>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auto"/>
          <w:sz w:val="24"/>
          <w:highlight w:val="none"/>
        </w:rPr>
        <w:t>无效投标</w:t>
      </w:r>
      <w:r>
        <w:rPr>
          <w:color w:val="auto"/>
          <w:sz w:val="24"/>
          <w:highlight w:val="none"/>
        </w:rPr>
        <w:t>。</w:t>
      </w:r>
    </w:p>
    <w:p w14:paraId="12A8A710">
      <w:pPr>
        <w:numPr>
          <w:ilvl w:val="1"/>
          <w:numId w:val="10"/>
        </w:numPr>
        <w:tabs>
          <w:tab w:val="left" w:pos="1080"/>
          <w:tab w:val="left" w:pos="1589"/>
          <w:tab w:val="left" w:pos="1873"/>
          <w:tab w:val="left" w:pos="2014"/>
        </w:tabs>
        <w:spacing w:line="360" w:lineRule="auto"/>
        <w:ind w:left="1080" w:hanging="720"/>
        <w:rPr>
          <w:color w:val="auto"/>
          <w:sz w:val="24"/>
          <w:highlight w:val="none"/>
        </w:rPr>
      </w:pPr>
      <w:r>
        <w:rPr>
          <w:color w:val="auto"/>
          <w:sz w:val="24"/>
          <w:highlight w:val="none"/>
        </w:rPr>
        <w:t>除招标文件有特殊要求外，本项目投标所使用的计量单位，应采用中华人民共和国法定计量单位。</w:t>
      </w:r>
    </w:p>
    <w:p w14:paraId="3EFA5861">
      <w:pPr>
        <w:numPr>
          <w:ilvl w:val="1"/>
          <w:numId w:val="10"/>
        </w:numPr>
        <w:tabs>
          <w:tab w:val="left" w:pos="1080"/>
          <w:tab w:val="left" w:pos="1589"/>
          <w:tab w:val="left" w:pos="1873"/>
          <w:tab w:val="left" w:pos="2014"/>
        </w:tabs>
        <w:spacing w:line="360" w:lineRule="auto"/>
        <w:ind w:left="1080" w:hanging="720"/>
        <w:rPr>
          <w:color w:val="auto"/>
          <w:sz w:val="24"/>
          <w:highlight w:val="none"/>
        </w:rPr>
      </w:pPr>
      <w:r>
        <w:rPr>
          <w:color w:val="auto"/>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599A5496">
      <w:pPr>
        <w:numPr>
          <w:ilvl w:val="0"/>
          <w:numId w:val="10"/>
        </w:numPr>
        <w:tabs>
          <w:tab w:val="left" w:pos="360"/>
          <w:tab w:val="left" w:pos="900"/>
        </w:tabs>
        <w:spacing w:line="360" w:lineRule="auto"/>
        <w:ind w:left="357" w:hanging="357"/>
        <w:outlineLvl w:val="1"/>
        <w:rPr>
          <w:color w:val="auto"/>
          <w:sz w:val="24"/>
          <w:highlight w:val="none"/>
        </w:rPr>
      </w:pPr>
      <w:bookmarkStart w:id="260" w:name="_Toc516367022"/>
      <w:bookmarkStart w:id="261" w:name="_Ref467306676"/>
      <w:bookmarkStart w:id="262" w:name="_Ref467306195"/>
      <w:bookmarkStart w:id="263" w:name="_Toc264969218"/>
      <w:bookmarkStart w:id="264" w:name="_Toc151193916"/>
      <w:bookmarkStart w:id="265" w:name="_Toc150774733"/>
      <w:bookmarkStart w:id="266" w:name="_Toc127161442"/>
      <w:bookmarkStart w:id="267" w:name="_Toc195842893"/>
      <w:bookmarkStart w:id="268" w:name="_Toc151193626"/>
      <w:bookmarkStart w:id="269" w:name="_Toc305158796"/>
      <w:bookmarkStart w:id="270" w:name="_Toc164608797"/>
      <w:bookmarkStart w:id="271" w:name="_Toc142311030"/>
      <w:bookmarkStart w:id="272" w:name="_Toc226965718"/>
      <w:bookmarkStart w:id="273" w:name="_Toc151193770"/>
      <w:bookmarkStart w:id="274" w:name="_Toc151193842"/>
      <w:bookmarkStart w:id="275" w:name="_Toc226965801"/>
      <w:bookmarkStart w:id="276" w:name="_Toc151193698"/>
      <w:bookmarkStart w:id="277" w:name="_Toc127151528"/>
      <w:bookmarkStart w:id="278" w:name="_Toc520356152"/>
      <w:bookmarkStart w:id="279" w:name="_Toc164229223"/>
      <w:bookmarkStart w:id="280" w:name="_Toc164351622"/>
      <w:bookmarkStart w:id="281" w:name="_Toc226309772"/>
      <w:bookmarkStart w:id="282" w:name="_Toc127151729"/>
      <w:bookmarkStart w:id="283" w:name="_Toc150774628"/>
      <w:bookmarkStart w:id="284" w:name="_Toc265228366"/>
      <w:bookmarkStart w:id="285" w:name="_Toc164229369"/>
      <w:bookmarkStart w:id="286" w:name="_Toc305158870"/>
      <w:bookmarkStart w:id="287" w:name="_Toc150480766"/>
      <w:bookmarkStart w:id="288" w:name="_Toc151190155"/>
      <w:bookmarkStart w:id="289" w:name="_Toc164608642"/>
      <w:bookmarkStart w:id="290" w:name="_Toc226337224"/>
      <w:bookmarkStart w:id="291" w:name="_Toc150509279"/>
      <w:bookmarkStart w:id="292" w:name="_Toc149720821"/>
      <w:r>
        <w:rPr>
          <w:color w:val="auto"/>
          <w:sz w:val="24"/>
          <w:highlight w:val="none"/>
        </w:rPr>
        <w:t>投标文件</w:t>
      </w:r>
      <w:bookmarkEnd w:id="260"/>
      <w:bookmarkEnd w:id="261"/>
      <w:bookmarkEnd w:id="262"/>
      <w:r>
        <w:rPr>
          <w:color w:val="auto"/>
          <w:sz w:val="24"/>
          <w:highlight w:val="none"/>
        </w:rPr>
        <w:t>构成</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14:paraId="2F9511D2">
      <w:pPr>
        <w:numPr>
          <w:ilvl w:val="1"/>
          <w:numId w:val="10"/>
        </w:numPr>
        <w:tabs>
          <w:tab w:val="left" w:pos="1080"/>
          <w:tab w:val="left" w:pos="1589"/>
          <w:tab w:val="left" w:pos="1873"/>
          <w:tab w:val="left" w:pos="2014"/>
        </w:tabs>
        <w:spacing w:line="360" w:lineRule="auto"/>
        <w:ind w:left="1077" w:hanging="720"/>
        <w:rPr>
          <w:color w:val="auto"/>
          <w:sz w:val="24"/>
          <w:highlight w:val="none"/>
        </w:rPr>
      </w:pPr>
      <w:bookmarkStart w:id="293" w:name="_Ref467052588"/>
      <w:r>
        <w:rPr>
          <w:color w:val="auto"/>
          <w:sz w:val="24"/>
          <w:highlight w:val="none"/>
        </w:rPr>
        <w:t>投标人应当按照招标文件的要求编制投标文件。投标文件应由《资格证明文件》、《商务技术文件》两部分构成。投标文件的部分格式要求，见第七章《投标文件格式》。</w:t>
      </w:r>
    </w:p>
    <w:p w14:paraId="3D9BFA1D">
      <w:pPr>
        <w:numPr>
          <w:ilvl w:val="1"/>
          <w:numId w:val="10"/>
        </w:numPr>
        <w:tabs>
          <w:tab w:val="left" w:pos="1080"/>
          <w:tab w:val="left" w:pos="1589"/>
          <w:tab w:val="left" w:pos="1873"/>
          <w:tab w:val="left" w:pos="2014"/>
        </w:tabs>
        <w:spacing w:line="360" w:lineRule="auto"/>
        <w:ind w:left="1077" w:hanging="720"/>
        <w:rPr>
          <w:color w:val="auto"/>
          <w:sz w:val="24"/>
          <w:highlight w:val="none"/>
        </w:rPr>
      </w:pPr>
      <w:r>
        <w:rPr>
          <w:color w:val="auto"/>
          <w:sz w:val="24"/>
          <w:highlight w:val="none"/>
        </w:rPr>
        <w:t>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auto"/>
          <w:sz w:val="24"/>
          <w:highlight w:val="none"/>
        </w:rPr>
        <w:t>投标无效</w:t>
      </w:r>
      <w:r>
        <w:rPr>
          <w:color w:val="auto"/>
          <w:sz w:val="24"/>
          <w:highlight w:val="none"/>
        </w:rPr>
        <w:t>。未标记“实质性格式”的文件和招标文件未提供格式的内容，可由投标人自行编写。</w:t>
      </w:r>
    </w:p>
    <w:p w14:paraId="2A9594CB">
      <w:pPr>
        <w:numPr>
          <w:ilvl w:val="1"/>
          <w:numId w:val="10"/>
        </w:numPr>
        <w:tabs>
          <w:tab w:val="left" w:pos="1080"/>
          <w:tab w:val="left" w:pos="1589"/>
          <w:tab w:val="left" w:pos="1873"/>
          <w:tab w:val="left" w:pos="2014"/>
        </w:tabs>
        <w:spacing w:line="360" w:lineRule="auto"/>
        <w:ind w:left="1077" w:hanging="720"/>
        <w:rPr>
          <w:color w:val="auto"/>
          <w:sz w:val="24"/>
          <w:highlight w:val="none"/>
        </w:rPr>
      </w:pPr>
      <w:r>
        <w:rPr>
          <w:color w:val="auto"/>
          <w:sz w:val="24"/>
          <w:highlight w:val="none"/>
        </w:rPr>
        <w:t>第四章《评标程序、评标方法和评标标准》中涉及的证明文件。</w:t>
      </w:r>
    </w:p>
    <w:p w14:paraId="429354D2">
      <w:pPr>
        <w:numPr>
          <w:ilvl w:val="1"/>
          <w:numId w:val="10"/>
        </w:numPr>
        <w:tabs>
          <w:tab w:val="left" w:pos="1080"/>
          <w:tab w:val="left" w:pos="1589"/>
          <w:tab w:val="left" w:pos="1873"/>
          <w:tab w:val="left" w:pos="2014"/>
        </w:tabs>
        <w:spacing w:line="360" w:lineRule="auto"/>
        <w:ind w:left="1077" w:hanging="720"/>
        <w:rPr>
          <w:color w:val="auto"/>
          <w:sz w:val="24"/>
          <w:highlight w:val="none"/>
        </w:rPr>
      </w:pPr>
      <w:r>
        <w:rPr>
          <w:color w:val="auto"/>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3785F49B">
      <w:pPr>
        <w:numPr>
          <w:ilvl w:val="1"/>
          <w:numId w:val="10"/>
        </w:numPr>
        <w:tabs>
          <w:tab w:val="left" w:pos="1080"/>
          <w:tab w:val="left" w:pos="1589"/>
          <w:tab w:val="left" w:pos="1873"/>
          <w:tab w:val="left" w:pos="2014"/>
        </w:tabs>
        <w:spacing w:line="360" w:lineRule="auto"/>
        <w:ind w:left="1077" w:hanging="720"/>
        <w:rPr>
          <w:color w:val="auto"/>
          <w:sz w:val="24"/>
          <w:highlight w:val="none"/>
        </w:rPr>
      </w:pPr>
      <w:r>
        <w:rPr>
          <w:color w:val="auto"/>
          <w:sz w:val="24"/>
          <w:highlight w:val="none"/>
        </w:rPr>
        <w:t>投标人认为应附的其他材料。</w:t>
      </w:r>
      <w:bookmarkEnd w:id="293"/>
    </w:p>
    <w:p w14:paraId="401103BB">
      <w:pPr>
        <w:numPr>
          <w:ilvl w:val="0"/>
          <w:numId w:val="10"/>
        </w:numPr>
        <w:tabs>
          <w:tab w:val="left" w:pos="360"/>
          <w:tab w:val="left" w:pos="900"/>
        </w:tabs>
        <w:spacing w:line="360" w:lineRule="auto"/>
        <w:ind w:left="357" w:hanging="357"/>
        <w:outlineLvl w:val="1"/>
        <w:rPr>
          <w:color w:val="auto"/>
          <w:sz w:val="24"/>
          <w:highlight w:val="none"/>
        </w:rPr>
      </w:pPr>
      <w:bookmarkStart w:id="294" w:name="_Toc150774735"/>
      <w:bookmarkStart w:id="295" w:name="_Toc151193700"/>
      <w:bookmarkStart w:id="296" w:name="_Toc151193844"/>
      <w:bookmarkStart w:id="297" w:name="_Toc149720823"/>
      <w:bookmarkStart w:id="298" w:name="_Toc151190157"/>
      <w:bookmarkStart w:id="299" w:name="_Toc164229371"/>
      <w:bookmarkStart w:id="300" w:name="_Toc127151530"/>
      <w:bookmarkStart w:id="301" w:name="_Toc150480768"/>
      <w:bookmarkStart w:id="302" w:name="_Toc164229225"/>
      <w:bookmarkStart w:id="303" w:name="_Toc142311032"/>
      <w:bookmarkStart w:id="304" w:name="_Toc127151731"/>
      <w:bookmarkStart w:id="305" w:name="_Toc150774630"/>
      <w:bookmarkStart w:id="306" w:name="_Toc151193628"/>
      <w:bookmarkStart w:id="307" w:name="_Toc150509281"/>
      <w:bookmarkStart w:id="308" w:name="_Toc127161444"/>
      <w:bookmarkStart w:id="309" w:name="_Toc151193918"/>
      <w:bookmarkStart w:id="310" w:name="_Toc164608644"/>
      <w:bookmarkStart w:id="311" w:name="_Toc164608799"/>
      <w:bookmarkStart w:id="312" w:name="_Toc195842895"/>
      <w:bookmarkStart w:id="313" w:name="_Toc151193772"/>
      <w:bookmarkStart w:id="314" w:name="_Toc164351624"/>
      <w:bookmarkStart w:id="315" w:name="_Toc520356155"/>
      <w:r>
        <w:rPr>
          <w:color w:val="auto"/>
          <w:sz w:val="24"/>
          <w:highlight w:val="none"/>
        </w:rPr>
        <w:t>投标报价</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14:paraId="442414F3">
      <w:pPr>
        <w:numPr>
          <w:ilvl w:val="1"/>
          <w:numId w:val="10"/>
        </w:numPr>
        <w:tabs>
          <w:tab w:val="left" w:pos="1080"/>
          <w:tab w:val="left" w:pos="1589"/>
          <w:tab w:val="left" w:pos="1873"/>
          <w:tab w:val="left" w:pos="2014"/>
        </w:tabs>
        <w:spacing w:line="360" w:lineRule="auto"/>
        <w:ind w:left="1077" w:hanging="720"/>
        <w:rPr>
          <w:color w:val="auto"/>
          <w:sz w:val="24"/>
          <w:highlight w:val="none"/>
        </w:rPr>
      </w:pPr>
      <w:r>
        <w:rPr>
          <w:color w:val="auto"/>
          <w:sz w:val="24"/>
          <w:highlight w:val="none"/>
        </w:rPr>
        <w:t>所有投标均以人民币报价。</w:t>
      </w:r>
    </w:p>
    <w:p w14:paraId="01B62A15">
      <w:pPr>
        <w:numPr>
          <w:ilvl w:val="1"/>
          <w:numId w:val="10"/>
        </w:numPr>
        <w:tabs>
          <w:tab w:val="left" w:pos="1080"/>
          <w:tab w:val="left" w:pos="1589"/>
          <w:tab w:val="left" w:pos="1873"/>
          <w:tab w:val="left" w:pos="2014"/>
        </w:tabs>
        <w:spacing w:line="360" w:lineRule="auto"/>
        <w:ind w:left="1077" w:hanging="720"/>
        <w:rPr>
          <w:color w:val="auto"/>
          <w:sz w:val="24"/>
          <w:highlight w:val="none"/>
        </w:rPr>
      </w:pPr>
      <w:r>
        <w:rPr>
          <w:color w:val="auto"/>
          <w:sz w:val="24"/>
          <w:highlight w:val="none"/>
        </w:rPr>
        <w:t>投标人的报价应包括为完成本项目所发生的一切费用和税费，招标人将不再支付报价以外的任何费用。</w:t>
      </w:r>
      <w:r>
        <w:rPr>
          <w:rFonts w:hint="eastAsia"/>
          <w:color w:val="auto"/>
          <w:sz w:val="24"/>
          <w:highlight w:val="none"/>
        </w:rPr>
        <w:t>投标人的报价应包括但不限于下列内容，《投标人须知资料表》中有特殊规定的，从其规定。</w:t>
      </w:r>
    </w:p>
    <w:p w14:paraId="7378E5A8">
      <w:pPr>
        <w:numPr>
          <w:ilvl w:val="2"/>
          <w:numId w:val="10"/>
        </w:numPr>
        <w:tabs>
          <w:tab w:val="left" w:pos="1985"/>
          <w:tab w:val="clear" w:pos="2264"/>
        </w:tabs>
        <w:spacing w:line="360" w:lineRule="auto"/>
        <w:ind w:left="1985"/>
        <w:rPr>
          <w:color w:val="auto"/>
          <w:sz w:val="24"/>
          <w:highlight w:val="none"/>
        </w:rPr>
      </w:pPr>
      <w:r>
        <w:rPr>
          <w:color w:val="auto"/>
          <w:sz w:val="24"/>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4C43C866">
      <w:pPr>
        <w:numPr>
          <w:ilvl w:val="2"/>
          <w:numId w:val="10"/>
        </w:numPr>
        <w:tabs>
          <w:tab w:val="left" w:pos="1980"/>
        </w:tabs>
        <w:spacing w:line="360" w:lineRule="auto"/>
        <w:ind w:hanging="1130"/>
        <w:rPr>
          <w:color w:val="auto"/>
          <w:sz w:val="24"/>
          <w:highlight w:val="none"/>
        </w:rPr>
      </w:pPr>
      <w:r>
        <w:rPr>
          <w:color w:val="auto"/>
          <w:sz w:val="24"/>
          <w:highlight w:val="none"/>
        </w:rPr>
        <w:t xml:space="preserve">按照招标文件要求完成本项目的全部相关服务费用。 </w:t>
      </w:r>
    </w:p>
    <w:p w14:paraId="72DB1E4F">
      <w:pPr>
        <w:numPr>
          <w:ilvl w:val="1"/>
          <w:numId w:val="10"/>
        </w:numPr>
        <w:tabs>
          <w:tab w:val="left" w:pos="1080"/>
          <w:tab w:val="left" w:pos="1589"/>
          <w:tab w:val="left" w:pos="1873"/>
          <w:tab w:val="left" w:pos="2014"/>
        </w:tabs>
        <w:spacing w:line="360" w:lineRule="auto"/>
        <w:ind w:left="1077" w:hanging="720"/>
        <w:rPr>
          <w:color w:val="auto"/>
          <w:sz w:val="24"/>
          <w:highlight w:val="none"/>
        </w:rPr>
      </w:pPr>
      <w:r>
        <w:rPr>
          <w:rFonts w:hint="eastAsia"/>
          <w:color w:val="auto"/>
          <w:sz w:val="24"/>
          <w:highlight w:val="none"/>
        </w:rPr>
        <w:t>招标人</w:t>
      </w:r>
      <w:r>
        <w:rPr>
          <w:color w:val="auto"/>
          <w:sz w:val="24"/>
          <w:highlight w:val="none"/>
        </w:rPr>
        <w:t>不得向供应商索要或者接受其给予的赠品、回扣或者与采购无关的其他商品、服务。</w:t>
      </w:r>
    </w:p>
    <w:p w14:paraId="33F87CA4">
      <w:pPr>
        <w:numPr>
          <w:ilvl w:val="1"/>
          <w:numId w:val="10"/>
        </w:numPr>
        <w:tabs>
          <w:tab w:val="left" w:pos="1080"/>
          <w:tab w:val="left" w:pos="1589"/>
          <w:tab w:val="left" w:pos="1873"/>
          <w:tab w:val="left" w:pos="2014"/>
        </w:tabs>
        <w:spacing w:line="360" w:lineRule="auto"/>
        <w:ind w:left="1080" w:hanging="720"/>
        <w:rPr>
          <w:color w:val="auto"/>
          <w:sz w:val="24"/>
          <w:highlight w:val="none"/>
        </w:rPr>
      </w:pPr>
      <w:r>
        <w:rPr>
          <w:color w:val="auto"/>
          <w:sz w:val="24"/>
          <w:highlight w:val="none"/>
        </w:rPr>
        <w:t>投标人不能提供任何有选择性或可调整的报价，否则其</w:t>
      </w:r>
      <w:r>
        <w:rPr>
          <w:b/>
          <w:color w:val="auto"/>
          <w:sz w:val="24"/>
          <w:highlight w:val="none"/>
        </w:rPr>
        <w:t>投标无效</w:t>
      </w:r>
      <w:r>
        <w:rPr>
          <w:color w:val="auto"/>
          <w:sz w:val="24"/>
          <w:highlight w:val="none"/>
        </w:rPr>
        <w:t>。</w:t>
      </w:r>
    </w:p>
    <w:p w14:paraId="66C864DB">
      <w:pPr>
        <w:numPr>
          <w:ilvl w:val="0"/>
          <w:numId w:val="10"/>
        </w:numPr>
        <w:tabs>
          <w:tab w:val="left" w:pos="360"/>
          <w:tab w:val="left" w:pos="900"/>
        </w:tabs>
        <w:spacing w:line="360" w:lineRule="auto"/>
        <w:ind w:left="357" w:hanging="357"/>
        <w:outlineLvl w:val="1"/>
        <w:rPr>
          <w:color w:val="auto"/>
          <w:sz w:val="24"/>
          <w:highlight w:val="none"/>
        </w:rPr>
      </w:pPr>
      <w:bookmarkStart w:id="316" w:name="_Toc164351625"/>
      <w:bookmarkStart w:id="317" w:name="_Toc151193701"/>
      <w:bookmarkStart w:id="318" w:name="_Toc151193773"/>
      <w:bookmarkStart w:id="319" w:name="_Toc151193919"/>
      <w:bookmarkStart w:id="320" w:name="_Toc127151531"/>
      <w:bookmarkStart w:id="321" w:name="_Toc151193845"/>
      <w:bookmarkStart w:id="322" w:name="_Toc150774736"/>
      <w:bookmarkStart w:id="323" w:name="_Toc142311033"/>
      <w:bookmarkStart w:id="324" w:name="_Toc150480769"/>
      <w:bookmarkStart w:id="325" w:name="_Toc149720824"/>
      <w:bookmarkStart w:id="326" w:name="_Toc164229226"/>
      <w:bookmarkStart w:id="327" w:name="_Toc164608645"/>
      <w:bookmarkStart w:id="328" w:name="_Toc305158799"/>
      <w:bookmarkStart w:id="329" w:name="_Toc226337227"/>
      <w:bookmarkStart w:id="330" w:name="_Toc520356156"/>
      <w:bookmarkStart w:id="331" w:name="_Toc164229372"/>
      <w:bookmarkStart w:id="332" w:name="_Ref467306513"/>
      <w:bookmarkStart w:id="333" w:name="_Toc127151732"/>
      <w:bookmarkStart w:id="334" w:name="_Toc127161445"/>
      <w:bookmarkStart w:id="335" w:name="_Toc151193629"/>
      <w:bookmarkStart w:id="336" w:name="_Toc150509282"/>
      <w:bookmarkStart w:id="337" w:name="_Toc264969221"/>
      <w:bookmarkStart w:id="338" w:name="_Toc151190158"/>
      <w:bookmarkStart w:id="339" w:name="_Toc226965804"/>
      <w:bookmarkStart w:id="340" w:name="_Toc150774631"/>
      <w:bookmarkStart w:id="341" w:name="_Toc164608800"/>
      <w:bookmarkStart w:id="342" w:name="_Toc265228369"/>
      <w:bookmarkStart w:id="343" w:name="_Toc305158873"/>
      <w:bookmarkStart w:id="344" w:name="_Toc195842896"/>
      <w:bookmarkStart w:id="345" w:name="_Toc226309775"/>
      <w:bookmarkStart w:id="346" w:name="_Toc226965721"/>
      <w:r>
        <w:rPr>
          <w:color w:val="auto"/>
          <w:sz w:val="24"/>
          <w:highlight w:val="none"/>
        </w:rPr>
        <w:t>投标保证金</w:t>
      </w:r>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r>
        <w:rPr>
          <w:rFonts w:hint="eastAsia"/>
          <w:color w:val="auto"/>
          <w:sz w:val="24"/>
          <w:highlight w:val="none"/>
        </w:rPr>
        <w:t xml:space="preserve"> </w:t>
      </w:r>
    </w:p>
    <w:p w14:paraId="2AA02E97">
      <w:pPr>
        <w:numPr>
          <w:ilvl w:val="1"/>
          <w:numId w:val="10"/>
        </w:numPr>
        <w:tabs>
          <w:tab w:val="left" w:pos="1080"/>
          <w:tab w:val="left" w:pos="1589"/>
          <w:tab w:val="left" w:pos="1873"/>
          <w:tab w:val="left" w:pos="2014"/>
        </w:tabs>
        <w:spacing w:line="360" w:lineRule="auto"/>
        <w:ind w:left="1077" w:hanging="720"/>
        <w:rPr>
          <w:color w:val="auto"/>
          <w:sz w:val="24"/>
          <w:highlight w:val="none"/>
        </w:rPr>
      </w:pPr>
      <w:r>
        <w:rPr>
          <w:rFonts w:hint="eastAsia"/>
          <w:color w:val="auto"/>
          <w:sz w:val="24"/>
          <w:highlight w:val="none"/>
        </w:rPr>
        <w:t>根据江苏省和常州市的相关文件规定，免收投标保证金。</w:t>
      </w:r>
    </w:p>
    <w:p w14:paraId="1F973BFF">
      <w:pPr>
        <w:numPr>
          <w:ilvl w:val="0"/>
          <w:numId w:val="10"/>
        </w:numPr>
        <w:tabs>
          <w:tab w:val="left" w:pos="360"/>
          <w:tab w:val="left" w:pos="900"/>
        </w:tabs>
        <w:spacing w:line="360" w:lineRule="auto"/>
        <w:ind w:left="357" w:hanging="357"/>
        <w:outlineLvl w:val="1"/>
        <w:rPr>
          <w:color w:val="auto"/>
          <w:sz w:val="24"/>
          <w:highlight w:val="none"/>
        </w:rPr>
      </w:pPr>
      <w:bookmarkStart w:id="347" w:name="_Toc127161446"/>
      <w:bookmarkStart w:id="348" w:name="_Toc151190159"/>
      <w:bookmarkStart w:id="349" w:name="_Toc150774632"/>
      <w:bookmarkStart w:id="350" w:name="_Toc226965722"/>
      <w:bookmarkStart w:id="351" w:name="_Toc164608646"/>
      <w:bookmarkStart w:id="352" w:name="_Toc151193774"/>
      <w:bookmarkStart w:id="353" w:name="_Toc151193630"/>
      <w:bookmarkStart w:id="354" w:name="_Toc150480770"/>
      <w:bookmarkStart w:id="355" w:name="_Toc150509283"/>
      <w:bookmarkStart w:id="356" w:name="_Toc265228370"/>
      <w:bookmarkStart w:id="357" w:name="_Toc226965805"/>
      <w:bookmarkStart w:id="358" w:name="_Toc195842897"/>
      <w:bookmarkStart w:id="359" w:name="_Toc151193702"/>
      <w:bookmarkStart w:id="360" w:name="_Toc164608801"/>
      <w:bookmarkStart w:id="361" w:name="_Toc149720825"/>
      <w:bookmarkStart w:id="362" w:name="_Toc142311034"/>
      <w:bookmarkStart w:id="363" w:name="_Toc164229373"/>
      <w:bookmarkStart w:id="364" w:name="_Toc151193920"/>
      <w:bookmarkStart w:id="365" w:name="_Toc127151532"/>
      <w:bookmarkStart w:id="366" w:name="_Toc151193846"/>
      <w:bookmarkStart w:id="367" w:name="_Toc150774737"/>
      <w:bookmarkStart w:id="368" w:name="_Toc164351626"/>
      <w:bookmarkStart w:id="369" w:name="_Toc264969222"/>
      <w:bookmarkStart w:id="370" w:name="_Toc164229227"/>
      <w:bookmarkStart w:id="371" w:name="_Toc226337228"/>
      <w:bookmarkStart w:id="372" w:name="_Toc226309776"/>
      <w:bookmarkStart w:id="373" w:name="_Toc127151733"/>
      <w:bookmarkStart w:id="374" w:name="_Toc520356157"/>
      <w:bookmarkStart w:id="375" w:name="_Toc305158800"/>
      <w:bookmarkStart w:id="376" w:name="_Toc305158874"/>
      <w:r>
        <w:rPr>
          <w:color w:val="auto"/>
          <w:sz w:val="24"/>
          <w:highlight w:val="none"/>
        </w:rPr>
        <w:t>投标有效期</w:t>
      </w:r>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p w14:paraId="4E2D98B9">
      <w:pPr>
        <w:numPr>
          <w:ilvl w:val="1"/>
          <w:numId w:val="10"/>
        </w:numPr>
        <w:tabs>
          <w:tab w:val="left" w:pos="1080"/>
          <w:tab w:val="left" w:pos="1589"/>
          <w:tab w:val="left" w:pos="1873"/>
          <w:tab w:val="left" w:pos="2014"/>
        </w:tabs>
        <w:spacing w:line="360" w:lineRule="auto"/>
        <w:ind w:left="1077" w:hanging="720"/>
        <w:rPr>
          <w:color w:val="auto"/>
          <w:sz w:val="24"/>
          <w:highlight w:val="none"/>
        </w:rPr>
      </w:pPr>
      <w:r>
        <w:rPr>
          <w:color w:val="auto"/>
          <w:sz w:val="24"/>
          <w:highlight w:val="none"/>
        </w:rPr>
        <w:t>投标</w:t>
      </w:r>
      <w:r>
        <w:rPr>
          <w:rFonts w:hint="eastAsia"/>
          <w:color w:val="auto"/>
          <w:sz w:val="24"/>
          <w:highlight w:val="none"/>
        </w:rPr>
        <w:t>文件</w:t>
      </w:r>
      <w:r>
        <w:rPr>
          <w:color w:val="auto"/>
          <w:sz w:val="24"/>
          <w:highlight w:val="none"/>
        </w:rPr>
        <w:t>应在本招标文件《投标人须知资料表》中规定的投标有效期内保持有效，投标有效期少于招标文件规定期限的，其</w:t>
      </w:r>
      <w:r>
        <w:rPr>
          <w:b/>
          <w:color w:val="auto"/>
          <w:sz w:val="24"/>
          <w:highlight w:val="none"/>
        </w:rPr>
        <w:t>投标无效</w:t>
      </w:r>
      <w:r>
        <w:rPr>
          <w:color w:val="auto"/>
          <w:sz w:val="24"/>
          <w:highlight w:val="none"/>
        </w:rPr>
        <w:t>。</w:t>
      </w:r>
    </w:p>
    <w:p w14:paraId="2D0C9D0F">
      <w:pPr>
        <w:numPr>
          <w:ilvl w:val="0"/>
          <w:numId w:val="10"/>
        </w:numPr>
        <w:tabs>
          <w:tab w:val="left" w:pos="360"/>
          <w:tab w:val="left" w:pos="900"/>
        </w:tabs>
        <w:spacing w:line="360" w:lineRule="auto"/>
        <w:ind w:left="357" w:hanging="357"/>
        <w:outlineLvl w:val="1"/>
        <w:rPr>
          <w:color w:val="auto"/>
          <w:sz w:val="24"/>
          <w:highlight w:val="none"/>
        </w:rPr>
      </w:pPr>
      <w:bookmarkStart w:id="377" w:name="_Toc226965806"/>
      <w:bookmarkStart w:id="378" w:name="_Toc164229228"/>
      <w:bookmarkStart w:id="379" w:name="_Toc164608802"/>
      <w:bookmarkStart w:id="380" w:name="_Toc164351627"/>
      <w:bookmarkStart w:id="381" w:name="_Toc164608647"/>
      <w:bookmarkStart w:id="382" w:name="_Toc305158875"/>
      <w:bookmarkStart w:id="383" w:name="_Toc150774633"/>
      <w:bookmarkStart w:id="384" w:name="_Toc305158801"/>
      <w:bookmarkStart w:id="385" w:name="_Toc164229374"/>
      <w:bookmarkStart w:id="386" w:name="_Toc151193775"/>
      <w:bookmarkStart w:id="387" w:name="_Toc151193631"/>
      <w:bookmarkStart w:id="388" w:name="_Toc195842898"/>
      <w:bookmarkStart w:id="389" w:name="_Toc127151533"/>
      <w:bookmarkStart w:id="390" w:name="_Toc151193847"/>
      <w:bookmarkStart w:id="391" w:name="_Toc264969223"/>
      <w:bookmarkStart w:id="392" w:name="_Toc226965723"/>
      <w:bookmarkStart w:id="393" w:name="_Toc226337229"/>
      <w:bookmarkStart w:id="394" w:name="_Toc226309777"/>
      <w:bookmarkStart w:id="395" w:name="_Toc150509284"/>
      <w:bookmarkStart w:id="396" w:name="_Toc265228371"/>
      <w:bookmarkStart w:id="397" w:name="_Toc151193921"/>
      <w:bookmarkStart w:id="398" w:name="_Toc520356158"/>
      <w:bookmarkStart w:id="399" w:name="_Toc150480771"/>
      <w:bookmarkStart w:id="400" w:name="_Toc127151734"/>
      <w:bookmarkStart w:id="401" w:name="_Toc150774738"/>
      <w:bookmarkStart w:id="402" w:name="_Toc142311035"/>
      <w:bookmarkStart w:id="403" w:name="_Toc149720826"/>
      <w:bookmarkStart w:id="404" w:name="_Toc127161447"/>
      <w:bookmarkStart w:id="405" w:name="_Toc151190160"/>
      <w:bookmarkStart w:id="406" w:name="_Toc151193703"/>
      <w:r>
        <w:rPr>
          <w:color w:val="auto"/>
          <w:sz w:val="24"/>
          <w:highlight w:val="none"/>
        </w:rPr>
        <w:t>投标文件的签署</w:t>
      </w:r>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r>
        <w:rPr>
          <w:color w:val="auto"/>
          <w:sz w:val="24"/>
          <w:highlight w:val="none"/>
        </w:rPr>
        <w:t>、加盖公章</w:t>
      </w:r>
    </w:p>
    <w:p w14:paraId="1F18E1D1">
      <w:pPr>
        <w:numPr>
          <w:ilvl w:val="1"/>
          <w:numId w:val="10"/>
        </w:numPr>
        <w:tabs>
          <w:tab w:val="left" w:pos="1080"/>
          <w:tab w:val="left" w:pos="1589"/>
          <w:tab w:val="left" w:pos="1873"/>
          <w:tab w:val="left" w:pos="2014"/>
        </w:tabs>
        <w:spacing w:line="360" w:lineRule="auto"/>
        <w:ind w:left="1077" w:hanging="720"/>
        <w:rPr>
          <w:color w:val="auto"/>
          <w:sz w:val="24"/>
          <w:highlight w:val="none"/>
        </w:rPr>
      </w:pPr>
      <w:bookmarkStart w:id="407" w:name="_Toc226965724"/>
      <w:bookmarkStart w:id="408" w:name="_Toc151193632"/>
      <w:bookmarkStart w:id="409" w:name="_Toc195842899"/>
      <w:bookmarkStart w:id="410" w:name="_Toc520356159"/>
      <w:bookmarkStart w:id="411" w:name="_Toc226337230"/>
      <w:bookmarkStart w:id="412" w:name="_Toc151193704"/>
      <w:bookmarkStart w:id="413" w:name="_Toc264969224"/>
      <w:bookmarkStart w:id="414" w:name="_Toc151193848"/>
      <w:bookmarkStart w:id="415" w:name="_Toc150774739"/>
      <w:bookmarkStart w:id="416" w:name="_Toc151190161"/>
      <w:bookmarkStart w:id="417" w:name="_Toc151193776"/>
      <w:bookmarkStart w:id="418" w:name="_Toc142311036"/>
      <w:bookmarkStart w:id="419" w:name="_Toc127151534"/>
      <w:bookmarkStart w:id="420" w:name="_Toc151193922"/>
      <w:bookmarkStart w:id="421" w:name="_Toc305158876"/>
      <w:bookmarkStart w:id="422" w:name="_Toc226309778"/>
      <w:bookmarkStart w:id="423" w:name="_Toc305158802"/>
      <w:bookmarkStart w:id="424" w:name="_Toc226965807"/>
      <w:bookmarkStart w:id="425" w:name="_Toc150774634"/>
      <w:bookmarkStart w:id="426" w:name="_Toc150480772"/>
      <w:bookmarkStart w:id="427" w:name="_Toc150509285"/>
      <w:bookmarkStart w:id="428" w:name="_Toc265228372"/>
      <w:r>
        <w:rPr>
          <w:color w:val="auto"/>
          <w:sz w:val="24"/>
          <w:highlight w:val="none"/>
        </w:rPr>
        <w:t>招标文件要求加盖公章的内容，须按规定</w:t>
      </w:r>
      <w:r>
        <w:rPr>
          <w:rFonts w:hint="eastAsia" w:ascii="宋体" w:hAnsi="宋体" w:cs="宋体"/>
          <w:color w:val="auto"/>
          <w:sz w:val="24"/>
          <w:highlight w:val="none"/>
        </w:rPr>
        <w:t>加盖投标人公章；</w:t>
      </w:r>
    </w:p>
    <w:p w14:paraId="69F07A39">
      <w:pPr>
        <w:tabs>
          <w:tab w:val="left" w:pos="900"/>
          <w:tab w:val="left" w:pos="1080"/>
        </w:tabs>
        <w:spacing w:line="360" w:lineRule="auto"/>
        <w:ind w:left="357"/>
        <w:rPr>
          <w:color w:val="auto"/>
          <w:highlight w:val="none"/>
        </w:rPr>
      </w:pPr>
    </w:p>
    <w:p w14:paraId="42AC6274">
      <w:pPr>
        <w:pStyle w:val="194"/>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四   投标文件的提交</w:t>
      </w:r>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p>
    <w:p w14:paraId="0E740C2B">
      <w:pPr>
        <w:numPr>
          <w:ilvl w:val="0"/>
          <w:numId w:val="10"/>
        </w:numPr>
        <w:tabs>
          <w:tab w:val="left" w:pos="360"/>
        </w:tabs>
        <w:spacing w:line="360" w:lineRule="auto"/>
        <w:ind w:left="357" w:hanging="357"/>
        <w:outlineLvl w:val="1"/>
        <w:rPr>
          <w:color w:val="auto"/>
          <w:sz w:val="24"/>
          <w:highlight w:val="none"/>
        </w:rPr>
      </w:pPr>
      <w:bookmarkStart w:id="429" w:name="_Toc226965725"/>
      <w:bookmarkStart w:id="430" w:name="_Toc150509286"/>
      <w:bookmarkStart w:id="431" w:name="_Toc226337231"/>
      <w:bookmarkStart w:id="432" w:name="_Toc226965808"/>
      <w:bookmarkStart w:id="433" w:name="_Toc127151736"/>
      <w:bookmarkStart w:id="434" w:name="_Toc264969225"/>
      <w:bookmarkStart w:id="435" w:name="_Toc164608649"/>
      <w:bookmarkStart w:id="436" w:name="_Toc151193633"/>
      <w:bookmarkStart w:id="437" w:name="_Toc164229376"/>
      <w:bookmarkStart w:id="438" w:name="_Toc226309779"/>
      <w:bookmarkStart w:id="439" w:name="_Toc164608804"/>
      <w:bookmarkStart w:id="440" w:name="_Toc150480773"/>
      <w:bookmarkStart w:id="441" w:name="_Toc151193923"/>
      <w:bookmarkStart w:id="442" w:name="_Toc151190162"/>
      <w:bookmarkStart w:id="443" w:name="_Toc305158803"/>
      <w:bookmarkStart w:id="444" w:name="_Toc151193777"/>
      <w:bookmarkStart w:id="445" w:name="_Toc265228373"/>
      <w:bookmarkStart w:id="446" w:name="_Toc305158877"/>
      <w:bookmarkStart w:id="447" w:name="_Toc195842900"/>
      <w:bookmarkStart w:id="448" w:name="_Toc150774740"/>
      <w:bookmarkStart w:id="449" w:name="_Toc150774635"/>
      <w:bookmarkStart w:id="450" w:name="_Toc127161449"/>
      <w:bookmarkStart w:id="451" w:name="_Toc520356160"/>
      <w:bookmarkStart w:id="452" w:name="_Toc127151535"/>
      <w:bookmarkStart w:id="453" w:name="_Toc164229230"/>
      <w:bookmarkStart w:id="454" w:name="_Toc164351629"/>
      <w:bookmarkStart w:id="455" w:name="_Toc149720828"/>
      <w:bookmarkStart w:id="456" w:name="_Toc151193849"/>
      <w:bookmarkStart w:id="457" w:name="_Toc151193705"/>
      <w:bookmarkStart w:id="458" w:name="_Toc142311037"/>
      <w:r>
        <w:rPr>
          <w:color w:val="auto"/>
          <w:sz w:val="24"/>
          <w:highlight w:val="none"/>
        </w:rPr>
        <w:t>投标文件的</w:t>
      </w:r>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r>
        <w:rPr>
          <w:color w:val="auto"/>
          <w:sz w:val="24"/>
          <w:highlight w:val="none"/>
        </w:rPr>
        <w:t>提交</w:t>
      </w:r>
    </w:p>
    <w:p w14:paraId="015D25D4">
      <w:pPr>
        <w:numPr>
          <w:ilvl w:val="1"/>
          <w:numId w:val="10"/>
        </w:numPr>
        <w:tabs>
          <w:tab w:val="left" w:pos="1080"/>
          <w:tab w:val="left" w:pos="1873"/>
          <w:tab w:val="left" w:pos="2014"/>
        </w:tabs>
        <w:snapToGrid w:val="0"/>
        <w:spacing w:line="360" w:lineRule="auto"/>
        <w:ind w:left="1134" w:hanging="850"/>
        <w:rPr>
          <w:rFonts w:ascii="Calibri" w:hAnsi="Calibri"/>
          <w:color w:val="auto"/>
          <w:sz w:val="24"/>
          <w:highlight w:val="none"/>
        </w:rPr>
      </w:pPr>
      <w:bookmarkStart w:id="459" w:name="OLE_LINK42"/>
      <w:bookmarkStart w:id="460" w:name="_Toc150509287"/>
      <w:bookmarkStart w:id="461" w:name="_Toc150774741"/>
      <w:bookmarkStart w:id="462" w:name="_Toc264969226"/>
      <w:bookmarkStart w:id="463" w:name="_Toc164608805"/>
      <w:bookmarkStart w:id="464" w:name="_Toc305158804"/>
      <w:bookmarkStart w:id="465" w:name="_Toc150480774"/>
      <w:bookmarkStart w:id="466" w:name="_Toc127151536"/>
      <w:bookmarkStart w:id="467" w:name="_Toc150774636"/>
      <w:bookmarkStart w:id="468" w:name="_Toc520356161"/>
      <w:bookmarkStart w:id="469" w:name="_Toc149720829"/>
      <w:bookmarkStart w:id="470" w:name="_Toc226309780"/>
      <w:bookmarkStart w:id="471" w:name="_Toc142311038"/>
      <w:bookmarkStart w:id="472" w:name="_Toc226965726"/>
      <w:bookmarkStart w:id="473" w:name="_Toc151193924"/>
      <w:bookmarkStart w:id="474" w:name="_Toc226337232"/>
      <w:bookmarkStart w:id="475" w:name="_Toc127161450"/>
      <w:bookmarkStart w:id="476" w:name="_Toc305158878"/>
      <w:bookmarkStart w:id="477" w:name="_Toc151193850"/>
      <w:bookmarkStart w:id="478" w:name="_Toc164229231"/>
      <w:bookmarkStart w:id="479" w:name="_Toc151193634"/>
      <w:bookmarkStart w:id="480" w:name="_Toc164229377"/>
      <w:bookmarkStart w:id="481" w:name="_Toc151193778"/>
      <w:bookmarkStart w:id="482" w:name="_Toc151193706"/>
      <w:bookmarkStart w:id="483" w:name="_Toc127151737"/>
      <w:bookmarkStart w:id="484" w:name="_Toc164351630"/>
      <w:bookmarkStart w:id="485" w:name="_Toc151190163"/>
      <w:bookmarkStart w:id="486" w:name="_Toc195842901"/>
      <w:bookmarkStart w:id="487" w:name="_Toc164608650"/>
      <w:bookmarkStart w:id="488" w:name="_Toc265228374"/>
      <w:bookmarkStart w:id="489" w:name="_Toc226965809"/>
      <w:r>
        <w:rPr>
          <w:color w:val="auto"/>
          <w:sz w:val="24"/>
          <w:highlight w:val="none"/>
        </w:rPr>
        <w:t>本项目使用</w:t>
      </w:r>
      <w:r>
        <w:rPr>
          <w:color w:val="auto"/>
          <w:sz w:val="24"/>
          <w:highlight w:val="none"/>
          <w:lang w:bidi="ar"/>
        </w:rPr>
        <w:t>政府采购一体化平台“苏采云”</w:t>
      </w:r>
      <w:r>
        <w:rPr>
          <w:color w:val="auto"/>
          <w:sz w:val="24"/>
          <w:highlight w:val="none"/>
        </w:rPr>
        <w:t>。投标人根据招标文件及</w:t>
      </w:r>
      <w:r>
        <w:rPr>
          <w:color w:val="auto"/>
          <w:sz w:val="24"/>
          <w:highlight w:val="none"/>
          <w:lang w:bidi="ar"/>
        </w:rPr>
        <w:t>政府采购一体化平台“苏采云”</w:t>
      </w:r>
      <w:r>
        <w:rPr>
          <w:color w:val="auto"/>
          <w:sz w:val="24"/>
          <w:highlight w:val="none"/>
        </w:rPr>
        <w:t>供应商操作手册要求编制、生成并提交电子投标文件。</w:t>
      </w:r>
      <w:bookmarkEnd w:id="459"/>
    </w:p>
    <w:p w14:paraId="4470CD8F">
      <w:pPr>
        <w:numPr>
          <w:ilvl w:val="1"/>
          <w:numId w:val="10"/>
        </w:numPr>
        <w:tabs>
          <w:tab w:val="left" w:pos="1080"/>
          <w:tab w:val="left" w:pos="1873"/>
          <w:tab w:val="left" w:pos="2014"/>
        </w:tabs>
        <w:snapToGrid w:val="0"/>
        <w:spacing w:line="360" w:lineRule="auto"/>
        <w:ind w:left="1077" w:hanging="720"/>
        <w:rPr>
          <w:rFonts w:hint="eastAsia"/>
          <w:color w:val="auto"/>
          <w:sz w:val="24"/>
          <w:highlight w:val="none"/>
        </w:rPr>
      </w:pPr>
      <w:r>
        <w:rPr>
          <w:rFonts w:hint="eastAsia"/>
          <w:color w:val="auto"/>
          <w:sz w:val="24"/>
          <w:highlight w:val="none"/>
        </w:rPr>
        <w:t>招标人</w:t>
      </w:r>
      <w:r>
        <w:rPr>
          <w:color w:val="auto"/>
          <w:sz w:val="24"/>
          <w:highlight w:val="none"/>
        </w:rPr>
        <w:t>及</w:t>
      </w:r>
      <w:r>
        <w:rPr>
          <w:rFonts w:hint="eastAsia"/>
          <w:color w:val="auto"/>
          <w:sz w:val="24"/>
          <w:highlight w:val="none"/>
        </w:rPr>
        <w:t>采购代理机构</w:t>
      </w:r>
      <w:r>
        <w:rPr>
          <w:color w:val="auto"/>
          <w:sz w:val="24"/>
          <w:highlight w:val="none"/>
        </w:rPr>
        <w:t>拒绝接受通过政府采购一体化平台“苏采云”以外任何形式提交的投标文件。</w:t>
      </w:r>
    </w:p>
    <w:p w14:paraId="130A5D50">
      <w:pPr>
        <w:numPr>
          <w:ilvl w:val="1"/>
          <w:numId w:val="10"/>
        </w:numPr>
        <w:tabs>
          <w:tab w:val="left" w:pos="1080"/>
          <w:tab w:val="left" w:pos="1873"/>
          <w:tab w:val="left" w:pos="2014"/>
        </w:tabs>
        <w:snapToGrid w:val="0"/>
        <w:spacing w:line="360" w:lineRule="auto"/>
        <w:ind w:left="1077" w:hanging="720"/>
        <w:rPr>
          <w:color w:val="auto"/>
          <w:sz w:val="24"/>
          <w:highlight w:val="none"/>
        </w:rPr>
      </w:pPr>
      <w:bookmarkStart w:id="490" w:name="OLE_LINK49"/>
      <w:r>
        <w:rPr>
          <w:rFonts w:hint="eastAsia"/>
          <w:b/>
          <w:color w:val="auto"/>
          <w:sz w:val="24"/>
          <w:highlight w:val="none"/>
        </w:rPr>
        <w:t>中标后，中标人5个工作日内需提供投标文件共一式叁份，“正本”壹份、“副本”贰份送至代理机构。在每一份投标文件上要标明“正本”或“副本”字样，一旦正本和副本有差异，以正本为准，正本、副本应分别装订成册。</w:t>
      </w:r>
      <w:bookmarkEnd w:id="490"/>
    </w:p>
    <w:p w14:paraId="43365C99">
      <w:pPr>
        <w:numPr>
          <w:ilvl w:val="0"/>
          <w:numId w:val="10"/>
        </w:numPr>
        <w:tabs>
          <w:tab w:val="left" w:pos="360"/>
        </w:tabs>
        <w:spacing w:line="360" w:lineRule="auto"/>
        <w:ind w:left="357" w:hanging="357"/>
        <w:outlineLvl w:val="1"/>
        <w:rPr>
          <w:color w:val="auto"/>
          <w:sz w:val="24"/>
          <w:highlight w:val="none"/>
        </w:rPr>
      </w:pPr>
      <w:r>
        <w:rPr>
          <w:color w:val="auto"/>
          <w:sz w:val="24"/>
          <w:highlight w:val="none"/>
        </w:rPr>
        <w:t>投标截止</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r>
        <w:rPr>
          <w:color w:val="auto"/>
          <w:sz w:val="24"/>
          <w:highlight w:val="none"/>
        </w:rPr>
        <w:t>时间</w:t>
      </w:r>
    </w:p>
    <w:p w14:paraId="4EF46D93">
      <w:pPr>
        <w:numPr>
          <w:ilvl w:val="1"/>
          <w:numId w:val="10"/>
        </w:numPr>
        <w:tabs>
          <w:tab w:val="left" w:pos="1080"/>
          <w:tab w:val="left" w:pos="1873"/>
          <w:tab w:val="left" w:pos="2014"/>
        </w:tabs>
        <w:spacing w:line="360" w:lineRule="auto"/>
        <w:ind w:left="1077" w:hanging="720"/>
        <w:rPr>
          <w:color w:val="auto"/>
          <w:sz w:val="24"/>
          <w:highlight w:val="none"/>
        </w:rPr>
      </w:pPr>
      <w:r>
        <w:rPr>
          <w:color w:val="auto"/>
          <w:sz w:val="24"/>
          <w:highlight w:val="none"/>
        </w:rPr>
        <w:t>投标人应在招标文件要求提交投标文件截止时间前，将电子投标文件提交至”苏采云”政府采购一体化平台。</w:t>
      </w:r>
    </w:p>
    <w:p w14:paraId="2070B5CF">
      <w:pPr>
        <w:numPr>
          <w:ilvl w:val="0"/>
          <w:numId w:val="10"/>
        </w:numPr>
        <w:tabs>
          <w:tab w:val="left" w:pos="360"/>
        </w:tabs>
        <w:spacing w:line="360" w:lineRule="auto"/>
        <w:ind w:left="357" w:hanging="357"/>
        <w:outlineLvl w:val="1"/>
        <w:rPr>
          <w:color w:val="auto"/>
          <w:sz w:val="24"/>
          <w:highlight w:val="none"/>
        </w:rPr>
      </w:pPr>
      <w:bookmarkStart w:id="491" w:name="_Toc226337233"/>
      <w:bookmarkStart w:id="492" w:name="_Toc226309781"/>
      <w:bookmarkStart w:id="493" w:name="_Toc127151738"/>
      <w:bookmarkStart w:id="494" w:name="_Toc127151537"/>
      <w:bookmarkStart w:id="495" w:name="_Toc151193779"/>
      <w:bookmarkStart w:id="496" w:name="_Toc149720830"/>
      <w:bookmarkStart w:id="497" w:name="_Toc520356162"/>
      <w:bookmarkStart w:id="498" w:name="_Toc164351631"/>
      <w:bookmarkStart w:id="499" w:name="_Toc151190164"/>
      <w:bookmarkStart w:id="500" w:name="_Toc264969227"/>
      <w:bookmarkStart w:id="501" w:name="_Toc164608806"/>
      <w:bookmarkStart w:id="502" w:name="_Toc226965810"/>
      <w:bookmarkStart w:id="503" w:name="_Toc151193851"/>
      <w:bookmarkStart w:id="504" w:name="_Toc305158805"/>
      <w:bookmarkStart w:id="505" w:name="_Toc142311039"/>
      <w:bookmarkStart w:id="506" w:name="_Toc150480775"/>
      <w:bookmarkStart w:id="507" w:name="_Toc150774637"/>
      <w:bookmarkStart w:id="508" w:name="_Toc195842902"/>
      <w:bookmarkStart w:id="509" w:name="_Toc164608651"/>
      <w:bookmarkStart w:id="510" w:name="_Toc164229232"/>
      <w:bookmarkStart w:id="511" w:name="_Toc127161451"/>
      <w:bookmarkStart w:id="512" w:name="_Toc150774742"/>
      <w:bookmarkStart w:id="513" w:name="_Toc151193707"/>
      <w:bookmarkStart w:id="514" w:name="_Toc151193925"/>
      <w:bookmarkStart w:id="515" w:name="_Toc226965727"/>
      <w:bookmarkStart w:id="516" w:name="_Toc150509288"/>
      <w:bookmarkStart w:id="517" w:name="_Toc265228375"/>
      <w:bookmarkStart w:id="518" w:name="_Toc305158879"/>
      <w:bookmarkStart w:id="519" w:name="_Toc164229378"/>
      <w:bookmarkStart w:id="520" w:name="_Toc151193635"/>
      <w:r>
        <w:rPr>
          <w:color w:val="auto"/>
          <w:sz w:val="24"/>
          <w:highlight w:val="none"/>
        </w:rPr>
        <w:t>投标文件的修改与撤回</w:t>
      </w:r>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p>
    <w:p w14:paraId="74C1EBC6">
      <w:pPr>
        <w:numPr>
          <w:ilvl w:val="1"/>
          <w:numId w:val="10"/>
        </w:numPr>
        <w:tabs>
          <w:tab w:val="left" w:pos="1080"/>
          <w:tab w:val="left" w:pos="1873"/>
          <w:tab w:val="left" w:pos="2014"/>
        </w:tabs>
        <w:spacing w:line="360" w:lineRule="auto"/>
        <w:ind w:left="1077" w:hanging="720"/>
        <w:rPr>
          <w:color w:val="auto"/>
          <w:sz w:val="24"/>
          <w:highlight w:val="none"/>
        </w:rPr>
      </w:pPr>
      <w:r>
        <w:rPr>
          <w:color w:val="auto"/>
          <w:sz w:val="24"/>
          <w:highlight w:val="none"/>
        </w:rPr>
        <w:t>投标截止时间前，投标人可以通过”苏采云”政府采购一体化平台对所提交的投标文件进行补充、修改或者撤回。</w:t>
      </w:r>
    </w:p>
    <w:p w14:paraId="6D4088F0">
      <w:pPr>
        <w:numPr>
          <w:ilvl w:val="1"/>
          <w:numId w:val="10"/>
        </w:numPr>
        <w:tabs>
          <w:tab w:val="left" w:pos="1080"/>
          <w:tab w:val="left" w:pos="1873"/>
          <w:tab w:val="left" w:pos="2014"/>
        </w:tabs>
        <w:spacing w:line="360" w:lineRule="auto"/>
        <w:ind w:left="1077" w:hanging="720"/>
        <w:rPr>
          <w:color w:val="auto"/>
          <w:sz w:val="24"/>
          <w:highlight w:val="none"/>
        </w:rPr>
      </w:pPr>
      <w:r>
        <w:rPr>
          <w:color w:val="auto"/>
          <w:sz w:val="24"/>
          <w:highlight w:val="none"/>
        </w:rPr>
        <w:t>投标人对投标文件的补充、修改的内容应当按照招标文件要求签署、加盖公章，作为投标文件的组成部分。</w:t>
      </w:r>
    </w:p>
    <w:p w14:paraId="2A2FB418">
      <w:pPr>
        <w:spacing w:line="360" w:lineRule="auto"/>
        <w:rPr>
          <w:color w:val="auto"/>
          <w:sz w:val="24"/>
          <w:highlight w:val="none"/>
        </w:rPr>
      </w:pPr>
    </w:p>
    <w:p w14:paraId="0BB04758">
      <w:pPr>
        <w:pStyle w:val="194"/>
        <w:spacing w:before="0" w:line="360" w:lineRule="auto"/>
        <w:rPr>
          <w:rFonts w:ascii="Times New Roman" w:hAnsi="Times New Roman" w:eastAsia="宋体"/>
          <w:color w:val="auto"/>
          <w:sz w:val="28"/>
          <w:highlight w:val="none"/>
        </w:rPr>
      </w:pPr>
      <w:bookmarkStart w:id="521" w:name="_Toc305158806"/>
      <w:bookmarkStart w:id="522" w:name="_Toc151193708"/>
      <w:bookmarkStart w:id="523" w:name="_Toc150509289"/>
      <w:bookmarkStart w:id="524" w:name="_Toc150774638"/>
      <w:bookmarkStart w:id="525" w:name="_Toc151190165"/>
      <w:bookmarkStart w:id="526" w:name="_Toc226965811"/>
      <w:bookmarkStart w:id="527" w:name="_Toc151193780"/>
      <w:bookmarkStart w:id="528" w:name="_Toc226337234"/>
      <w:bookmarkStart w:id="529" w:name="_Toc150480776"/>
      <w:bookmarkStart w:id="530" w:name="_Toc151193926"/>
      <w:bookmarkStart w:id="531" w:name="_Toc150774743"/>
      <w:bookmarkStart w:id="532" w:name="_Toc226309782"/>
      <w:bookmarkStart w:id="533" w:name="_Toc127151538"/>
      <w:bookmarkStart w:id="534" w:name="_Toc265228376"/>
      <w:bookmarkStart w:id="535" w:name="_Toc226965728"/>
      <w:bookmarkStart w:id="536" w:name="_Toc142311040"/>
      <w:bookmarkStart w:id="537" w:name="_Toc264969228"/>
      <w:bookmarkStart w:id="538" w:name="_Toc305158880"/>
      <w:bookmarkStart w:id="539" w:name="_Toc151193636"/>
      <w:bookmarkStart w:id="540" w:name="_Toc195842903"/>
      <w:bookmarkStart w:id="541" w:name="_Toc520356163"/>
      <w:bookmarkStart w:id="542" w:name="_Toc151193852"/>
      <w:r>
        <w:rPr>
          <w:rFonts w:ascii="Times New Roman" w:hAnsi="Times New Roman" w:eastAsia="宋体"/>
          <w:color w:val="auto"/>
          <w:sz w:val="28"/>
          <w:highlight w:val="none"/>
        </w:rPr>
        <w:t>五   开标、资格审查及评标</w:t>
      </w:r>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p w14:paraId="2CE0791B">
      <w:pPr>
        <w:numPr>
          <w:ilvl w:val="0"/>
          <w:numId w:val="10"/>
        </w:numPr>
        <w:tabs>
          <w:tab w:val="left" w:pos="360"/>
          <w:tab w:val="left" w:pos="900"/>
        </w:tabs>
        <w:snapToGrid w:val="0"/>
        <w:spacing w:line="360" w:lineRule="auto"/>
        <w:ind w:left="357" w:hanging="357"/>
        <w:outlineLvl w:val="1"/>
        <w:rPr>
          <w:rFonts w:hint="eastAsia"/>
          <w:color w:val="auto"/>
          <w:sz w:val="24"/>
          <w:highlight w:val="none"/>
        </w:rPr>
      </w:pPr>
      <w:bookmarkStart w:id="543" w:name="_Toc164351633"/>
      <w:bookmarkStart w:id="544" w:name="_Toc226965729"/>
      <w:bookmarkStart w:id="545" w:name="_Toc142311041"/>
      <w:bookmarkStart w:id="546" w:name="_Toc127151539"/>
      <w:bookmarkStart w:id="547" w:name="_Toc127151740"/>
      <w:bookmarkStart w:id="548" w:name="_Toc151193709"/>
      <w:bookmarkStart w:id="549" w:name="_Toc226337235"/>
      <w:bookmarkStart w:id="550" w:name="_Toc150774639"/>
      <w:bookmarkStart w:id="551" w:name="_Toc226309783"/>
      <w:bookmarkStart w:id="552" w:name="_Toc151190166"/>
      <w:bookmarkStart w:id="553" w:name="_Toc195842904"/>
      <w:bookmarkStart w:id="554" w:name="_Toc520356164"/>
      <w:bookmarkStart w:id="555" w:name="_Toc264969229"/>
      <w:bookmarkStart w:id="556" w:name="_Toc151193637"/>
      <w:bookmarkStart w:id="557" w:name="_Toc305158881"/>
      <w:bookmarkStart w:id="558" w:name="_Toc151193853"/>
      <w:bookmarkStart w:id="559" w:name="_Toc149720832"/>
      <w:bookmarkStart w:id="560" w:name="_Toc164229380"/>
      <w:bookmarkStart w:id="561" w:name="_Toc265228377"/>
      <w:bookmarkStart w:id="562" w:name="_Toc151193781"/>
      <w:bookmarkStart w:id="563" w:name="_Toc127161453"/>
      <w:bookmarkStart w:id="564" w:name="_Toc150774744"/>
      <w:bookmarkStart w:id="565" w:name="_Toc150480777"/>
      <w:bookmarkStart w:id="566" w:name="_Toc164608653"/>
      <w:bookmarkStart w:id="567" w:name="_Toc305158807"/>
      <w:bookmarkStart w:id="568" w:name="_Toc226965812"/>
      <w:bookmarkStart w:id="569" w:name="_Toc150509290"/>
      <w:bookmarkStart w:id="570" w:name="_Toc164229234"/>
      <w:bookmarkStart w:id="571" w:name="_Toc164608808"/>
      <w:bookmarkStart w:id="572" w:name="_Toc151193927"/>
      <w:bookmarkStart w:id="573" w:name="_Toc520356165"/>
      <w:r>
        <w:rPr>
          <w:color w:val="auto"/>
          <w:sz w:val="24"/>
          <w:highlight w:val="none"/>
        </w:rPr>
        <w:t>开标</w:t>
      </w:r>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14:paraId="32E8FC40">
      <w:pPr>
        <w:numPr>
          <w:ilvl w:val="1"/>
          <w:numId w:val="10"/>
        </w:numPr>
        <w:tabs>
          <w:tab w:val="left" w:pos="1080"/>
          <w:tab w:val="left" w:pos="1589"/>
          <w:tab w:val="left" w:pos="1873"/>
          <w:tab w:val="left" w:pos="2014"/>
        </w:tabs>
        <w:snapToGrid w:val="0"/>
        <w:spacing w:line="360" w:lineRule="auto"/>
        <w:ind w:left="1077" w:hanging="793"/>
        <w:rPr>
          <w:rFonts w:hint="eastAsia"/>
          <w:color w:val="auto"/>
          <w:sz w:val="24"/>
          <w:highlight w:val="none"/>
        </w:rPr>
      </w:pPr>
      <w:r>
        <w:rPr>
          <w:rFonts w:hint="eastAsia"/>
          <w:color w:val="auto"/>
          <w:sz w:val="24"/>
          <w:highlight w:val="none"/>
        </w:rPr>
        <w:t>招标人</w:t>
      </w:r>
      <w:r>
        <w:rPr>
          <w:color w:val="auto"/>
          <w:sz w:val="24"/>
          <w:highlight w:val="none"/>
        </w:rPr>
        <w:t>或采购代理机构将按招标文件的规定，在投标截止时间的同一时间和招标文件预先确定的地点组织开标。</w:t>
      </w:r>
    </w:p>
    <w:p w14:paraId="5B6EF61A">
      <w:pPr>
        <w:numPr>
          <w:ilvl w:val="1"/>
          <w:numId w:val="10"/>
        </w:numPr>
        <w:tabs>
          <w:tab w:val="left" w:pos="284"/>
          <w:tab w:val="left" w:pos="426"/>
          <w:tab w:val="left" w:pos="1080"/>
          <w:tab w:val="left" w:pos="1873"/>
          <w:tab w:val="left" w:pos="2014"/>
        </w:tabs>
        <w:snapToGrid w:val="0"/>
        <w:spacing w:line="360" w:lineRule="auto"/>
        <w:ind w:left="1134" w:hanging="850"/>
        <w:rPr>
          <w:rFonts w:hint="eastAsia"/>
          <w:color w:val="auto"/>
          <w:sz w:val="24"/>
          <w:highlight w:val="none"/>
        </w:rPr>
      </w:pPr>
      <w:r>
        <w:rPr>
          <w:color w:val="auto"/>
          <w:sz w:val="24"/>
          <w:highlight w:val="none"/>
        </w:rPr>
        <w:t>本项目开标</w:t>
      </w:r>
      <w:r>
        <w:rPr>
          <w:rFonts w:ascii="宋体" w:hAnsi="宋体"/>
          <w:color w:val="auto"/>
          <w:sz w:val="24"/>
          <w:highlight w:val="none"/>
        </w:rPr>
        <w:t>采用不见面招投标模式</w:t>
      </w:r>
      <w:r>
        <w:rPr>
          <w:rFonts w:hint="eastAsia" w:ascii="宋体" w:hAnsi="宋体"/>
          <w:color w:val="auto"/>
          <w:sz w:val="24"/>
          <w:highlight w:val="none"/>
        </w:rPr>
        <w:t>，</w:t>
      </w:r>
      <w:r>
        <w:rPr>
          <w:color w:val="auto"/>
          <w:sz w:val="24"/>
          <w:highlight w:val="none"/>
        </w:rPr>
        <w:t>使用</w:t>
      </w:r>
      <w:r>
        <w:rPr>
          <w:rFonts w:hint="eastAsia"/>
          <w:color w:val="auto"/>
          <w:sz w:val="24"/>
          <w:highlight w:val="none"/>
        </w:rPr>
        <w:t>“苏采云”政府采购一体化平台在线进行开标</w:t>
      </w:r>
      <w:r>
        <w:rPr>
          <w:color w:val="auto"/>
          <w:sz w:val="24"/>
          <w:highlight w:val="none"/>
        </w:rPr>
        <w:t>。投标人应在规定的时间内对投标文件进行解密，因非系统原因导致的解密失败，视为</w:t>
      </w:r>
      <w:r>
        <w:rPr>
          <w:b/>
          <w:color w:val="auto"/>
          <w:sz w:val="24"/>
          <w:highlight w:val="none"/>
        </w:rPr>
        <w:t>投标无效</w:t>
      </w:r>
      <w:r>
        <w:rPr>
          <w:color w:val="auto"/>
          <w:sz w:val="24"/>
          <w:highlight w:val="none"/>
        </w:rPr>
        <w:t>。</w:t>
      </w:r>
    </w:p>
    <w:p w14:paraId="26E4AFAA">
      <w:pPr>
        <w:numPr>
          <w:ilvl w:val="1"/>
          <w:numId w:val="10"/>
        </w:numPr>
        <w:tabs>
          <w:tab w:val="left" w:pos="1080"/>
          <w:tab w:val="left" w:pos="1134"/>
          <w:tab w:val="left" w:pos="1873"/>
          <w:tab w:val="left" w:pos="2014"/>
        </w:tabs>
        <w:snapToGrid w:val="0"/>
        <w:spacing w:line="360" w:lineRule="auto"/>
        <w:ind w:left="1134" w:hanging="850"/>
        <w:rPr>
          <w:rFonts w:hint="eastAsia"/>
          <w:color w:val="auto"/>
          <w:sz w:val="24"/>
          <w:highlight w:val="none"/>
        </w:rPr>
      </w:pPr>
      <w:r>
        <w:rPr>
          <w:color w:val="auto"/>
          <w:sz w:val="24"/>
          <w:highlight w:val="none"/>
        </w:rPr>
        <w:t>开标过程将使用</w:t>
      </w:r>
      <w:r>
        <w:rPr>
          <w:rFonts w:hint="eastAsia"/>
          <w:color w:val="auto"/>
          <w:sz w:val="24"/>
          <w:highlight w:val="none"/>
        </w:rPr>
        <w:t>“苏采云”政府采购一体化平台公</w:t>
      </w:r>
      <w:r>
        <w:rPr>
          <w:color w:val="auto"/>
          <w:sz w:val="24"/>
          <w:highlight w:val="none"/>
        </w:rPr>
        <w:t>布投标人名称、投标价格和招标文件规定的需要宣布的其他内容并进行记录，并由参加开标的各投标人代表</w:t>
      </w:r>
      <w:r>
        <w:rPr>
          <w:rFonts w:hint="eastAsia"/>
          <w:color w:val="auto"/>
          <w:sz w:val="24"/>
          <w:highlight w:val="none"/>
        </w:rPr>
        <w:t>在规定时间内</w:t>
      </w:r>
      <w:r>
        <w:rPr>
          <w:color w:val="auto"/>
          <w:sz w:val="24"/>
          <w:highlight w:val="none"/>
        </w:rPr>
        <w:t>确认</w:t>
      </w:r>
      <w:r>
        <w:rPr>
          <w:rFonts w:hint="eastAsia"/>
          <w:color w:val="auto"/>
          <w:sz w:val="24"/>
          <w:highlight w:val="none"/>
        </w:rPr>
        <w:t>。投标人超过规定时间未确认但是未提出疑义的，系统将视同已确认</w:t>
      </w:r>
      <w:r>
        <w:rPr>
          <w:color w:val="auto"/>
          <w:sz w:val="24"/>
          <w:highlight w:val="none"/>
        </w:rPr>
        <w:t>。</w:t>
      </w:r>
    </w:p>
    <w:p w14:paraId="5E2DB09F">
      <w:pPr>
        <w:numPr>
          <w:ilvl w:val="1"/>
          <w:numId w:val="10"/>
        </w:numPr>
        <w:tabs>
          <w:tab w:val="left" w:pos="1080"/>
          <w:tab w:val="left" w:pos="1134"/>
          <w:tab w:val="left" w:pos="1873"/>
          <w:tab w:val="left" w:pos="2014"/>
        </w:tabs>
        <w:snapToGrid w:val="0"/>
        <w:spacing w:line="360" w:lineRule="auto"/>
        <w:ind w:left="1134" w:hanging="850"/>
        <w:rPr>
          <w:rFonts w:hint="eastAsia"/>
          <w:color w:val="auto"/>
          <w:sz w:val="24"/>
          <w:highlight w:val="none"/>
        </w:rPr>
      </w:pPr>
      <w:r>
        <w:rPr>
          <w:color w:val="auto"/>
          <w:sz w:val="24"/>
          <w:highlight w:val="none"/>
        </w:rPr>
        <w:t>投标人代表对开标过程和开标记录有疑义，以及认为采购人、采购代理机构相关工作人员有需要回避的情形的，应当场</w:t>
      </w:r>
      <w:r>
        <w:rPr>
          <w:rFonts w:hint="eastAsia"/>
          <w:color w:val="auto"/>
          <w:sz w:val="24"/>
          <w:highlight w:val="none"/>
        </w:rPr>
        <w:t>通过业务系统</w:t>
      </w:r>
      <w:r>
        <w:rPr>
          <w:color w:val="auto"/>
          <w:sz w:val="24"/>
          <w:highlight w:val="none"/>
        </w:rPr>
        <w:t>提出询问或者回避申请。采购人、采购代理机构对投标人代表提出的询问或者回避申请将及时处理。</w:t>
      </w:r>
    </w:p>
    <w:p w14:paraId="00376A9D">
      <w:pPr>
        <w:numPr>
          <w:ilvl w:val="1"/>
          <w:numId w:val="10"/>
        </w:numPr>
        <w:tabs>
          <w:tab w:val="left" w:pos="1080"/>
          <w:tab w:val="left" w:pos="1134"/>
          <w:tab w:val="left" w:pos="1873"/>
          <w:tab w:val="left" w:pos="2014"/>
        </w:tabs>
        <w:snapToGrid w:val="0"/>
        <w:spacing w:line="360" w:lineRule="auto"/>
        <w:ind w:left="1134" w:hanging="850"/>
        <w:rPr>
          <w:rFonts w:hint="eastAsia"/>
          <w:color w:val="auto"/>
          <w:sz w:val="24"/>
          <w:highlight w:val="none"/>
        </w:rPr>
      </w:pPr>
      <w:r>
        <w:rPr>
          <w:rFonts w:hint="eastAsia"/>
          <w:color w:val="auto"/>
          <w:sz w:val="24"/>
          <w:highlight w:val="none"/>
        </w:rPr>
        <w:t>投标人不足3家的，不予开标。</w:t>
      </w:r>
    </w:p>
    <w:p w14:paraId="259D5770">
      <w:pPr>
        <w:numPr>
          <w:ilvl w:val="1"/>
          <w:numId w:val="10"/>
        </w:numPr>
        <w:tabs>
          <w:tab w:val="left" w:pos="1080"/>
          <w:tab w:val="left" w:pos="1134"/>
          <w:tab w:val="left" w:pos="1873"/>
          <w:tab w:val="left" w:pos="2014"/>
        </w:tabs>
        <w:snapToGrid w:val="0"/>
        <w:spacing w:line="360" w:lineRule="auto"/>
        <w:ind w:left="1134" w:hanging="850"/>
        <w:rPr>
          <w:rFonts w:hint="eastAsia"/>
          <w:color w:val="auto"/>
          <w:sz w:val="24"/>
          <w:highlight w:val="none"/>
        </w:rPr>
      </w:pPr>
      <w:r>
        <w:rPr>
          <w:color w:val="auto"/>
          <w:sz w:val="24"/>
          <w:highlight w:val="none"/>
        </w:rPr>
        <w:t>投标人须在开标前使用“验证CA”功能验证本地计算机的控件环境是否正常，并且在开标</w:t>
      </w:r>
      <w:r>
        <w:rPr>
          <w:rFonts w:hint="eastAsia"/>
          <w:color w:val="auto"/>
          <w:sz w:val="24"/>
          <w:highlight w:val="none"/>
        </w:rPr>
        <w:t>评审</w:t>
      </w:r>
      <w:r>
        <w:rPr>
          <w:color w:val="auto"/>
          <w:sz w:val="24"/>
          <w:highlight w:val="none"/>
        </w:rPr>
        <w:t>过程中不可随意更换</w:t>
      </w:r>
      <w:r>
        <w:rPr>
          <w:rFonts w:hint="eastAsia"/>
          <w:color w:val="auto"/>
          <w:sz w:val="24"/>
          <w:highlight w:val="none"/>
        </w:rPr>
        <w:t>计算机</w:t>
      </w:r>
      <w:r>
        <w:rPr>
          <w:color w:val="auto"/>
          <w:sz w:val="24"/>
          <w:highlight w:val="none"/>
        </w:rPr>
        <w:t>，必须使用验证成功的计算机进行操作，否则造成相应后果由投标</w:t>
      </w:r>
      <w:r>
        <w:rPr>
          <w:rFonts w:hint="eastAsia"/>
          <w:color w:val="auto"/>
          <w:sz w:val="24"/>
          <w:highlight w:val="none"/>
        </w:rPr>
        <w:t>人</w:t>
      </w:r>
      <w:r>
        <w:rPr>
          <w:color w:val="auto"/>
          <w:sz w:val="24"/>
          <w:highlight w:val="none"/>
        </w:rPr>
        <w:t>自行承担。本地计算机</w:t>
      </w:r>
      <w:r>
        <w:rPr>
          <w:rFonts w:hint="eastAsia"/>
          <w:color w:val="auto"/>
          <w:sz w:val="24"/>
          <w:highlight w:val="none"/>
        </w:rPr>
        <w:t>要求安装摄像头、麦克风和音箱，保持网络通畅。</w:t>
      </w:r>
    </w:p>
    <w:p w14:paraId="416C971D">
      <w:pPr>
        <w:numPr>
          <w:ilvl w:val="1"/>
          <w:numId w:val="10"/>
        </w:numPr>
        <w:tabs>
          <w:tab w:val="left" w:pos="1080"/>
          <w:tab w:val="left" w:pos="1134"/>
          <w:tab w:val="left" w:pos="1873"/>
          <w:tab w:val="left" w:pos="2014"/>
        </w:tabs>
        <w:snapToGrid w:val="0"/>
        <w:spacing w:line="360" w:lineRule="auto"/>
        <w:ind w:left="1134" w:hanging="850"/>
        <w:rPr>
          <w:rFonts w:hint="eastAsia"/>
          <w:color w:val="auto"/>
          <w:sz w:val="24"/>
          <w:highlight w:val="none"/>
        </w:rPr>
      </w:pPr>
      <w:r>
        <w:rPr>
          <w:rFonts w:hint="eastAsia"/>
          <w:color w:val="auto"/>
          <w:sz w:val="24"/>
          <w:highlight w:val="none"/>
        </w:rPr>
        <w:t>因本项目</w:t>
      </w:r>
      <w:r>
        <w:rPr>
          <w:color w:val="auto"/>
          <w:sz w:val="24"/>
          <w:highlight w:val="none"/>
        </w:rPr>
        <w:t>采用不见面交易的</w:t>
      </w:r>
      <w:r>
        <w:rPr>
          <w:rFonts w:hint="eastAsia"/>
          <w:color w:val="auto"/>
          <w:sz w:val="24"/>
          <w:highlight w:val="none"/>
        </w:rPr>
        <w:t>方式</w:t>
      </w:r>
      <w:r>
        <w:rPr>
          <w:color w:val="auto"/>
          <w:sz w:val="24"/>
          <w:highlight w:val="none"/>
        </w:rPr>
        <w:t>，在</w:t>
      </w:r>
      <w:r>
        <w:rPr>
          <w:rFonts w:hint="eastAsia"/>
          <w:color w:val="auto"/>
          <w:sz w:val="24"/>
          <w:highlight w:val="none"/>
        </w:rPr>
        <w:t>开标、评审</w:t>
      </w:r>
      <w:r>
        <w:rPr>
          <w:color w:val="auto"/>
          <w:sz w:val="24"/>
          <w:highlight w:val="none"/>
        </w:rPr>
        <w:t>过程中，</w:t>
      </w:r>
      <w:r>
        <w:rPr>
          <w:rFonts w:hint="eastAsia"/>
          <w:color w:val="auto"/>
          <w:sz w:val="24"/>
          <w:highlight w:val="none"/>
        </w:rPr>
        <w:t>供应商</w:t>
      </w:r>
      <w:r>
        <w:rPr>
          <w:color w:val="auto"/>
          <w:sz w:val="24"/>
          <w:highlight w:val="none"/>
        </w:rPr>
        <w:t>需</w:t>
      </w:r>
      <w:r>
        <w:rPr>
          <w:rFonts w:hint="eastAsia"/>
          <w:color w:val="auto"/>
          <w:sz w:val="24"/>
          <w:highlight w:val="none"/>
        </w:rPr>
        <w:t>要</w:t>
      </w:r>
      <w:r>
        <w:rPr>
          <w:color w:val="auto"/>
          <w:sz w:val="24"/>
          <w:highlight w:val="none"/>
        </w:rPr>
        <w:t>保持操作计算机前有相关责任人</w:t>
      </w:r>
      <w:r>
        <w:rPr>
          <w:rFonts w:hint="eastAsia"/>
          <w:color w:val="auto"/>
          <w:sz w:val="24"/>
          <w:highlight w:val="none"/>
        </w:rPr>
        <w:t>值守，及时对于系统或者评委会发出的指令和要求进行响应操作。如果因为无人值守造成不能及时回应系统或者评委会指令和要求从而导致影响开标、评审结果的，责任由投标人承担</w:t>
      </w:r>
      <w:r>
        <w:rPr>
          <w:color w:val="auto"/>
          <w:sz w:val="24"/>
          <w:highlight w:val="none"/>
        </w:rPr>
        <w:t>。</w:t>
      </w:r>
    </w:p>
    <w:p w14:paraId="58CDED8C">
      <w:pPr>
        <w:numPr>
          <w:ilvl w:val="1"/>
          <w:numId w:val="10"/>
        </w:numPr>
        <w:tabs>
          <w:tab w:val="left" w:pos="1080"/>
          <w:tab w:val="left" w:pos="1134"/>
          <w:tab w:val="left" w:pos="1873"/>
          <w:tab w:val="left" w:pos="2014"/>
        </w:tabs>
        <w:snapToGrid w:val="0"/>
        <w:spacing w:line="360" w:lineRule="auto"/>
        <w:ind w:left="1134" w:hanging="850"/>
        <w:rPr>
          <w:color w:val="auto"/>
          <w:sz w:val="24"/>
          <w:highlight w:val="none"/>
        </w:rPr>
      </w:pPr>
      <w:r>
        <w:rPr>
          <w:rFonts w:hint="eastAsia"/>
          <w:color w:val="auto"/>
          <w:sz w:val="24"/>
          <w:highlight w:val="none"/>
        </w:rPr>
        <w:t>如果在</w:t>
      </w:r>
      <w:r>
        <w:rPr>
          <w:color w:val="auto"/>
          <w:sz w:val="24"/>
          <w:highlight w:val="none"/>
        </w:rPr>
        <w:t>采购</w:t>
      </w:r>
      <w:r>
        <w:rPr>
          <w:rFonts w:hint="eastAsia"/>
          <w:color w:val="auto"/>
          <w:sz w:val="24"/>
          <w:highlight w:val="none"/>
        </w:rPr>
        <w:t>活动</w:t>
      </w:r>
      <w:r>
        <w:rPr>
          <w:color w:val="auto"/>
          <w:sz w:val="24"/>
          <w:highlight w:val="none"/>
        </w:rPr>
        <w:t>过程中出现以下情形，导致</w:t>
      </w:r>
      <w:r>
        <w:rPr>
          <w:rFonts w:hint="eastAsia"/>
          <w:color w:val="auto"/>
          <w:sz w:val="24"/>
          <w:highlight w:val="none"/>
        </w:rPr>
        <w:t>““苏采云”政府采购一体化平台”系统</w:t>
      </w:r>
      <w:r>
        <w:rPr>
          <w:color w:val="auto"/>
          <w:sz w:val="24"/>
          <w:highlight w:val="none"/>
        </w:rPr>
        <w:t>无法正常运行，或者无法保证</w:t>
      </w:r>
      <w:r>
        <w:rPr>
          <w:rFonts w:hint="eastAsia"/>
          <w:color w:val="auto"/>
          <w:sz w:val="24"/>
          <w:highlight w:val="none"/>
        </w:rPr>
        <w:t>本项目采购活动</w:t>
      </w:r>
      <w:r>
        <w:rPr>
          <w:color w:val="auto"/>
          <w:sz w:val="24"/>
          <w:highlight w:val="none"/>
        </w:rPr>
        <w:t>的公平、公正和安全时，</w:t>
      </w:r>
      <w:r>
        <w:rPr>
          <w:rFonts w:hint="eastAsia"/>
          <w:color w:val="auto"/>
          <w:sz w:val="24"/>
          <w:highlight w:val="none"/>
        </w:rPr>
        <w:t>代理机构</w:t>
      </w:r>
      <w:r>
        <w:rPr>
          <w:color w:val="auto"/>
          <w:sz w:val="24"/>
          <w:highlight w:val="none"/>
        </w:rPr>
        <w:t>可</w:t>
      </w:r>
      <w:r>
        <w:rPr>
          <w:rFonts w:hint="eastAsia"/>
          <w:color w:val="auto"/>
          <w:sz w:val="24"/>
          <w:highlight w:val="none"/>
        </w:rPr>
        <w:t>以延缓或者暂停采购活动，情况严重的可以终止采购</w:t>
      </w:r>
      <w:r>
        <w:rPr>
          <w:color w:val="auto"/>
          <w:sz w:val="24"/>
          <w:highlight w:val="none"/>
        </w:rPr>
        <w:t>活动：</w:t>
      </w:r>
      <w:r>
        <w:rPr>
          <w:color w:val="auto"/>
          <w:sz w:val="24"/>
          <w:highlight w:val="none"/>
        </w:rPr>
        <w:br w:type="textWrapping" w:clear="all"/>
      </w:r>
      <w:r>
        <w:rPr>
          <w:rFonts w:hint="eastAsia"/>
          <w:color w:val="auto"/>
          <w:sz w:val="24"/>
          <w:highlight w:val="none"/>
        </w:rPr>
        <w:t>1)</w:t>
      </w:r>
      <w:r>
        <w:rPr>
          <w:color w:val="auto"/>
          <w:sz w:val="24"/>
          <w:highlight w:val="none"/>
        </w:rPr>
        <w:t>平台</w:t>
      </w:r>
      <w:r>
        <w:rPr>
          <w:rFonts w:hint="eastAsia"/>
          <w:color w:val="auto"/>
          <w:sz w:val="24"/>
          <w:highlight w:val="none"/>
        </w:rPr>
        <w:t>系统</w:t>
      </w:r>
      <w:r>
        <w:rPr>
          <w:color w:val="auto"/>
          <w:sz w:val="24"/>
          <w:highlight w:val="none"/>
        </w:rPr>
        <w:t>发生故障而无法登录访问的；</w:t>
      </w:r>
    </w:p>
    <w:p w14:paraId="7654BAC8">
      <w:pPr>
        <w:tabs>
          <w:tab w:val="left" w:pos="1080"/>
          <w:tab w:val="left" w:pos="1134"/>
          <w:tab w:val="left" w:pos="1731"/>
          <w:tab w:val="left" w:pos="1873"/>
          <w:tab w:val="left" w:pos="2014"/>
        </w:tabs>
        <w:snapToGrid w:val="0"/>
        <w:spacing w:line="360" w:lineRule="auto"/>
        <w:ind w:left="1134"/>
        <w:rPr>
          <w:color w:val="auto"/>
          <w:sz w:val="24"/>
          <w:highlight w:val="none"/>
        </w:rPr>
      </w:pPr>
      <w:r>
        <w:rPr>
          <w:rFonts w:hint="eastAsia"/>
          <w:color w:val="auto"/>
          <w:sz w:val="24"/>
          <w:highlight w:val="none"/>
        </w:rPr>
        <w:t>2)</w:t>
      </w:r>
      <w:r>
        <w:rPr>
          <w:color w:val="auto"/>
          <w:sz w:val="24"/>
          <w:highlight w:val="none"/>
        </w:rPr>
        <w:t>平台</w:t>
      </w:r>
      <w:r>
        <w:rPr>
          <w:rFonts w:hint="eastAsia"/>
          <w:color w:val="auto"/>
          <w:sz w:val="24"/>
          <w:highlight w:val="none"/>
        </w:rPr>
        <w:t>系统</w:t>
      </w:r>
      <w:r>
        <w:rPr>
          <w:color w:val="auto"/>
          <w:sz w:val="24"/>
          <w:highlight w:val="none"/>
        </w:rPr>
        <w:t>应用或数据库出现错误，不能进行正常操作的；</w:t>
      </w:r>
    </w:p>
    <w:p w14:paraId="1B8649B2">
      <w:pPr>
        <w:tabs>
          <w:tab w:val="left" w:pos="1080"/>
          <w:tab w:val="left" w:pos="1134"/>
          <w:tab w:val="left" w:pos="1731"/>
          <w:tab w:val="left" w:pos="1873"/>
          <w:tab w:val="left" w:pos="2014"/>
        </w:tabs>
        <w:snapToGrid w:val="0"/>
        <w:spacing w:line="360" w:lineRule="auto"/>
        <w:ind w:left="1134"/>
        <w:rPr>
          <w:color w:val="auto"/>
          <w:sz w:val="24"/>
          <w:highlight w:val="none"/>
        </w:rPr>
      </w:pPr>
      <w:r>
        <w:rPr>
          <w:rFonts w:hint="eastAsia"/>
          <w:color w:val="auto"/>
          <w:sz w:val="24"/>
          <w:highlight w:val="none"/>
        </w:rPr>
        <w:t>3)</w:t>
      </w:r>
      <w:r>
        <w:rPr>
          <w:color w:val="auto"/>
          <w:sz w:val="24"/>
          <w:highlight w:val="none"/>
        </w:rPr>
        <w:t>平台</w:t>
      </w:r>
      <w:r>
        <w:rPr>
          <w:rFonts w:hint="eastAsia"/>
          <w:color w:val="auto"/>
          <w:sz w:val="24"/>
          <w:highlight w:val="none"/>
        </w:rPr>
        <w:t>系统</w:t>
      </w:r>
      <w:r>
        <w:rPr>
          <w:color w:val="auto"/>
          <w:sz w:val="24"/>
          <w:highlight w:val="none"/>
        </w:rPr>
        <w:t>发现严重安全漏洞，有潜在泄密危险的；</w:t>
      </w:r>
    </w:p>
    <w:p w14:paraId="0E3A2009">
      <w:pPr>
        <w:tabs>
          <w:tab w:val="left" w:pos="1080"/>
          <w:tab w:val="left" w:pos="1134"/>
          <w:tab w:val="left" w:pos="1731"/>
          <w:tab w:val="left" w:pos="1873"/>
          <w:tab w:val="left" w:pos="2014"/>
        </w:tabs>
        <w:snapToGrid w:val="0"/>
        <w:spacing w:line="360" w:lineRule="auto"/>
        <w:ind w:left="1134"/>
        <w:rPr>
          <w:color w:val="auto"/>
          <w:sz w:val="24"/>
          <w:highlight w:val="none"/>
        </w:rPr>
      </w:pPr>
      <w:r>
        <w:rPr>
          <w:rFonts w:hint="eastAsia"/>
          <w:color w:val="auto"/>
          <w:sz w:val="24"/>
          <w:highlight w:val="none"/>
        </w:rPr>
        <w:t>4)</w:t>
      </w:r>
      <w:r>
        <w:rPr>
          <w:color w:val="auto"/>
          <w:sz w:val="24"/>
          <w:highlight w:val="none"/>
        </w:rPr>
        <w:t>病毒发作导致平台</w:t>
      </w:r>
      <w:r>
        <w:rPr>
          <w:rFonts w:hint="eastAsia"/>
          <w:color w:val="auto"/>
          <w:sz w:val="24"/>
          <w:highlight w:val="none"/>
        </w:rPr>
        <w:t>系统</w:t>
      </w:r>
      <w:r>
        <w:rPr>
          <w:color w:val="auto"/>
          <w:sz w:val="24"/>
          <w:highlight w:val="none"/>
        </w:rPr>
        <w:t>不能进行正常操作的；</w:t>
      </w:r>
    </w:p>
    <w:p w14:paraId="56013B24">
      <w:pPr>
        <w:tabs>
          <w:tab w:val="left" w:pos="1080"/>
          <w:tab w:val="left" w:pos="1134"/>
          <w:tab w:val="left" w:pos="1731"/>
          <w:tab w:val="left" w:pos="1873"/>
          <w:tab w:val="left" w:pos="2014"/>
        </w:tabs>
        <w:snapToGrid w:val="0"/>
        <w:spacing w:line="360" w:lineRule="auto"/>
        <w:ind w:left="1134"/>
        <w:rPr>
          <w:color w:val="auto"/>
          <w:sz w:val="24"/>
          <w:highlight w:val="none"/>
        </w:rPr>
      </w:pPr>
      <w:r>
        <w:rPr>
          <w:rFonts w:hint="eastAsia"/>
          <w:color w:val="auto"/>
          <w:sz w:val="24"/>
          <w:highlight w:val="none"/>
        </w:rPr>
        <w:t>5)</w:t>
      </w:r>
      <w:r>
        <w:rPr>
          <w:color w:val="auto"/>
          <w:sz w:val="24"/>
          <w:highlight w:val="none"/>
        </w:rPr>
        <w:t>其他无法保证</w:t>
      </w:r>
      <w:r>
        <w:rPr>
          <w:rFonts w:hint="eastAsia"/>
          <w:color w:val="auto"/>
          <w:sz w:val="24"/>
          <w:highlight w:val="none"/>
        </w:rPr>
        <w:t>本次采购活动</w:t>
      </w:r>
      <w:r>
        <w:rPr>
          <w:color w:val="auto"/>
          <w:sz w:val="24"/>
          <w:highlight w:val="none"/>
        </w:rPr>
        <w:t>的公平、公正和安全的情况。</w:t>
      </w:r>
    </w:p>
    <w:p w14:paraId="7AE9CAE6">
      <w:pPr>
        <w:numPr>
          <w:ilvl w:val="1"/>
          <w:numId w:val="10"/>
        </w:numPr>
        <w:tabs>
          <w:tab w:val="left" w:pos="1080"/>
          <w:tab w:val="left" w:pos="1134"/>
          <w:tab w:val="left" w:pos="1873"/>
          <w:tab w:val="left" w:pos="2014"/>
          <w:tab w:val="clear" w:pos="1731"/>
        </w:tabs>
        <w:snapToGrid w:val="0"/>
        <w:spacing w:line="360" w:lineRule="auto"/>
        <w:ind w:left="1134" w:hanging="850"/>
        <w:rPr>
          <w:color w:val="auto"/>
          <w:sz w:val="24"/>
          <w:highlight w:val="none"/>
        </w:rPr>
      </w:pPr>
      <w:r>
        <w:rPr>
          <w:color w:val="auto"/>
          <w:sz w:val="24"/>
          <w:highlight w:val="none"/>
        </w:rPr>
        <w:t>出现</w:t>
      </w:r>
      <w:r>
        <w:rPr>
          <w:rFonts w:hint="eastAsia"/>
          <w:color w:val="auto"/>
          <w:sz w:val="24"/>
          <w:highlight w:val="none"/>
        </w:rPr>
        <w:t>上述</w:t>
      </w:r>
      <w:r>
        <w:rPr>
          <w:color w:val="auto"/>
          <w:sz w:val="24"/>
          <w:highlight w:val="none"/>
        </w:rPr>
        <w:t>情形，不影响采购</w:t>
      </w:r>
      <w:r>
        <w:rPr>
          <w:rFonts w:hint="eastAsia"/>
          <w:color w:val="auto"/>
          <w:sz w:val="24"/>
          <w:highlight w:val="none"/>
        </w:rPr>
        <w:t>活动</w:t>
      </w:r>
      <w:r>
        <w:rPr>
          <w:color w:val="auto"/>
          <w:sz w:val="24"/>
          <w:highlight w:val="none"/>
        </w:rPr>
        <w:t>公平、公正性的，</w:t>
      </w:r>
      <w:r>
        <w:rPr>
          <w:rFonts w:hint="eastAsia"/>
          <w:color w:val="auto"/>
          <w:sz w:val="24"/>
          <w:highlight w:val="none"/>
        </w:rPr>
        <w:t>代理机构</w:t>
      </w:r>
      <w:r>
        <w:rPr>
          <w:color w:val="auto"/>
          <w:sz w:val="24"/>
          <w:highlight w:val="none"/>
        </w:rPr>
        <w:t>可以待上述情形消除后继续组织</w:t>
      </w:r>
      <w:r>
        <w:rPr>
          <w:rFonts w:hint="eastAsia"/>
          <w:color w:val="auto"/>
          <w:sz w:val="24"/>
          <w:highlight w:val="none"/>
        </w:rPr>
        <w:t>不见面</w:t>
      </w:r>
      <w:r>
        <w:rPr>
          <w:color w:val="auto"/>
          <w:sz w:val="24"/>
          <w:highlight w:val="none"/>
        </w:rPr>
        <w:t>交易</w:t>
      </w:r>
      <w:r>
        <w:rPr>
          <w:rFonts w:hint="eastAsia"/>
          <w:color w:val="auto"/>
          <w:sz w:val="24"/>
          <w:highlight w:val="none"/>
        </w:rPr>
        <w:t>采购</w:t>
      </w:r>
      <w:r>
        <w:rPr>
          <w:color w:val="auto"/>
          <w:sz w:val="24"/>
          <w:highlight w:val="none"/>
        </w:rPr>
        <w:t>活动，也可以决定某些环节以纸质形式进行；影响或可能影响采购</w:t>
      </w:r>
      <w:r>
        <w:rPr>
          <w:rFonts w:hint="eastAsia"/>
          <w:color w:val="auto"/>
          <w:sz w:val="24"/>
          <w:highlight w:val="none"/>
        </w:rPr>
        <w:t>活动</w:t>
      </w:r>
      <w:r>
        <w:rPr>
          <w:color w:val="auto"/>
          <w:sz w:val="24"/>
          <w:highlight w:val="none"/>
        </w:rPr>
        <w:t>公平、公正性的，应当</w:t>
      </w:r>
      <w:r>
        <w:rPr>
          <w:rFonts w:hint="eastAsia"/>
          <w:color w:val="auto"/>
          <w:sz w:val="24"/>
          <w:highlight w:val="none"/>
        </w:rPr>
        <w:t>终止本次项目，</w:t>
      </w:r>
      <w:r>
        <w:rPr>
          <w:color w:val="auto"/>
          <w:sz w:val="24"/>
          <w:highlight w:val="none"/>
        </w:rPr>
        <w:t>重新</w:t>
      </w:r>
      <w:r>
        <w:rPr>
          <w:rFonts w:hint="eastAsia"/>
          <w:color w:val="auto"/>
          <w:sz w:val="24"/>
          <w:highlight w:val="none"/>
        </w:rPr>
        <w:t>组织</w:t>
      </w:r>
      <w:r>
        <w:rPr>
          <w:color w:val="auto"/>
          <w:sz w:val="24"/>
          <w:highlight w:val="none"/>
        </w:rPr>
        <w:t>采购。</w:t>
      </w:r>
    </w:p>
    <w:p w14:paraId="212E39ED">
      <w:pPr>
        <w:numPr>
          <w:ilvl w:val="0"/>
          <w:numId w:val="10"/>
        </w:numPr>
        <w:tabs>
          <w:tab w:val="left" w:pos="360"/>
          <w:tab w:val="left" w:pos="900"/>
        </w:tabs>
        <w:spacing w:line="360" w:lineRule="auto"/>
        <w:ind w:left="357" w:hanging="357"/>
        <w:outlineLvl w:val="1"/>
        <w:rPr>
          <w:color w:val="auto"/>
          <w:sz w:val="24"/>
          <w:highlight w:val="none"/>
        </w:rPr>
      </w:pPr>
      <w:r>
        <w:rPr>
          <w:color w:val="auto"/>
          <w:sz w:val="24"/>
          <w:highlight w:val="none"/>
        </w:rPr>
        <w:t>资格审查</w:t>
      </w:r>
    </w:p>
    <w:p w14:paraId="6E36C88C">
      <w:pPr>
        <w:numPr>
          <w:ilvl w:val="1"/>
          <w:numId w:val="10"/>
        </w:numPr>
        <w:tabs>
          <w:tab w:val="left" w:pos="1080"/>
          <w:tab w:val="left" w:pos="1589"/>
          <w:tab w:val="left" w:pos="1873"/>
          <w:tab w:val="left" w:pos="2014"/>
        </w:tabs>
        <w:spacing w:line="360" w:lineRule="auto"/>
        <w:ind w:left="1077" w:hanging="720"/>
        <w:rPr>
          <w:color w:val="auto"/>
          <w:sz w:val="24"/>
          <w:highlight w:val="none"/>
        </w:rPr>
      </w:pPr>
      <w:r>
        <w:rPr>
          <w:color w:val="auto"/>
          <w:sz w:val="24"/>
          <w:highlight w:val="none"/>
        </w:rPr>
        <w:t>见第三章《资格审查》。</w:t>
      </w:r>
    </w:p>
    <w:bookmarkEnd w:id="573"/>
    <w:p w14:paraId="1EE5033D">
      <w:pPr>
        <w:numPr>
          <w:ilvl w:val="0"/>
          <w:numId w:val="10"/>
        </w:numPr>
        <w:tabs>
          <w:tab w:val="left" w:pos="360"/>
          <w:tab w:val="left" w:pos="900"/>
        </w:tabs>
        <w:spacing w:line="360" w:lineRule="auto"/>
        <w:ind w:left="357" w:hanging="357"/>
        <w:outlineLvl w:val="1"/>
        <w:rPr>
          <w:color w:val="auto"/>
          <w:sz w:val="24"/>
          <w:highlight w:val="none"/>
        </w:rPr>
      </w:pPr>
      <w:bookmarkStart w:id="574" w:name="_Toc195842905"/>
      <w:bookmarkStart w:id="575" w:name="_Toc151193782"/>
      <w:bookmarkStart w:id="576" w:name="_Toc305158882"/>
      <w:bookmarkStart w:id="577" w:name="_Toc164351634"/>
      <w:bookmarkStart w:id="578" w:name="_Toc305158808"/>
      <w:bookmarkStart w:id="579" w:name="_Toc226965813"/>
      <w:bookmarkStart w:id="580" w:name="_Toc151193710"/>
      <w:bookmarkStart w:id="581" w:name="_Toc151193854"/>
      <w:bookmarkStart w:id="582" w:name="_Toc226309784"/>
      <w:bookmarkStart w:id="583" w:name="_Toc226337236"/>
      <w:bookmarkStart w:id="584" w:name="_Toc164608809"/>
      <w:bookmarkStart w:id="585" w:name="_Toc164608654"/>
      <w:bookmarkStart w:id="586" w:name="_Toc164229235"/>
      <w:bookmarkStart w:id="587" w:name="_Toc151193928"/>
      <w:bookmarkStart w:id="588" w:name="_Toc127161454"/>
      <w:bookmarkStart w:id="589" w:name="_Toc151193638"/>
      <w:bookmarkStart w:id="590" w:name="_Toc127151540"/>
      <w:bookmarkStart w:id="591" w:name="_Toc149720833"/>
      <w:bookmarkStart w:id="592" w:name="_Toc142311042"/>
      <w:bookmarkStart w:id="593" w:name="_Toc226965730"/>
      <w:bookmarkStart w:id="594" w:name="_Toc150509291"/>
      <w:bookmarkStart w:id="595" w:name="_Toc150480778"/>
      <w:bookmarkStart w:id="596" w:name="_Toc265228378"/>
      <w:bookmarkStart w:id="597" w:name="_Toc150774640"/>
      <w:bookmarkStart w:id="598" w:name="_Toc264969230"/>
      <w:bookmarkStart w:id="599" w:name="_Toc151190167"/>
      <w:bookmarkStart w:id="600" w:name="_Toc150774745"/>
      <w:bookmarkStart w:id="601" w:name="_Toc127151741"/>
      <w:bookmarkStart w:id="602" w:name="_Toc164229381"/>
      <w:r>
        <w:rPr>
          <w:color w:val="auto"/>
          <w:sz w:val="24"/>
          <w:highlight w:val="none"/>
        </w:rPr>
        <w:t>评标委员会</w:t>
      </w:r>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p>
    <w:p w14:paraId="6D7B4B95">
      <w:pPr>
        <w:numPr>
          <w:ilvl w:val="1"/>
          <w:numId w:val="10"/>
        </w:numPr>
        <w:tabs>
          <w:tab w:val="left" w:pos="1080"/>
          <w:tab w:val="left" w:pos="1589"/>
          <w:tab w:val="left" w:pos="1873"/>
          <w:tab w:val="left" w:pos="2014"/>
        </w:tabs>
        <w:spacing w:line="360" w:lineRule="auto"/>
        <w:ind w:left="1077" w:hanging="720"/>
        <w:rPr>
          <w:color w:val="auto"/>
          <w:sz w:val="24"/>
          <w:highlight w:val="none"/>
        </w:rPr>
      </w:pPr>
      <w:r>
        <w:rPr>
          <w:color w:val="auto"/>
          <w:sz w:val="24"/>
          <w:highlight w:val="none"/>
        </w:rPr>
        <w:t>评标委员会根据政府采购有关规定和本次招标采购项目的特点进行组建，并负责具体评标事务，独立履行职责。</w:t>
      </w:r>
      <w:bookmarkStart w:id="603" w:name="_Toc520356166"/>
    </w:p>
    <w:p w14:paraId="4A82866C">
      <w:pPr>
        <w:numPr>
          <w:ilvl w:val="1"/>
          <w:numId w:val="10"/>
        </w:numPr>
        <w:tabs>
          <w:tab w:val="left" w:pos="1080"/>
          <w:tab w:val="left" w:pos="1589"/>
          <w:tab w:val="left" w:pos="1873"/>
          <w:tab w:val="left" w:pos="2014"/>
        </w:tabs>
        <w:spacing w:line="360" w:lineRule="auto"/>
        <w:ind w:left="1077" w:hanging="720"/>
        <w:rPr>
          <w:color w:val="auto"/>
          <w:sz w:val="24"/>
          <w:highlight w:val="none"/>
        </w:rPr>
      </w:pPr>
      <w:r>
        <w:rPr>
          <w:color w:val="auto"/>
          <w:sz w:val="24"/>
          <w:highlight w:val="none"/>
        </w:rPr>
        <w:t>评审专家须符合</w:t>
      </w:r>
      <w:r>
        <w:rPr>
          <w:rFonts w:hint="eastAsia"/>
          <w:color w:val="auto"/>
          <w:sz w:val="24"/>
          <w:highlight w:val="none"/>
        </w:rPr>
        <w:t>相关</w:t>
      </w:r>
      <w:r>
        <w:rPr>
          <w:color w:val="auto"/>
          <w:sz w:val="24"/>
          <w:highlight w:val="none"/>
        </w:rPr>
        <w:t>规定。依法自行选定评审专家的，</w:t>
      </w:r>
      <w:r>
        <w:rPr>
          <w:rFonts w:hint="eastAsia"/>
          <w:color w:val="auto"/>
          <w:sz w:val="24"/>
          <w:highlight w:val="none"/>
        </w:rPr>
        <w:t>招标人</w:t>
      </w:r>
      <w:r>
        <w:rPr>
          <w:color w:val="auto"/>
          <w:sz w:val="24"/>
          <w:highlight w:val="none"/>
        </w:rPr>
        <w:t>和采购代理机构将查询有关信用记录，对具有行贿、受贿、欺诈等不良信用记录的人员，拒绝其参与政府采购活动。</w:t>
      </w:r>
      <w:bookmarkEnd w:id="603"/>
      <w:bookmarkStart w:id="604" w:name="_Toc520356169"/>
    </w:p>
    <w:p w14:paraId="03E17ACE">
      <w:pPr>
        <w:numPr>
          <w:ilvl w:val="0"/>
          <w:numId w:val="10"/>
        </w:numPr>
        <w:tabs>
          <w:tab w:val="left" w:pos="360"/>
          <w:tab w:val="left" w:pos="900"/>
        </w:tabs>
        <w:spacing w:line="360" w:lineRule="auto"/>
        <w:ind w:left="357" w:hanging="357"/>
        <w:outlineLvl w:val="1"/>
        <w:rPr>
          <w:color w:val="auto"/>
          <w:sz w:val="24"/>
          <w:highlight w:val="none"/>
        </w:rPr>
      </w:pPr>
      <w:r>
        <w:rPr>
          <w:color w:val="auto"/>
          <w:sz w:val="24"/>
          <w:highlight w:val="none"/>
        </w:rPr>
        <w:t>评标程序、评标方法和评标标准</w:t>
      </w:r>
    </w:p>
    <w:p w14:paraId="5B376665">
      <w:pPr>
        <w:numPr>
          <w:ilvl w:val="1"/>
          <w:numId w:val="10"/>
        </w:numPr>
        <w:tabs>
          <w:tab w:val="left" w:pos="1080"/>
          <w:tab w:val="left" w:pos="1589"/>
          <w:tab w:val="left" w:pos="1873"/>
          <w:tab w:val="left" w:pos="2014"/>
        </w:tabs>
        <w:spacing w:line="360" w:lineRule="auto"/>
        <w:ind w:left="1077" w:hanging="720"/>
        <w:rPr>
          <w:color w:val="auto"/>
          <w:sz w:val="24"/>
          <w:highlight w:val="none"/>
        </w:rPr>
      </w:pPr>
      <w:r>
        <w:rPr>
          <w:color w:val="auto"/>
          <w:sz w:val="24"/>
          <w:highlight w:val="none"/>
        </w:rPr>
        <w:t>见第四章《评标程序、评标方法和评标标准》。</w:t>
      </w:r>
    </w:p>
    <w:p w14:paraId="6842D2D9">
      <w:pPr>
        <w:tabs>
          <w:tab w:val="left" w:pos="360"/>
          <w:tab w:val="left" w:pos="1080"/>
        </w:tabs>
        <w:spacing w:line="360" w:lineRule="auto"/>
        <w:ind w:left="1080"/>
        <w:rPr>
          <w:color w:val="auto"/>
          <w:sz w:val="24"/>
          <w:highlight w:val="none"/>
        </w:rPr>
      </w:pPr>
    </w:p>
    <w:p w14:paraId="7BEA8605">
      <w:pPr>
        <w:pStyle w:val="194"/>
        <w:spacing w:before="0" w:line="360" w:lineRule="auto"/>
        <w:rPr>
          <w:rFonts w:ascii="Times New Roman" w:hAnsi="Times New Roman" w:eastAsia="宋体"/>
          <w:color w:val="auto"/>
          <w:sz w:val="28"/>
          <w:highlight w:val="none"/>
        </w:rPr>
      </w:pPr>
      <w:bookmarkStart w:id="605" w:name="_Toc151190172"/>
      <w:bookmarkStart w:id="606" w:name="_Toc151193933"/>
      <w:bookmarkStart w:id="607" w:name="_Toc305158813"/>
      <w:bookmarkStart w:id="608" w:name="_Toc151193643"/>
      <w:bookmarkStart w:id="609" w:name="_Toc151193859"/>
      <w:bookmarkStart w:id="610" w:name="_Toc264969235"/>
      <w:bookmarkStart w:id="611" w:name="_Toc226965818"/>
      <w:bookmarkStart w:id="612" w:name="_Toc150509296"/>
      <w:bookmarkStart w:id="613" w:name="_Toc226309789"/>
      <w:bookmarkStart w:id="614" w:name="_Toc150774645"/>
      <w:bookmarkStart w:id="615" w:name="_Toc151193715"/>
      <w:bookmarkStart w:id="616" w:name="_Toc151193787"/>
      <w:bookmarkStart w:id="617" w:name="_Toc305158887"/>
      <w:bookmarkStart w:id="618" w:name="_Toc226337241"/>
      <w:bookmarkStart w:id="619" w:name="_Toc142311047"/>
      <w:bookmarkStart w:id="620" w:name="_Toc226965735"/>
      <w:bookmarkStart w:id="621" w:name="_Toc150480783"/>
      <w:bookmarkStart w:id="622" w:name="_Toc150774750"/>
      <w:bookmarkStart w:id="623" w:name="_Toc195842910"/>
      <w:bookmarkStart w:id="624" w:name="_Toc265228383"/>
      <w:bookmarkStart w:id="625" w:name="_Toc127151545"/>
      <w:r>
        <w:rPr>
          <w:rFonts w:ascii="Times New Roman" w:hAnsi="Times New Roman" w:eastAsia="宋体"/>
          <w:color w:val="auto"/>
          <w:sz w:val="28"/>
          <w:highlight w:val="none"/>
        </w:rPr>
        <w:t xml:space="preserve">六   </w:t>
      </w:r>
      <w:bookmarkEnd w:id="604"/>
      <w:r>
        <w:rPr>
          <w:rFonts w:ascii="Times New Roman" w:hAnsi="Times New Roman" w:eastAsia="宋体"/>
          <w:color w:val="auto"/>
          <w:sz w:val="28"/>
          <w:highlight w:val="none"/>
        </w:rPr>
        <w:t>确定中标</w:t>
      </w:r>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Start w:id="626" w:name="_Toc305158815"/>
      <w:bookmarkStart w:id="627" w:name="_Toc164229388"/>
      <w:bookmarkStart w:id="628" w:name="_Toc164229242"/>
      <w:bookmarkStart w:id="629" w:name="_Toc142311049"/>
      <w:bookmarkStart w:id="630" w:name="_Toc264969237"/>
      <w:bookmarkStart w:id="631" w:name="_Toc226965820"/>
      <w:bookmarkStart w:id="632" w:name="_Toc195842912"/>
      <w:bookmarkStart w:id="633" w:name="_Toc127151748"/>
      <w:bookmarkStart w:id="634" w:name="_Toc226309791"/>
      <w:bookmarkStart w:id="635" w:name="_Toc127151547"/>
      <w:bookmarkStart w:id="636" w:name="_Toc150774752"/>
      <w:bookmarkStart w:id="637" w:name="_Toc149720840"/>
      <w:bookmarkStart w:id="638" w:name="_Toc226337243"/>
      <w:bookmarkStart w:id="639" w:name="_Toc151193645"/>
      <w:bookmarkStart w:id="640" w:name="_Toc151193935"/>
      <w:bookmarkStart w:id="641" w:name="_Toc305158889"/>
      <w:bookmarkStart w:id="642" w:name="_Toc164608816"/>
      <w:bookmarkStart w:id="643" w:name="_Toc151193861"/>
      <w:bookmarkStart w:id="644" w:name="_Toc164608661"/>
      <w:bookmarkStart w:id="645" w:name="_Toc164351641"/>
      <w:bookmarkStart w:id="646" w:name="_Toc150509298"/>
      <w:bookmarkStart w:id="647" w:name="_Toc151193789"/>
      <w:bookmarkStart w:id="648" w:name="_Toc150480785"/>
      <w:bookmarkStart w:id="649" w:name="_Toc226965737"/>
      <w:bookmarkStart w:id="650" w:name="_Toc150774647"/>
      <w:bookmarkStart w:id="651" w:name="_Toc265228385"/>
      <w:bookmarkStart w:id="652" w:name="_Toc151193717"/>
      <w:bookmarkStart w:id="653" w:name="_Toc127161461"/>
      <w:bookmarkStart w:id="654" w:name="_Toc151190174"/>
    </w:p>
    <w:p w14:paraId="612F0CA7">
      <w:pPr>
        <w:numPr>
          <w:ilvl w:val="0"/>
          <w:numId w:val="10"/>
        </w:numPr>
        <w:tabs>
          <w:tab w:val="left" w:pos="360"/>
          <w:tab w:val="left" w:pos="900"/>
        </w:tabs>
        <w:spacing w:line="360" w:lineRule="auto"/>
        <w:ind w:left="357" w:hanging="357"/>
        <w:outlineLvl w:val="1"/>
        <w:rPr>
          <w:color w:val="auto"/>
          <w:sz w:val="24"/>
          <w:highlight w:val="none"/>
        </w:rPr>
      </w:pPr>
      <w:r>
        <w:rPr>
          <w:color w:val="auto"/>
          <w:sz w:val="24"/>
          <w:highlight w:val="none"/>
        </w:rPr>
        <w:t>确定中标人</w:t>
      </w:r>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p>
    <w:p w14:paraId="000E8617">
      <w:pPr>
        <w:numPr>
          <w:ilvl w:val="1"/>
          <w:numId w:val="10"/>
        </w:numPr>
        <w:tabs>
          <w:tab w:val="left" w:pos="1080"/>
          <w:tab w:val="left" w:pos="1589"/>
          <w:tab w:val="left" w:pos="1873"/>
          <w:tab w:val="left" w:pos="2014"/>
        </w:tabs>
        <w:spacing w:line="360" w:lineRule="auto"/>
        <w:ind w:left="1077" w:hanging="720"/>
        <w:rPr>
          <w:color w:val="auto"/>
          <w:sz w:val="24"/>
          <w:highlight w:val="none"/>
        </w:rPr>
      </w:pPr>
      <w:r>
        <w:rPr>
          <w:rFonts w:hint="eastAsia"/>
          <w:color w:val="auto"/>
          <w:sz w:val="24"/>
          <w:highlight w:val="none"/>
        </w:rPr>
        <w:t>招标人</w:t>
      </w:r>
      <w:r>
        <w:rPr>
          <w:color w:val="auto"/>
          <w:sz w:val="24"/>
          <w:highlight w:val="none"/>
        </w:rPr>
        <w:t>将在评标报告确定的中标候选人名单中按顺序确定中标人，中标候选人并列的，由</w:t>
      </w:r>
      <w:r>
        <w:rPr>
          <w:rFonts w:hint="eastAsia"/>
          <w:color w:val="auto"/>
          <w:sz w:val="24"/>
          <w:highlight w:val="none"/>
        </w:rPr>
        <w:t>招标人依法</w:t>
      </w:r>
      <w:r>
        <w:rPr>
          <w:color w:val="auto"/>
          <w:sz w:val="24"/>
          <w:highlight w:val="none"/>
        </w:rPr>
        <w:t>确定</w:t>
      </w:r>
      <w:r>
        <w:rPr>
          <w:rFonts w:hint="eastAsia"/>
          <w:color w:val="auto"/>
          <w:sz w:val="24"/>
          <w:highlight w:val="none"/>
        </w:rPr>
        <w:t>。</w:t>
      </w:r>
    </w:p>
    <w:p w14:paraId="2E5161D4">
      <w:pPr>
        <w:numPr>
          <w:ilvl w:val="0"/>
          <w:numId w:val="10"/>
        </w:numPr>
        <w:tabs>
          <w:tab w:val="left" w:pos="360"/>
          <w:tab w:val="left" w:pos="900"/>
        </w:tabs>
        <w:spacing w:line="360" w:lineRule="auto"/>
        <w:ind w:left="357" w:hanging="357"/>
        <w:outlineLvl w:val="1"/>
        <w:rPr>
          <w:color w:val="auto"/>
          <w:sz w:val="24"/>
          <w:highlight w:val="none"/>
        </w:rPr>
      </w:pPr>
      <w:bookmarkStart w:id="655" w:name="_Toc305158817"/>
      <w:bookmarkStart w:id="656" w:name="_Toc305158891"/>
      <w:bookmarkStart w:id="657" w:name="_Toc151193937"/>
      <w:bookmarkStart w:id="658" w:name="_Toc127161463"/>
      <w:bookmarkStart w:id="659" w:name="_Toc150509300"/>
      <w:bookmarkStart w:id="660" w:name="_Toc150480787"/>
      <w:bookmarkStart w:id="661" w:name="_Toc164608663"/>
      <w:bookmarkStart w:id="662" w:name="_Toc150774754"/>
      <w:bookmarkStart w:id="663" w:name="_Toc142311051"/>
      <w:bookmarkStart w:id="664" w:name="_Toc127151750"/>
      <w:bookmarkStart w:id="665" w:name="_Toc164351643"/>
      <w:bookmarkStart w:id="666" w:name="_Toc264969239"/>
      <w:bookmarkStart w:id="667" w:name="_Toc226309793"/>
      <w:bookmarkStart w:id="668" w:name="_Toc195842914"/>
      <w:bookmarkStart w:id="669" w:name="_Toc226965822"/>
      <w:bookmarkStart w:id="670" w:name="_Toc164608818"/>
      <w:bookmarkStart w:id="671" w:name="_Toc127151549"/>
      <w:bookmarkStart w:id="672" w:name="_Toc151193791"/>
      <w:bookmarkStart w:id="673" w:name="_Toc151193647"/>
      <w:bookmarkStart w:id="674" w:name="_Toc150774649"/>
      <w:bookmarkStart w:id="675" w:name="_Toc151190176"/>
      <w:bookmarkStart w:id="676" w:name="_Toc151193719"/>
      <w:bookmarkStart w:id="677" w:name="_Toc164229390"/>
      <w:bookmarkStart w:id="678" w:name="_Toc151193863"/>
      <w:bookmarkStart w:id="679" w:name="_Toc164229244"/>
      <w:bookmarkStart w:id="680" w:name="_Toc265228387"/>
      <w:bookmarkStart w:id="681" w:name="_Toc149720842"/>
      <w:bookmarkStart w:id="682" w:name="_Toc226965739"/>
      <w:bookmarkStart w:id="683" w:name="_Toc226337245"/>
      <w:bookmarkStart w:id="684" w:name="_Ref467306425"/>
      <w:bookmarkStart w:id="685" w:name="_Toc520356176"/>
      <w:bookmarkStart w:id="686" w:name="_Ref467307090"/>
      <w:r>
        <w:rPr>
          <w:color w:val="auto"/>
          <w:sz w:val="24"/>
          <w:highlight w:val="none"/>
        </w:rPr>
        <w:t>中标公告与中标通知书</w:t>
      </w:r>
      <w:bookmarkEnd w:id="655"/>
      <w:bookmarkEnd w:id="656"/>
    </w:p>
    <w:p w14:paraId="297D057B">
      <w:pPr>
        <w:numPr>
          <w:ilvl w:val="1"/>
          <w:numId w:val="10"/>
        </w:numPr>
        <w:tabs>
          <w:tab w:val="left" w:pos="1080"/>
          <w:tab w:val="left" w:pos="1589"/>
          <w:tab w:val="left" w:pos="1873"/>
          <w:tab w:val="left" w:pos="2014"/>
        </w:tabs>
        <w:spacing w:line="360" w:lineRule="auto"/>
        <w:ind w:left="1077" w:hanging="720"/>
        <w:rPr>
          <w:color w:val="auto"/>
          <w:sz w:val="24"/>
          <w:highlight w:val="none"/>
        </w:rPr>
      </w:pPr>
      <w:r>
        <w:rPr>
          <w:rFonts w:hint="eastAsia"/>
          <w:color w:val="auto"/>
          <w:sz w:val="24"/>
          <w:highlight w:val="none"/>
        </w:rPr>
        <w:t>招标人</w:t>
      </w:r>
      <w:r>
        <w:rPr>
          <w:color w:val="auto"/>
          <w:sz w:val="24"/>
          <w:highlight w:val="none"/>
        </w:rPr>
        <w:t>或采购代理机构自中标人确定之日起2个工作日内，在</w:t>
      </w:r>
      <w:r>
        <w:rPr>
          <w:rFonts w:hint="eastAsia"/>
          <w:color w:val="auto"/>
          <w:sz w:val="24"/>
          <w:highlight w:val="none"/>
        </w:rPr>
        <w:t>常州市政府采购网</w:t>
      </w:r>
      <w:r>
        <w:rPr>
          <w:color w:val="auto"/>
          <w:sz w:val="24"/>
          <w:highlight w:val="none"/>
        </w:rPr>
        <w:t>公告中标结果，</w:t>
      </w:r>
      <w:r>
        <w:rPr>
          <w:rFonts w:hint="eastAsia"/>
          <w:color w:val="auto"/>
          <w:sz w:val="24"/>
          <w:highlight w:val="none"/>
        </w:rPr>
        <w:t>同时向中标人发出中标通知书，</w:t>
      </w:r>
      <w:r>
        <w:rPr>
          <w:color w:val="auto"/>
          <w:sz w:val="24"/>
          <w:highlight w:val="none"/>
        </w:rPr>
        <w:t>中标公告期限为1个工作日。</w:t>
      </w:r>
    </w:p>
    <w:p w14:paraId="6DF688DA">
      <w:pPr>
        <w:numPr>
          <w:ilvl w:val="1"/>
          <w:numId w:val="10"/>
        </w:numPr>
        <w:tabs>
          <w:tab w:val="left" w:pos="1080"/>
          <w:tab w:val="left" w:pos="1589"/>
          <w:tab w:val="left" w:pos="1873"/>
          <w:tab w:val="left" w:pos="2014"/>
        </w:tabs>
        <w:spacing w:line="360" w:lineRule="auto"/>
        <w:ind w:left="1077" w:hanging="720"/>
        <w:rPr>
          <w:color w:val="auto"/>
          <w:sz w:val="24"/>
          <w:highlight w:val="none"/>
        </w:rPr>
      </w:pPr>
      <w:r>
        <w:rPr>
          <w:color w:val="auto"/>
          <w:sz w:val="24"/>
          <w:highlight w:val="none"/>
        </w:rPr>
        <w:t>中标通知书对</w:t>
      </w:r>
      <w:r>
        <w:rPr>
          <w:rFonts w:hint="eastAsia"/>
          <w:color w:val="auto"/>
          <w:sz w:val="24"/>
          <w:highlight w:val="none"/>
        </w:rPr>
        <w:t>招标人</w:t>
      </w:r>
      <w:r>
        <w:rPr>
          <w:color w:val="auto"/>
          <w:sz w:val="24"/>
          <w:highlight w:val="none"/>
        </w:rPr>
        <w:t>和中标供应商均具有法律效力。中标通知书发出后，</w:t>
      </w:r>
      <w:r>
        <w:rPr>
          <w:rFonts w:hint="eastAsia"/>
          <w:color w:val="auto"/>
          <w:sz w:val="24"/>
          <w:highlight w:val="none"/>
        </w:rPr>
        <w:t>招标人</w:t>
      </w:r>
      <w:r>
        <w:rPr>
          <w:color w:val="auto"/>
          <w:sz w:val="24"/>
          <w:highlight w:val="none"/>
        </w:rPr>
        <w:t>改变中标结果的，或者中标供应商放弃中标项目的，应当依法承担法律责任。</w:t>
      </w:r>
    </w:p>
    <w:p w14:paraId="709A63E2">
      <w:pPr>
        <w:numPr>
          <w:ilvl w:val="0"/>
          <w:numId w:val="10"/>
        </w:numPr>
        <w:tabs>
          <w:tab w:val="left" w:pos="360"/>
          <w:tab w:val="left" w:pos="900"/>
        </w:tabs>
        <w:spacing w:line="360" w:lineRule="auto"/>
        <w:ind w:left="357" w:hanging="357"/>
        <w:outlineLvl w:val="1"/>
        <w:rPr>
          <w:color w:val="auto"/>
          <w:sz w:val="24"/>
          <w:highlight w:val="none"/>
        </w:rPr>
      </w:pPr>
      <w:r>
        <w:rPr>
          <w:color w:val="auto"/>
          <w:sz w:val="24"/>
          <w:highlight w:val="none"/>
        </w:rPr>
        <w:t>废标</w:t>
      </w:r>
    </w:p>
    <w:p w14:paraId="2F78D631">
      <w:pPr>
        <w:numPr>
          <w:ilvl w:val="1"/>
          <w:numId w:val="10"/>
        </w:numPr>
        <w:tabs>
          <w:tab w:val="left" w:pos="1080"/>
          <w:tab w:val="left" w:pos="1589"/>
          <w:tab w:val="left" w:pos="1873"/>
          <w:tab w:val="left" w:pos="2014"/>
        </w:tabs>
        <w:spacing w:line="360" w:lineRule="auto"/>
        <w:ind w:left="1077" w:hanging="720"/>
        <w:rPr>
          <w:color w:val="auto"/>
          <w:sz w:val="24"/>
          <w:highlight w:val="none"/>
        </w:rPr>
      </w:pPr>
      <w:r>
        <w:rPr>
          <w:color w:val="auto"/>
          <w:sz w:val="24"/>
          <w:highlight w:val="none"/>
        </w:rPr>
        <w:t>在招标采购中，出现下列情形之一的，应予废标：</w:t>
      </w:r>
    </w:p>
    <w:p w14:paraId="02FDEADF">
      <w:pPr>
        <w:numPr>
          <w:ilvl w:val="2"/>
          <w:numId w:val="10"/>
        </w:numPr>
        <w:tabs>
          <w:tab w:val="left" w:pos="1985"/>
          <w:tab w:val="clear" w:pos="2264"/>
        </w:tabs>
        <w:spacing w:line="360" w:lineRule="auto"/>
        <w:ind w:left="1985"/>
        <w:rPr>
          <w:color w:val="auto"/>
          <w:sz w:val="24"/>
          <w:highlight w:val="none"/>
        </w:rPr>
      </w:pPr>
      <w:r>
        <w:rPr>
          <w:color w:val="auto"/>
          <w:sz w:val="24"/>
          <w:highlight w:val="none"/>
        </w:rPr>
        <w:t>符合专业条件的供应商或者对招标文件作实质响应的供应商不足三家的；</w:t>
      </w:r>
    </w:p>
    <w:p w14:paraId="3F5DC460">
      <w:pPr>
        <w:numPr>
          <w:ilvl w:val="2"/>
          <w:numId w:val="10"/>
        </w:numPr>
        <w:tabs>
          <w:tab w:val="left" w:pos="1980"/>
        </w:tabs>
        <w:spacing w:line="360" w:lineRule="auto"/>
        <w:ind w:hanging="1130"/>
        <w:rPr>
          <w:color w:val="auto"/>
          <w:sz w:val="24"/>
          <w:highlight w:val="none"/>
        </w:rPr>
      </w:pPr>
      <w:r>
        <w:rPr>
          <w:color w:val="auto"/>
          <w:sz w:val="24"/>
          <w:highlight w:val="none"/>
        </w:rPr>
        <w:t>出现影响采购公正的违法、违规行为的；</w:t>
      </w:r>
    </w:p>
    <w:p w14:paraId="674BAB9E">
      <w:pPr>
        <w:numPr>
          <w:ilvl w:val="2"/>
          <w:numId w:val="10"/>
        </w:numPr>
        <w:tabs>
          <w:tab w:val="left" w:pos="1980"/>
        </w:tabs>
        <w:spacing w:line="360" w:lineRule="auto"/>
        <w:ind w:hanging="1130"/>
        <w:rPr>
          <w:color w:val="auto"/>
          <w:sz w:val="24"/>
          <w:highlight w:val="none"/>
        </w:rPr>
      </w:pPr>
      <w:r>
        <w:rPr>
          <w:color w:val="auto"/>
          <w:sz w:val="24"/>
          <w:highlight w:val="none"/>
        </w:rPr>
        <w:t>投标人的报价均超过了采购预算，</w:t>
      </w:r>
      <w:r>
        <w:rPr>
          <w:rFonts w:hint="eastAsia"/>
          <w:color w:val="auto"/>
          <w:sz w:val="24"/>
          <w:highlight w:val="none"/>
        </w:rPr>
        <w:t>招标人</w:t>
      </w:r>
      <w:r>
        <w:rPr>
          <w:color w:val="auto"/>
          <w:sz w:val="24"/>
          <w:highlight w:val="none"/>
        </w:rPr>
        <w:t>不能支付的；</w:t>
      </w:r>
    </w:p>
    <w:p w14:paraId="21E8C970">
      <w:pPr>
        <w:numPr>
          <w:ilvl w:val="2"/>
          <w:numId w:val="10"/>
        </w:numPr>
        <w:tabs>
          <w:tab w:val="left" w:pos="1980"/>
        </w:tabs>
        <w:spacing w:line="360" w:lineRule="auto"/>
        <w:ind w:hanging="1130"/>
        <w:rPr>
          <w:color w:val="auto"/>
          <w:sz w:val="24"/>
          <w:highlight w:val="none"/>
        </w:rPr>
      </w:pPr>
      <w:r>
        <w:rPr>
          <w:color w:val="auto"/>
          <w:sz w:val="24"/>
          <w:highlight w:val="none"/>
        </w:rPr>
        <w:t>因重大变故，采购任务取消的。</w:t>
      </w:r>
    </w:p>
    <w:p w14:paraId="16B60E98">
      <w:pPr>
        <w:numPr>
          <w:ilvl w:val="1"/>
          <w:numId w:val="10"/>
        </w:numPr>
        <w:tabs>
          <w:tab w:val="left" w:pos="1080"/>
          <w:tab w:val="left" w:pos="1589"/>
          <w:tab w:val="left" w:pos="1873"/>
          <w:tab w:val="left" w:pos="2014"/>
        </w:tabs>
        <w:spacing w:line="360" w:lineRule="auto"/>
        <w:ind w:left="1077" w:hanging="720"/>
        <w:rPr>
          <w:color w:val="auto"/>
          <w:sz w:val="24"/>
          <w:highlight w:val="none"/>
        </w:rPr>
      </w:pPr>
      <w:r>
        <w:rPr>
          <w:color w:val="auto"/>
          <w:sz w:val="24"/>
          <w:highlight w:val="none"/>
        </w:rPr>
        <w:t>废标后，</w:t>
      </w:r>
      <w:r>
        <w:rPr>
          <w:rFonts w:hint="eastAsia"/>
          <w:color w:val="auto"/>
          <w:sz w:val="24"/>
          <w:highlight w:val="none"/>
        </w:rPr>
        <w:t>招标人</w:t>
      </w:r>
      <w:r>
        <w:rPr>
          <w:color w:val="auto"/>
          <w:sz w:val="24"/>
          <w:highlight w:val="none"/>
        </w:rPr>
        <w:t>将废标理由通知所有投标人。</w:t>
      </w:r>
    </w:p>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p w14:paraId="3CC8822F">
      <w:pPr>
        <w:numPr>
          <w:ilvl w:val="0"/>
          <w:numId w:val="10"/>
        </w:numPr>
        <w:tabs>
          <w:tab w:val="left" w:pos="360"/>
          <w:tab w:val="left" w:pos="900"/>
        </w:tabs>
        <w:spacing w:line="360" w:lineRule="auto"/>
        <w:ind w:left="357" w:hanging="357"/>
        <w:outlineLvl w:val="1"/>
        <w:rPr>
          <w:color w:val="auto"/>
          <w:sz w:val="24"/>
          <w:highlight w:val="none"/>
        </w:rPr>
      </w:pPr>
      <w:bookmarkStart w:id="687" w:name="_Toc127151550"/>
      <w:bookmarkStart w:id="688" w:name="_Toc150480788"/>
      <w:bookmarkStart w:id="689" w:name="_Toc226309794"/>
      <w:bookmarkStart w:id="690" w:name="_Toc151193720"/>
      <w:bookmarkStart w:id="691" w:name="_Toc164608819"/>
      <w:bookmarkStart w:id="692" w:name="_Toc164608664"/>
      <w:bookmarkStart w:id="693" w:name="_Toc226965823"/>
      <w:bookmarkStart w:id="694" w:name="_Toc164229245"/>
      <w:bookmarkStart w:id="695" w:name="_Toc150509301"/>
      <w:bookmarkStart w:id="696" w:name="_Toc305158818"/>
      <w:bookmarkStart w:id="697" w:name="_Toc150774650"/>
      <w:bookmarkStart w:id="698" w:name="_Toc149720843"/>
      <w:bookmarkStart w:id="699" w:name="_Ref467306377"/>
      <w:bookmarkStart w:id="700" w:name="_Ref467307204"/>
      <w:bookmarkStart w:id="701" w:name="_Toc151193792"/>
      <w:bookmarkStart w:id="702" w:name="_Toc151190177"/>
      <w:bookmarkStart w:id="703" w:name="_Toc151193648"/>
      <w:bookmarkStart w:id="704" w:name="_Toc264969240"/>
      <w:bookmarkStart w:id="705" w:name="_Toc127161464"/>
      <w:bookmarkStart w:id="706" w:name="_Toc142311052"/>
      <w:bookmarkStart w:id="707" w:name="_Toc164351644"/>
      <w:bookmarkStart w:id="708" w:name="_Toc226337246"/>
      <w:bookmarkStart w:id="709" w:name="_Toc150774755"/>
      <w:bookmarkStart w:id="710" w:name="_Toc265228388"/>
      <w:bookmarkStart w:id="711" w:name="_Toc226965740"/>
      <w:bookmarkStart w:id="712" w:name="_Ref467306978"/>
      <w:bookmarkStart w:id="713" w:name="_Toc127151751"/>
      <w:bookmarkStart w:id="714" w:name="_Ref467307062"/>
      <w:bookmarkStart w:id="715" w:name="_Toc164229391"/>
      <w:bookmarkStart w:id="716" w:name="_Toc520356175"/>
      <w:bookmarkStart w:id="717" w:name="_Toc151193864"/>
      <w:bookmarkStart w:id="718" w:name="_Toc305158892"/>
      <w:bookmarkStart w:id="719" w:name="_Toc151193938"/>
      <w:bookmarkStart w:id="720" w:name="_Toc195842915"/>
      <w:r>
        <w:rPr>
          <w:color w:val="auto"/>
          <w:sz w:val="24"/>
          <w:highlight w:val="none"/>
        </w:rPr>
        <w:t>签订合同</w:t>
      </w:r>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p>
    <w:p w14:paraId="092A5CB8">
      <w:pPr>
        <w:numPr>
          <w:ilvl w:val="1"/>
          <w:numId w:val="10"/>
        </w:numPr>
        <w:tabs>
          <w:tab w:val="left" w:pos="1080"/>
          <w:tab w:val="left" w:pos="1589"/>
          <w:tab w:val="left" w:pos="1873"/>
          <w:tab w:val="left" w:pos="2014"/>
        </w:tabs>
        <w:spacing w:line="360" w:lineRule="auto"/>
        <w:ind w:left="1077" w:hanging="720"/>
        <w:rPr>
          <w:color w:val="auto"/>
          <w:sz w:val="24"/>
          <w:highlight w:val="none"/>
        </w:rPr>
      </w:pPr>
      <w:r>
        <w:rPr>
          <w:color w:val="auto"/>
          <w:sz w:val="24"/>
          <w:highlight w:val="none"/>
        </w:rPr>
        <w:t>中标人、</w:t>
      </w:r>
      <w:r>
        <w:rPr>
          <w:rFonts w:hint="eastAsia"/>
          <w:color w:val="auto"/>
          <w:sz w:val="24"/>
          <w:highlight w:val="none"/>
        </w:rPr>
        <w:t>招标人</w:t>
      </w:r>
      <w:r>
        <w:rPr>
          <w:color w:val="auto"/>
          <w:sz w:val="24"/>
          <w:highlight w:val="none"/>
        </w:rPr>
        <w:t>应当自中标通知书发出之日起30日内，按照招标文件和中标人投标文件的规定签订书面合同。所签订的合同不得对招标文件确定的事项和中标人投标文件作实质性修改。</w:t>
      </w:r>
    </w:p>
    <w:p w14:paraId="697679DE">
      <w:pPr>
        <w:numPr>
          <w:ilvl w:val="1"/>
          <w:numId w:val="10"/>
        </w:numPr>
        <w:tabs>
          <w:tab w:val="left" w:pos="1080"/>
          <w:tab w:val="left" w:pos="1589"/>
          <w:tab w:val="left" w:pos="1873"/>
          <w:tab w:val="left" w:pos="2014"/>
        </w:tabs>
        <w:spacing w:line="360" w:lineRule="auto"/>
        <w:ind w:left="1077" w:hanging="720"/>
        <w:rPr>
          <w:color w:val="auto"/>
          <w:sz w:val="24"/>
          <w:highlight w:val="none"/>
        </w:rPr>
      </w:pPr>
      <w:r>
        <w:rPr>
          <w:color w:val="auto"/>
          <w:sz w:val="24"/>
          <w:highlight w:val="none"/>
        </w:rPr>
        <w:t>中标人</w:t>
      </w:r>
      <w:r>
        <w:rPr>
          <w:rFonts w:hint="eastAsia"/>
          <w:color w:val="auto"/>
          <w:sz w:val="24"/>
          <w:highlight w:val="none"/>
        </w:rPr>
        <w:t>拒绝</w:t>
      </w:r>
      <w:r>
        <w:rPr>
          <w:color w:val="auto"/>
          <w:sz w:val="24"/>
          <w:highlight w:val="none"/>
        </w:rPr>
        <w:t>与</w:t>
      </w:r>
      <w:r>
        <w:rPr>
          <w:rFonts w:hint="eastAsia"/>
          <w:color w:val="auto"/>
          <w:sz w:val="24"/>
          <w:highlight w:val="none"/>
        </w:rPr>
        <w:t>招标人</w:t>
      </w:r>
      <w:r>
        <w:rPr>
          <w:color w:val="auto"/>
          <w:sz w:val="24"/>
          <w:highlight w:val="none"/>
        </w:rPr>
        <w:t>签订合同的，</w:t>
      </w:r>
      <w:r>
        <w:rPr>
          <w:rFonts w:hint="eastAsia"/>
          <w:color w:val="auto"/>
          <w:sz w:val="24"/>
          <w:highlight w:val="none"/>
        </w:rPr>
        <w:t>招标人可以</w:t>
      </w:r>
      <w:r>
        <w:rPr>
          <w:color w:val="auto"/>
          <w:sz w:val="24"/>
          <w:highlight w:val="none"/>
        </w:rPr>
        <w:t>按照评</w:t>
      </w:r>
      <w:r>
        <w:rPr>
          <w:rFonts w:hint="eastAsia"/>
          <w:color w:val="auto"/>
          <w:sz w:val="24"/>
          <w:highlight w:val="none"/>
        </w:rPr>
        <w:t>标</w:t>
      </w:r>
      <w:r>
        <w:rPr>
          <w:color w:val="auto"/>
          <w:sz w:val="24"/>
          <w:highlight w:val="none"/>
        </w:rPr>
        <w:t>报告推荐的中标候选人名单排序，确定下一候选人为中标人，</w:t>
      </w:r>
      <w:r>
        <w:rPr>
          <w:rFonts w:hint="eastAsia"/>
          <w:color w:val="auto"/>
          <w:sz w:val="24"/>
          <w:highlight w:val="none"/>
        </w:rPr>
        <w:t>也可以</w:t>
      </w:r>
      <w:r>
        <w:rPr>
          <w:color w:val="auto"/>
          <w:sz w:val="24"/>
          <w:highlight w:val="none"/>
        </w:rPr>
        <w:t>重新开展政府采购活动。</w:t>
      </w:r>
    </w:p>
    <w:p w14:paraId="645021B3">
      <w:pPr>
        <w:numPr>
          <w:ilvl w:val="1"/>
          <w:numId w:val="10"/>
        </w:numPr>
        <w:tabs>
          <w:tab w:val="left" w:pos="1080"/>
          <w:tab w:val="left" w:pos="1589"/>
          <w:tab w:val="left" w:pos="1873"/>
          <w:tab w:val="left" w:pos="2014"/>
        </w:tabs>
        <w:spacing w:line="360" w:lineRule="auto"/>
        <w:ind w:left="1077" w:hanging="720"/>
        <w:rPr>
          <w:color w:val="auto"/>
          <w:sz w:val="24"/>
          <w:highlight w:val="none"/>
        </w:rPr>
      </w:pPr>
      <w:r>
        <w:rPr>
          <w:color w:val="auto"/>
          <w:sz w:val="24"/>
          <w:highlight w:val="none"/>
        </w:rPr>
        <w:t>联合体中标的，联合体各方应当共同与</w:t>
      </w:r>
      <w:r>
        <w:rPr>
          <w:rFonts w:hint="eastAsia"/>
          <w:color w:val="auto"/>
          <w:sz w:val="24"/>
          <w:highlight w:val="none"/>
        </w:rPr>
        <w:t>招标人</w:t>
      </w:r>
      <w:r>
        <w:rPr>
          <w:color w:val="auto"/>
          <w:sz w:val="24"/>
          <w:highlight w:val="none"/>
        </w:rPr>
        <w:t>签订合同，就中标项目向</w:t>
      </w:r>
      <w:r>
        <w:rPr>
          <w:rFonts w:hint="eastAsia"/>
          <w:color w:val="auto"/>
          <w:sz w:val="24"/>
          <w:highlight w:val="none"/>
        </w:rPr>
        <w:t>招标人</w:t>
      </w:r>
      <w:r>
        <w:rPr>
          <w:color w:val="auto"/>
          <w:sz w:val="24"/>
          <w:highlight w:val="none"/>
        </w:rPr>
        <w:t>承担连带责任。</w:t>
      </w:r>
    </w:p>
    <w:p w14:paraId="228AA091">
      <w:pPr>
        <w:numPr>
          <w:ilvl w:val="1"/>
          <w:numId w:val="10"/>
        </w:numPr>
        <w:tabs>
          <w:tab w:val="left" w:pos="1080"/>
          <w:tab w:val="left" w:pos="1589"/>
          <w:tab w:val="left" w:pos="1873"/>
          <w:tab w:val="left" w:pos="2014"/>
        </w:tabs>
        <w:spacing w:line="360" w:lineRule="auto"/>
        <w:ind w:left="1077" w:hanging="720"/>
        <w:rPr>
          <w:color w:val="auto"/>
          <w:sz w:val="24"/>
          <w:highlight w:val="none"/>
        </w:rPr>
      </w:pPr>
      <w:r>
        <w:rPr>
          <w:color w:val="auto"/>
          <w:sz w:val="24"/>
          <w:highlight w:val="none"/>
        </w:rPr>
        <w:t>政府采购合同不能转包。</w:t>
      </w:r>
    </w:p>
    <w:p w14:paraId="3E31E5FD">
      <w:pPr>
        <w:numPr>
          <w:ilvl w:val="1"/>
          <w:numId w:val="10"/>
        </w:numPr>
        <w:tabs>
          <w:tab w:val="left" w:pos="1080"/>
          <w:tab w:val="left" w:pos="1589"/>
          <w:tab w:val="left" w:pos="1873"/>
          <w:tab w:val="left" w:pos="2014"/>
        </w:tabs>
        <w:spacing w:line="360" w:lineRule="auto"/>
        <w:ind w:left="1077" w:hanging="720"/>
        <w:rPr>
          <w:color w:val="auto"/>
          <w:sz w:val="24"/>
          <w:highlight w:val="none"/>
        </w:rPr>
      </w:pPr>
      <w:r>
        <w:rPr>
          <w:rFonts w:hint="eastAsia"/>
          <w:color w:val="auto"/>
          <w:sz w:val="24"/>
          <w:highlight w:val="none"/>
        </w:rPr>
        <w:t>招标人</w:t>
      </w:r>
      <w:r>
        <w:rPr>
          <w:color w:val="auto"/>
          <w:sz w:val="24"/>
          <w:highlight w:val="none"/>
        </w:rPr>
        <w:t>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auto"/>
          <w:sz w:val="24"/>
          <w:highlight w:val="none"/>
        </w:rPr>
        <w:t>，</w:t>
      </w:r>
      <w:r>
        <w:rPr>
          <w:color w:val="auto"/>
          <w:sz w:val="24"/>
          <w:highlight w:val="none"/>
        </w:rPr>
        <w:t>否则</w:t>
      </w:r>
      <w:r>
        <w:rPr>
          <w:b/>
          <w:color w:val="auto"/>
          <w:sz w:val="24"/>
          <w:highlight w:val="none"/>
        </w:rPr>
        <w:t>投标无效</w:t>
      </w:r>
      <w:r>
        <w:rPr>
          <w:color w:val="auto"/>
          <w:sz w:val="24"/>
          <w:highlight w:val="none"/>
        </w:rPr>
        <w:t>。中标人就采购项目和分包项目向</w:t>
      </w:r>
      <w:r>
        <w:rPr>
          <w:rFonts w:hint="eastAsia"/>
          <w:color w:val="auto"/>
          <w:sz w:val="24"/>
          <w:highlight w:val="none"/>
        </w:rPr>
        <w:t>招标人</w:t>
      </w:r>
      <w:r>
        <w:rPr>
          <w:color w:val="auto"/>
          <w:sz w:val="24"/>
          <w:highlight w:val="none"/>
        </w:rPr>
        <w:t>负责，分包供应商就分包项目承担责任。</w:t>
      </w:r>
    </w:p>
    <w:bookmarkEnd w:id="684"/>
    <w:bookmarkEnd w:id="685"/>
    <w:bookmarkEnd w:id="686"/>
    <w:p w14:paraId="76B8FBB8">
      <w:pPr>
        <w:numPr>
          <w:ilvl w:val="0"/>
          <w:numId w:val="10"/>
        </w:numPr>
        <w:tabs>
          <w:tab w:val="left" w:pos="360"/>
          <w:tab w:val="left" w:pos="900"/>
        </w:tabs>
        <w:spacing w:line="360" w:lineRule="auto"/>
        <w:ind w:left="357" w:hanging="357"/>
        <w:outlineLvl w:val="1"/>
        <w:rPr>
          <w:color w:val="auto"/>
          <w:sz w:val="24"/>
          <w:highlight w:val="none"/>
        </w:rPr>
      </w:pPr>
      <w:r>
        <w:rPr>
          <w:color w:val="auto"/>
          <w:sz w:val="24"/>
          <w:highlight w:val="none"/>
        </w:rPr>
        <w:t>询问与质疑</w:t>
      </w:r>
    </w:p>
    <w:p w14:paraId="3D59C3FD">
      <w:pPr>
        <w:numPr>
          <w:ilvl w:val="1"/>
          <w:numId w:val="10"/>
        </w:numPr>
        <w:tabs>
          <w:tab w:val="left" w:pos="1080"/>
          <w:tab w:val="left" w:pos="1589"/>
          <w:tab w:val="left" w:pos="1873"/>
          <w:tab w:val="left" w:pos="2014"/>
        </w:tabs>
        <w:spacing w:line="360" w:lineRule="auto"/>
        <w:ind w:left="1077" w:hanging="720"/>
        <w:rPr>
          <w:color w:val="auto"/>
          <w:sz w:val="24"/>
          <w:highlight w:val="none"/>
        </w:rPr>
      </w:pPr>
      <w:r>
        <w:rPr>
          <w:color w:val="auto"/>
          <w:sz w:val="24"/>
          <w:highlight w:val="none"/>
        </w:rPr>
        <w:t>询问</w:t>
      </w:r>
    </w:p>
    <w:p w14:paraId="3C2B2F96">
      <w:pPr>
        <w:numPr>
          <w:ilvl w:val="2"/>
          <w:numId w:val="10"/>
        </w:numPr>
        <w:tabs>
          <w:tab w:val="left" w:pos="1980"/>
          <w:tab w:val="clear" w:pos="2264"/>
        </w:tabs>
        <w:spacing w:line="360" w:lineRule="auto"/>
        <w:ind w:left="1985"/>
        <w:rPr>
          <w:color w:val="auto"/>
          <w:sz w:val="24"/>
          <w:highlight w:val="none"/>
        </w:rPr>
      </w:pPr>
      <w:r>
        <w:rPr>
          <w:color w:val="auto"/>
          <w:sz w:val="24"/>
          <w:highlight w:val="none"/>
        </w:rPr>
        <w:t>投标人对政府采购活动事项有疑问的，可依法提出询问，并按《投标人须知资料表》载明的形式送达</w:t>
      </w:r>
      <w:r>
        <w:rPr>
          <w:rFonts w:hint="eastAsia"/>
          <w:color w:val="auto"/>
          <w:sz w:val="24"/>
          <w:highlight w:val="none"/>
        </w:rPr>
        <w:t>招标人</w:t>
      </w:r>
      <w:r>
        <w:rPr>
          <w:color w:val="auto"/>
          <w:sz w:val="24"/>
          <w:highlight w:val="none"/>
        </w:rPr>
        <w:t>或采购代理机构。</w:t>
      </w:r>
    </w:p>
    <w:p w14:paraId="5E554F29">
      <w:pPr>
        <w:numPr>
          <w:ilvl w:val="2"/>
          <w:numId w:val="10"/>
        </w:numPr>
        <w:tabs>
          <w:tab w:val="left" w:pos="1980"/>
          <w:tab w:val="clear" w:pos="2264"/>
        </w:tabs>
        <w:spacing w:line="360" w:lineRule="auto"/>
        <w:ind w:left="1985"/>
        <w:rPr>
          <w:color w:val="auto"/>
          <w:sz w:val="24"/>
          <w:highlight w:val="none"/>
        </w:rPr>
      </w:pPr>
      <w:r>
        <w:rPr>
          <w:rFonts w:hint="eastAsia"/>
          <w:color w:val="auto"/>
          <w:sz w:val="24"/>
          <w:highlight w:val="none"/>
        </w:rPr>
        <w:t>招标人</w:t>
      </w:r>
      <w:r>
        <w:rPr>
          <w:color w:val="auto"/>
          <w:sz w:val="24"/>
          <w:highlight w:val="none"/>
        </w:rPr>
        <w:t>或采购代理机构对供应商依法提出的询问，在3个工作日内作出答复，但答复的内容不得涉及商业秘密。</w:t>
      </w:r>
    </w:p>
    <w:p w14:paraId="1DBEF1AB">
      <w:pPr>
        <w:numPr>
          <w:ilvl w:val="1"/>
          <w:numId w:val="10"/>
        </w:numPr>
        <w:tabs>
          <w:tab w:val="left" w:pos="1080"/>
          <w:tab w:val="left" w:pos="1589"/>
          <w:tab w:val="left" w:pos="1873"/>
          <w:tab w:val="left" w:pos="2014"/>
        </w:tabs>
        <w:spacing w:line="360" w:lineRule="auto"/>
        <w:ind w:left="1077" w:hanging="720"/>
        <w:rPr>
          <w:color w:val="auto"/>
          <w:sz w:val="24"/>
          <w:highlight w:val="none"/>
        </w:rPr>
      </w:pPr>
      <w:r>
        <w:rPr>
          <w:color w:val="auto"/>
          <w:sz w:val="24"/>
          <w:highlight w:val="none"/>
        </w:rPr>
        <w:t>质疑</w:t>
      </w:r>
    </w:p>
    <w:p w14:paraId="25066DD7">
      <w:pPr>
        <w:numPr>
          <w:ilvl w:val="2"/>
          <w:numId w:val="10"/>
        </w:numPr>
        <w:tabs>
          <w:tab w:val="left" w:pos="1985"/>
          <w:tab w:val="clear" w:pos="2264"/>
        </w:tabs>
        <w:snapToGrid w:val="0"/>
        <w:spacing w:line="360" w:lineRule="auto"/>
        <w:ind w:left="1985" w:hanging="851"/>
        <w:rPr>
          <w:rFonts w:hint="eastAsia"/>
          <w:color w:val="auto"/>
          <w:sz w:val="24"/>
          <w:highlight w:val="none"/>
        </w:rPr>
      </w:pPr>
      <w:r>
        <w:rPr>
          <w:color w:val="auto"/>
          <w:sz w:val="24"/>
          <w:highlight w:val="none"/>
        </w:rPr>
        <w:t>投标人认为</w:t>
      </w:r>
      <w:r>
        <w:rPr>
          <w:rFonts w:hint="eastAsia"/>
          <w:color w:val="auto"/>
          <w:sz w:val="24"/>
          <w:highlight w:val="none"/>
        </w:rPr>
        <w:t>招标文件</w:t>
      </w:r>
      <w:r>
        <w:rPr>
          <w:color w:val="auto"/>
          <w:sz w:val="24"/>
          <w:highlight w:val="none"/>
        </w:rPr>
        <w:t>、采购过程、中标结果使自己的权益受到损害的，可以在知道或者应知其权益受到损害之日起7个工作日内，由投标人派授权代表以书面形式向</w:t>
      </w:r>
      <w:r>
        <w:rPr>
          <w:rFonts w:hint="eastAsia"/>
          <w:color w:val="auto"/>
          <w:sz w:val="24"/>
          <w:highlight w:val="none"/>
        </w:rPr>
        <w:t>招标人</w:t>
      </w:r>
      <w:r>
        <w:rPr>
          <w:color w:val="auto"/>
          <w:sz w:val="24"/>
          <w:highlight w:val="none"/>
        </w:rPr>
        <w:t>、采购代理机构提出质疑。</w:t>
      </w:r>
      <w:r>
        <w:rPr>
          <w:rFonts w:hint="eastAsia"/>
          <w:color w:val="auto"/>
          <w:sz w:val="24"/>
          <w:highlight w:val="none"/>
        </w:rPr>
        <w:t>招标人</w:t>
      </w:r>
      <w:r>
        <w:rPr>
          <w:color w:val="auto"/>
          <w:sz w:val="24"/>
          <w:highlight w:val="none"/>
        </w:rPr>
        <w:t>、采购代理机构在收到质疑函后7个工作日内作出答复。</w:t>
      </w:r>
    </w:p>
    <w:p w14:paraId="4E57116D">
      <w:pPr>
        <w:numPr>
          <w:ilvl w:val="2"/>
          <w:numId w:val="10"/>
        </w:numPr>
        <w:tabs>
          <w:tab w:val="left" w:pos="1843"/>
          <w:tab w:val="left" w:pos="1980"/>
          <w:tab w:val="clear" w:pos="2264"/>
        </w:tabs>
        <w:snapToGrid w:val="0"/>
        <w:spacing w:line="360" w:lineRule="auto"/>
        <w:ind w:left="1985"/>
        <w:rPr>
          <w:color w:val="auto"/>
          <w:sz w:val="24"/>
          <w:highlight w:val="none"/>
        </w:rPr>
      </w:pPr>
      <w:r>
        <w:rPr>
          <w:color w:val="auto"/>
          <w:sz w:val="24"/>
          <w:highlight w:val="none"/>
        </w:rPr>
        <w:t>质疑函须使用财政部制定的范本文件。</w:t>
      </w:r>
      <w:r>
        <w:rPr>
          <w:rFonts w:hint="eastAsia"/>
          <w:color w:val="auto"/>
          <w:sz w:val="24"/>
          <w:highlight w:val="none"/>
        </w:rPr>
        <w:t>（下载网址：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42"/>
          <w:color w:val="auto"/>
          <w:highlight w:val="none"/>
        </w:rPr>
        <w:t>http://gk</w:t>
      </w:r>
      <w:bookmarkStart w:id="721" w:name="_Hlt100654014"/>
      <w:r>
        <w:rPr>
          <w:rStyle w:val="42"/>
          <w:color w:val="auto"/>
          <w:highlight w:val="none"/>
        </w:rPr>
        <w:t>s</w:t>
      </w:r>
      <w:bookmarkEnd w:id="721"/>
      <w:r>
        <w:rPr>
          <w:rStyle w:val="42"/>
          <w:color w:val="auto"/>
          <w:highlight w:val="none"/>
        </w:rPr>
        <w:t>.m</w:t>
      </w:r>
      <w:bookmarkStart w:id="722" w:name="_Hlt100653994"/>
      <w:bookmarkStart w:id="723" w:name="_Hlt100653993"/>
      <w:r>
        <w:rPr>
          <w:rStyle w:val="42"/>
          <w:color w:val="auto"/>
          <w:highlight w:val="none"/>
        </w:rPr>
        <w:t>o</w:t>
      </w:r>
      <w:bookmarkEnd w:id="722"/>
      <w:bookmarkEnd w:id="723"/>
      <w:r>
        <w:rPr>
          <w:rStyle w:val="42"/>
          <w:color w:val="auto"/>
          <w:highlight w:val="none"/>
        </w:rPr>
        <w:t>f.gov.cn/ztztz/zhengfucaigouguanli/201802/t20180201_2804589.htm</w:t>
      </w:r>
      <w:r>
        <w:rPr>
          <w:color w:val="auto"/>
          <w:highlight w:val="none"/>
        </w:rPr>
        <w:fldChar w:fldCharType="end"/>
      </w:r>
      <w:r>
        <w:rPr>
          <w:rFonts w:hint="eastAsia"/>
          <w:color w:val="auto"/>
          <w:highlight w:val="none"/>
        </w:rPr>
        <w:t>）</w:t>
      </w:r>
    </w:p>
    <w:p w14:paraId="60FB6C37">
      <w:pPr>
        <w:numPr>
          <w:ilvl w:val="2"/>
          <w:numId w:val="10"/>
        </w:numPr>
        <w:tabs>
          <w:tab w:val="left" w:pos="1980"/>
          <w:tab w:val="clear" w:pos="2264"/>
        </w:tabs>
        <w:snapToGrid w:val="0"/>
        <w:spacing w:line="360" w:lineRule="auto"/>
        <w:ind w:left="1985"/>
        <w:rPr>
          <w:color w:val="auto"/>
          <w:sz w:val="24"/>
          <w:highlight w:val="none"/>
        </w:rPr>
      </w:pPr>
      <w:r>
        <w:rPr>
          <w:color w:val="auto"/>
          <w:sz w:val="24"/>
          <w:highlight w:val="none"/>
        </w:rPr>
        <w:t>投标人为自然人的，应当由本人签字；投标人为法人或者其他组织的，应当由法定代表人、主要负责人，或者其授权代表签字或者加盖公章，并加盖公章。</w:t>
      </w:r>
    </w:p>
    <w:p w14:paraId="02AE3EEF">
      <w:pPr>
        <w:numPr>
          <w:ilvl w:val="2"/>
          <w:numId w:val="10"/>
        </w:numPr>
        <w:tabs>
          <w:tab w:val="left" w:pos="1985"/>
          <w:tab w:val="clear" w:pos="2264"/>
        </w:tabs>
        <w:spacing w:line="360" w:lineRule="auto"/>
        <w:ind w:left="1985"/>
        <w:rPr>
          <w:color w:val="auto"/>
          <w:sz w:val="24"/>
          <w:highlight w:val="none"/>
        </w:rPr>
      </w:pPr>
      <w:r>
        <w:rPr>
          <w:color w:val="auto"/>
          <w:sz w:val="24"/>
          <w:highlight w:val="none"/>
        </w:rPr>
        <w:t>投标人应在法定质疑期内一次性提出针对同一采购程序环节的质疑，法定质疑期内针对同一采购程序环节再次提出的质疑，</w:t>
      </w:r>
      <w:r>
        <w:rPr>
          <w:rFonts w:hint="eastAsia"/>
          <w:color w:val="auto"/>
          <w:sz w:val="24"/>
          <w:highlight w:val="none"/>
        </w:rPr>
        <w:t>招标人</w:t>
      </w:r>
      <w:r>
        <w:rPr>
          <w:color w:val="auto"/>
          <w:sz w:val="24"/>
          <w:highlight w:val="none"/>
        </w:rPr>
        <w:t>、采购代理机构有权不予答复。</w:t>
      </w:r>
    </w:p>
    <w:p w14:paraId="04267BF3">
      <w:pPr>
        <w:numPr>
          <w:ilvl w:val="1"/>
          <w:numId w:val="10"/>
        </w:numPr>
        <w:tabs>
          <w:tab w:val="left" w:pos="1080"/>
          <w:tab w:val="left" w:pos="1589"/>
          <w:tab w:val="left" w:pos="1873"/>
          <w:tab w:val="left" w:pos="2014"/>
        </w:tabs>
        <w:spacing w:line="360" w:lineRule="auto"/>
        <w:ind w:left="1077" w:hanging="720"/>
        <w:rPr>
          <w:color w:val="auto"/>
          <w:sz w:val="24"/>
          <w:highlight w:val="none"/>
        </w:rPr>
      </w:pPr>
      <w:r>
        <w:rPr>
          <w:color w:val="auto"/>
          <w:sz w:val="24"/>
          <w:highlight w:val="none"/>
        </w:rPr>
        <w:t>接收询问和质疑的联系部门、联系电话和通讯地址见《投标人须知资料表》</w:t>
      </w:r>
      <w:r>
        <w:rPr>
          <w:rFonts w:hint="eastAsia"/>
          <w:color w:val="auto"/>
          <w:sz w:val="24"/>
          <w:highlight w:val="none"/>
        </w:rPr>
        <w:t>。</w:t>
      </w:r>
    </w:p>
    <w:p w14:paraId="3DE3B013">
      <w:pPr>
        <w:numPr>
          <w:ilvl w:val="0"/>
          <w:numId w:val="10"/>
        </w:numPr>
        <w:tabs>
          <w:tab w:val="left" w:pos="360"/>
          <w:tab w:val="left" w:pos="900"/>
        </w:tabs>
        <w:spacing w:line="360" w:lineRule="auto"/>
        <w:ind w:left="357" w:hanging="357"/>
        <w:outlineLvl w:val="1"/>
        <w:rPr>
          <w:color w:val="auto"/>
          <w:sz w:val="24"/>
          <w:highlight w:val="none"/>
        </w:rPr>
      </w:pPr>
      <w:r>
        <w:rPr>
          <w:color w:val="auto"/>
          <w:sz w:val="24"/>
          <w:highlight w:val="none"/>
        </w:rPr>
        <w:t>代理费</w:t>
      </w:r>
    </w:p>
    <w:p w14:paraId="67EC49A5">
      <w:pPr>
        <w:numPr>
          <w:ilvl w:val="1"/>
          <w:numId w:val="12"/>
        </w:numPr>
        <w:tabs>
          <w:tab w:val="left" w:pos="1080"/>
          <w:tab w:val="left" w:pos="1589"/>
          <w:tab w:val="left" w:pos="1873"/>
          <w:tab w:val="left" w:pos="2014"/>
        </w:tabs>
        <w:snapToGrid w:val="0"/>
        <w:spacing w:line="360" w:lineRule="auto"/>
        <w:ind w:left="1077" w:hanging="720"/>
        <w:rPr>
          <w:color w:val="auto"/>
          <w:sz w:val="24"/>
          <w:highlight w:val="none"/>
        </w:rPr>
      </w:pPr>
      <w:r>
        <w:rPr>
          <w:color w:val="auto"/>
          <w:sz w:val="24"/>
          <w:highlight w:val="none"/>
        </w:rPr>
        <w:t>收费对象、收费标准及缴纳时间见《投标人须知资料表》。由中标人支付的，中标人须一次性向采购代理机构缴纳代理费，投标报价应包含代理费用</w:t>
      </w:r>
      <w:bookmarkStart w:id="724" w:name="OLE_LINK15"/>
      <w:bookmarkStart w:id="725" w:name="OLE_LINK9"/>
      <w:bookmarkStart w:id="726" w:name="OLE_LINK20"/>
      <w:r>
        <w:rPr>
          <w:color w:val="auto"/>
          <w:sz w:val="24"/>
          <w:highlight w:val="none"/>
        </w:rPr>
        <w:t>及前期项目相关论证等费用</w:t>
      </w:r>
      <w:bookmarkEnd w:id="724"/>
      <w:bookmarkEnd w:id="725"/>
      <w:bookmarkEnd w:id="726"/>
      <w:r>
        <w:rPr>
          <w:color w:val="auto"/>
          <w:sz w:val="24"/>
          <w:highlight w:val="none"/>
        </w:rPr>
        <w:t>。</w:t>
      </w:r>
    </w:p>
    <w:p w14:paraId="7F423704">
      <w:pPr>
        <w:tabs>
          <w:tab w:val="left" w:pos="360"/>
          <w:tab w:val="left" w:pos="1080"/>
        </w:tabs>
        <w:spacing w:line="360" w:lineRule="auto"/>
        <w:ind w:left="360"/>
        <w:rPr>
          <w:color w:val="auto"/>
          <w:sz w:val="24"/>
          <w:highlight w:val="none"/>
        </w:rPr>
      </w:pPr>
    </w:p>
    <w:p w14:paraId="705C0407">
      <w:pPr>
        <w:spacing w:line="360" w:lineRule="auto"/>
        <w:jc w:val="center"/>
        <w:outlineLvl w:val="0"/>
        <w:rPr>
          <w:b/>
          <w:color w:val="auto"/>
          <w:sz w:val="36"/>
          <w:szCs w:val="36"/>
          <w:highlight w:val="none"/>
        </w:rPr>
      </w:pPr>
      <w:bookmarkStart w:id="727" w:name="_Toc305158822"/>
      <w:bookmarkStart w:id="728" w:name="_Toc127151554"/>
      <w:bookmarkStart w:id="729" w:name="_Toc150480792"/>
      <w:bookmarkStart w:id="730" w:name="_Toc305158896"/>
      <w:bookmarkStart w:id="731" w:name="_Toc226965827"/>
      <w:bookmarkStart w:id="732" w:name="_Toc265228392"/>
      <w:bookmarkStart w:id="733" w:name="_Toc353873934"/>
      <w:bookmarkStart w:id="734" w:name="_Toc264969244"/>
      <w:bookmarkStart w:id="735" w:name="_Toc142311056"/>
      <w:bookmarkStart w:id="736" w:name="_Toc150774759"/>
      <w:bookmarkStart w:id="737" w:name="_Toc353873664"/>
      <w:bookmarkStart w:id="738" w:name="_Toc353825544"/>
      <w:bookmarkStart w:id="739" w:name="_Toc226337250"/>
      <w:r>
        <w:rPr>
          <w:color w:val="auto"/>
          <w:sz w:val="24"/>
          <w:highlight w:val="none"/>
        </w:rPr>
        <w:br w:type="page" w:clear="all"/>
      </w:r>
      <w:bookmarkStart w:id="740" w:name="_Toc157413234"/>
      <w:r>
        <w:rPr>
          <w:b/>
          <w:color w:val="auto"/>
          <w:sz w:val="36"/>
          <w:szCs w:val="36"/>
          <w:highlight w:val="none"/>
        </w:rPr>
        <w:t xml:space="preserve">第三章   </w:t>
      </w:r>
      <w:bookmarkEnd w:id="727"/>
      <w:bookmarkEnd w:id="728"/>
      <w:bookmarkEnd w:id="729"/>
      <w:bookmarkEnd w:id="730"/>
      <w:bookmarkEnd w:id="731"/>
      <w:bookmarkEnd w:id="732"/>
      <w:bookmarkEnd w:id="733"/>
      <w:bookmarkEnd w:id="734"/>
      <w:bookmarkEnd w:id="735"/>
      <w:bookmarkEnd w:id="736"/>
      <w:bookmarkEnd w:id="737"/>
      <w:bookmarkEnd w:id="738"/>
      <w:bookmarkEnd w:id="739"/>
      <w:r>
        <w:rPr>
          <w:b/>
          <w:color w:val="auto"/>
          <w:sz w:val="36"/>
          <w:szCs w:val="36"/>
          <w:highlight w:val="none"/>
        </w:rPr>
        <w:t>资格审查</w:t>
      </w:r>
      <w:bookmarkEnd w:id="740"/>
      <w:bookmarkStart w:id="741" w:name="_Toc487900382"/>
    </w:p>
    <w:p w14:paraId="72736F95">
      <w:pPr>
        <w:tabs>
          <w:tab w:val="left" w:pos="360"/>
          <w:tab w:val="left" w:pos="900"/>
        </w:tabs>
        <w:spacing w:line="360" w:lineRule="auto"/>
        <w:jc w:val="center"/>
        <w:outlineLvl w:val="1"/>
        <w:rPr>
          <w:b/>
          <w:color w:val="auto"/>
          <w:sz w:val="24"/>
          <w:highlight w:val="none"/>
        </w:rPr>
      </w:pPr>
      <w:bookmarkStart w:id="742" w:name="_Toc99301422"/>
      <w:r>
        <w:rPr>
          <w:b/>
          <w:color w:val="auto"/>
          <w:sz w:val="24"/>
          <w:highlight w:val="none"/>
        </w:rPr>
        <w:t>一、资格审查程序</w:t>
      </w:r>
      <w:bookmarkEnd w:id="742"/>
    </w:p>
    <w:p w14:paraId="67EE92B7">
      <w:pPr>
        <w:numPr>
          <w:ilvl w:val="0"/>
          <w:numId w:val="13"/>
        </w:numPr>
        <w:tabs>
          <w:tab w:val="left" w:pos="426"/>
          <w:tab w:val="left" w:pos="851"/>
          <w:tab w:val="clear" w:pos="900"/>
        </w:tabs>
        <w:spacing w:line="360" w:lineRule="auto"/>
        <w:ind w:left="426" w:hanging="426"/>
        <w:outlineLvl w:val="1"/>
        <w:rPr>
          <w:color w:val="auto"/>
          <w:sz w:val="24"/>
          <w:highlight w:val="none"/>
        </w:rPr>
      </w:pPr>
      <w:r>
        <w:rPr>
          <w:color w:val="auto"/>
          <w:sz w:val="24"/>
          <w:highlight w:val="none"/>
        </w:rPr>
        <w:t>开标结束后，</w:t>
      </w:r>
      <w:r>
        <w:rPr>
          <w:rFonts w:hint="eastAsia"/>
          <w:color w:val="auto"/>
          <w:sz w:val="24"/>
          <w:highlight w:val="none"/>
        </w:rPr>
        <w:t>招标人</w:t>
      </w:r>
      <w:r>
        <w:rPr>
          <w:color w:val="auto"/>
          <w:sz w:val="24"/>
          <w:highlight w:val="none"/>
        </w:rPr>
        <w:t>将根据《资格审查要求》中的规定，对投标人进行资格审查，并形成资格审查结果。</w:t>
      </w:r>
    </w:p>
    <w:p w14:paraId="0B2D6CCD">
      <w:pPr>
        <w:numPr>
          <w:ilvl w:val="0"/>
          <w:numId w:val="13"/>
        </w:numPr>
        <w:tabs>
          <w:tab w:val="left" w:pos="426"/>
          <w:tab w:val="left" w:pos="851"/>
          <w:tab w:val="clear" w:pos="900"/>
        </w:tabs>
        <w:spacing w:line="360" w:lineRule="auto"/>
        <w:ind w:left="426" w:hanging="426"/>
        <w:outlineLvl w:val="1"/>
        <w:rPr>
          <w:color w:val="auto"/>
          <w:sz w:val="24"/>
          <w:highlight w:val="none"/>
        </w:rPr>
      </w:pPr>
      <w:r>
        <w:rPr>
          <w:color w:val="auto"/>
          <w:sz w:val="24"/>
          <w:highlight w:val="none"/>
        </w:rPr>
        <w:t>《资格审查要求》中对格式有要求的，除招标文件另有规定外，均为“实质性格式”文件。</w:t>
      </w:r>
    </w:p>
    <w:p w14:paraId="2B11F170">
      <w:pPr>
        <w:numPr>
          <w:ilvl w:val="0"/>
          <w:numId w:val="13"/>
        </w:numPr>
        <w:tabs>
          <w:tab w:val="left" w:pos="426"/>
          <w:tab w:val="left" w:pos="851"/>
          <w:tab w:val="clear" w:pos="900"/>
        </w:tabs>
        <w:spacing w:line="360" w:lineRule="auto"/>
        <w:ind w:left="426" w:hanging="426"/>
        <w:outlineLvl w:val="1"/>
        <w:rPr>
          <w:color w:val="auto"/>
          <w:sz w:val="24"/>
          <w:highlight w:val="none"/>
        </w:rPr>
      </w:pPr>
      <w:r>
        <w:rPr>
          <w:color w:val="auto"/>
          <w:sz w:val="24"/>
          <w:highlight w:val="none"/>
        </w:rPr>
        <w:t>投标人《资格证明文件》有任何一项不符合《资格审查要求》的，资格审查不合格，其</w:t>
      </w:r>
      <w:r>
        <w:rPr>
          <w:b/>
          <w:color w:val="auto"/>
          <w:sz w:val="24"/>
          <w:highlight w:val="none"/>
        </w:rPr>
        <w:t>投标无效</w:t>
      </w:r>
      <w:r>
        <w:rPr>
          <w:color w:val="auto"/>
          <w:sz w:val="24"/>
          <w:highlight w:val="none"/>
        </w:rPr>
        <w:t>。</w:t>
      </w:r>
    </w:p>
    <w:p w14:paraId="472A5AE9">
      <w:pPr>
        <w:numPr>
          <w:ilvl w:val="0"/>
          <w:numId w:val="13"/>
        </w:numPr>
        <w:tabs>
          <w:tab w:val="left" w:pos="426"/>
          <w:tab w:val="left" w:pos="851"/>
          <w:tab w:val="clear" w:pos="900"/>
        </w:tabs>
        <w:spacing w:line="360" w:lineRule="auto"/>
        <w:ind w:left="426" w:hanging="426"/>
        <w:outlineLvl w:val="1"/>
        <w:rPr>
          <w:color w:val="auto"/>
          <w:sz w:val="24"/>
          <w:highlight w:val="none"/>
        </w:rPr>
      </w:pPr>
      <w:r>
        <w:rPr>
          <w:color w:val="auto"/>
          <w:sz w:val="24"/>
          <w:highlight w:val="none"/>
        </w:rPr>
        <w:t>资格审查合格的投标人不足3家的，不进行评标。</w:t>
      </w:r>
    </w:p>
    <w:p w14:paraId="1767E779">
      <w:pPr>
        <w:widowControl/>
        <w:jc w:val="left"/>
        <w:rPr>
          <w:color w:val="auto"/>
          <w:sz w:val="24"/>
          <w:highlight w:val="none"/>
        </w:rPr>
      </w:pPr>
    </w:p>
    <w:p w14:paraId="17B678E5">
      <w:pPr>
        <w:tabs>
          <w:tab w:val="left" w:pos="360"/>
          <w:tab w:val="left" w:pos="900"/>
        </w:tabs>
        <w:spacing w:line="360" w:lineRule="auto"/>
        <w:jc w:val="center"/>
        <w:outlineLvl w:val="1"/>
        <w:rPr>
          <w:b/>
          <w:color w:val="auto"/>
          <w:sz w:val="24"/>
          <w:highlight w:val="none"/>
        </w:rPr>
      </w:pPr>
      <w:r>
        <w:rPr>
          <w:b/>
          <w:color w:val="auto"/>
          <w:sz w:val="24"/>
          <w:highlight w:val="none"/>
        </w:rPr>
        <w:t>二、资格审查要求</w:t>
      </w:r>
    </w:p>
    <w:tbl>
      <w:tblPr>
        <w:tblStyle w:val="3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86"/>
        <w:gridCol w:w="1996"/>
        <w:gridCol w:w="5141"/>
        <w:gridCol w:w="1716"/>
      </w:tblGrid>
      <w:tr w14:paraId="34CD36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6CAD445D">
            <w:pPr>
              <w:tabs>
                <w:tab w:val="left" w:pos="1080"/>
              </w:tabs>
              <w:jc w:val="center"/>
              <w:rPr>
                <w:b/>
                <w:color w:val="auto"/>
                <w:sz w:val="24"/>
                <w:highlight w:val="none"/>
              </w:rPr>
            </w:pPr>
            <w:bookmarkStart w:id="743" w:name="_Hlt487972895"/>
            <w:bookmarkEnd w:id="743"/>
            <w:r>
              <w:rPr>
                <w:b/>
                <w:color w:val="auto"/>
                <w:sz w:val="24"/>
                <w:highlight w:val="none"/>
              </w:rPr>
              <w:t>序号</w:t>
            </w:r>
          </w:p>
        </w:tc>
        <w:tc>
          <w:tcPr>
            <w:tcW w:w="1996" w:type="dxa"/>
            <w:vAlign w:val="center"/>
          </w:tcPr>
          <w:p w14:paraId="33A8331B">
            <w:pPr>
              <w:tabs>
                <w:tab w:val="left" w:pos="1080"/>
              </w:tabs>
              <w:jc w:val="center"/>
              <w:rPr>
                <w:b/>
                <w:color w:val="auto"/>
                <w:sz w:val="24"/>
                <w:highlight w:val="none"/>
              </w:rPr>
            </w:pPr>
            <w:r>
              <w:rPr>
                <w:b/>
                <w:color w:val="auto"/>
                <w:sz w:val="24"/>
                <w:highlight w:val="none"/>
              </w:rPr>
              <w:t>审查因素</w:t>
            </w:r>
          </w:p>
        </w:tc>
        <w:tc>
          <w:tcPr>
            <w:tcW w:w="5141" w:type="dxa"/>
            <w:vAlign w:val="center"/>
          </w:tcPr>
          <w:p w14:paraId="1C5D6C09">
            <w:pPr>
              <w:tabs>
                <w:tab w:val="left" w:pos="1080"/>
              </w:tabs>
              <w:jc w:val="center"/>
              <w:rPr>
                <w:b/>
                <w:color w:val="auto"/>
                <w:sz w:val="24"/>
                <w:highlight w:val="none"/>
              </w:rPr>
            </w:pPr>
            <w:r>
              <w:rPr>
                <w:b/>
                <w:color w:val="auto"/>
                <w:sz w:val="24"/>
                <w:highlight w:val="none"/>
              </w:rPr>
              <w:t>审查内容</w:t>
            </w:r>
          </w:p>
        </w:tc>
        <w:tc>
          <w:tcPr>
            <w:tcW w:w="881" w:type="pct"/>
            <w:vAlign w:val="center"/>
          </w:tcPr>
          <w:p w14:paraId="035C8573">
            <w:pPr>
              <w:tabs>
                <w:tab w:val="left" w:pos="1080"/>
              </w:tabs>
              <w:jc w:val="center"/>
              <w:rPr>
                <w:b/>
                <w:color w:val="auto"/>
                <w:sz w:val="24"/>
                <w:highlight w:val="none"/>
              </w:rPr>
            </w:pPr>
            <w:r>
              <w:rPr>
                <w:b/>
                <w:color w:val="auto"/>
                <w:sz w:val="24"/>
                <w:highlight w:val="none"/>
              </w:rPr>
              <w:t>格式要求</w:t>
            </w:r>
          </w:p>
        </w:tc>
      </w:tr>
      <w:tr w14:paraId="0B00B7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24E9017">
            <w:pPr>
              <w:tabs>
                <w:tab w:val="left" w:pos="1080"/>
              </w:tabs>
              <w:jc w:val="center"/>
              <w:rPr>
                <w:color w:val="auto"/>
                <w:sz w:val="24"/>
                <w:highlight w:val="none"/>
              </w:rPr>
            </w:pPr>
            <w:r>
              <w:rPr>
                <w:color w:val="auto"/>
                <w:sz w:val="24"/>
                <w:highlight w:val="none"/>
              </w:rPr>
              <w:t>1</w:t>
            </w:r>
          </w:p>
        </w:tc>
        <w:tc>
          <w:tcPr>
            <w:tcW w:w="1996" w:type="dxa"/>
            <w:vAlign w:val="center"/>
          </w:tcPr>
          <w:p w14:paraId="47F11B7A">
            <w:pPr>
              <w:tabs>
                <w:tab w:val="left" w:pos="1080"/>
              </w:tabs>
              <w:rPr>
                <w:color w:val="auto"/>
                <w:sz w:val="24"/>
                <w:highlight w:val="none"/>
              </w:rPr>
            </w:pPr>
            <w:r>
              <w:rPr>
                <w:color w:val="auto"/>
                <w:sz w:val="24"/>
                <w:highlight w:val="none"/>
              </w:rPr>
              <w:t>满足《中华人民共和国政府采购法》第二十二条规定及法律法规的其他规定</w:t>
            </w:r>
          </w:p>
        </w:tc>
        <w:tc>
          <w:tcPr>
            <w:tcW w:w="5141" w:type="dxa"/>
            <w:vAlign w:val="center"/>
          </w:tcPr>
          <w:p w14:paraId="042C8319">
            <w:pPr>
              <w:tabs>
                <w:tab w:val="left" w:pos="1080"/>
              </w:tabs>
              <w:rPr>
                <w:color w:val="auto"/>
                <w:sz w:val="24"/>
                <w:highlight w:val="none"/>
              </w:rPr>
            </w:pPr>
            <w:r>
              <w:rPr>
                <w:color w:val="auto"/>
                <w:sz w:val="24"/>
                <w:highlight w:val="none"/>
              </w:rPr>
              <w:t>具体规定见第一章《投标邀请》</w:t>
            </w:r>
          </w:p>
        </w:tc>
        <w:tc>
          <w:tcPr>
            <w:tcW w:w="881" w:type="pct"/>
            <w:vAlign w:val="center"/>
          </w:tcPr>
          <w:p w14:paraId="54F40366">
            <w:pPr>
              <w:tabs>
                <w:tab w:val="left" w:pos="1080"/>
              </w:tabs>
              <w:rPr>
                <w:color w:val="auto"/>
                <w:sz w:val="24"/>
                <w:highlight w:val="none"/>
              </w:rPr>
            </w:pPr>
          </w:p>
        </w:tc>
      </w:tr>
      <w:tr w14:paraId="2E2014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9CA8317">
            <w:pPr>
              <w:tabs>
                <w:tab w:val="left" w:pos="1080"/>
              </w:tabs>
              <w:jc w:val="center"/>
              <w:rPr>
                <w:color w:val="auto"/>
                <w:sz w:val="24"/>
                <w:highlight w:val="none"/>
              </w:rPr>
            </w:pPr>
            <w:r>
              <w:rPr>
                <w:color w:val="auto"/>
                <w:sz w:val="24"/>
                <w:highlight w:val="none"/>
              </w:rPr>
              <w:t>1</w:t>
            </w:r>
            <w:r>
              <w:rPr>
                <w:rFonts w:hint="eastAsia"/>
                <w:color w:val="auto"/>
                <w:sz w:val="24"/>
                <w:highlight w:val="none"/>
              </w:rPr>
              <w:t>-1</w:t>
            </w:r>
          </w:p>
        </w:tc>
        <w:tc>
          <w:tcPr>
            <w:tcW w:w="1996" w:type="dxa"/>
            <w:vAlign w:val="center"/>
          </w:tcPr>
          <w:p w14:paraId="1414DA9B">
            <w:pPr>
              <w:tabs>
                <w:tab w:val="left" w:pos="1080"/>
              </w:tabs>
              <w:rPr>
                <w:color w:val="auto"/>
                <w:sz w:val="24"/>
                <w:highlight w:val="none"/>
              </w:rPr>
            </w:pPr>
            <w:r>
              <w:rPr>
                <w:rFonts w:hint="eastAsia"/>
                <w:color w:val="auto"/>
                <w:sz w:val="24"/>
                <w:highlight w:val="none"/>
              </w:rPr>
              <w:t>投标人资格声明函</w:t>
            </w:r>
          </w:p>
        </w:tc>
        <w:tc>
          <w:tcPr>
            <w:tcW w:w="5141" w:type="dxa"/>
            <w:vAlign w:val="center"/>
          </w:tcPr>
          <w:p w14:paraId="2474E90C">
            <w:pPr>
              <w:tabs>
                <w:tab w:val="left" w:pos="1080"/>
              </w:tabs>
              <w:rPr>
                <w:color w:val="auto"/>
                <w:sz w:val="24"/>
                <w:highlight w:val="none"/>
              </w:rPr>
            </w:pPr>
            <w:r>
              <w:rPr>
                <w:color w:val="auto"/>
                <w:sz w:val="24"/>
                <w:highlight w:val="none"/>
              </w:rPr>
              <w:t>提供了符合招标文件要求的《</w:t>
            </w:r>
            <w:r>
              <w:rPr>
                <w:rFonts w:hint="eastAsia"/>
                <w:color w:val="auto"/>
                <w:sz w:val="24"/>
                <w:highlight w:val="none"/>
              </w:rPr>
              <w:t>投标人资格声明函</w:t>
            </w:r>
            <w:r>
              <w:rPr>
                <w:color w:val="auto"/>
                <w:sz w:val="24"/>
                <w:highlight w:val="none"/>
              </w:rPr>
              <w:t>》。</w:t>
            </w:r>
          </w:p>
        </w:tc>
        <w:tc>
          <w:tcPr>
            <w:tcW w:w="881" w:type="pct"/>
            <w:vAlign w:val="center"/>
          </w:tcPr>
          <w:p w14:paraId="11EED8C9">
            <w:pPr>
              <w:tabs>
                <w:tab w:val="left" w:pos="1080"/>
              </w:tabs>
              <w:rPr>
                <w:color w:val="auto"/>
                <w:sz w:val="24"/>
                <w:highlight w:val="none"/>
              </w:rPr>
            </w:pPr>
            <w:r>
              <w:rPr>
                <w:color w:val="auto"/>
                <w:sz w:val="24"/>
                <w:highlight w:val="none"/>
              </w:rPr>
              <w:t>格式见《投标文件格式》</w:t>
            </w:r>
          </w:p>
        </w:tc>
      </w:tr>
      <w:tr w14:paraId="50ED21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13D05F8">
            <w:pPr>
              <w:tabs>
                <w:tab w:val="left" w:pos="1080"/>
              </w:tabs>
              <w:jc w:val="center"/>
              <w:rPr>
                <w:color w:val="auto"/>
                <w:sz w:val="24"/>
                <w:highlight w:val="none"/>
              </w:rPr>
            </w:pPr>
            <w:r>
              <w:rPr>
                <w:rFonts w:hint="eastAsia"/>
                <w:color w:val="auto"/>
                <w:sz w:val="24"/>
                <w:highlight w:val="none"/>
              </w:rPr>
              <w:t>1-2</w:t>
            </w:r>
          </w:p>
        </w:tc>
        <w:tc>
          <w:tcPr>
            <w:tcW w:w="1996" w:type="dxa"/>
            <w:vAlign w:val="center"/>
          </w:tcPr>
          <w:p w14:paraId="7DFD1798">
            <w:pPr>
              <w:tabs>
                <w:tab w:val="left" w:pos="1080"/>
              </w:tabs>
              <w:rPr>
                <w:color w:val="auto"/>
                <w:sz w:val="24"/>
                <w:highlight w:val="none"/>
              </w:rPr>
            </w:pPr>
            <w:r>
              <w:rPr>
                <w:color w:val="auto"/>
                <w:sz w:val="24"/>
                <w:highlight w:val="none"/>
              </w:rPr>
              <w:t>投标人信用记录</w:t>
            </w:r>
          </w:p>
        </w:tc>
        <w:tc>
          <w:tcPr>
            <w:tcW w:w="5141" w:type="dxa"/>
            <w:vAlign w:val="center"/>
          </w:tcPr>
          <w:p w14:paraId="4A06CDD2">
            <w:pPr>
              <w:tabs>
                <w:tab w:val="left" w:pos="1080"/>
              </w:tabs>
              <w:rPr>
                <w:color w:val="auto"/>
                <w:sz w:val="24"/>
                <w:highlight w:val="none"/>
              </w:rPr>
            </w:pPr>
            <w:r>
              <w:rPr>
                <w:color w:val="auto"/>
                <w:sz w:val="24"/>
                <w:highlight w:val="none"/>
              </w:rPr>
              <w:t>查询渠道：信用中国网站和中国政府采购网（</w:t>
            </w:r>
            <w:r>
              <w:rPr>
                <w:color w:val="auto"/>
                <w:highlight w:val="none"/>
              </w:rPr>
              <w:t>www.creditchina.gov.cn</w:t>
            </w:r>
            <w:r>
              <w:rPr>
                <w:color w:val="auto"/>
                <w:sz w:val="24"/>
                <w:highlight w:val="none"/>
              </w:rPr>
              <w:t>、</w:t>
            </w:r>
            <w:r>
              <w:rPr>
                <w:color w:val="auto"/>
                <w:highlight w:val="none"/>
              </w:rPr>
              <w:t>www.ccgp.gov.cn</w:t>
            </w:r>
            <w:r>
              <w:rPr>
                <w:color w:val="auto"/>
                <w:sz w:val="24"/>
                <w:highlight w:val="none"/>
              </w:rPr>
              <w:t>）；</w:t>
            </w:r>
          </w:p>
          <w:p w14:paraId="6EF69A12">
            <w:pPr>
              <w:tabs>
                <w:tab w:val="left" w:pos="900"/>
                <w:tab w:val="left" w:pos="1980"/>
              </w:tabs>
              <w:rPr>
                <w:color w:val="auto"/>
                <w:sz w:val="24"/>
                <w:highlight w:val="none"/>
              </w:rPr>
            </w:pPr>
            <w:r>
              <w:rPr>
                <w:color w:val="auto"/>
                <w:sz w:val="24"/>
                <w:highlight w:val="none"/>
              </w:rPr>
              <w:t>截止时点：投标截止时间以后、</w:t>
            </w:r>
            <w:r>
              <w:rPr>
                <w:rFonts w:hint="eastAsia"/>
                <w:color w:val="auto"/>
                <w:sz w:val="24"/>
                <w:highlight w:val="none"/>
              </w:rPr>
              <w:t>资格审查阶段招标人或</w:t>
            </w:r>
            <w:r>
              <w:rPr>
                <w:color w:val="auto"/>
                <w:sz w:val="24"/>
                <w:highlight w:val="none"/>
              </w:rPr>
              <w:t>采购代理机构的实际查询时间；</w:t>
            </w:r>
          </w:p>
          <w:p w14:paraId="5464B0AF">
            <w:pPr>
              <w:tabs>
                <w:tab w:val="left" w:pos="900"/>
                <w:tab w:val="left" w:pos="1980"/>
              </w:tabs>
              <w:rPr>
                <w:color w:val="auto"/>
                <w:sz w:val="24"/>
                <w:highlight w:val="none"/>
              </w:rPr>
            </w:pPr>
            <w:r>
              <w:rPr>
                <w:color w:val="auto"/>
                <w:sz w:val="24"/>
                <w:highlight w:val="none"/>
              </w:rPr>
              <w:t>信用信息查询记录和证据留存具体方式：查询结果网页打印页作为查询记录和证据，与其他</w:t>
            </w:r>
            <w:r>
              <w:rPr>
                <w:rFonts w:hint="eastAsia"/>
                <w:color w:val="auto"/>
                <w:sz w:val="24"/>
                <w:highlight w:val="none"/>
              </w:rPr>
              <w:t>招标文件</w:t>
            </w:r>
            <w:r>
              <w:rPr>
                <w:color w:val="auto"/>
                <w:sz w:val="24"/>
                <w:highlight w:val="none"/>
              </w:rPr>
              <w:t>一并保存；</w:t>
            </w:r>
          </w:p>
          <w:p w14:paraId="15B194DA">
            <w:pPr>
              <w:tabs>
                <w:tab w:val="left" w:pos="1080"/>
              </w:tabs>
              <w:rPr>
                <w:color w:val="auto"/>
                <w:sz w:val="24"/>
                <w:highlight w:val="none"/>
              </w:rPr>
            </w:pPr>
            <w:r>
              <w:rPr>
                <w:color w:val="auto"/>
                <w:sz w:val="24"/>
                <w:highlight w:val="none"/>
              </w:rPr>
              <w:t>信用信息的使用原则：经认定的被列入失信被执行人、重大税收违法案件当事人名单、政府采购严重违法失信行为记录名单的投标人，其</w:t>
            </w:r>
            <w:r>
              <w:rPr>
                <w:b/>
                <w:color w:val="auto"/>
                <w:sz w:val="24"/>
                <w:highlight w:val="none"/>
              </w:rPr>
              <w:t>投标无效</w:t>
            </w:r>
            <w:r>
              <w:rPr>
                <w:color w:val="auto"/>
                <w:sz w:val="24"/>
                <w:highlight w:val="none"/>
              </w:rPr>
              <w:t>。联合体形式投标的，联合体成员存在不良信用记录，视同联合体存在不良信用记录。</w:t>
            </w:r>
          </w:p>
        </w:tc>
        <w:tc>
          <w:tcPr>
            <w:tcW w:w="881" w:type="pct"/>
            <w:vAlign w:val="center"/>
          </w:tcPr>
          <w:p w14:paraId="1A3A042F">
            <w:pPr>
              <w:tabs>
                <w:tab w:val="left" w:pos="1080"/>
              </w:tabs>
              <w:rPr>
                <w:color w:val="auto"/>
                <w:sz w:val="24"/>
                <w:highlight w:val="none"/>
              </w:rPr>
            </w:pPr>
            <w:r>
              <w:rPr>
                <w:rFonts w:hint="eastAsia" w:ascii="宋体" w:hAnsi="宋体" w:cs="宋体"/>
                <w:color w:val="auto"/>
                <w:sz w:val="24"/>
                <w:highlight w:val="none"/>
              </w:rPr>
              <w:t>无须投标人提供，</w:t>
            </w:r>
            <w:r>
              <w:rPr>
                <w:color w:val="auto"/>
                <w:sz w:val="24"/>
                <w:highlight w:val="none"/>
              </w:rPr>
              <w:t>由</w:t>
            </w:r>
            <w:r>
              <w:rPr>
                <w:rFonts w:hint="eastAsia"/>
                <w:color w:val="auto"/>
                <w:sz w:val="24"/>
                <w:highlight w:val="none"/>
              </w:rPr>
              <w:t>招标人查询</w:t>
            </w:r>
            <w:r>
              <w:rPr>
                <w:color w:val="auto"/>
                <w:sz w:val="24"/>
                <w:highlight w:val="none"/>
              </w:rPr>
              <w:t>。</w:t>
            </w:r>
          </w:p>
        </w:tc>
      </w:tr>
      <w:tr w14:paraId="76FBAB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0" w:hRule="atLeast"/>
        </w:trPr>
        <w:tc>
          <w:tcPr>
            <w:tcW w:w="455" w:type="pct"/>
            <w:vAlign w:val="center"/>
          </w:tcPr>
          <w:p w14:paraId="2F577362">
            <w:pPr>
              <w:tabs>
                <w:tab w:val="left" w:pos="1080"/>
              </w:tabs>
              <w:jc w:val="center"/>
              <w:rPr>
                <w:color w:val="auto"/>
                <w:sz w:val="24"/>
                <w:highlight w:val="none"/>
              </w:rPr>
            </w:pPr>
            <w:r>
              <w:rPr>
                <w:color w:val="auto"/>
                <w:sz w:val="24"/>
                <w:highlight w:val="none"/>
              </w:rPr>
              <w:t>2</w:t>
            </w:r>
          </w:p>
        </w:tc>
        <w:tc>
          <w:tcPr>
            <w:tcW w:w="1996" w:type="dxa"/>
            <w:vAlign w:val="center"/>
          </w:tcPr>
          <w:p w14:paraId="118ADE21">
            <w:pPr>
              <w:tabs>
                <w:tab w:val="left" w:pos="1080"/>
              </w:tabs>
              <w:rPr>
                <w:color w:val="auto"/>
                <w:sz w:val="24"/>
                <w:highlight w:val="none"/>
              </w:rPr>
            </w:pPr>
            <w:r>
              <w:rPr>
                <w:color w:val="auto"/>
                <w:sz w:val="24"/>
                <w:highlight w:val="none"/>
              </w:rPr>
              <w:t>落实政府采购政策需满足的资格要求</w:t>
            </w:r>
          </w:p>
        </w:tc>
        <w:tc>
          <w:tcPr>
            <w:tcW w:w="5141" w:type="dxa"/>
            <w:vAlign w:val="center"/>
          </w:tcPr>
          <w:p w14:paraId="2E851223">
            <w:pPr>
              <w:tabs>
                <w:tab w:val="left" w:pos="1080"/>
              </w:tabs>
              <w:rPr>
                <w:color w:val="auto"/>
                <w:sz w:val="24"/>
                <w:highlight w:val="none"/>
              </w:rPr>
            </w:pPr>
            <w:r>
              <w:rPr>
                <w:color w:val="auto"/>
                <w:sz w:val="24"/>
                <w:highlight w:val="none"/>
              </w:rPr>
              <w:t>具体要求见第一章《投标邀请》</w:t>
            </w:r>
          </w:p>
        </w:tc>
        <w:tc>
          <w:tcPr>
            <w:tcW w:w="881" w:type="pct"/>
            <w:vAlign w:val="center"/>
          </w:tcPr>
          <w:p w14:paraId="345052F4">
            <w:pPr>
              <w:tabs>
                <w:tab w:val="left" w:pos="1080"/>
              </w:tabs>
              <w:rPr>
                <w:color w:val="auto"/>
                <w:sz w:val="24"/>
                <w:highlight w:val="none"/>
              </w:rPr>
            </w:pPr>
          </w:p>
        </w:tc>
      </w:tr>
      <w:tr w14:paraId="3ABE4B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0" w:hRule="atLeast"/>
        </w:trPr>
        <w:tc>
          <w:tcPr>
            <w:tcW w:w="455" w:type="pct"/>
            <w:vAlign w:val="center"/>
          </w:tcPr>
          <w:p w14:paraId="019FAEED">
            <w:pPr>
              <w:tabs>
                <w:tab w:val="left" w:pos="1080"/>
              </w:tabs>
              <w:jc w:val="center"/>
              <w:rPr>
                <w:color w:val="auto"/>
                <w:sz w:val="24"/>
                <w:highlight w:val="none"/>
              </w:rPr>
            </w:pPr>
            <w:r>
              <w:rPr>
                <w:rFonts w:hint="eastAsia"/>
                <w:color w:val="auto"/>
                <w:sz w:val="24"/>
                <w:highlight w:val="none"/>
              </w:rPr>
              <w:t>2-1</w:t>
            </w:r>
          </w:p>
        </w:tc>
        <w:tc>
          <w:tcPr>
            <w:tcW w:w="1996" w:type="dxa"/>
            <w:vAlign w:val="center"/>
          </w:tcPr>
          <w:p w14:paraId="5B169C1B">
            <w:pPr>
              <w:tabs>
                <w:tab w:val="left" w:pos="1080"/>
              </w:tabs>
              <w:rPr>
                <w:color w:val="auto"/>
                <w:sz w:val="24"/>
                <w:highlight w:val="none"/>
              </w:rPr>
            </w:pPr>
            <w:r>
              <w:rPr>
                <w:rFonts w:hint="eastAsia"/>
                <w:color w:val="auto"/>
                <w:sz w:val="24"/>
                <w:highlight w:val="none"/>
              </w:rPr>
              <w:t>中小企业声明函</w:t>
            </w:r>
          </w:p>
        </w:tc>
        <w:tc>
          <w:tcPr>
            <w:tcW w:w="5141" w:type="dxa"/>
            <w:vAlign w:val="center"/>
          </w:tcPr>
          <w:p w14:paraId="006EB78F">
            <w:pPr>
              <w:tabs>
                <w:tab w:val="left" w:pos="1080"/>
              </w:tabs>
              <w:snapToGrid w:val="0"/>
              <w:rPr>
                <w:color w:val="auto"/>
                <w:sz w:val="24"/>
                <w:highlight w:val="none"/>
              </w:rPr>
            </w:pPr>
            <w:r>
              <w:rPr>
                <w:rFonts w:hint="eastAsia"/>
                <w:color w:val="auto"/>
                <w:sz w:val="24"/>
                <w:highlight w:val="none"/>
              </w:rPr>
              <w:t>1、投标人单独投标的，应提供中小企业声明函；如为监狱企业或</w:t>
            </w:r>
            <w:r>
              <w:rPr>
                <w:color w:val="auto"/>
                <w:sz w:val="24"/>
                <w:highlight w:val="none"/>
              </w:rPr>
              <w:t>残疾人福利性单位</w:t>
            </w:r>
            <w:r>
              <w:rPr>
                <w:rFonts w:hint="eastAsia"/>
                <w:color w:val="auto"/>
                <w:sz w:val="24"/>
                <w:highlight w:val="none"/>
              </w:rPr>
              <w:t>，不必提供中小企业声明函，但须按注1或注2要求提供证明材料。</w:t>
            </w:r>
          </w:p>
          <w:p w14:paraId="126380EF">
            <w:pPr>
              <w:tabs>
                <w:tab w:val="left" w:pos="1080"/>
              </w:tabs>
              <w:snapToGrid w:val="0"/>
              <w:rPr>
                <w:color w:val="auto"/>
                <w:sz w:val="24"/>
                <w:highlight w:val="none"/>
              </w:rPr>
            </w:pPr>
            <w:r>
              <w:rPr>
                <w:rFonts w:hint="eastAsia"/>
                <w:color w:val="auto"/>
                <w:sz w:val="24"/>
                <w:highlight w:val="none"/>
              </w:rPr>
              <w:t>2、如招标文件</w:t>
            </w:r>
            <w:r>
              <w:rPr>
                <w:color w:val="auto"/>
                <w:sz w:val="24"/>
                <w:highlight w:val="none"/>
              </w:rPr>
              <w:t>要求以联合体形式参加或者要求合同分包的，</w:t>
            </w:r>
            <w:r>
              <w:rPr>
                <w:rFonts w:hint="eastAsia"/>
                <w:color w:val="auto"/>
                <w:sz w:val="24"/>
                <w:highlight w:val="none"/>
              </w:rPr>
              <w:t>且投标人为联合体或拟进行合同分包的，则</w:t>
            </w:r>
            <w:r>
              <w:rPr>
                <w:color w:val="auto"/>
                <w:sz w:val="24"/>
                <w:highlight w:val="none"/>
              </w:rPr>
              <w:t>联合体中的中小企业、签订分包意向协议的中小企业具体情况须在《中小企业声明函》中如实填报。</w:t>
            </w:r>
            <w:r>
              <w:rPr>
                <w:rFonts w:hint="eastAsia"/>
                <w:color w:val="auto"/>
                <w:sz w:val="24"/>
                <w:highlight w:val="none"/>
              </w:rPr>
              <w:t>上述中小企业如为监狱企业或</w:t>
            </w:r>
            <w:r>
              <w:rPr>
                <w:color w:val="auto"/>
                <w:sz w:val="24"/>
                <w:highlight w:val="none"/>
              </w:rPr>
              <w:t>残疾人福利性单位</w:t>
            </w:r>
            <w:r>
              <w:rPr>
                <w:rFonts w:hint="eastAsia"/>
                <w:color w:val="auto"/>
                <w:sz w:val="24"/>
                <w:highlight w:val="none"/>
              </w:rPr>
              <w:t>应在声明函中如实列明单位性质，并按注1或注2要求提供证明材料。</w:t>
            </w:r>
          </w:p>
          <w:p w14:paraId="1D4D05A8">
            <w:pPr>
              <w:tabs>
                <w:tab w:val="left" w:pos="1080"/>
              </w:tabs>
              <w:snapToGrid w:val="0"/>
              <w:rPr>
                <w:color w:val="auto"/>
                <w:sz w:val="24"/>
                <w:highlight w:val="none"/>
              </w:rPr>
            </w:pPr>
          </w:p>
          <w:p w14:paraId="10016C32">
            <w:pPr>
              <w:tabs>
                <w:tab w:val="left" w:pos="1080"/>
              </w:tabs>
              <w:snapToGrid w:val="0"/>
              <w:rPr>
                <w:color w:val="auto"/>
                <w:sz w:val="24"/>
                <w:highlight w:val="none"/>
              </w:rPr>
            </w:pPr>
            <w:r>
              <w:rPr>
                <w:rFonts w:hint="eastAsia"/>
                <w:color w:val="auto"/>
                <w:sz w:val="24"/>
                <w:highlight w:val="none"/>
              </w:rPr>
              <w:t>注1：</w:t>
            </w:r>
            <w:r>
              <w:rPr>
                <w:color w:val="auto"/>
                <w:sz w:val="24"/>
                <w:highlight w:val="none"/>
              </w:rPr>
              <w:t>监狱企业须提供由省级以上监狱管理局（常州市含教育矫治局）、戒毒管理局（含新疆生产建设兵团）出具的属于监狱企业的证明文件。</w:t>
            </w:r>
          </w:p>
          <w:p w14:paraId="1ABBC26F">
            <w:pPr>
              <w:tabs>
                <w:tab w:val="left" w:pos="1080"/>
              </w:tabs>
              <w:rPr>
                <w:color w:val="auto"/>
                <w:sz w:val="24"/>
                <w:highlight w:val="none"/>
              </w:rPr>
            </w:pPr>
            <w:r>
              <w:rPr>
                <w:rFonts w:hint="eastAsia"/>
                <w:color w:val="auto"/>
                <w:sz w:val="24"/>
                <w:highlight w:val="none"/>
              </w:rPr>
              <w:t>注2：</w:t>
            </w:r>
            <w:r>
              <w:rPr>
                <w:color w:val="auto"/>
                <w:sz w:val="24"/>
                <w:highlight w:val="none"/>
              </w:rPr>
              <w:t>残疾人福利性单位须按招标文件要求提供《残疾人福利性单位声明函》。</w:t>
            </w:r>
          </w:p>
        </w:tc>
        <w:tc>
          <w:tcPr>
            <w:tcW w:w="881" w:type="pct"/>
            <w:vAlign w:val="center"/>
          </w:tcPr>
          <w:p w14:paraId="15742424">
            <w:pPr>
              <w:tabs>
                <w:tab w:val="left" w:pos="1080"/>
              </w:tabs>
              <w:rPr>
                <w:color w:val="auto"/>
                <w:sz w:val="24"/>
                <w:highlight w:val="none"/>
              </w:rPr>
            </w:pPr>
            <w:r>
              <w:rPr>
                <w:rFonts w:hint="eastAsia"/>
                <w:color w:val="auto"/>
                <w:sz w:val="24"/>
                <w:highlight w:val="none"/>
              </w:rPr>
              <w:t>格式见《响应文件格式》</w:t>
            </w:r>
          </w:p>
        </w:tc>
      </w:tr>
      <w:tr w14:paraId="79113B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FCCE2A4">
            <w:pPr>
              <w:tabs>
                <w:tab w:val="left" w:pos="1080"/>
              </w:tabs>
              <w:jc w:val="center"/>
              <w:rPr>
                <w:color w:val="auto"/>
                <w:sz w:val="24"/>
                <w:highlight w:val="none"/>
              </w:rPr>
            </w:pPr>
            <w:r>
              <w:rPr>
                <w:rFonts w:hint="eastAsia"/>
                <w:color w:val="auto"/>
                <w:sz w:val="24"/>
                <w:highlight w:val="none"/>
              </w:rPr>
              <w:t>2-2</w:t>
            </w:r>
          </w:p>
        </w:tc>
        <w:tc>
          <w:tcPr>
            <w:tcW w:w="1996" w:type="dxa"/>
            <w:vAlign w:val="center"/>
          </w:tcPr>
          <w:p w14:paraId="48DC7F82">
            <w:pPr>
              <w:tabs>
                <w:tab w:val="left" w:pos="1080"/>
              </w:tabs>
              <w:rPr>
                <w:color w:val="auto"/>
                <w:sz w:val="24"/>
                <w:highlight w:val="none"/>
              </w:rPr>
            </w:pPr>
            <w:r>
              <w:rPr>
                <w:color w:val="auto"/>
                <w:sz w:val="24"/>
                <w:highlight w:val="none"/>
              </w:rPr>
              <w:t>其它落实政府采购政策的资格要求</w:t>
            </w:r>
          </w:p>
        </w:tc>
        <w:tc>
          <w:tcPr>
            <w:tcW w:w="5141" w:type="dxa"/>
            <w:vAlign w:val="center"/>
          </w:tcPr>
          <w:p w14:paraId="3D1B15CC">
            <w:pPr>
              <w:tabs>
                <w:tab w:val="left" w:pos="1080"/>
              </w:tabs>
              <w:rPr>
                <w:color w:val="auto"/>
                <w:sz w:val="24"/>
                <w:highlight w:val="none"/>
              </w:rPr>
            </w:pPr>
            <w:r>
              <w:rPr>
                <w:color w:val="auto"/>
                <w:sz w:val="24"/>
                <w:highlight w:val="none"/>
              </w:rPr>
              <w:t>具体要求见第一章《投标邀请》</w:t>
            </w:r>
          </w:p>
        </w:tc>
        <w:tc>
          <w:tcPr>
            <w:tcW w:w="881" w:type="pct"/>
            <w:vAlign w:val="center"/>
          </w:tcPr>
          <w:p w14:paraId="1837E82D">
            <w:pPr>
              <w:tabs>
                <w:tab w:val="left" w:pos="1080"/>
              </w:tabs>
              <w:rPr>
                <w:color w:val="auto"/>
                <w:sz w:val="24"/>
                <w:highlight w:val="none"/>
              </w:rPr>
            </w:pPr>
          </w:p>
        </w:tc>
      </w:tr>
      <w:tr w14:paraId="7BC2D5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BE35A7C">
            <w:pPr>
              <w:tabs>
                <w:tab w:val="left" w:pos="1080"/>
              </w:tabs>
              <w:jc w:val="center"/>
              <w:rPr>
                <w:color w:val="auto"/>
                <w:sz w:val="24"/>
                <w:highlight w:val="none"/>
              </w:rPr>
            </w:pPr>
            <w:r>
              <w:rPr>
                <w:color w:val="auto"/>
                <w:sz w:val="24"/>
                <w:highlight w:val="none"/>
              </w:rPr>
              <w:t>3</w:t>
            </w:r>
          </w:p>
        </w:tc>
        <w:tc>
          <w:tcPr>
            <w:tcW w:w="1996" w:type="dxa"/>
            <w:vAlign w:val="center"/>
          </w:tcPr>
          <w:p w14:paraId="05E1CF5B">
            <w:pPr>
              <w:tabs>
                <w:tab w:val="left" w:pos="1080"/>
              </w:tabs>
              <w:rPr>
                <w:color w:val="auto"/>
                <w:sz w:val="24"/>
                <w:highlight w:val="none"/>
              </w:rPr>
            </w:pPr>
            <w:r>
              <w:rPr>
                <w:color w:val="auto"/>
                <w:sz w:val="24"/>
                <w:highlight w:val="none"/>
              </w:rPr>
              <w:t>本项目的特定资格要求</w:t>
            </w:r>
          </w:p>
        </w:tc>
        <w:tc>
          <w:tcPr>
            <w:tcW w:w="5141" w:type="dxa"/>
            <w:vAlign w:val="center"/>
          </w:tcPr>
          <w:p w14:paraId="47F6C97E">
            <w:pPr>
              <w:tabs>
                <w:tab w:val="left" w:pos="1080"/>
              </w:tabs>
              <w:rPr>
                <w:color w:val="auto"/>
                <w:sz w:val="24"/>
                <w:highlight w:val="none"/>
              </w:rPr>
            </w:pPr>
            <w:r>
              <w:rPr>
                <w:color w:val="auto"/>
                <w:sz w:val="24"/>
                <w:highlight w:val="none"/>
              </w:rPr>
              <w:t>具体要求见第一章《投标邀请》</w:t>
            </w:r>
          </w:p>
        </w:tc>
        <w:tc>
          <w:tcPr>
            <w:tcW w:w="881" w:type="pct"/>
            <w:vAlign w:val="center"/>
          </w:tcPr>
          <w:p w14:paraId="7FD285C6">
            <w:pPr>
              <w:tabs>
                <w:tab w:val="left" w:pos="1080"/>
              </w:tabs>
              <w:rPr>
                <w:color w:val="auto"/>
                <w:sz w:val="24"/>
                <w:highlight w:val="none"/>
              </w:rPr>
            </w:pPr>
          </w:p>
        </w:tc>
      </w:tr>
      <w:tr w14:paraId="4D22F5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41" w:hRule="atLeast"/>
        </w:trPr>
        <w:tc>
          <w:tcPr>
            <w:tcW w:w="455" w:type="pct"/>
            <w:vAlign w:val="center"/>
          </w:tcPr>
          <w:p w14:paraId="504DD7CB">
            <w:pPr>
              <w:tabs>
                <w:tab w:val="left" w:pos="1080"/>
              </w:tabs>
              <w:jc w:val="center"/>
              <w:rPr>
                <w:color w:val="auto"/>
                <w:sz w:val="24"/>
                <w:highlight w:val="none"/>
              </w:rPr>
            </w:pPr>
            <w:r>
              <w:rPr>
                <w:color w:val="auto"/>
                <w:sz w:val="24"/>
                <w:highlight w:val="none"/>
              </w:rPr>
              <w:t>3-1</w:t>
            </w:r>
          </w:p>
        </w:tc>
        <w:tc>
          <w:tcPr>
            <w:tcW w:w="1996" w:type="dxa"/>
            <w:vAlign w:val="center"/>
          </w:tcPr>
          <w:p w14:paraId="1304FF16">
            <w:pPr>
              <w:tabs>
                <w:tab w:val="left" w:pos="1080"/>
              </w:tabs>
              <w:rPr>
                <w:color w:val="auto"/>
                <w:sz w:val="24"/>
                <w:highlight w:val="none"/>
              </w:rPr>
            </w:pPr>
            <w:r>
              <w:rPr>
                <w:color w:val="auto"/>
                <w:sz w:val="24"/>
                <w:highlight w:val="none"/>
              </w:rPr>
              <w:t>是否接受联合体投标</w:t>
            </w:r>
          </w:p>
        </w:tc>
        <w:tc>
          <w:tcPr>
            <w:tcW w:w="5141" w:type="dxa"/>
            <w:vAlign w:val="center"/>
          </w:tcPr>
          <w:p w14:paraId="160273D2">
            <w:pPr>
              <w:tabs>
                <w:tab w:val="left" w:pos="1080"/>
              </w:tabs>
              <w:rPr>
                <w:color w:val="auto"/>
                <w:sz w:val="24"/>
                <w:highlight w:val="none"/>
              </w:rPr>
            </w:pPr>
            <w:r>
              <w:rPr>
                <w:color w:val="auto"/>
                <w:sz w:val="24"/>
                <w:highlight w:val="none"/>
              </w:rPr>
              <w:t>本项目不接受联合体投标，</w:t>
            </w:r>
            <w:r>
              <w:rPr>
                <w:rFonts w:hint="eastAsia"/>
                <w:color w:val="auto"/>
                <w:sz w:val="24"/>
                <w:highlight w:val="none"/>
              </w:rPr>
              <w:t>投标人不得为联合体</w:t>
            </w:r>
            <w:r>
              <w:rPr>
                <w:color w:val="auto"/>
                <w:sz w:val="24"/>
                <w:highlight w:val="none"/>
              </w:rPr>
              <w:t>。</w:t>
            </w:r>
          </w:p>
        </w:tc>
        <w:tc>
          <w:tcPr>
            <w:tcW w:w="881" w:type="pct"/>
            <w:vAlign w:val="center"/>
          </w:tcPr>
          <w:p w14:paraId="65976BD4">
            <w:pPr>
              <w:tabs>
                <w:tab w:val="left" w:pos="1080"/>
              </w:tabs>
              <w:rPr>
                <w:color w:val="auto"/>
                <w:sz w:val="24"/>
                <w:highlight w:val="none"/>
              </w:rPr>
            </w:pPr>
          </w:p>
        </w:tc>
      </w:tr>
      <w:tr w14:paraId="13CE01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pct"/>
            <w:vAlign w:val="center"/>
          </w:tcPr>
          <w:p w14:paraId="16EAD0F1">
            <w:pPr>
              <w:tabs>
                <w:tab w:val="left" w:pos="1080"/>
              </w:tabs>
              <w:jc w:val="center"/>
              <w:rPr>
                <w:color w:val="auto"/>
                <w:sz w:val="24"/>
                <w:highlight w:val="none"/>
              </w:rPr>
            </w:pPr>
            <w:r>
              <w:rPr>
                <w:color w:val="auto"/>
                <w:sz w:val="24"/>
                <w:highlight w:val="none"/>
              </w:rPr>
              <w:t>3-2</w:t>
            </w:r>
          </w:p>
        </w:tc>
        <w:tc>
          <w:tcPr>
            <w:tcW w:w="1996" w:type="dxa"/>
            <w:vAlign w:val="center"/>
          </w:tcPr>
          <w:p w14:paraId="38D021F5">
            <w:pPr>
              <w:tabs>
                <w:tab w:val="left" w:pos="1080"/>
              </w:tabs>
              <w:rPr>
                <w:color w:val="auto"/>
                <w:sz w:val="24"/>
                <w:highlight w:val="none"/>
              </w:rPr>
            </w:pPr>
            <w:r>
              <w:rPr>
                <w:color w:val="auto"/>
                <w:sz w:val="24"/>
                <w:highlight w:val="none"/>
              </w:rPr>
              <w:t>其他特定资格要求</w:t>
            </w:r>
          </w:p>
        </w:tc>
        <w:tc>
          <w:tcPr>
            <w:tcW w:w="5141" w:type="dxa"/>
            <w:vAlign w:val="center"/>
          </w:tcPr>
          <w:p w14:paraId="55813DA5">
            <w:pPr>
              <w:tabs>
                <w:tab w:val="left" w:pos="1080"/>
              </w:tabs>
              <w:rPr>
                <w:color w:val="auto"/>
                <w:sz w:val="24"/>
                <w:highlight w:val="none"/>
              </w:rPr>
            </w:pPr>
            <w:r>
              <w:rPr>
                <w:color w:val="auto"/>
                <w:sz w:val="24"/>
                <w:highlight w:val="none"/>
              </w:rPr>
              <w:t>具体要求见第一章《投标邀请》</w:t>
            </w:r>
          </w:p>
        </w:tc>
        <w:tc>
          <w:tcPr>
            <w:tcW w:w="881" w:type="pct"/>
            <w:vAlign w:val="center"/>
          </w:tcPr>
          <w:p w14:paraId="2504B30E">
            <w:pPr>
              <w:tabs>
                <w:tab w:val="left" w:pos="1080"/>
              </w:tabs>
              <w:rPr>
                <w:color w:val="auto"/>
                <w:sz w:val="24"/>
                <w:highlight w:val="none"/>
              </w:rPr>
            </w:pPr>
          </w:p>
        </w:tc>
      </w:tr>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741"/>
    </w:tbl>
    <w:p w14:paraId="7E6C9D4B">
      <w:pPr>
        <w:spacing w:line="360" w:lineRule="auto"/>
        <w:jc w:val="center"/>
        <w:outlineLvl w:val="0"/>
        <w:rPr>
          <w:b/>
          <w:color w:val="auto"/>
          <w:sz w:val="36"/>
          <w:szCs w:val="36"/>
          <w:highlight w:val="none"/>
        </w:rPr>
      </w:pPr>
      <w:bookmarkStart w:id="744" w:name="_Toc226965858"/>
      <w:bookmarkStart w:id="745" w:name="_Toc353825550"/>
      <w:bookmarkStart w:id="746" w:name="_Toc127161490"/>
      <w:bookmarkStart w:id="747" w:name="_Toc127151779"/>
      <w:bookmarkStart w:id="748" w:name="_Toc353873940"/>
      <w:r>
        <w:rPr>
          <w:color w:val="auto"/>
          <w:highlight w:val="none"/>
        </w:rPr>
        <w:br w:type="page" w:clear="all"/>
      </w:r>
      <w:bookmarkStart w:id="749" w:name="_Toc157413235"/>
      <w:r>
        <w:rPr>
          <w:b/>
          <w:color w:val="auto"/>
          <w:sz w:val="36"/>
          <w:szCs w:val="36"/>
          <w:highlight w:val="none"/>
        </w:rPr>
        <w:t xml:space="preserve">第四章   </w:t>
      </w:r>
      <w:bookmarkEnd w:id="744"/>
      <w:bookmarkEnd w:id="745"/>
      <w:bookmarkEnd w:id="746"/>
      <w:bookmarkEnd w:id="747"/>
      <w:bookmarkEnd w:id="748"/>
      <w:bookmarkStart w:id="750" w:name="_Hlt164229061"/>
      <w:bookmarkEnd w:id="750"/>
      <w:r>
        <w:rPr>
          <w:b/>
          <w:color w:val="auto"/>
          <w:sz w:val="36"/>
          <w:szCs w:val="36"/>
          <w:highlight w:val="none"/>
        </w:rPr>
        <w:t>评标程序、评标方法和评标标准</w:t>
      </w:r>
      <w:bookmarkEnd w:id="749"/>
    </w:p>
    <w:p w14:paraId="66BA79E3">
      <w:pPr>
        <w:tabs>
          <w:tab w:val="left" w:pos="360"/>
          <w:tab w:val="left" w:pos="900"/>
        </w:tabs>
        <w:spacing w:line="360" w:lineRule="auto"/>
        <w:jc w:val="center"/>
        <w:outlineLvl w:val="1"/>
        <w:rPr>
          <w:b/>
          <w:color w:val="auto"/>
          <w:highlight w:val="none"/>
        </w:rPr>
      </w:pPr>
      <w:r>
        <w:rPr>
          <w:b/>
          <w:color w:val="auto"/>
          <w:sz w:val="24"/>
          <w:highlight w:val="none"/>
        </w:rPr>
        <w:t>一、评标</w:t>
      </w:r>
      <w:r>
        <w:rPr>
          <w:rFonts w:hint="eastAsia"/>
          <w:b/>
          <w:color w:val="auto"/>
          <w:sz w:val="24"/>
          <w:highlight w:val="none"/>
        </w:rPr>
        <w:t>程序</w:t>
      </w:r>
    </w:p>
    <w:p w14:paraId="3A444B00">
      <w:pPr>
        <w:numPr>
          <w:ilvl w:val="0"/>
          <w:numId w:val="14"/>
        </w:numPr>
        <w:tabs>
          <w:tab w:val="left" w:pos="360"/>
        </w:tabs>
        <w:spacing w:line="360" w:lineRule="auto"/>
        <w:outlineLvl w:val="1"/>
        <w:rPr>
          <w:color w:val="auto"/>
          <w:sz w:val="24"/>
          <w:highlight w:val="none"/>
        </w:rPr>
      </w:pPr>
      <w:bookmarkStart w:id="751" w:name="_Toc151193929"/>
      <w:bookmarkStart w:id="752" w:name="_Toc164351635"/>
      <w:bookmarkStart w:id="753" w:name="_Toc150480779"/>
      <w:bookmarkStart w:id="754" w:name="_Toc150774641"/>
      <w:bookmarkStart w:id="755" w:name="_Toc226309785"/>
      <w:bookmarkStart w:id="756" w:name="_Toc151193639"/>
      <w:bookmarkStart w:id="757" w:name="_Toc149720834"/>
      <w:bookmarkStart w:id="758" w:name="_Toc195842906"/>
      <w:bookmarkStart w:id="759" w:name="_Toc305158809"/>
      <w:bookmarkStart w:id="760" w:name="_Toc226965731"/>
      <w:bookmarkStart w:id="761" w:name="_Toc127161455"/>
      <w:bookmarkStart w:id="762" w:name="_Toc264969231"/>
      <w:bookmarkStart w:id="763" w:name="_Toc150509292"/>
      <w:bookmarkStart w:id="764" w:name="_Toc265228379"/>
      <w:bookmarkStart w:id="765" w:name="_Toc164608810"/>
      <w:bookmarkStart w:id="766" w:name="_Toc226337237"/>
      <w:bookmarkStart w:id="767" w:name="_Toc305158883"/>
      <w:bookmarkStart w:id="768" w:name="_Toc142311043"/>
      <w:bookmarkStart w:id="769" w:name="_Toc151193783"/>
      <w:bookmarkStart w:id="770" w:name="_Toc151193855"/>
      <w:bookmarkStart w:id="771" w:name="_Toc151193711"/>
      <w:bookmarkStart w:id="772" w:name="_Toc150774746"/>
      <w:bookmarkStart w:id="773" w:name="_Toc127151742"/>
      <w:bookmarkStart w:id="774" w:name="_Toc127151541"/>
      <w:bookmarkStart w:id="775" w:name="_Toc151190168"/>
      <w:bookmarkStart w:id="776" w:name="_Toc226965814"/>
      <w:bookmarkStart w:id="777" w:name="_Toc164229382"/>
      <w:bookmarkStart w:id="778" w:name="_Toc164608655"/>
      <w:bookmarkStart w:id="779" w:name="_Toc164229236"/>
      <w:bookmarkStart w:id="780" w:name="_Toc353825551"/>
      <w:bookmarkStart w:id="781" w:name="_Toc353873941"/>
      <w:bookmarkStart w:id="782" w:name="_Toc226965828"/>
      <w:bookmarkStart w:id="783" w:name="_Toc226337251"/>
      <w:bookmarkStart w:id="784" w:name="_Toc127151555"/>
      <w:bookmarkStart w:id="785" w:name="_Toc305158823"/>
      <w:bookmarkStart w:id="786" w:name="_Toc305158897"/>
      <w:bookmarkStart w:id="787" w:name="_Toc353873935"/>
      <w:bookmarkStart w:id="788" w:name="_Toc353825545"/>
      <w:bookmarkStart w:id="789" w:name="_Toc264969245"/>
      <w:bookmarkStart w:id="790" w:name="_Toc265228393"/>
      <w:bookmarkStart w:id="791" w:name="_Toc150774760"/>
      <w:bookmarkStart w:id="792" w:name="_Toc142311057"/>
      <w:bookmarkStart w:id="793" w:name="_Toc150480793"/>
      <w:bookmarkStart w:id="794" w:name="_Toc353873665"/>
      <w:bookmarkStart w:id="795" w:name="_Toc195842920"/>
      <w:r>
        <w:rPr>
          <w:color w:val="auto"/>
          <w:sz w:val="24"/>
          <w:highlight w:val="none"/>
        </w:rPr>
        <w:t>投标文件的符合性审查</w:t>
      </w:r>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p>
    <w:p w14:paraId="191CF985">
      <w:pPr>
        <w:numPr>
          <w:ilvl w:val="1"/>
          <w:numId w:val="14"/>
        </w:numPr>
        <w:tabs>
          <w:tab w:val="left" w:pos="1080"/>
        </w:tabs>
        <w:spacing w:line="360" w:lineRule="auto"/>
        <w:ind w:left="1077" w:hanging="720"/>
        <w:rPr>
          <w:color w:val="auto"/>
          <w:sz w:val="24"/>
          <w:highlight w:val="none"/>
        </w:rPr>
      </w:pPr>
      <w:r>
        <w:rPr>
          <w:color w:val="auto"/>
          <w:sz w:val="24"/>
          <w:highlight w:val="none"/>
        </w:rPr>
        <w:t>评标委员会对资格审查合格的投标人的投标文件进行符合性审查，以确定其是否满足招标文件的实质性要求。</w:t>
      </w:r>
      <w:bookmarkStart w:id="796" w:name="_Toc520356167"/>
    </w:p>
    <w:p w14:paraId="60FED7CB">
      <w:pPr>
        <w:numPr>
          <w:ilvl w:val="1"/>
          <w:numId w:val="14"/>
        </w:numPr>
        <w:tabs>
          <w:tab w:val="left" w:pos="1080"/>
        </w:tabs>
        <w:spacing w:line="360" w:lineRule="auto"/>
        <w:ind w:left="1077" w:hanging="720"/>
        <w:rPr>
          <w:color w:val="auto"/>
          <w:sz w:val="24"/>
          <w:highlight w:val="none"/>
        </w:rPr>
      </w:pPr>
      <w:r>
        <w:rPr>
          <w:color w:val="auto"/>
          <w:sz w:val="24"/>
          <w:highlight w:val="none"/>
        </w:rPr>
        <w:t>评标委员会根据《符合性审查</w:t>
      </w:r>
      <w:r>
        <w:rPr>
          <w:rFonts w:hint="eastAsia"/>
          <w:color w:val="auto"/>
          <w:sz w:val="24"/>
          <w:highlight w:val="none"/>
        </w:rPr>
        <w:t>要求</w:t>
      </w:r>
      <w:r>
        <w:rPr>
          <w:color w:val="auto"/>
          <w:sz w:val="24"/>
          <w:highlight w:val="none"/>
        </w:rPr>
        <w:t>》中规定的审查因素和审查内容，对投标人的投标文件是否实质上响应招标文件进行符合性审查，并形成符合性审查评审结果。</w:t>
      </w:r>
      <w:r>
        <w:rPr>
          <w:rFonts w:hint="eastAsia"/>
          <w:color w:val="auto"/>
          <w:sz w:val="24"/>
          <w:highlight w:val="none"/>
        </w:rPr>
        <w:t>投标人《商务技术文件》有任何一项不符合</w:t>
      </w:r>
      <w:r>
        <w:rPr>
          <w:color w:val="auto"/>
          <w:sz w:val="24"/>
          <w:highlight w:val="none"/>
        </w:rPr>
        <w:t>《符合性审查</w:t>
      </w:r>
      <w:r>
        <w:rPr>
          <w:rFonts w:hint="eastAsia"/>
          <w:color w:val="auto"/>
          <w:sz w:val="24"/>
          <w:highlight w:val="none"/>
        </w:rPr>
        <w:t>要求</w:t>
      </w:r>
      <w:r>
        <w:rPr>
          <w:color w:val="auto"/>
          <w:sz w:val="24"/>
          <w:highlight w:val="none"/>
        </w:rPr>
        <w:t>》</w:t>
      </w:r>
      <w:bookmarkEnd w:id="796"/>
      <w:r>
        <w:rPr>
          <w:rFonts w:hint="eastAsia"/>
          <w:color w:val="auto"/>
          <w:sz w:val="24"/>
          <w:highlight w:val="none"/>
        </w:rPr>
        <w:t>要求的，</w:t>
      </w:r>
      <w:r>
        <w:rPr>
          <w:rFonts w:hint="eastAsia"/>
          <w:b/>
          <w:color w:val="auto"/>
          <w:sz w:val="24"/>
          <w:highlight w:val="none"/>
        </w:rPr>
        <w:t>投标无效</w:t>
      </w:r>
      <w:r>
        <w:rPr>
          <w:rFonts w:hint="eastAsia"/>
          <w:color w:val="auto"/>
          <w:sz w:val="24"/>
          <w:highlight w:val="none"/>
        </w:rPr>
        <w:t>。</w:t>
      </w:r>
    </w:p>
    <w:p w14:paraId="7B81E607">
      <w:pPr>
        <w:tabs>
          <w:tab w:val="left" w:pos="900"/>
          <w:tab w:val="left" w:pos="1080"/>
          <w:tab w:val="left" w:pos="1589"/>
        </w:tabs>
        <w:spacing w:line="360" w:lineRule="auto"/>
        <w:ind w:hanging="357"/>
        <w:jc w:val="center"/>
        <w:rPr>
          <w:b/>
          <w:color w:val="auto"/>
          <w:sz w:val="24"/>
          <w:highlight w:val="none"/>
        </w:rPr>
      </w:pPr>
      <w:r>
        <w:rPr>
          <w:b/>
          <w:color w:val="auto"/>
          <w:sz w:val="24"/>
          <w:highlight w:val="none"/>
        </w:rPr>
        <w:t>符合性审查</w:t>
      </w:r>
      <w:r>
        <w:rPr>
          <w:rFonts w:hint="eastAsia"/>
          <w:b/>
          <w:color w:val="auto"/>
          <w:sz w:val="24"/>
          <w:highlight w:val="none"/>
        </w:rPr>
        <w:t>要求</w:t>
      </w:r>
    </w:p>
    <w:tbl>
      <w:tblPr>
        <w:tblStyle w:val="3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87"/>
        <w:gridCol w:w="1900"/>
        <w:gridCol w:w="7053"/>
      </w:tblGrid>
      <w:tr w14:paraId="42016B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404" w:type="pct"/>
            <w:vAlign w:val="center"/>
          </w:tcPr>
          <w:p w14:paraId="36FD11C3">
            <w:pPr>
              <w:widowControl/>
              <w:jc w:val="center"/>
              <w:rPr>
                <w:b/>
                <w:color w:val="auto"/>
                <w:sz w:val="24"/>
                <w:highlight w:val="none"/>
              </w:rPr>
            </w:pPr>
            <w:r>
              <w:rPr>
                <w:b/>
                <w:color w:val="auto"/>
                <w:sz w:val="24"/>
                <w:highlight w:val="none"/>
              </w:rPr>
              <w:t>序号</w:t>
            </w:r>
          </w:p>
        </w:tc>
        <w:tc>
          <w:tcPr>
            <w:tcW w:w="975" w:type="pct"/>
            <w:vAlign w:val="center"/>
          </w:tcPr>
          <w:p w14:paraId="4E80B757">
            <w:pPr>
              <w:widowControl/>
              <w:jc w:val="center"/>
              <w:rPr>
                <w:b/>
                <w:color w:val="auto"/>
                <w:sz w:val="24"/>
                <w:highlight w:val="none"/>
              </w:rPr>
            </w:pPr>
            <w:r>
              <w:rPr>
                <w:b/>
                <w:color w:val="auto"/>
                <w:sz w:val="24"/>
                <w:highlight w:val="none"/>
              </w:rPr>
              <w:t>审查因素</w:t>
            </w:r>
          </w:p>
        </w:tc>
        <w:tc>
          <w:tcPr>
            <w:tcW w:w="3620" w:type="pct"/>
            <w:vAlign w:val="center"/>
          </w:tcPr>
          <w:p w14:paraId="0E0273BC">
            <w:pPr>
              <w:widowControl/>
              <w:jc w:val="center"/>
              <w:rPr>
                <w:b/>
                <w:color w:val="auto"/>
                <w:sz w:val="24"/>
                <w:highlight w:val="none"/>
              </w:rPr>
            </w:pPr>
            <w:r>
              <w:rPr>
                <w:b/>
                <w:color w:val="auto"/>
                <w:sz w:val="24"/>
                <w:highlight w:val="none"/>
              </w:rPr>
              <w:t>审查内容</w:t>
            </w:r>
          </w:p>
        </w:tc>
      </w:tr>
      <w:tr w14:paraId="6AD80C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19" w:hRule="atLeast"/>
          <w:jc w:val="center"/>
        </w:trPr>
        <w:tc>
          <w:tcPr>
            <w:tcW w:w="404" w:type="pct"/>
            <w:vAlign w:val="center"/>
          </w:tcPr>
          <w:p w14:paraId="26C8F6DC">
            <w:pPr>
              <w:widowControl/>
              <w:jc w:val="center"/>
              <w:rPr>
                <w:color w:val="auto"/>
                <w:sz w:val="24"/>
                <w:highlight w:val="none"/>
              </w:rPr>
            </w:pPr>
            <w:r>
              <w:rPr>
                <w:color w:val="auto"/>
                <w:sz w:val="24"/>
                <w:highlight w:val="none"/>
              </w:rPr>
              <w:t>1</w:t>
            </w:r>
          </w:p>
        </w:tc>
        <w:tc>
          <w:tcPr>
            <w:tcW w:w="975" w:type="pct"/>
            <w:vAlign w:val="center"/>
          </w:tcPr>
          <w:p w14:paraId="4A309AB9">
            <w:pPr>
              <w:widowControl/>
              <w:jc w:val="left"/>
              <w:rPr>
                <w:color w:val="auto"/>
                <w:sz w:val="24"/>
                <w:highlight w:val="none"/>
              </w:rPr>
            </w:pPr>
            <w:r>
              <w:rPr>
                <w:rFonts w:hint="eastAsia"/>
                <w:color w:val="auto"/>
                <w:sz w:val="24"/>
                <w:highlight w:val="none"/>
              </w:rPr>
              <w:t>投标函、法人授权书和政府采购供应商信用承诺书</w:t>
            </w:r>
          </w:p>
        </w:tc>
        <w:tc>
          <w:tcPr>
            <w:tcW w:w="3620" w:type="pct"/>
            <w:vAlign w:val="center"/>
          </w:tcPr>
          <w:p w14:paraId="3E8F2F22">
            <w:pPr>
              <w:widowControl/>
              <w:jc w:val="left"/>
              <w:rPr>
                <w:color w:val="auto"/>
                <w:sz w:val="24"/>
                <w:highlight w:val="none"/>
              </w:rPr>
            </w:pPr>
            <w:r>
              <w:rPr>
                <w:color w:val="auto"/>
                <w:sz w:val="24"/>
                <w:highlight w:val="none"/>
              </w:rPr>
              <w:t>按招标文件要求提供</w:t>
            </w:r>
            <w:r>
              <w:rPr>
                <w:rFonts w:hint="eastAsia"/>
                <w:color w:val="auto"/>
                <w:sz w:val="24"/>
                <w:highlight w:val="none"/>
              </w:rPr>
              <w:t>投标函、法人授权书和政府采购供应商信用承诺书</w:t>
            </w:r>
            <w:r>
              <w:rPr>
                <w:color w:val="auto"/>
                <w:sz w:val="24"/>
                <w:highlight w:val="none"/>
              </w:rPr>
              <w:t>；</w:t>
            </w:r>
          </w:p>
        </w:tc>
      </w:tr>
      <w:tr w14:paraId="6C5244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pct"/>
            <w:vAlign w:val="center"/>
          </w:tcPr>
          <w:p w14:paraId="4D385480">
            <w:pPr>
              <w:widowControl/>
              <w:jc w:val="center"/>
              <w:rPr>
                <w:color w:val="auto"/>
                <w:sz w:val="24"/>
                <w:highlight w:val="none"/>
              </w:rPr>
            </w:pPr>
            <w:r>
              <w:rPr>
                <w:color w:val="auto"/>
                <w:sz w:val="24"/>
                <w:highlight w:val="none"/>
              </w:rPr>
              <w:t>2</w:t>
            </w:r>
          </w:p>
        </w:tc>
        <w:tc>
          <w:tcPr>
            <w:tcW w:w="975" w:type="pct"/>
            <w:vAlign w:val="center"/>
          </w:tcPr>
          <w:p w14:paraId="1D433623">
            <w:pPr>
              <w:widowControl/>
              <w:jc w:val="left"/>
              <w:rPr>
                <w:color w:val="auto"/>
                <w:sz w:val="24"/>
                <w:highlight w:val="none"/>
              </w:rPr>
            </w:pPr>
            <w:r>
              <w:rPr>
                <w:color w:val="auto"/>
                <w:sz w:val="24"/>
                <w:highlight w:val="none"/>
              </w:rPr>
              <w:t>投标完整性</w:t>
            </w:r>
          </w:p>
        </w:tc>
        <w:tc>
          <w:tcPr>
            <w:tcW w:w="3620" w:type="pct"/>
            <w:vAlign w:val="center"/>
          </w:tcPr>
          <w:p w14:paraId="05A95A08">
            <w:pPr>
              <w:widowControl/>
              <w:jc w:val="left"/>
              <w:rPr>
                <w:color w:val="auto"/>
                <w:sz w:val="24"/>
                <w:highlight w:val="none"/>
              </w:rPr>
            </w:pPr>
            <w:r>
              <w:rPr>
                <w:rFonts w:hint="eastAsia"/>
                <w:color w:val="auto"/>
                <w:sz w:val="24"/>
                <w:highlight w:val="none"/>
              </w:rPr>
              <w:t>未</w:t>
            </w:r>
            <w:r>
              <w:rPr>
                <w:color w:val="auto"/>
                <w:sz w:val="24"/>
                <w:highlight w:val="none"/>
              </w:rPr>
              <w:t>将一个采购包中的内容拆开投标；</w:t>
            </w:r>
          </w:p>
        </w:tc>
      </w:tr>
      <w:tr w14:paraId="4BF7D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pct"/>
            <w:vAlign w:val="center"/>
          </w:tcPr>
          <w:p w14:paraId="49D89664">
            <w:pPr>
              <w:widowControl/>
              <w:jc w:val="center"/>
              <w:rPr>
                <w:color w:val="auto"/>
                <w:sz w:val="24"/>
                <w:highlight w:val="none"/>
              </w:rPr>
            </w:pPr>
            <w:r>
              <w:rPr>
                <w:color w:val="auto"/>
                <w:sz w:val="24"/>
                <w:highlight w:val="none"/>
              </w:rPr>
              <w:t>3</w:t>
            </w:r>
          </w:p>
        </w:tc>
        <w:tc>
          <w:tcPr>
            <w:tcW w:w="975" w:type="pct"/>
            <w:vAlign w:val="center"/>
          </w:tcPr>
          <w:p w14:paraId="399814DE">
            <w:pPr>
              <w:widowControl/>
              <w:jc w:val="left"/>
              <w:rPr>
                <w:color w:val="auto"/>
                <w:sz w:val="24"/>
                <w:highlight w:val="none"/>
              </w:rPr>
            </w:pPr>
            <w:r>
              <w:rPr>
                <w:color w:val="auto"/>
                <w:sz w:val="24"/>
                <w:highlight w:val="none"/>
              </w:rPr>
              <w:t>投标报价</w:t>
            </w:r>
          </w:p>
        </w:tc>
        <w:tc>
          <w:tcPr>
            <w:tcW w:w="3620" w:type="pct"/>
            <w:vAlign w:val="center"/>
          </w:tcPr>
          <w:p w14:paraId="53BD4463">
            <w:pPr>
              <w:widowControl/>
              <w:jc w:val="left"/>
              <w:rPr>
                <w:color w:val="auto"/>
                <w:sz w:val="24"/>
                <w:highlight w:val="none"/>
              </w:rPr>
            </w:pPr>
            <w:r>
              <w:rPr>
                <w:color w:val="auto"/>
                <w:sz w:val="24"/>
                <w:highlight w:val="none"/>
              </w:rPr>
              <w:t>投标报价</w:t>
            </w:r>
            <w:r>
              <w:rPr>
                <w:rFonts w:hint="eastAsia"/>
                <w:color w:val="auto"/>
                <w:sz w:val="24"/>
                <w:highlight w:val="none"/>
              </w:rPr>
              <w:t>未</w:t>
            </w:r>
            <w:r>
              <w:rPr>
                <w:color w:val="auto"/>
                <w:sz w:val="24"/>
                <w:highlight w:val="none"/>
              </w:rPr>
              <w:t>超过招标文件中规定的项目/采购包预算金额或者项目/采购包最高限价；</w:t>
            </w:r>
          </w:p>
        </w:tc>
      </w:tr>
      <w:tr w14:paraId="77D8AF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pct"/>
            <w:vAlign w:val="center"/>
          </w:tcPr>
          <w:p w14:paraId="67ED8324">
            <w:pPr>
              <w:widowControl/>
              <w:jc w:val="center"/>
              <w:rPr>
                <w:color w:val="auto"/>
                <w:sz w:val="24"/>
                <w:highlight w:val="none"/>
              </w:rPr>
            </w:pPr>
            <w:r>
              <w:rPr>
                <w:color w:val="auto"/>
                <w:sz w:val="24"/>
                <w:highlight w:val="none"/>
              </w:rPr>
              <w:t>4</w:t>
            </w:r>
          </w:p>
        </w:tc>
        <w:tc>
          <w:tcPr>
            <w:tcW w:w="975" w:type="pct"/>
            <w:vAlign w:val="center"/>
          </w:tcPr>
          <w:p w14:paraId="339E3B5D">
            <w:pPr>
              <w:widowControl/>
              <w:jc w:val="left"/>
              <w:rPr>
                <w:color w:val="auto"/>
                <w:sz w:val="24"/>
                <w:highlight w:val="none"/>
              </w:rPr>
            </w:pPr>
            <w:r>
              <w:rPr>
                <w:color w:val="auto"/>
                <w:sz w:val="24"/>
                <w:highlight w:val="none"/>
              </w:rPr>
              <w:t>报价唯一性</w:t>
            </w:r>
          </w:p>
        </w:tc>
        <w:tc>
          <w:tcPr>
            <w:tcW w:w="3620" w:type="pct"/>
            <w:vAlign w:val="center"/>
          </w:tcPr>
          <w:p w14:paraId="46FA64CC">
            <w:pPr>
              <w:widowControl/>
              <w:jc w:val="left"/>
              <w:rPr>
                <w:color w:val="auto"/>
                <w:sz w:val="24"/>
                <w:highlight w:val="none"/>
              </w:rPr>
            </w:pPr>
            <w:r>
              <w:rPr>
                <w:color w:val="auto"/>
                <w:sz w:val="24"/>
                <w:highlight w:val="none"/>
              </w:rPr>
              <w:t>投标文件</w:t>
            </w:r>
            <w:r>
              <w:rPr>
                <w:rFonts w:hint="eastAsia"/>
                <w:color w:val="auto"/>
                <w:sz w:val="24"/>
                <w:highlight w:val="none"/>
              </w:rPr>
              <w:t>未出现可选择性或可调整的报价（招标文件另有规定的除外）</w:t>
            </w:r>
            <w:r>
              <w:rPr>
                <w:color w:val="auto"/>
                <w:sz w:val="24"/>
                <w:highlight w:val="none"/>
              </w:rPr>
              <w:t>；</w:t>
            </w:r>
          </w:p>
        </w:tc>
      </w:tr>
      <w:tr w14:paraId="1724C3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pct"/>
            <w:vAlign w:val="center"/>
          </w:tcPr>
          <w:p w14:paraId="1D83E8AE">
            <w:pPr>
              <w:widowControl/>
              <w:jc w:val="center"/>
              <w:rPr>
                <w:color w:val="auto"/>
                <w:sz w:val="24"/>
                <w:highlight w:val="none"/>
              </w:rPr>
            </w:pPr>
            <w:r>
              <w:rPr>
                <w:color w:val="auto"/>
                <w:sz w:val="24"/>
                <w:highlight w:val="none"/>
              </w:rPr>
              <w:t>5</w:t>
            </w:r>
          </w:p>
        </w:tc>
        <w:tc>
          <w:tcPr>
            <w:tcW w:w="975" w:type="pct"/>
            <w:vAlign w:val="center"/>
          </w:tcPr>
          <w:p w14:paraId="7D7A235A">
            <w:pPr>
              <w:widowControl/>
              <w:jc w:val="left"/>
              <w:rPr>
                <w:color w:val="auto"/>
                <w:sz w:val="24"/>
                <w:highlight w:val="none"/>
              </w:rPr>
            </w:pPr>
            <w:r>
              <w:rPr>
                <w:color w:val="auto"/>
                <w:sz w:val="24"/>
                <w:highlight w:val="none"/>
              </w:rPr>
              <w:t>投标有效期</w:t>
            </w:r>
          </w:p>
        </w:tc>
        <w:tc>
          <w:tcPr>
            <w:tcW w:w="3620" w:type="pct"/>
            <w:vAlign w:val="center"/>
          </w:tcPr>
          <w:p w14:paraId="560E4E12">
            <w:pPr>
              <w:widowControl/>
              <w:jc w:val="left"/>
              <w:rPr>
                <w:color w:val="auto"/>
                <w:sz w:val="24"/>
                <w:highlight w:val="none"/>
              </w:rPr>
            </w:pPr>
            <w:r>
              <w:rPr>
                <w:color w:val="auto"/>
                <w:sz w:val="24"/>
                <w:highlight w:val="none"/>
              </w:rPr>
              <w:t>投标文件中承诺的投标有效期</w:t>
            </w:r>
            <w:r>
              <w:rPr>
                <w:rFonts w:hint="eastAsia"/>
                <w:color w:val="auto"/>
                <w:sz w:val="24"/>
                <w:highlight w:val="none"/>
              </w:rPr>
              <w:t>满足</w:t>
            </w:r>
            <w:r>
              <w:rPr>
                <w:color w:val="auto"/>
                <w:sz w:val="24"/>
                <w:highlight w:val="none"/>
              </w:rPr>
              <w:t>招标文件中载明的投标有效期的；</w:t>
            </w:r>
          </w:p>
        </w:tc>
      </w:tr>
      <w:tr w14:paraId="5EBE0D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pct"/>
            <w:vAlign w:val="center"/>
          </w:tcPr>
          <w:p w14:paraId="5A547B86">
            <w:pPr>
              <w:widowControl/>
              <w:jc w:val="center"/>
              <w:rPr>
                <w:color w:val="auto"/>
                <w:sz w:val="24"/>
                <w:highlight w:val="none"/>
              </w:rPr>
            </w:pPr>
            <w:r>
              <w:rPr>
                <w:color w:val="auto"/>
                <w:sz w:val="24"/>
                <w:highlight w:val="none"/>
              </w:rPr>
              <w:t>6</w:t>
            </w:r>
          </w:p>
        </w:tc>
        <w:tc>
          <w:tcPr>
            <w:tcW w:w="975" w:type="pct"/>
            <w:vAlign w:val="center"/>
          </w:tcPr>
          <w:p w14:paraId="21D58313">
            <w:pPr>
              <w:widowControl/>
              <w:jc w:val="left"/>
              <w:rPr>
                <w:color w:val="auto"/>
                <w:sz w:val="24"/>
                <w:highlight w:val="none"/>
              </w:rPr>
            </w:pPr>
            <w:r>
              <w:rPr>
                <w:color w:val="auto"/>
                <w:sz w:val="24"/>
                <w:highlight w:val="none"/>
              </w:rPr>
              <w:t>签署、加盖公章</w:t>
            </w:r>
          </w:p>
        </w:tc>
        <w:tc>
          <w:tcPr>
            <w:tcW w:w="3620" w:type="pct"/>
            <w:vAlign w:val="center"/>
          </w:tcPr>
          <w:p w14:paraId="36D3C9AF">
            <w:pPr>
              <w:widowControl/>
              <w:jc w:val="left"/>
              <w:rPr>
                <w:color w:val="auto"/>
                <w:sz w:val="24"/>
                <w:highlight w:val="none"/>
              </w:rPr>
            </w:pPr>
            <w:r>
              <w:rPr>
                <w:color w:val="auto"/>
                <w:sz w:val="24"/>
                <w:highlight w:val="none"/>
              </w:rPr>
              <w:t>按照招标文件要求签署、加盖公章的；</w:t>
            </w:r>
          </w:p>
        </w:tc>
      </w:tr>
      <w:tr w14:paraId="58FAA2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pct"/>
            <w:vAlign w:val="center"/>
          </w:tcPr>
          <w:p w14:paraId="643CAB7F">
            <w:pPr>
              <w:widowControl/>
              <w:jc w:val="center"/>
              <w:rPr>
                <w:color w:val="auto"/>
                <w:sz w:val="24"/>
                <w:highlight w:val="none"/>
              </w:rPr>
            </w:pPr>
            <w:r>
              <w:rPr>
                <w:rFonts w:hint="eastAsia"/>
                <w:color w:val="auto"/>
                <w:sz w:val="24"/>
                <w:highlight w:val="none"/>
              </w:rPr>
              <w:t>7</w:t>
            </w:r>
          </w:p>
        </w:tc>
        <w:tc>
          <w:tcPr>
            <w:tcW w:w="975" w:type="pct"/>
            <w:vAlign w:val="center"/>
          </w:tcPr>
          <w:p w14:paraId="72829E87">
            <w:pPr>
              <w:widowControl/>
              <w:jc w:val="left"/>
              <w:rPr>
                <w:color w:val="auto"/>
                <w:sz w:val="24"/>
                <w:highlight w:val="none"/>
              </w:rPr>
            </w:pPr>
            <w:r>
              <w:rPr>
                <w:rFonts w:hint="eastAsia"/>
                <w:color w:val="auto"/>
                <w:sz w:val="24"/>
                <w:highlight w:val="none"/>
              </w:rPr>
              <w:t>实质性格式</w:t>
            </w:r>
          </w:p>
        </w:tc>
        <w:tc>
          <w:tcPr>
            <w:tcW w:w="3620" w:type="pct"/>
            <w:vAlign w:val="center"/>
          </w:tcPr>
          <w:p w14:paraId="59D934EB">
            <w:pPr>
              <w:widowControl/>
              <w:jc w:val="left"/>
              <w:rPr>
                <w:color w:val="auto"/>
                <w:sz w:val="24"/>
                <w:highlight w:val="none"/>
              </w:rPr>
            </w:pPr>
            <w:r>
              <w:rPr>
                <w:rFonts w:hint="eastAsia"/>
                <w:color w:val="auto"/>
                <w:sz w:val="24"/>
                <w:highlight w:val="none"/>
              </w:rPr>
              <w:t>标记为</w:t>
            </w:r>
            <w:r>
              <w:rPr>
                <w:color w:val="auto"/>
                <w:sz w:val="24"/>
                <w:highlight w:val="none"/>
              </w:rPr>
              <w:t>“实质性格式”的</w:t>
            </w:r>
            <w:r>
              <w:rPr>
                <w:rFonts w:hint="eastAsia"/>
                <w:color w:val="auto"/>
                <w:sz w:val="24"/>
                <w:highlight w:val="none"/>
              </w:rPr>
              <w:t>文件均按</w:t>
            </w:r>
            <w:r>
              <w:rPr>
                <w:color w:val="auto"/>
                <w:sz w:val="24"/>
                <w:highlight w:val="none"/>
              </w:rPr>
              <w:t>中招标文件</w:t>
            </w:r>
            <w:r>
              <w:rPr>
                <w:rFonts w:hint="eastAsia"/>
                <w:color w:val="auto"/>
                <w:sz w:val="24"/>
                <w:highlight w:val="none"/>
              </w:rPr>
              <w:t>要求提供；</w:t>
            </w:r>
            <w:r>
              <w:rPr>
                <w:color w:val="auto"/>
                <w:sz w:val="24"/>
                <w:highlight w:val="none"/>
              </w:rPr>
              <w:t xml:space="preserve"> </w:t>
            </w:r>
          </w:p>
        </w:tc>
      </w:tr>
      <w:tr w14:paraId="3DF587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33AD3231">
            <w:pPr>
              <w:widowControl/>
              <w:jc w:val="center"/>
              <w:rPr>
                <w:color w:val="auto"/>
                <w:sz w:val="24"/>
                <w:highlight w:val="none"/>
              </w:rPr>
            </w:pPr>
            <w:r>
              <w:rPr>
                <w:rFonts w:hint="eastAsia"/>
                <w:color w:val="auto"/>
                <w:sz w:val="24"/>
                <w:highlight w:val="none"/>
              </w:rPr>
              <w:t>8</w:t>
            </w:r>
          </w:p>
        </w:tc>
        <w:tc>
          <w:tcPr>
            <w:tcW w:w="1900" w:type="dxa"/>
            <w:shd w:val="clear" w:color="auto" w:fill="auto"/>
            <w:vAlign w:val="center"/>
          </w:tcPr>
          <w:p w14:paraId="18A17E05">
            <w:pPr>
              <w:widowControl/>
              <w:jc w:val="left"/>
              <w:rPr>
                <w:color w:val="auto"/>
                <w:sz w:val="24"/>
                <w:highlight w:val="none"/>
              </w:rPr>
            </w:pPr>
            <w:r>
              <w:rPr>
                <w:rFonts w:hint="eastAsia" w:ascii="宋体" w:hAnsi="宋体" w:cs="Segoe UI Symbol"/>
                <w:color w:val="auto"/>
                <w:kern w:val="0"/>
                <w:sz w:val="24"/>
                <w:highlight w:val="none"/>
              </w:rPr>
              <w:t>实质性</w:t>
            </w:r>
            <w:r>
              <w:rPr>
                <w:rFonts w:ascii="宋体" w:hAnsi="宋体"/>
                <w:color w:val="auto"/>
                <w:kern w:val="0"/>
                <w:sz w:val="24"/>
                <w:highlight w:val="none"/>
              </w:rPr>
              <w:t>条款</w:t>
            </w:r>
          </w:p>
        </w:tc>
        <w:tc>
          <w:tcPr>
            <w:tcW w:w="7053" w:type="dxa"/>
            <w:shd w:val="clear" w:color="auto" w:fill="auto"/>
            <w:vAlign w:val="center"/>
          </w:tcPr>
          <w:p w14:paraId="35081318">
            <w:pPr>
              <w:widowControl/>
              <w:jc w:val="left"/>
              <w:rPr>
                <w:color w:val="auto"/>
                <w:sz w:val="24"/>
                <w:highlight w:val="none"/>
              </w:rPr>
            </w:pPr>
            <w:r>
              <w:rPr>
                <w:rFonts w:hint="eastAsia"/>
                <w:color w:val="auto"/>
                <w:kern w:val="0"/>
                <w:sz w:val="24"/>
                <w:highlight w:val="none"/>
              </w:rPr>
              <w:t>投标文件满足招标文件第五章《采购需求》中实质性条款（斜体且有下划线部分的、或者加“★”号的、或者以文字说明属于实质性要求的内容）要求的，在下列表单逐项提供相关证明材料。</w:t>
            </w:r>
          </w:p>
        </w:tc>
      </w:tr>
      <w:tr w14:paraId="36277A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1EB19CB9">
            <w:pPr>
              <w:widowControl/>
              <w:jc w:val="center"/>
              <w:rPr>
                <w:rFonts w:hint="eastAsia" w:eastAsia="宋体"/>
                <w:color w:val="auto"/>
                <w:sz w:val="24"/>
                <w:highlight w:val="none"/>
                <w:lang w:eastAsia="zh-CN"/>
              </w:rPr>
            </w:pPr>
            <w:r>
              <w:rPr>
                <w:rFonts w:hint="eastAsia"/>
                <w:color w:val="auto"/>
                <w:sz w:val="24"/>
                <w:highlight w:val="none"/>
                <w:lang w:val="en-US" w:eastAsia="zh-CN"/>
              </w:rPr>
              <w:t>9</w:t>
            </w:r>
          </w:p>
        </w:tc>
        <w:tc>
          <w:tcPr>
            <w:tcW w:w="975" w:type="pct"/>
            <w:shd w:val="clear" w:color="auto" w:fill="auto"/>
            <w:vAlign w:val="center"/>
          </w:tcPr>
          <w:p w14:paraId="0BF97B80">
            <w:pPr>
              <w:widowControl/>
              <w:jc w:val="left"/>
              <w:rPr>
                <w:color w:val="auto"/>
                <w:sz w:val="24"/>
                <w:highlight w:val="none"/>
              </w:rPr>
            </w:pPr>
            <w:r>
              <w:rPr>
                <w:rFonts w:hint="eastAsia"/>
                <w:color w:val="auto"/>
                <w:sz w:val="24"/>
                <w:highlight w:val="none"/>
              </w:rPr>
              <w:t>报价的修正（如有）</w:t>
            </w:r>
          </w:p>
        </w:tc>
        <w:tc>
          <w:tcPr>
            <w:tcW w:w="3620" w:type="pct"/>
            <w:shd w:val="clear" w:color="auto" w:fill="auto"/>
            <w:vAlign w:val="center"/>
          </w:tcPr>
          <w:p w14:paraId="6623136F">
            <w:pPr>
              <w:widowControl/>
              <w:jc w:val="left"/>
              <w:rPr>
                <w:color w:val="auto"/>
                <w:sz w:val="24"/>
                <w:highlight w:val="none"/>
              </w:rPr>
            </w:pPr>
            <w:r>
              <w:rPr>
                <w:rFonts w:hint="eastAsia"/>
                <w:color w:val="auto"/>
                <w:sz w:val="24"/>
                <w:highlight w:val="none"/>
              </w:rPr>
              <w:t>不涉及报价修正，或投标文件报价出现前后不一致时，投标人对修正后的报价予以确认；（如有）</w:t>
            </w:r>
          </w:p>
        </w:tc>
      </w:tr>
      <w:tr w14:paraId="66C1A0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02729201">
            <w:pPr>
              <w:widowControl/>
              <w:jc w:val="center"/>
              <w:rPr>
                <w:rFonts w:hint="eastAsia" w:eastAsia="宋体"/>
                <w:color w:val="auto"/>
                <w:sz w:val="24"/>
                <w:highlight w:val="none"/>
                <w:lang w:eastAsia="zh-CN"/>
              </w:rPr>
            </w:pPr>
            <w:r>
              <w:rPr>
                <w:rFonts w:hint="eastAsia"/>
                <w:color w:val="auto"/>
                <w:sz w:val="24"/>
                <w:highlight w:val="none"/>
              </w:rPr>
              <w:t>1</w:t>
            </w:r>
            <w:r>
              <w:rPr>
                <w:rFonts w:hint="eastAsia"/>
                <w:color w:val="auto"/>
                <w:sz w:val="24"/>
                <w:highlight w:val="none"/>
                <w:lang w:val="en-US" w:eastAsia="zh-CN"/>
              </w:rPr>
              <w:t>0</w:t>
            </w:r>
          </w:p>
        </w:tc>
        <w:tc>
          <w:tcPr>
            <w:tcW w:w="975" w:type="pct"/>
            <w:shd w:val="clear" w:color="auto" w:fill="auto"/>
            <w:vAlign w:val="center"/>
          </w:tcPr>
          <w:p w14:paraId="3B819778">
            <w:pPr>
              <w:widowControl/>
              <w:jc w:val="left"/>
              <w:rPr>
                <w:color w:val="auto"/>
                <w:sz w:val="24"/>
                <w:highlight w:val="none"/>
              </w:rPr>
            </w:pPr>
            <w:r>
              <w:rPr>
                <w:rFonts w:hint="eastAsia"/>
                <w:color w:val="auto"/>
                <w:sz w:val="24"/>
                <w:highlight w:val="none"/>
              </w:rPr>
              <w:t>报价合理性</w:t>
            </w:r>
          </w:p>
        </w:tc>
        <w:tc>
          <w:tcPr>
            <w:tcW w:w="3620" w:type="pct"/>
            <w:shd w:val="clear" w:color="auto" w:fill="auto"/>
            <w:vAlign w:val="center"/>
          </w:tcPr>
          <w:p w14:paraId="46630B6A">
            <w:pPr>
              <w:widowControl/>
              <w:jc w:val="left"/>
              <w:rPr>
                <w:color w:val="auto"/>
                <w:sz w:val="24"/>
                <w:highlight w:val="none"/>
              </w:rPr>
            </w:pPr>
            <w:r>
              <w:rPr>
                <w:rFonts w:hint="eastAsia"/>
                <w:color w:val="auto"/>
                <w:sz w:val="24"/>
                <w:highlight w:val="none"/>
              </w:rPr>
              <w:t>报价合理，或投标人的报价明显低于其他通过符合性审查投标人的报价，有可能影响产品质量或者不能诚信履约的，能够应评标委员会要求在规定时间内证明其报价合理性的；</w:t>
            </w:r>
          </w:p>
        </w:tc>
      </w:tr>
      <w:tr w14:paraId="664584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2BB1DDB9">
            <w:pPr>
              <w:widowControl/>
              <w:jc w:val="center"/>
              <w:rPr>
                <w:rFonts w:hint="eastAsia" w:eastAsia="宋体"/>
                <w:color w:val="auto"/>
                <w:sz w:val="24"/>
                <w:highlight w:val="none"/>
                <w:lang w:eastAsia="zh-CN"/>
              </w:rPr>
            </w:pPr>
            <w:r>
              <w:rPr>
                <w:rFonts w:hint="eastAsia"/>
                <w:color w:val="auto"/>
                <w:sz w:val="24"/>
                <w:highlight w:val="none"/>
              </w:rPr>
              <w:t>1</w:t>
            </w:r>
            <w:r>
              <w:rPr>
                <w:rFonts w:hint="eastAsia"/>
                <w:color w:val="auto"/>
                <w:sz w:val="24"/>
                <w:highlight w:val="none"/>
                <w:lang w:val="en-US" w:eastAsia="zh-CN"/>
              </w:rPr>
              <w:t>1</w:t>
            </w:r>
          </w:p>
        </w:tc>
        <w:tc>
          <w:tcPr>
            <w:tcW w:w="975" w:type="pct"/>
            <w:shd w:val="clear" w:color="auto" w:fill="auto"/>
            <w:vAlign w:val="center"/>
          </w:tcPr>
          <w:p w14:paraId="02377873">
            <w:pPr>
              <w:widowControl/>
              <w:jc w:val="left"/>
              <w:rPr>
                <w:color w:val="auto"/>
                <w:sz w:val="24"/>
                <w:highlight w:val="none"/>
              </w:rPr>
            </w:pPr>
            <w:r>
              <w:rPr>
                <w:rFonts w:hint="eastAsia"/>
                <w:color w:val="auto"/>
                <w:sz w:val="24"/>
                <w:highlight w:val="none"/>
              </w:rPr>
              <w:t>公平竞争</w:t>
            </w:r>
          </w:p>
        </w:tc>
        <w:tc>
          <w:tcPr>
            <w:tcW w:w="3620" w:type="pct"/>
            <w:shd w:val="clear" w:color="auto" w:fill="auto"/>
            <w:vAlign w:val="center"/>
          </w:tcPr>
          <w:p w14:paraId="5C2FE06D">
            <w:pPr>
              <w:widowControl/>
              <w:jc w:val="left"/>
              <w:rPr>
                <w:color w:val="auto"/>
                <w:sz w:val="24"/>
                <w:highlight w:val="none"/>
              </w:rPr>
            </w:pPr>
            <w:r>
              <w:rPr>
                <w:rFonts w:hint="eastAsia"/>
                <w:color w:val="auto"/>
                <w:sz w:val="24"/>
                <w:highlight w:val="none"/>
              </w:rPr>
              <w:t>投标人遵循公平竞争的原则，不存在恶意串通，妨碍其他投标人的竞争行为，不存在损害采购人或者其他投标人的合法权益情形的；</w:t>
            </w:r>
          </w:p>
        </w:tc>
      </w:tr>
      <w:tr w14:paraId="69E2C2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4EFD847A">
            <w:pPr>
              <w:widowControl/>
              <w:jc w:val="center"/>
              <w:rPr>
                <w:rFonts w:hint="eastAsia" w:eastAsia="宋体"/>
                <w:color w:val="auto"/>
                <w:sz w:val="24"/>
                <w:highlight w:val="none"/>
                <w:lang w:eastAsia="zh-CN"/>
              </w:rPr>
            </w:pPr>
            <w:r>
              <w:rPr>
                <w:rFonts w:hint="eastAsia"/>
                <w:color w:val="auto"/>
                <w:sz w:val="24"/>
                <w:highlight w:val="none"/>
              </w:rPr>
              <w:t>1</w:t>
            </w:r>
            <w:r>
              <w:rPr>
                <w:rFonts w:hint="eastAsia"/>
                <w:color w:val="auto"/>
                <w:sz w:val="24"/>
                <w:highlight w:val="none"/>
                <w:lang w:val="en-US" w:eastAsia="zh-CN"/>
              </w:rPr>
              <w:t>2</w:t>
            </w:r>
          </w:p>
        </w:tc>
        <w:tc>
          <w:tcPr>
            <w:tcW w:w="975" w:type="pct"/>
            <w:shd w:val="clear" w:color="auto" w:fill="auto"/>
            <w:vAlign w:val="center"/>
          </w:tcPr>
          <w:p w14:paraId="07318AFE">
            <w:pPr>
              <w:widowControl/>
              <w:jc w:val="left"/>
              <w:rPr>
                <w:color w:val="auto"/>
                <w:sz w:val="24"/>
                <w:highlight w:val="none"/>
              </w:rPr>
            </w:pPr>
            <w:r>
              <w:rPr>
                <w:rFonts w:hint="eastAsia"/>
                <w:color w:val="auto"/>
                <w:sz w:val="24"/>
                <w:highlight w:val="none"/>
              </w:rPr>
              <w:t>串通投标</w:t>
            </w:r>
          </w:p>
        </w:tc>
        <w:tc>
          <w:tcPr>
            <w:tcW w:w="3620" w:type="pct"/>
            <w:shd w:val="clear" w:color="auto" w:fill="auto"/>
            <w:vAlign w:val="center"/>
          </w:tcPr>
          <w:p w14:paraId="7790750A">
            <w:pPr>
              <w:widowControl/>
              <w:jc w:val="left"/>
              <w:rPr>
                <w:color w:val="auto"/>
                <w:sz w:val="24"/>
                <w:highlight w:val="none"/>
              </w:rPr>
            </w:pPr>
            <w:r>
              <w:rPr>
                <w:rFonts w:hint="eastAsia"/>
                <w:color w:val="auto"/>
                <w:sz w:val="24"/>
                <w:highlight w:val="none"/>
              </w:rPr>
              <w:t>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p>
        </w:tc>
      </w:tr>
      <w:tr w14:paraId="5EFEA4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5510DB6F">
            <w:pPr>
              <w:widowControl/>
              <w:jc w:val="center"/>
              <w:rPr>
                <w:rFonts w:hint="eastAsia" w:eastAsia="宋体"/>
                <w:color w:val="auto"/>
                <w:sz w:val="24"/>
                <w:highlight w:val="none"/>
                <w:lang w:eastAsia="zh-CN"/>
              </w:rPr>
            </w:pPr>
            <w:r>
              <w:rPr>
                <w:rFonts w:hint="eastAsia"/>
                <w:color w:val="auto"/>
                <w:sz w:val="24"/>
                <w:highlight w:val="none"/>
              </w:rPr>
              <w:t>1</w:t>
            </w:r>
            <w:r>
              <w:rPr>
                <w:rFonts w:hint="eastAsia"/>
                <w:color w:val="auto"/>
                <w:sz w:val="24"/>
                <w:highlight w:val="none"/>
                <w:lang w:val="en-US" w:eastAsia="zh-CN"/>
              </w:rPr>
              <w:t>3</w:t>
            </w:r>
          </w:p>
        </w:tc>
        <w:tc>
          <w:tcPr>
            <w:tcW w:w="975" w:type="pct"/>
            <w:shd w:val="clear" w:color="auto" w:fill="auto"/>
            <w:vAlign w:val="center"/>
          </w:tcPr>
          <w:p w14:paraId="6B5C0F9F">
            <w:pPr>
              <w:widowControl/>
              <w:jc w:val="left"/>
              <w:rPr>
                <w:color w:val="auto"/>
                <w:sz w:val="24"/>
                <w:highlight w:val="none"/>
              </w:rPr>
            </w:pPr>
            <w:r>
              <w:rPr>
                <w:rFonts w:hint="eastAsia"/>
                <w:color w:val="auto"/>
                <w:sz w:val="24"/>
                <w:highlight w:val="none"/>
              </w:rPr>
              <w:t>附加条件</w:t>
            </w:r>
          </w:p>
        </w:tc>
        <w:tc>
          <w:tcPr>
            <w:tcW w:w="3620" w:type="pct"/>
            <w:shd w:val="clear" w:color="auto" w:fill="auto"/>
            <w:vAlign w:val="center"/>
          </w:tcPr>
          <w:p w14:paraId="4267D206">
            <w:pPr>
              <w:widowControl/>
              <w:jc w:val="left"/>
              <w:rPr>
                <w:color w:val="auto"/>
                <w:sz w:val="24"/>
                <w:highlight w:val="none"/>
              </w:rPr>
            </w:pPr>
            <w:r>
              <w:rPr>
                <w:rFonts w:hint="eastAsia"/>
                <w:color w:val="auto"/>
                <w:sz w:val="24"/>
                <w:highlight w:val="none"/>
              </w:rPr>
              <w:t>投标文件未含有</w:t>
            </w:r>
            <w:r>
              <w:rPr>
                <w:rFonts w:hint="eastAsia"/>
                <w:color w:val="auto"/>
                <w:sz w:val="24"/>
                <w:highlight w:val="none"/>
                <w:lang w:val="en-US" w:eastAsia="zh-CN"/>
              </w:rPr>
              <w:t>招标</w:t>
            </w:r>
            <w:r>
              <w:rPr>
                <w:rFonts w:hint="eastAsia"/>
                <w:color w:val="auto"/>
                <w:sz w:val="24"/>
                <w:highlight w:val="none"/>
              </w:rPr>
              <w:t>人不能接受的附加条件的；</w:t>
            </w:r>
          </w:p>
        </w:tc>
      </w:tr>
      <w:tr w14:paraId="144ABE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06FC2E27">
            <w:pPr>
              <w:widowControl/>
              <w:jc w:val="center"/>
              <w:rPr>
                <w:rFonts w:hint="eastAsia" w:eastAsia="宋体"/>
                <w:color w:val="auto"/>
                <w:sz w:val="24"/>
                <w:highlight w:val="none"/>
                <w:lang w:eastAsia="zh-CN"/>
              </w:rPr>
            </w:pPr>
            <w:r>
              <w:rPr>
                <w:rFonts w:hint="eastAsia"/>
                <w:color w:val="auto"/>
                <w:sz w:val="24"/>
                <w:highlight w:val="none"/>
              </w:rPr>
              <w:t>1</w:t>
            </w:r>
            <w:r>
              <w:rPr>
                <w:rFonts w:hint="eastAsia"/>
                <w:color w:val="auto"/>
                <w:sz w:val="24"/>
                <w:highlight w:val="none"/>
                <w:lang w:val="en-US" w:eastAsia="zh-CN"/>
              </w:rPr>
              <w:t>4</w:t>
            </w:r>
          </w:p>
        </w:tc>
        <w:tc>
          <w:tcPr>
            <w:tcW w:w="975" w:type="pct"/>
            <w:shd w:val="clear" w:color="auto" w:fill="auto"/>
            <w:vAlign w:val="center"/>
          </w:tcPr>
          <w:p w14:paraId="4991CEF7">
            <w:pPr>
              <w:widowControl/>
              <w:jc w:val="left"/>
              <w:rPr>
                <w:color w:val="auto"/>
                <w:sz w:val="24"/>
                <w:highlight w:val="none"/>
              </w:rPr>
            </w:pPr>
            <w:r>
              <w:rPr>
                <w:rFonts w:hint="eastAsia"/>
                <w:color w:val="auto"/>
                <w:sz w:val="24"/>
                <w:highlight w:val="none"/>
              </w:rPr>
              <w:t>其他无效情形</w:t>
            </w:r>
          </w:p>
        </w:tc>
        <w:tc>
          <w:tcPr>
            <w:tcW w:w="3620" w:type="pct"/>
            <w:shd w:val="clear" w:color="auto" w:fill="auto"/>
            <w:vAlign w:val="center"/>
          </w:tcPr>
          <w:p w14:paraId="1F4ACF6B">
            <w:pPr>
              <w:widowControl/>
              <w:jc w:val="left"/>
              <w:rPr>
                <w:color w:val="auto"/>
                <w:sz w:val="24"/>
                <w:highlight w:val="none"/>
              </w:rPr>
            </w:pPr>
            <w:r>
              <w:rPr>
                <w:rFonts w:hint="eastAsia"/>
                <w:color w:val="auto"/>
                <w:sz w:val="24"/>
                <w:highlight w:val="none"/>
              </w:rPr>
              <w:t>投标人、投标文件不存在不符合法律、法规和招标文件规定的其他无效情形。</w:t>
            </w:r>
          </w:p>
        </w:tc>
      </w:tr>
    </w:tbl>
    <w:p w14:paraId="2397B719">
      <w:pPr>
        <w:numPr>
          <w:ilvl w:val="0"/>
          <w:numId w:val="14"/>
        </w:numPr>
        <w:tabs>
          <w:tab w:val="left" w:pos="360"/>
        </w:tabs>
        <w:spacing w:line="360" w:lineRule="auto"/>
        <w:outlineLvl w:val="1"/>
        <w:rPr>
          <w:color w:val="auto"/>
          <w:sz w:val="24"/>
          <w:highlight w:val="none"/>
        </w:rPr>
      </w:pPr>
      <w:r>
        <w:rPr>
          <w:color w:val="auto"/>
          <w:sz w:val="24"/>
          <w:highlight w:val="none"/>
        </w:rPr>
        <w:t>投标文件有关事项的澄清或者说明</w:t>
      </w:r>
    </w:p>
    <w:p w14:paraId="5710A6BA">
      <w:pPr>
        <w:numPr>
          <w:ilvl w:val="1"/>
          <w:numId w:val="14"/>
        </w:numPr>
        <w:tabs>
          <w:tab w:val="left" w:pos="1080"/>
        </w:tabs>
        <w:spacing w:line="360" w:lineRule="auto"/>
        <w:ind w:left="1077" w:hanging="720"/>
        <w:rPr>
          <w:color w:val="auto"/>
          <w:sz w:val="24"/>
          <w:highlight w:val="none"/>
        </w:rPr>
      </w:pPr>
      <w:r>
        <w:rPr>
          <w:color w:val="auto"/>
          <w:sz w:val="24"/>
          <w:highlight w:val="none"/>
        </w:rPr>
        <w:t>评标过程中，</w:t>
      </w:r>
      <w:r>
        <w:rPr>
          <w:rFonts w:hint="eastAsia"/>
          <w:color w:val="auto"/>
          <w:sz w:val="24"/>
          <w:highlight w:val="none"/>
        </w:rPr>
        <w:t>对投标文件中含义不明确、同类问题表述不一致或者有明显文字和计算错误的内容，评标委员会可以书面形式（应当由评标委员会专家签字）要求投标人作出必要的澄清、说明或者纠正。投标人的澄清、说明或者补正应当采用书面形式，由其授权的代表签字，并不得超出投标文件的范围或者改变投标文件的实质性内容。</w:t>
      </w:r>
    </w:p>
    <w:p w14:paraId="44EA50DE">
      <w:pPr>
        <w:numPr>
          <w:ilvl w:val="1"/>
          <w:numId w:val="14"/>
        </w:numPr>
        <w:tabs>
          <w:tab w:val="left" w:pos="1080"/>
        </w:tabs>
        <w:spacing w:line="360" w:lineRule="auto"/>
        <w:ind w:left="1077" w:hanging="720"/>
        <w:rPr>
          <w:color w:val="auto"/>
          <w:sz w:val="24"/>
          <w:highlight w:val="none"/>
        </w:rPr>
      </w:pPr>
      <w:r>
        <w:rPr>
          <w:color w:val="auto"/>
          <w:sz w:val="24"/>
          <w:highlight w:val="none"/>
        </w:rPr>
        <w:t>评标委员会认为投标人的报价明显低于其他通过符合性审查投标人的报价，有可能影响产品质量或者不能诚信履约的，有权要求该投标人在</w:t>
      </w:r>
      <w:r>
        <w:rPr>
          <w:rFonts w:hint="eastAsia"/>
          <w:color w:val="auto"/>
          <w:sz w:val="24"/>
          <w:highlight w:val="none"/>
        </w:rPr>
        <w:t>规定</w:t>
      </w:r>
      <w:r>
        <w:rPr>
          <w:color w:val="auto"/>
          <w:sz w:val="24"/>
          <w:highlight w:val="none"/>
        </w:rPr>
        <w:t>的时间内提供书面说明，必要时提交相关证明材料；若投标人不能证明其报价合理性，评标委员会将其作为</w:t>
      </w:r>
      <w:r>
        <w:rPr>
          <w:b/>
          <w:color w:val="auto"/>
          <w:sz w:val="24"/>
          <w:highlight w:val="none"/>
        </w:rPr>
        <w:t>无效投标处理</w:t>
      </w:r>
      <w:r>
        <w:rPr>
          <w:color w:val="auto"/>
          <w:sz w:val="24"/>
          <w:highlight w:val="none"/>
        </w:rPr>
        <w:t>。</w:t>
      </w:r>
    </w:p>
    <w:p w14:paraId="1C416398">
      <w:pPr>
        <w:numPr>
          <w:ilvl w:val="2"/>
          <w:numId w:val="14"/>
        </w:numPr>
        <w:tabs>
          <w:tab w:val="left" w:pos="1080"/>
          <w:tab w:val="left" w:pos="1589"/>
          <w:tab w:val="left" w:pos="2035"/>
          <w:tab w:val="left" w:pos="2114"/>
        </w:tabs>
        <w:snapToGrid w:val="0"/>
        <w:spacing w:line="360" w:lineRule="auto"/>
        <w:ind w:left="2035"/>
        <w:rPr>
          <w:rFonts w:hint="eastAsia"/>
          <w:color w:val="auto"/>
          <w:sz w:val="24"/>
          <w:highlight w:val="none"/>
        </w:rPr>
      </w:pPr>
      <w:r>
        <w:rPr>
          <w:rFonts w:hint="eastAsia"/>
          <w:color w:val="auto"/>
          <w:kern w:val="0"/>
          <w:sz w:val="24"/>
          <w:highlight w:val="none"/>
        </w:rPr>
        <w:t>根据财库〔2026〕2号文件规定，</w:t>
      </w:r>
      <w:r>
        <w:rPr>
          <w:rFonts w:hint="eastAsia"/>
          <w:color w:val="auto"/>
          <w:sz w:val="24"/>
          <w:highlight w:val="none"/>
        </w:rPr>
        <w:t>评审过程中出现下列情形之一的，评审委员会应当启动异常低价投标（响应）审查程序：</w:t>
      </w:r>
    </w:p>
    <w:p w14:paraId="7D7EE941">
      <w:pPr>
        <w:tabs>
          <w:tab w:val="left" w:pos="1080"/>
          <w:tab w:val="left" w:pos="1589"/>
          <w:tab w:val="left" w:pos="2035"/>
          <w:tab w:val="left" w:pos="2114"/>
        </w:tabs>
        <w:snapToGrid w:val="0"/>
        <w:spacing w:line="360" w:lineRule="auto"/>
        <w:ind w:left="1915" w:leftChars="912"/>
        <w:rPr>
          <w:rFonts w:hint="eastAsia"/>
          <w:color w:val="auto"/>
          <w:sz w:val="24"/>
          <w:highlight w:val="none"/>
        </w:rPr>
      </w:pPr>
      <w:r>
        <w:rPr>
          <w:rFonts w:hint="eastAsia"/>
          <w:color w:val="auto"/>
          <w:sz w:val="24"/>
          <w:highlight w:val="none"/>
        </w:rPr>
        <w:t>（1）投标（响应）报价低于全部通过符合性审查供应商投标（响应）报价平均值50%的，即投标（响应）报价&lt;全部通过符合性审查供应商投标（响应）报价平均值×50%；</w:t>
      </w:r>
    </w:p>
    <w:p w14:paraId="7C76D722">
      <w:pPr>
        <w:tabs>
          <w:tab w:val="left" w:pos="1080"/>
          <w:tab w:val="left" w:pos="1589"/>
          <w:tab w:val="left" w:pos="2035"/>
          <w:tab w:val="left" w:pos="2114"/>
        </w:tabs>
        <w:snapToGrid w:val="0"/>
        <w:spacing w:line="360" w:lineRule="auto"/>
        <w:ind w:left="1915" w:leftChars="912"/>
        <w:rPr>
          <w:rFonts w:hint="eastAsia"/>
          <w:color w:val="auto"/>
          <w:sz w:val="24"/>
          <w:highlight w:val="none"/>
        </w:rPr>
      </w:pPr>
      <w:r>
        <w:rPr>
          <w:rFonts w:hint="eastAsia"/>
          <w:color w:val="auto"/>
          <w:sz w:val="24"/>
          <w:highlight w:val="none"/>
        </w:rPr>
        <w:t>（2）投标（响应）报价低于通过符合性审查的次低报价供应商投标（响应）报价50%的，即投标（响应）报价&lt;通过符合性审查的次低报价供应商投标（响应）报价×50%；</w:t>
      </w:r>
    </w:p>
    <w:p w14:paraId="72136025">
      <w:pPr>
        <w:tabs>
          <w:tab w:val="left" w:pos="1080"/>
          <w:tab w:val="left" w:pos="1589"/>
          <w:tab w:val="left" w:pos="2035"/>
          <w:tab w:val="left" w:pos="2114"/>
        </w:tabs>
        <w:snapToGrid w:val="0"/>
        <w:spacing w:line="360" w:lineRule="auto"/>
        <w:ind w:left="1915" w:leftChars="912"/>
        <w:rPr>
          <w:rFonts w:hint="eastAsia"/>
          <w:color w:val="auto"/>
          <w:sz w:val="24"/>
          <w:highlight w:val="none"/>
        </w:rPr>
      </w:pPr>
      <w:r>
        <w:rPr>
          <w:rFonts w:hint="eastAsia"/>
          <w:color w:val="auto"/>
          <w:sz w:val="24"/>
          <w:highlight w:val="none"/>
        </w:rPr>
        <w:t>（3）投标（响应）报价低于采购项目最高限价45%的，即投标（响应）报价&lt;采购项目最高限价×45%；</w:t>
      </w:r>
    </w:p>
    <w:p w14:paraId="1FE4BE64">
      <w:pPr>
        <w:tabs>
          <w:tab w:val="left" w:pos="1080"/>
          <w:tab w:val="left" w:pos="1589"/>
          <w:tab w:val="left" w:pos="2035"/>
          <w:tab w:val="left" w:pos="2114"/>
        </w:tabs>
        <w:snapToGrid w:val="0"/>
        <w:spacing w:line="360" w:lineRule="auto"/>
        <w:ind w:left="1915" w:leftChars="912"/>
        <w:rPr>
          <w:rFonts w:hint="eastAsia"/>
          <w:color w:val="auto"/>
          <w:sz w:val="24"/>
          <w:highlight w:val="none"/>
        </w:rPr>
      </w:pPr>
      <w:r>
        <w:rPr>
          <w:rFonts w:hint="eastAsia"/>
          <w:color w:val="auto"/>
          <w:sz w:val="24"/>
          <w:highlight w:val="none"/>
        </w:rPr>
        <w:t>（4）评审委员会基于专业判断，认为供应商报价过低，有可能影响产品质量或者不能诚信履约的其他情形。</w:t>
      </w:r>
    </w:p>
    <w:p w14:paraId="3A7D3E21">
      <w:pPr>
        <w:numPr>
          <w:ilvl w:val="2"/>
          <w:numId w:val="14"/>
        </w:numPr>
        <w:tabs>
          <w:tab w:val="left" w:pos="1080"/>
          <w:tab w:val="left" w:pos="1589"/>
          <w:tab w:val="left" w:pos="2035"/>
          <w:tab w:val="left" w:pos="2114"/>
        </w:tabs>
        <w:snapToGrid w:val="0"/>
        <w:spacing w:line="360" w:lineRule="auto"/>
        <w:ind w:left="2035"/>
        <w:rPr>
          <w:rFonts w:hint="eastAsia"/>
          <w:color w:val="auto"/>
          <w:sz w:val="24"/>
          <w:highlight w:val="none"/>
        </w:rPr>
      </w:pPr>
      <w:r>
        <w:rPr>
          <w:rFonts w:hint="eastAsia"/>
          <w:color w:val="auto"/>
          <w:sz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0EDE3BF">
      <w:pPr>
        <w:numPr>
          <w:ilvl w:val="2"/>
          <w:numId w:val="14"/>
        </w:numPr>
        <w:tabs>
          <w:tab w:val="left" w:pos="1080"/>
          <w:tab w:val="left" w:pos="1589"/>
          <w:tab w:val="left" w:pos="2035"/>
          <w:tab w:val="left" w:pos="2114"/>
        </w:tabs>
        <w:snapToGrid w:val="0"/>
        <w:spacing w:line="360" w:lineRule="auto"/>
        <w:ind w:left="2035"/>
        <w:rPr>
          <w:rFonts w:hint="eastAsia"/>
          <w:color w:val="auto"/>
          <w:sz w:val="24"/>
          <w:highlight w:val="none"/>
        </w:rPr>
      </w:pPr>
      <w:r>
        <w:rPr>
          <w:rFonts w:hint="eastAsia"/>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2CBF06B">
      <w:pPr>
        <w:numPr>
          <w:ilvl w:val="2"/>
          <w:numId w:val="14"/>
        </w:numPr>
        <w:tabs>
          <w:tab w:val="left" w:pos="1080"/>
          <w:tab w:val="left" w:pos="1589"/>
          <w:tab w:val="left" w:pos="2035"/>
          <w:tab w:val="left" w:pos="2114"/>
        </w:tabs>
        <w:snapToGrid w:val="0"/>
        <w:spacing w:line="360" w:lineRule="auto"/>
        <w:ind w:left="2035"/>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6C612FD">
      <w:pPr>
        <w:numPr>
          <w:ilvl w:val="2"/>
          <w:numId w:val="14"/>
        </w:numPr>
        <w:tabs>
          <w:tab w:val="left" w:pos="1080"/>
          <w:tab w:val="left" w:pos="1589"/>
          <w:tab w:val="left" w:pos="2035"/>
          <w:tab w:val="left" w:pos="2114"/>
        </w:tabs>
        <w:snapToGrid w:val="0"/>
        <w:spacing w:line="360" w:lineRule="auto"/>
        <w:ind w:left="2035"/>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11811CE8">
      <w:pPr>
        <w:numPr>
          <w:ilvl w:val="1"/>
          <w:numId w:val="14"/>
        </w:numPr>
        <w:tabs>
          <w:tab w:val="left" w:pos="1080"/>
        </w:tabs>
        <w:spacing w:line="360" w:lineRule="auto"/>
        <w:ind w:left="1077" w:hanging="720"/>
        <w:rPr>
          <w:color w:val="auto"/>
          <w:sz w:val="24"/>
          <w:highlight w:val="none"/>
        </w:rPr>
      </w:pPr>
      <w:r>
        <w:rPr>
          <w:color w:val="auto"/>
          <w:sz w:val="24"/>
          <w:highlight w:val="none"/>
        </w:rPr>
        <w:t>投标报价须包含招标文件全部内容，如分项报价表有缺漏视为已含在其他各项报价中，将不对投标总价进行调整。评标委员会有权要求投标人在</w:t>
      </w:r>
      <w:r>
        <w:rPr>
          <w:rFonts w:hint="eastAsia"/>
          <w:color w:val="auto"/>
          <w:sz w:val="24"/>
          <w:highlight w:val="none"/>
        </w:rPr>
        <w:t>规定</w:t>
      </w:r>
      <w:r>
        <w:rPr>
          <w:color w:val="auto"/>
          <w:sz w:val="24"/>
          <w:highlight w:val="none"/>
        </w:rPr>
        <w:t>的时间内对此进行书面确认，投标人不确认的，视为将一个采购包中的内容拆开投标，其</w:t>
      </w:r>
      <w:r>
        <w:rPr>
          <w:b/>
          <w:color w:val="auto"/>
          <w:sz w:val="24"/>
          <w:highlight w:val="none"/>
        </w:rPr>
        <w:t>投标无效</w:t>
      </w:r>
      <w:r>
        <w:rPr>
          <w:color w:val="auto"/>
          <w:sz w:val="24"/>
          <w:highlight w:val="none"/>
        </w:rPr>
        <w:t>。</w:t>
      </w:r>
    </w:p>
    <w:p w14:paraId="30CCD7C5">
      <w:pPr>
        <w:numPr>
          <w:ilvl w:val="1"/>
          <w:numId w:val="14"/>
        </w:numPr>
        <w:tabs>
          <w:tab w:val="left" w:pos="1080"/>
        </w:tabs>
        <w:spacing w:line="360" w:lineRule="auto"/>
        <w:ind w:left="1077" w:hanging="720"/>
        <w:rPr>
          <w:color w:val="auto"/>
          <w:sz w:val="24"/>
          <w:highlight w:val="none"/>
        </w:rPr>
      </w:pPr>
      <w:r>
        <w:rPr>
          <w:color w:val="auto"/>
          <w:sz w:val="24"/>
          <w:highlight w:val="none"/>
        </w:rPr>
        <w:t>投标文件报价出现前后不一致的，按照下列规定修正：</w:t>
      </w:r>
    </w:p>
    <w:p w14:paraId="7B537D30">
      <w:pPr>
        <w:numPr>
          <w:ilvl w:val="2"/>
          <w:numId w:val="14"/>
        </w:numPr>
        <w:tabs>
          <w:tab w:val="left" w:pos="1080"/>
          <w:tab w:val="left" w:pos="1589"/>
          <w:tab w:val="left" w:pos="2035"/>
          <w:tab w:val="left" w:pos="2114"/>
        </w:tabs>
        <w:spacing w:line="360" w:lineRule="auto"/>
        <w:ind w:left="2035"/>
        <w:rPr>
          <w:color w:val="auto"/>
          <w:sz w:val="24"/>
          <w:highlight w:val="none"/>
        </w:rPr>
      </w:pPr>
      <w:r>
        <w:rPr>
          <w:color w:val="auto"/>
          <w:sz w:val="24"/>
          <w:highlight w:val="none"/>
        </w:rPr>
        <w:t>招标文件对于报价修正是否另有规定：</w:t>
      </w:r>
    </w:p>
    <w:p w14:paraId="0456324A">
      <w:pPr>
        <w:tabs>
          <w:tab w:val="left" w:pos="1080"/>
          <w:tab w:val="left" w:pos="1589"/>
          <w:tab w:val="left" w:pos="2035"/>
          <w:tab w:val="left" w:pos="2114"/>
        </w:tabs>
        <w:spacing w:line="360" w:lineRule="auto"/>
        <w:ind w:left="2035"/>
        <w:rPr>
          <w:color w:val="auto"/>
          <w:sz w:val="24"/>
          <w:highlight w:val="none"/>
          <w:u w:val="single"/>
        </w:rPr>
      </w:pPr>
      <w:r>
        <w:rPr>
          <w:color w:val="auto"/>
          <w:sz w:val="24"/>
          <w:highlight w:val="none"/>
        </w:rPr>
        <w:t>□有，具体规定为：</w:t>
      </w:r>
      <w:r>
        <w:rPr>
          <w:rFonts w:hint="eastAsia"/>
          <w:b/>
          <w:color w:val="auto"/>
          <w:sz w:val="24"/>
          <w:highlight w:val="none"/>
        </w:rPr>
        <w:t>/</w:t>
      </w:r>
    </w:p>
    <w:p w14:paraId="2441A6A3">
      <w:pPr>
        <w:tabs>
          <w:tab w:val="left" w:pos="1080"/>
          <w:tab w:val="left" w:pos="1589"/>
          <w:tab w:val="left" w:pos="2035"/>
          <w:tab w:val="left" w:pos="2114"/>
        </w:tabs>
        <w:spacing w:line="360" w:lineRule="auto"/>
        <w:ind w:left="2035"/>
        <w:rPr>
          <w:color w:val="auto"/>
          <w:sz w:val="24"/>
          <w:highlight w:val="none"/>
        </w:rPr>
      </w:pPr>
      <w:r>
        <w:rPr>
          <w:b/>
          <w:color w:val="auto"/>
          <w:sz w:val="28"/>
          <w:highlight w:val="none"/>
        </w:rPr>
        <w:t>■</w:t>
      </w:r>
      <w:r>
        <w:rPr>
          <w:color w:val="auto"/>
          <w:sz w:val="24"/>
          <w:highlight w:val="none"/>
        </w:rPr>
        <w:t>无，按下述2.4.2-2.4.7项规定修正。</w:t>
      </w:r>
    </w:p>
    <w:p w14:paraId="37FAFB1A">
      <w:pPr>
        <w:numPr>
          <w:ilvl w:val="2"/>
          <w:numId w:val="14"/>
        </w:numPr>
        <w:tabs>
          <w:tab w:val="left" w:pos="2035"/>
          <w:tab w:val="left" w:pos="2114"/>
          <w:tab w:val="left" w:pos="2977"/>
        </w:tabs>
        <w:spacing w:line="360" w:lineRule="auto"/>
        <w:ind w:left="2035"/>
        <w:rPr>
          <w:color w:val="auto"/>
          <w:sz w:val="24"/>
          <w:highlight w:val="none"/>
        </w:rPr>
      </w:pPr>
      <w:r>
        <w:rPr>
          <w:color w:val="auto"/>
          <w:sz w:val="24"/>
          <w:highlight w:val="none"/>
        </w:rPr>
        <w:t>单独递交的开标一览表（报价表）与投标文件中开标一览表（报价表）内容不一致的，以单独递交的开标一览表（报价表）为准；</w:t>
      </w:r>
    </w:p>
    <w:p w14:paraId="1C799572">
      <w:pPr>
        <w:numPr>
          <w:ilvl w:val="2"/>
          <w:numId w:val="14"/>
        </w:numPr>
        <w:tabs>
          <w:tab w:val="left" w:pos="2035"/>
          <w:tab w:val="left" w:pos="2114"/>
          <w:tab w:val="left" w:pos="2977"/>
        </w:tabs>
        <w:spacing w:line="360" w:lineRule="auto"/>
        <w:ind w:left="2035"/>
        <w:rPr>
          <w:color w:val="auto"/>
          <w:sz w:val="24"/>
          <w:highlight w:val="none"/>
        </w:rPr>
      </w:pPr>
      <w:r>
        <w:rPr>
          <w:color w:val="auto"/>
          <w:sz w:val="24"/>
          <w:highlight w:val="none"/>
        </w:rPr>
        <w:t>投标文件中开标一览表（报价表）内容与投标文件中相应内容不一致的，以开标一览表（报价表）为准；</w:t>
      </w:r>
    </w:p>
    <w:p w14:paraId="7200585D">
      <w:pPr>
        <w:numPr>
          <w:ilvl w:val="2"/>
          <w:numId w:val="14"/>
        </w:numPr>
        <w:tabs>
          <w:tab w:val="left" w:pos="2035"/>
          <w:tab w:val="left" w:pos="2114"/>
          <w:tab w:val="left" w:pos="2977"/>
        </w:tabs>
        <w:spacing w:line="360" w:lineRule="auto"/>
        <w:ind w:left="2035"/>
        <w:rPr>
          <w:color w:val="auto"/>
          <w:sz w:val="24"/>
          <w:highlight w:val="none"/>
        </w:rPr>
      </w:pPr>
      <w:r>
        <w:rPr>
          <w:color w:val="auto"/>
          <w:sz w:val="24"/>
          <w:highlight w:val="none"/>
        </w:rPr>
        <w:t>大写金额和小写金额不一致的，以大写金额为准；</w:t>
      </w:r>
    </w:p>
    <w:p w14:paraId="1B23F83B">
      <w:pPr>
        <w:numPr>
          <w:ilvl w:val="2"/>
          <w:numId w:val="14"/>
        </w:numPr>
        <w:tabs>
          <w:tab w:val="left" w:pos="2035"/>
          <w:tab w:val="left" w:pos="2114"/>
          <w:tab w:val="left" w:pos="2977"/>
        </w:tabs>
        <w:spacing w:line="360" w:lineRule="auto"/>
        <w:ind w:left="2035"/>
        <w:rPr>
          <w:color w:val="auto"/>
          <w:sz w:val="24"/>
          <w:highlight w:val="none"/>
        </w:rPr>
      </w:pPr>
      <w:r>
        <w:rPr>
          <w:color w:val="auto"/>
          <w:sz w:val="24"/>
          <w:highlight w:val="none"/>
        </w:rPr>
        <w:t>单价金额小数点或者百分比有明显错位的，以开标一览表的总价为准，并修改单价；</w:t>
      </w:r>
    </w:p>
    <w:p w14:paraId="39926083">
      <w:pPr>
        <w:numPr>
          <w:ilvl w:val="2"/>
          <w:numId w:val="14"/>
        </w:numPr>
        <w:tabs>
          <w:tab w:val="left" w:pos="2035"/>
          <w:tab w:val="left" w:pos="2114"/>
          <w:tab w:val="left" w:pos="2977"/>
        </w:tabs>
        <w:spacing w:line="360" w:lineRule="auto"/>
        <w:ind w:left="2035"/>
        <w:rPr>
          <w:color w:val="auto"/>
          <w:sz w:val="24"/>
          <w:highlight w:val="none"/>
        </w:rPr>
      </w:pPr>
      <w:r>
        <w:rPr>
          <w:color w:val="auto"/>
          <w:sz w:val="24"/>
          <w:highlight w:val="none"/>
        </w:rPr>
        <w:t>总价金额与按单价汇总金额不一致的，以单价金额计算结果为准。</w:t>
      </w:r>
    </w:p>
    <w:p w14:paraId="090B0B32">
      <w:pPr>
        <w:numPr>
          <w:ilvl w:val="2"/>
          <w:numId w:val="14"/>
        </w:numPr>
        <w:tabs>
          <w:tab w:val="left" w:pos="1080"/>
          <w:tab w:val="left" w:pos="1589"/>
          <w:tab w:val="left" w:pos="2035"/>
          <w:tab w:val="left" w:pos="2114"/>
        </w:tabs>
        <w:spacing w:line="360" w:lineRule="auto"/>
        <w:ind w:left="2035"/>
        <w:rPr>
          <w:color w:val="auto"/>
          <w:sz w:val="24"/>
          <w:highlight w:val="none"/>
        </w:rPr>
      </w:pPr>
      <w:r>
        <w:rPr>
          <w:color w:val="auto"/>
          <w:sz w:val="24"/>
          <w:highlight w:val="none"/>
        </w:rPr>
        <w:t>同时出现两种以上不一致的，按照前款规定的顺序修正。修正后的报价经投标人书面确认后产生约束力，投标人不确认的，其</w:t>
      </w:r>
      <w:r>
        <w:rPr>
          <w:b/>
          <w:color w:val="auto"/>
          <w:sz w:val="24"/>
          <w:highlight w:val="none"/>
        </w:rPr>
        <w:t>投标无效</w:t>
      </w:r>
      <w:r>
        <w:rPr>
          <w:color w:val="auto"/>
          <w:sz w:val="24"/>
          <w:highlight w:val="none"/>
        </w:rPr>
        <w:t>。</w:t>
      </w:r>
    </w:p>
    <w:p w14:paraId="1312558A">
      <w:pPr>
        <w:numPr>
          <w:ilvl w:val="1"/>
          <w:numId w:val="14"/>
        </w:numPr>
        <w:tabs>
          <w:tab w:val="left" w:pos="1080"/>
        </w:tabs>
        <w:spacing w:line="360" w:lineRule="auto"/>
        <w:ind w:left="1077" w:hanging="720"/>
        <w:rPr>
          <w:color w:val="auto"/>
          <w:sz w:val="24"/>
          <w:highlight w:val="none"/>
        </w:rPr>
      </w:pPr>
      <w:r>
        <w:rPr>
          <w:color w:val="auto"/>
          <w:sz w:val="24"/>
          <w:highlight w:val="none"/>
        </w:rPr>
        <w:t>落实政府采购政策的价格调整：只有符合第二章《投标人须知》5.2条规定情形的，可以享受中小企业扶持政策，用扣除后的价格参加评审；否则，评标时价格不予扣除。</w:t>
      </w:r>
    </w:p>
    <w:p w14:paraId="1AE2DCDA">
      <w:pPr>
        <w:numPr>
          <w:ilvl w:val="2"/>
          <w:numId w:val="14"/>
        </w:numPr>
        <w:tabs>
          <w:tab w:val="left" w:pos="1080"/>
          <w:tab w:val="left" w:pos="1589"/>
          <w:tab w:val="left" w:pos="2035"/>
        </w:tabs>
        <w:spacing w:line="360" w:lineRule="auto"/>
        <w:ind w:left="2035"/>
        <w:rPr>
          <w:color w:val="auto"/>
          <w:sz w:val="24"/>
          <w:highlight w:val="none"/>
        </w:rPr>
      </w:pPr>
      <w:r>
        <w:rPr>
          <w:color w:val="auto"/>
          <w:sz w:val="24"/>
          <w:highlight w:val="none"/>
        </w:rPr>
        <w:t>对于未预留份额专门面向中小企业采购的采购项目，以及预留份额项目中的非预留部分采购包，对</w:t>
      </w:r>
      <w:r>
        <w:rPr>
          <w:b/>
          <w:color w:val="auto"/>
          <w:sz w:val="24"/>
          <w:highlight w:val="none"/>
        </w:rPr>
        <w:t>小微企业</w:t>
      </w:r>
      <w:r>
        <w:rPr>
          <w:color w:val="auto"/>
          <w:sz w:val="24"/>
          <w:highlight w:val="none"/>
        </w:rPr>
        <w:t>报价给予</w:t>
      </w:r>
      <w:r>
        <w:rPr>
          <w:rFonts w:hint="eastAsia"/>
          <w:color w:val="auto"/>
          <w:sz w:val="24"/>
          <w:highlight w:val="none"/>
          <w:u w:val="single"/>
        </w:rPr>
        <w:t>20</w:t>
      </w:r>
      <w:r>
        <w:rPr>
          <w:color w:val="auto"/>
          <w:sz w:val="24"/>
          <w:highlight w:val="none"/>
        </w:rPr>
        <w:t>%的扣除，用扣除后的价格参加评审。</w:t>
      </w:r>
    </w:p>
    <w:p w14:paraId="0FD897B0">
      <w:pPr>
        <w:numPr>
          <w:ilvl w:val="2"/>
          <w:numId w:val="14"/>
        </w:numPr>
        <w:tabs>
          <w:tab w:val="left" w:pos="1080"/>
          <w:tab w:val="left" w:pos="1589"/>
          <w:tab w:val="left" w:pos="2035"/>
        </w:tabs>
        <w:spacing w:line="360" w:lineRule="auto"/>
        <w:ind w:left="2035"/>
        <w:rPr>
          <w:color w:val="auto"/>
          <w:sz w:val="24"/>
          <w:highlight w:val="none"/>
        </w:rPr>
      </w:pPr>
      <w:r>
        <w:rPr>
          <w:color w:val="auto"/>
          <w:sz w:val="24"/>
          <w:highlight w:val="none"/>
        </w:rPr>
        <w:t>对于未预留份额专门面向中小企业采购的采购项目，以及预留份额项目中的非预留部分采购包，且接受大中型企业与</w:t>
      </w:r>
      <w:r>
        <w:rPr>
          <w:b/>
          <w:color w:val="auto"/>
          <w:sz w:val="24"/>
          <w:highlight w:val="none"/>
        </w:rPr>
        <w:t>小微企业</w:t>
      </w:r>
      <w:r>
        <w:rPr>
          <w:color w:val="auto"/>
          <w:sz w:val="24"/>
          <w:highlight w:val="none"/>
        </w:rPr>
        <w:t>组成联合体或者允许大中型企业向一家或者多家</w:t>
      </w:r>
      <w:r>
        <w:rPr>
          <w:b/>
          <w:color w:val="auto"/>
          <w:sz w:val="24"/>
          <w:highlight w:val="none"/>
        </w:rPr>
        <w:t>小微企业</w:t>
      </w:r>
      <w:r>
        <w:rPr>
          <w:color w:val="auto"/>
          <w:sz w:val="24"/>
          <w:highlight w:val="none"/>
        </w:rPr>
        <w:t>分包的采购项目，对于联合协议或者分包意向协议约定</w:t>
      </w:r>
      <w:r>
        <w:rPr>
          <w:b/>
          <w:color w:val="auto"/>
          <w:sz w:val="24"/>
          <w:highlight w:val="none"/>
        </w:rPr>
        <w:t>小微企业</w:t>
      </w:r>
      <w:r>
        <w:rPr>
          <w:color w:val="auto"/>
          <w:sz w:val="24"/>
          <w:highlight w:val="none"/>
        </w:rPr>
        <w:t>的合同份额占到合同总金额 30%以上的联合体或者大中型企业的报价给予</w:t>
      </w:r>
      <w:r>
        <w:rPr>
          <w:rFonts w:hint="eastAsia"/>
          <w:color w:val="auto"/>
          <w:sz w:val="24"/>
          <w:highlight w:val="none"/>
          <w:u w:val="single"/>
        </w:rPr>
        <w:t>3</w:t>
      </w:r>
      <w:r>
        <w:rPr>
          <w:color w:val="auto"/>
          <w:sz w:val="24"/>
          <w:highlight w:val="none"/>
        </w:rPr>
        <w:t>%的扣除，用扣除后的价格参加评审。</w:t>
      </w:r>
    </w:p>
    <w:p w14:paraId="508E5AA6">
      <w:pPr>
        <w:numPr>
          <w:ilvl w:val="2"/>
          <w:numId w:val="14"/>
        </w:numPr>
        <w:tabs>
          <w:tab w:val="left" w:pos="1080"/>
          <w:tab w:val="left" w:pos="1589"/>
          <w:tab w:val="left" w:pos="2035"/>
        </w:tabs>
        <w:spacing w:line="360" w:lineRule="auto"/>
        <w:ind w:left="2035"/>
        <w:rPr>
          <w:color w:val="auto"/>
          <w:sz w:val="24"/>
          <w:highlight w:val="none"/>
        </w:rPr>
      </w:pPr>
      <w:r>
        <w:rPr>
          <w:color w:val="auto"/>
          <w:sz w:val="24"/>
          <w:highlight w:val="none"/>
        </w:rPr>
        <w:t>组成联合体或者接受分包的小微企业与联合体内其他企业、分包企业之间存在直接控股、管理关系的，不享受价格扣除优惠政策。</w:t>
      </w:r>
    </w:p>
    <w:p w14:paraId="40B9DBB2">
      <w:pPr>
        <w:numPr>
          <w:ilvl w:val="2"/>
          <w:numId w:val="14"/>
        </w:numPr>
        <w:tabs>
          <w:tab w:val="left" w:pos="1080"/>
          <w:tab w:val="left" w:pos="1589"/>
          <w:tab w:val="left" w:pos="2035"/>
        </w:tabs>
        <w:spacing w:line="360" w:lineRule="auto"/>
        <w:ind w:left="2035"/>
        <w:rPr>
          <w:color w:val="auto"/>
          <w:sz w:val="24"/>
          <w:highlight w:val="none"/>
        </w:rPr>
      </w:pPr>
      <w:r>
        <w:rPr>
          <w:color w:val="auto"/>
          <w:sz w:val="24"/>
          <w:highlight w:val="none"/>
        </w:rPr>
        <w:t>价格扣除比例对小型企业和微型企业同等对待，不作区分。</w:t>
      </w:r>
    </w:p>
    <w:p w14:paraId="6422FD7A">
      <w:pPr>
        <w:numPr>
          <w:ilvl w:val="2"/>
          <w:numId w:val="14"/>
        </w:numPr>
        <w:tabs>
          <w:tab w:val="left" w:pos="1080"/>
          <w:tab w:val="left" w:pos="1589"/>
          <w:tab w:val="left" w:pos="2035"/>
        </w:tabs>
        <w:spacing w:line="360" w:lineRule="auto"/>
        <w:ind w:left="2035"/>
        <w:rPr>
          <w:color w:val="auto"/>
          <w:sz w:val="24"/>
          <w:highlight w:val="none"/>
        </w:rPr>
      </w:pPr>
      <w:r>
        <w:rPr>
          <w:color w:val="auto"/>
          <w:sz w:val="24"/>
          <w:highlight w:val="none"/>
        </w:rPr>
        <w:t>中小企业参加政府采购活动，应当按照招标文件给定的格式出具《中小企业声明函》，否则不得享受相关中小企业扶持政策。</w:t>
      </w:r>
    </w:p>
    <w:p w14:paraId="0308745D">
      <w:pPr>
        <w:numPr>
          <w:ilvl w:val="2"/>
          <w:numId w:val="14"/>
        </w:numPr>
        <w:tabs>
          <w:tab w:val="left" w:pos="1080"/>
          <w:tab w:val="left" w:pos="1589"/>
          <w:tab w:val="left" w:pos="2035"/>
        </w:tabs>
        <w:spacing w:line="360" w:lineRule="auto"/>
        <w:ind w:left="2035"/>
        <w:rPr>
          <w:color w:val="auto"/>
          <w:sz w:val="24"/>
          <w:highlight w:val="none"/>
        </w:rPr>
      </w:pPr>
      <w:r>
        <w:rPr>
          <w:color w:val="auto"/>
          <w:sz w:val="24"/>
          <w:highlight w:val="none"/>
        </w:rPr>
        <w:t>监狱企业提供了由省级以上监狱管理局（常州市含教育矫治局）、戒毒管理局（含新疆生产建设兵团）出具的属于监狱企业的证明文件的，视同小微企业。</w:t>
      </w:r>
    </w:p>
    <w:p w14:paraId="0BD51C33">
      <w:pPr>
        <w:numPr>
          <w:ilvl w:val="2"/>
          <w:numId w:val="14"/>
        </w:numPr>
        <w:tabs>
          <w:tab w:val="left" w:pos="1080"/>
          <w:tab w:val="left" w:pos="1589"/>
          <w:tab w:val="left" w:pos="2035"/>
        </w:tabs>
        <w:spacing w:line="360" w:lineRule="auto"/>
        <w:ind w:left="2035"/>
        <w:rPr>
          <w:color w:val="auto"/>
          <w:sz w:val="24"/>
          <w:highlight w:val="none"/>
        </w:rPr>
      </w:pPr>
      <w:r>
        <w:rPr>
          <w:color w:val="auto"/>
          <w:sz w:val="24"/>
          <w:highlight w:val="none"/>
        </w:rPr>
        <w:t>残疾人福利性单位按招标文件要求提供了《残疾人福利性单位声明函》（见附件）的，视同小微企业。</w:t>
      </w:r>
    </w:p>
    <w:p w14:paraId="193656B8">
      <w:pPr>
        <w:numPr>
          <w:ilvl w:val="2"/>
          <w:numId w:val="14"/>
        </w:numPr>
        <w:tabs>
          <w:tab w:val="left" w:pos="1080"/>
          <w:tab w:val="left" w:pos="1589"/>
          <w:tab w:val="left" w:pos="2014"/>
          <w:tab w:val="clear" w:pos="1980"/>
        </w:tabs>
        <w:spacing w:line="360" w:lineRule="auto"/>
        <w:ind w:left="2035"/>
        <w:rPr>
          <w:color w:val="auto"/>
          <w:sz w:val="24"/>
          <w:highlight w:val="none"/>
        </w:rPr>
      </w:pPr>
      <w:r>
        <w:rPr>
          <w:color w:val="auto"/>
          <w:sz w:val="24"/>
          <w:highlight w:val="none"/>
        </w:rPr>
        <w:t>若投标人同时属于小型或微型企业、监狱企业、残疾人福利性单位中的两种及以上，将不重复享受小微企业价格扣减的优惠政策。</w:t>
      </w:r>
    </w:p>
    <w:p w14:paraId="2526E0B2">
      <w:pPr>
        <w:numPr>
          <w:ilvl w:val="1"/>
          <w:numId w:val="14"/>
        </w:numPr>
        <w:tabs>
          <w:tab w:val="left" w:pos="1080"/>
        </w:tabs>
        <w:spacing w:line="360" w:lineRule="auto"/>
        <w:ind w:left="1077" w:hanging="720"/>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落实政府采购政策（采购本国产品的支持政策）的价格调整：</w:t>
      </w:r>
    </w:p>
    <w:p w14:paraId="0FAD368C">
      <w:pPr>
        <w:numPr>
          <w:ilvl w:val="2"/>
          <w:numId w:val="14"/>
        </w:numPr>
        <w:tabs>
          <w:tab w:val="left" w:pos="1080"/>
          <w:tab w:val="left" w:pos="1589"/>
          <w:tab w:val="left" w:pos="2035"/>
        </w:tabs>
        <w:spacing w:line="360" w:lineRule="auto"/>
        <w:ind w:left="2035"/>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本项目政府采购活动中既有本国产品又有非本国产品参与竞争的，依法对本国产品给予价格评审优惠，对本国产品的报价给予20%的价格扣除，用扣除后的价格参与评审。</w:t>
      </w:r>
    </w:p>
    <w:p w14:paraId="379F9D15">
      <w:pPr>
        <w:numPr>
          <w:ilvl w:val="2"/>
          <w:numId w:val="14"/>
        </w:numPr>
        <w:tabs>
          <w:tab w:val="left" w:pos="1080"/>
          <w:tab w:val="left" w:pos="1589"/>
          <w:tab w:val="left" w:pos="2035"/>
        </w:tabs>
        <w:spacing w:line="360" w:lineRule="auto"/>
        <w:ind w:left="2035"/>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当采购项目或者采购包中含有多种产品，供应商为该采购项目或者采购包提供的符合本国产品标准的产品成本之和占该供应商提供的全部产品成本之和的比例达到80%以上时（供应商需在“第七章 投标文件格式”的“附件5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AA9C8A2">
      <w:pPr>
        <w:numPr>
          <w:ilvl w:val="2"/>
          <w:numId w:val="14"/>
        </w:numPr>
        <w:tabs>
          <w:tab w:val="left" w:pos="1080"/>
          <w:tab w:val="left" w:pos="1589"/>
          <w:tab w:val="left" w:pos="2035"/>
        </w:tabs>
        <w:spacing w:line="360" w:lineRule="auto"/>
        <w:ind w:left="2035"/>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供应商需按照招标文件的要求提供《关于符合本国产品标准的声明函》（以下简称《声明函》），如不提供将不享受本国产品价格评审优惠。</w:t>
      </w:r>
    </w:p>
    <w:p w14:paraId="74249EE6">
      <w:pPr>
        <w:numPr>
          <w:ilvl w:val="2"/>
          <w:numId w:val="14"/>
        </w:numPr>
        <w:tabs>
          <w:tab w:val="left" w:pos="1080"/>
          <w:tab w:val="left" w:pos="1589"/>
          <w:tab w:val="left" w:pos="2035"/>
        </w:tabs>
        <w:spacing w:line="360" w:lineRule="auto"/>
        <w:ind w:left="2035"/>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供应商需在《声明函》中逐一、准确填写产品名称、厂名、生产厂址三项信息（《声明函》中用斜线划除的地方无需填写），三项信息中任意一项未填写的视为该项产品不符合本国产品标准，不享受本国产品价格评审优惠。</w:t>
      </w:r>
    </w:p>
    <w:p w14:paraId="1834DFFF">
      <w:pPr>
        <w:numPr>
          <w:ilvl w:val="2"/>
          <w:numId w:val="14"/>
        </w:numPr>
        <w:tabs>
          <w:tab w:val="left" w:pos="1080"/>
          <w:tab w:val="left" w:pos="1589"/>
          <w:tab w:val="left" w:pos="2035"/>
        </w:tabs>
        <w:spacing w:line="360" w:lineRule="auto"/>
        <w:ind w:left="2035"/>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44D2744A">
      <w:pPr>
        <w:numPr>
          <w:ilvl w:val="2"/>
          <w:numId w:val="14"/>
        </w:numPr>
        <w:tabs>
          <w:tab w:val="left" w:pos="1080"/>
          <w:tab w:val="left" w:pos="1589"/>
          <w:tab w:val="left" w:pos="2035"/>
        </w:tabs>
        <w:spacing w:line="360" w:lineRule="auto"/>
        <w:ind w:left="2035"/>
        <w:rPr>
          <w:color w:val="auto"/>
          <w:sz w:val="24"/>
          <w:highlight w:val="none"/>
        </w:rPr>
      </w:pPr>
      <w:r>
        <w:rPr>
          <w:rFonts w:hint="eastAsia" w:ascii="Times New Roman" w:hAnsi="Times New Roman" w:eastAsia="宋体" w:cs="Times New Roman"/>
          <w:color w:val="auto"/>
          <w:sz w:val="24"/>
          <w:highlight w:val="none"/>
        </w:rPr>
        <w:t>对本国产品给予的价格评审优惠与小微企业价格扣减的优惠政策可重复享受。</w:t>
      </w:r>
    </w:p>
    <w:p w14:paraId="1F7F9725">
      <w:pPr>
        <w:numPr>
          <w:ilvl w:val="0"/>
          <w:numId w:val="14"/>
        </w:numPr>
        <w:tabs>
          <w:tab w:val="left" w:pos="360"/>
        </w:tabs>
        <w:spacing w:line="360" w:lineRule="auto"/>
        <w:outlineLvl w:val="1"/>
        <w:rPr>
          <w:color w:val="auto"/>
          <w:sz w:val="24"/>
          <w:highlight w:val="none"/>
        </w:rPr>
      </w:pPr>
      <w:r>
        <w:rPr>
          <w:color w:val="auto"/>
          <w:sz w:val="24"/>
          <w:highlight w:val="none"/>
        </w:rPr>
        <w:t>投标文件的比较和评价</w:t>
      </w:r>
      <w:bookmarkEnd w:id="780"/>
      <w:bookmarkEnd w:id="781"/>
    </w:p>
    <w:p w14:paraId="216C9C47">
      <w:pPr>
        <w:numPr>
          <w:ilvl w:val="1"/>
          <w:numId w:val="14"/>
        </w:numPr>
        <w:tabs>
          <w:tab w:val="left" w:pos="1080"/>
        </w:tabs>
        <w:spacing w:line="360" w:lineRule="auto"/>
        <w:ind w:left="1077" w:hanging="720"/>
        <w:rPr>
          <w:color w:val="auto"/>
          <w:sz w:val="24"/>
          <w:highlight w:val="none"/>
        </w:rPr>
      </w:pPr>
      <w:r>
        <w:rPr>
          <w:color w:val="auto"/>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37198998">
      <w:pPr>
        <w:numPr>
          <w:ilvl w:val="1"/>
          <w:numId w:val="14"/>
        </w:numPr>
        <w:tabs>
          <w:tab w:val="left" w:pos="1080"/>
        </w:tabs>
        <w:spacing w:line="360" w:lineRule="auto"/>
        <w:ind w:left="1077" w:hanging="720"/>
        <w:rPr>
          <w:color w:val="auto"/>
          <w:sz w:val="24"/>
          <w:highlight w:val="none"/>
        </w:rPr>
      </w:pPr>
      <w:r>
        <w:rPr>
          <w:color w:val="auto"/>
          <w:sz w:val="24"/>
          <w:highlight w:val="none"/>
        </w:rPr>
        <w:t>评标方法和评标标准</w:t>
      </w:r>
    </w:p>
    <w:p w14:paraId="5021EF3A">
      <w:pPr>
        <w:numPr>
          <w:ilvl w:val="2"/>
          <w:numId w:val="14"/>
        </w:numPr>
        <w:tabs>
          <w:tab w:val="left" w:pos="1080"/>
          <w:tab w:val="left" w:pos="1589"/>
          <w:tab w:val="left" w:pos="2035"/>
        </w:tabs>
        <w:spacing w:line="360" w:lineRule="auto"/>
        <w:ind w:left="2035"/>
        <w:rPr>
          <w:color w:val="auto"/>
          <w:sz w:val="24"/>
          <w:highlight w:val="none"/>
        </w:rPr>
      </w:pPr>
      <w:r>
        <w:rPr>
          <w:color w:val="auto"/>
          <w:sz w:val="24"/>
          <w:highlight w:val="none"/>
        </w:rPr>
        <w:t>本项目采用的评标方法为：</w:t>
      </w:r>
    </w:p>
    <w:p w14:paraId="687F9233">
      <w:pPr>
        <w:tabs>
          <w:tab w:val="left" w:pos="900"/>
          <w:tab w:val="left" w:pos="1589"/>
          <w:tab w:val="left" w:pos="1701"/>
        </w:tabs>
        <w:spacing w:line="360" w:lineRule="auto"/>
        <w:ind w:left="1985"/>
        <w:rPr>
          <w:color w:val="auto"/>
          <w:sz w:val="24"/>
          <w:highlight w:val="none"/>
        </w:rPr>
      </w:pPr>
      <w:r>
        <w:rPr>
          <w:rFonts w:hint="eastAsia"/>
          <w:color w:val="auto"/>
          <w:sz w:val="24"/>
          <w:highlight w:val="none"/>
        </w:rPr>
        <w:t>■</w:t>
      </w:r>
      <w:r>
        <w:rPr>
          <w:color w:val="auto"/>
          <w:sz w:val="24"/>
          <w:highlight w:val="none"/>
        </w:rPr>
        <w:t>综合评分法，指投标文件满足招标文件全部实质性要求，且按照评审因素的量化指标评审得分最高的投标人为中标候选人的评标方法，见《评标标准》</w:t>
      </w:r>
      <w:r>
        <w:rPr>
          <w:rFonts w:hint="eastAsia"/>
          <w:color w:val="auto"/>
          <w:sz w:val="24"/>
          <w:highlight w:val="none"/>
        </w:rPr>
        <w:t>，招标文件中没有规定的评标标准不得作为评审的依据。</w:t>
      </w:r>
    </w:p>
    <w:p w14:paraId="2B0F5C8B">
      <w:pPr>
        <w:tabs>
          <w:tab w:val="left" w:pos="900"/>
          <w:tab w:val="left" w:pos="1589"/>
          <w:tab w:val="left" w:pos="1701"/>
        </w:tabs>
        <w:spacing w:line="360" w:lineRule="auto"/>
        <w:ind w:left="1985"/>
        <w:rPr>
          <w:color w:val="auto"/>
          <w:sz w:val="24"/>
          <w:highlight w:val="none"/>
        </w:rPr>
      </w:pPr>
      <w:r>
        <w:rPr>
          <w:color w:val="auto"/>
          <w:sz w:val="24"/>
          <w:highlight w:val="none"/>
        </w:rPr>
        <w:t>□最低评标价法，指投标文件满足招标文件全部实质性要求，且投标报价最低的投标人为中标候选人的评标方法。</w:t>
      </w:r>
    </w:p>
    <w:p w14:paraId="329676DA">
      <w:pPr>
        <w:numPr>
          <w:ilvl w:val="2"/>
          <w:numId w:val="14"/>
        </w:numPr>
        <w:tabs>
          <w:tab w:val="left" w:pos="1080"/>
          <w:tab w:val="left" w:pos="1589"/>
          <w:tab w:val="left" w:pos="2035"/>
        </w:tabs>
        <w:spacing w:line="360" w:lineRule="auto"/>
        <w:ind w:left="2035"/>
        <w:rPr>
          <w:color w:val="auto"/>
          <w:sz w:val="24"/>
          <w:highlight w:val="none"/>
        </w:rPr>
      </w:pPr>
      <w:r>
        <w:rPr>
          <w:color w:val="auto"/>
          <w:sz w:val="24"/>
          <w:highlight w:val="none"/>
        </w:rPr>
        <w:t>采用最低评标价法时，提供相同品牌产品（单一产品或核心产品品牌相同）的不同投标人参加同一合同项下投标的，以其中通过资格审查、符合性审查且报价最低的参加评标；报价相同的，由</w:t>
      </w:r>
      <w:r>
        <w:rPr>
          <w:rFonts w:hint="eastAsia"/>
          <w:color w:val="auto"/>
          <w:sz w:val="24"/>
          <w:highlight w:val="none"/>
        </w:rPr>
        <w:t>招标人</w:t>
      </w:r>
      <w:r>
        <w:rPr>
          <w:color w:val="auto"/>
          <w:sz w:val="24"/>
          <w:highlight w:val="none"/>
        </w:rPr>
        <w:t>或者</w:t>
      </w:r>
      <w:r>
        <w:rPr>
          <w:rFonts w:hint="eastAsia"/>
          <w:color w:val="auto"/>
          <w:sz w:val="24"/>
          <w:highlight w:val="none"/>
        </w:rPr>
        <w:t>招标人</w:t>
      </w:r>
      <w:r>
        <w:rPr>
          <w:color w:val="auto"/>
          <w:sz w:val="24"/>
          <w:highlight w:val="none"/>
        </w:rPr>
        <w:t>委托评标委员会按照下述方法确定一个参加评标的投标人，其他</w:t>
      </w:r>
      <w:r>
        <w:rPr>
          <w:b/>
          <w:color w:val="auto"/>
          <w:sz w:val="24"/>
          <w:highlight w:val="none"/>
        </w:rPr>
        <w:t>投标无效</w:t>
      </w:r>
      <w:r>
        <w:rPr>
          <w:color w:val="auto"/>
          <w:sz w:val="24"/>
          <w:highlight w:val="none"/>
        </w:rPr>
        <w:t>。</w:t>
      </w:r>
    </w:p>
    <w:p w14:paraId="31F36ABE">
      <w:pPr>
        <w:tabs>
          <w:tab w:val="left" w:pos="1080"/>
          <w:tab w:val="left" w:pos="1589"/>
          <w:tab w:val="left" w:pos="2035"/>
        </w:tabs>
        <w:spacing w:line="360" w:lineRule="auto"/>
        <w:ind w:left="2035"/>
        <w:rPr>
          <w:color w:val="auto"/>
          <w:sz w:val="24"/>
          <w:highlight w:val="none"/>
        </w:rPr>
      </w:pPr>
      <w:r>
        <w:rPr>
          <w:color w:val="auto"/>
          <w:sz w:val="24"/>
          <w:highlight w:val="none"/>
        </w:rPr>
        <w:t>□随机抽取</w:t>
      </w:r>
    </w:p>
    <w:p w14:paraId="3E71BBDB">
      <w:pPr>
        <w:tabs>
          <w:tab w:val="left" w:pos="1080"/>
          <w:tab w:val="left" w:pos="1589"/>
          <w:tab w:val="left" w:pos="2035"/>
        </w:tabs>
        <w:spacing w:line="360" w:lineRule="auto"/>
        <w:ind w:left="2035"/>
        <w:rPr>
          <w:color w:val="auto"/>
          <w:sz w:val="24"/>
          <w:highlight w:val="none"/>
          <w:u w:val="single"/>
        </w:rPr>
      </w:pPr>
      <w:r>
        <w:rPr>
          <w:color w:val="auto"/>
          <w:sz w:val="24"/>
          <w:highlight w:val="none"/>
        </w:rPr>
        <w:t>□其他方式，具体要求：_____</w:t>
      </w:r>
    </w:p>
    <w:p w14:paraId="34400CBB">
      <w:pPr>
        <w:numPr>
          <w:ilvl w:val="2"/>
          <w:numId w:val="14"/>
        </w:numPr>
        <w:tabs>
          <w:tab w:val="left" w:pos="1080"/>
          <w:tab w:val="left" w:pos="1589"/>
          <w:tab w:val="left" w:pos="2035"/>
        </w:tabs>
        <w:spacing w:line="360" w:lineRule="auto"/>
        <w:ind w:left="2035"/>
        <w:rPr>
          <w:color w:val="auto"/>
          <w:sz w:val="24"/>
          <w:highlight w:val="none"/>
        </w:rPr>
      </w:pPr>
      <w:r>
        <w:rPr>
          <w:color w:val="auto"/>
          <w:sz w:val="24"/>
          <w:highlight w:val="none"/>
        </w:rPr>
        <w:t>非政府强制采购的节能产品或环境标志产品，依据品目清单和认证证书实施政府优先采购。优先采购的具体规定（如涉及）</w:t>
      </w:r>
      <w:r>
        <w:rPr>
          <w:rFonts w:hint="eastAsia"/>
          <w:color w:val="auto"/>
          <w:sz w:val="24"/>
          <w:highlight w:val="none"/>
          <w:u w:val="single"/>
        </w:rPr>
        <w:t xml:space="preserve">  / </w:t>
      </w:r>
      <w:r>
        <w:rPr>
          <w:rFonts w:hint="eastAsia"/>
          <w:color w:val="auto"/>
          <w:sz w:val="24"/>
          <w:highlight w:val="none"/>
        </w:rPr>
        <w:t xml:space="preserve"> </w:t>
      </w:r>
      <w:r>
        <w:rPr>
          <w:color w:val="auto"/>
          <w:sz w:val="24"/>
          <w:highlight w:val="none"/>
        </w:rPr>
        <w:t>。</w:t>
      </w:r>
    </w:p>
    <w:p w14:paraId="48210553">
      <w:pPr>
        <w:numPr>
          <w:ilvl w:val="2"/>
          <w:numId w:val="14"/>
        </w:numPr>
        <w:tabs>
          <w:tab w:val="left" w:pos="1080"/>
          <w:tab w:val="left" w:pos="1589"/>
          <w:tab w:val="left" w:pos="2035"/>
        </w:tabs>
        <w:spacing w:line="360" w:lineRule="auto"/>
        <w:ind w:left="2035"/>
        <w:rPr>
          <w:color w:val="auto"/>
          <w:sz w:val="24"/>
          <w:highlight w:val="none"/>
        </w:rPr>
      </w:pPr>
      <w:r>
        <w:rPr>
          <w:color w:val="auto"/>
          <w:sz w:val="24"/>
          <w:highlight w:val="none"/>
        </w:rPr>
        <w:t>关于无线局域网认证产品政府采购清单中的产品，优先采购的具体规定（如涉及）</w:t>
      </w:r>
      <w:r>
        <w:rPr>
          <w:rFonts w:hint="eastAsia"/>
          <w:color w:val="auto"/>
          <w:sz w:val="24"/>
          <w:highlight w:val="none"/>
          <w:u w:val="single"/>
        </w:rPr>
        <w:t xml:space="preserve">  /  </w:t>
      </w:r>
      <w:r>
        <w:rPr>
          <w:color w:val="auto"/>
          <w:sz w:val="24"/>
          <w:highlight w:val="none"/>
        </w:rPr>
        <w:t>。</w:t>
      </w:r>
    </w:p>
    <w:p w14:paraId="4D66DB7D">
      <w:pPr>
        <w:numPr>
          <w:ilvl w:val="0"/>
          <w:numId w:val="14"/>
        </w:numPr>
        <w:tabs>
          <w:tab w:val="left" w:pos="360"/>
        </w:tabs>
        <w:spacing w:line="360" w:lineRule="auto"/>
        <w:outlineLvl w:val="1"/>
        <w:rPr>
          <w:color w:val="auto"/>
          <w:sz w:val="24"/>
          <w:highlight w:val="none"/>
        </w:rPr>
      </w:pPr>
      <w:r>
        <w:rPr>
          <w:color w:val="auto"/>
          <w:sz w:val="24"/>
          <w:highlight w:val="none"/>
        </w:rPr>
        <w:t>确定</w:t>
      </w:r>
      <w:bookmarkStart w:id="797" w:name="_Toc265228384"/>
      <w:bookmarkStart w:id="798" w:name="_Ref467307010"/>
      <w:bookmarkStart w:id="799" w:name="_Toc226309790"/>
      <w:bookmarkStart w:id="800" w:name="_Toc164608815"/>
      <w:bookmarkStart w:id="801" w:name="_Toc164229387"/>
      <w:bookmarkStart w:id="802" w:name="_Toc226337242"/>
      <w:bookmarkStart w:id="803" w:name="_Toc127151546"/>
      <w:bookmarkStart w:id="804" w:name="_Toc264969236"/>
      <w:bookmarkStart w:id="805" w:name="_Toc305158814"/>
      <w:bookmarkStart w:id="806" w:name="_Toc164229241"/>
      <w:bookmarkStart w:id="807" w:name="_Toc149720839"/>
      <w:bookmarkStart w:id="808" w:name="_Toc127161460"/>
      <w:bookmarkStart w:id="809" w:name="_Toc151193860"/>
      <w:bookmarkStart w:id="810" w:name="_Toc151190173"/>
      <w:bookmarkStart w:id="811" w:name="_Toc150774751"/>
      <w:bookmarkStart w:id="812" w:name="_Toc151193716"/>
      <w:bookmarkStart w:id="813" w:name="_Toc520356170"/>
      <w:bookmarkStart w:id="814" w:name="_Toc150480784"/>
      <w:bookmarkStart w:id="815" w:name="_Toc150509297"/>
      <w:bookmarkStart w:id="816" w:name="_Toc151193934"/>
      <w:bookmarkStart w:id="817" w:name="_Toc150774646"/>
      <w:bookmarkStart w:id="818" w:name="_Toc151193788"/>
      <w:bookmarkStart w:id="819" w:name="_Toc305158888"/>
      <w:bookmarkStart w:id="820" w:name="_Toc195842911"/>
      <w:bookmarkStart w:id="821" w:name="_Toc164351640"/>
      <w:bookmarkStart w:id="822" w:name="_Toc226965736"/>
      <w:bookmarkStart w:id="823" w:name="_Toc151193644"/>
      <w:bookmarkStart w:id="824" w:name="_Toc164608660"/>
      <w:bookmarkStart w:id="825" w:name="_Toc127151747"/>
      <w:bookmarkStart w:id="826" w:name="_Toc226965819"/>
      <w:bookmarkStart w:id="827" w:name="_Toc142311048"/>
      <w:r>
        <w:rPr>
          <w:color w:val="auto"/>
          <w:sz w:val="24"/>
          <w:highlight w:val="none"/>
        </w:rPr>
        <w:t>中标候选人名单</w:t>
      </w:r>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p>
    <w:p w14:paraId="7E2F8DCE">
      <w:pPr>
        <w:numPr>
          <w:ilvl w:val="1"/>
          <w:numId w:val="14"/>
        </w:numPr>
        <w:tabs>
          <w:tab w:val="left" w:pos="1080"/>
        </w:tabs>
        <w:spacing w:line="360" w:lineRule="auto"/>
        <w:ind w:left="1077" w:hanging="720"/>
        <w:rPr>
          <w:color w:val="auto"/>
          <w:sz w:val="24"/>
          <w:highlight w:val="none"/>
        </w:rPr>
      </w:pPr>
      <w:r>
        <w:rPr>
          <w:color w:val="auto"/>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6FB58245">
      <w:pPr>
        <w:pStyle w:val="231"/>
        <w:tabs>
          <w:tab w:val="left" w:pos="900"/>
          <w:tab w:val="left" w:pos="2127"/>
        </w:tabs>
        <w:spacing w:line="360" w:lineRule="auto"/>
        <w:ind w:left="993" w:firstLine="137"/>
        <w:rPr>
          <w:rFonts w:hint="default" w:ascii="Times New Roman" w:hAnsi="Times New Roman"/>
          <w:color w:val="auto"/>
          <w:sz w:val="24"/>
          <w:szCs w:val="24"/>
          <w:highlight w:val="none"/>
        </w:rPr>
      </w:pPr>
      <w:r>
        <w:rPr>
          <w:rFonts w:hint="eastAsia" w:ascii="Times New Roman" w:hAnsi="Times New Roman"/>
          <w:color w:val="auto"/>
          <w:sz w:val="24"/>
          <w:szCs w:val="24"/>
          <w:highlight w:val="none"/>
          <w:lang w:eastAsia="zh-CN"/>
        </w:rPr>
        <w:t>■</w:t>
      </w:r>
      <w:r>
        <w:rPr>
          <w:rFonts w:ascii="Times New Roman" w:hAnsi="Times New Roman"/>
          <w:color w:val="auto"/>
          <w:sz w:val="24"/>
          <w:szCs w:val="24"/>
          <w:highlight w:val="none"/>
        </w:rPr>
        <w:t>随机抽取</w:t>
      </w:r>
    </w:p>
    <w:p w14:paraId="7F99C44C">
      <w:pPr>
        <w:pStyle w:val="231"/>
        <w:tabs>
          <w:tab w:val="left" w:pos="900"/>
          <w:tab w:val="left" w:pos="2127"/>
        </w:tabs>
        <w:spacing w:line="360" w:lineRule="auto"/>
        <w:ind w:left="993" w:firstLine="137"/>
        <w:rPr>
          <w:rFonts w:hint="default" w:ascii="Times New Roman" w:hAnsi="Times New Roman"/>
          <w:color w:val="auto"/>
          <w:sz w:val="24"/>
          <w:szCs w:val="24"/>
          <w:highlight w:val="none"/>
        </w:rPr>
      </w:pPr>
      <w:r>
        <w:rPr>
          <w:rFonts w:ascii="Times New Roman" w:hAnsi="Times New Roman"/>
          <w:color w:val="auto"/>
          <w:sz w:val="24"/>
          <w:szCs w:val="24"/>
          <w:highlight w:val="none"/>
        </w:rPr>
        <w:t>□其他方式，具体要求：_____</w:t>
      </w:r>
    </w:p>
    <w:p w14:paraId="35722177">
      <w:pPr>
        <w:numPr>
          <w:ilvl w:val="1"/>
          <w:numId w:val="14"/>
        </w:numPr>
        <w:tabs>
          <w:tab w:val="left" w:pos="1080"/>
        </w:tabs>
        <w:spacing w:line="360" w:lineRule="auto"/>
        <w:ind w:left="1077" w:hanging="720"/>
        <w:rPr>
          <w:color w:val="auto"/>
          <w:sz w:val="24"/>
          <w:highlight w:val="none"/>
        </w:rPr>
      </w:pPr>
      <w:r>
        <w:rPr>
          <w:color w:val="auto"/>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710B7B52">
      <w:pPr>
        <w:numPr>
          <w:ilvl w:val="1"/>
          <w:numId w:val="14"/>
        </w:numPr>
        <w:tabs>
          <w:tab w:val="left" w:pos="1080"/>
        </w:tabs>
        <w:spacing w:line="360" w:lineRule="auto"/>
        <w:ind w:left="1077" w:hanging="720"/>
        <w:rPr>
          <w:color w:val="auto"/>
          <w:sz w:val="24"/>
          <w:highlight w:val="none"/>
        </w:rPr>
      </w:pPr>
      <w:r>
        <w:rPr>
          <w:color w:val="auto"/>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714E9291">
      <w:pPr>
        <w:numPr>
          <w:ilvl w:val="1"/>
          <w:numId w:val="14"/>
        </w:numPr>
        <w:tabs>
          <w:tab w:val="left" w:pos="1080"/>
        </w:tabs>
        <w:spacing w:line="360" w:lineRule="auto"/>
        <w:ind w:left="1077" w:hanging="720"/>
        <w:rPr>
          <w:color w:val="auto"/>
          <w:sz w:val="24"/>
          <w:highlight w:val="none"/>
        </w:rPr>
      </w:pPr>
      <w:r>
        <w:rPr>
          <w:color w:val="auto"/>
          <w:sz w:val="24"/>
          <w:highlight w:val="none"/>
        </w:rPr>
        <w:t>评标委员会要对评分汇总情况进行复核，特别是对排名第一的、报价最低的、投标或</w:t>
      </w:r>
      <w:r>
        <w:rPr>
          <w:rFonts w:hint="eastAsia"/>
          <w:color w:val="auto"/>
          <w:sz w:val="24"/>
          <w:highlight w:val="none"/>
        </w:rPr>
        <w:t>响应</w:t>
      </w:r>
      <w:r>
        <w:rPr>
          <w:color w:val="auto"/>
          <w:sz w:val="24"/>
          <w:highlight w:val="none"/>
        </w:rPr>
        <w:t>文件被认定为无效的情形进行重点复核。</w:t>
      </w:r>
    </w:p>
    <w:p w14:paraId="6DD9C830">
      <w:pPr>
        <w:numPr>
          <w:ilvl w:val="1"/>
          <w:numId w:val="14"/>
        </w:numPr>
        <w:tabs>
          <w:tab w:val="left" w:pos="1080"/>
        </w:tabs>
        <w:spacing w:line="360" w:lineRule="auto"/>
        <w:ind w:left="1077" w:hanging="720"/>
        <w:rPr>
          <w:color w:val="auto"/>
          <w:sz w:val="24"/>
          <w:highlight w:val="none"/>
        </w:rPr>
      </w:pPr>
      <w:r>
        <w:rPr>
          <w:color w:val="auto"/>
          <w:sz w:val="24"/>
          <w:highlight w:val="none"/>
        </w:rPr>
        <w:t>评标委员会将根据各投标人的评标排序，依次推荐本项目（</w:t>
      </w:r>
      <w:r>
        <w:rPr>
          <w:rFonts w:hint="eastAsia"/>
          <w:color w:val="auto"/>
          <w:sz w:val="24"/>
          <w:highlight w:val="none"/>
        </w:rPr>
        <w:t>各</w:t>
      </w:r>
      <w:r>
        <w:rPr>
          <w:color w:val="auto"/>
          <w:sz w:val="24"/>
          <w:highlight w:val="none"/>
        </w:rPr>
        <w:t>采购包）的中标候选人，起草并签署评标报告。本项目（</w:t>
      </w:r>
      <w:r>
        <w:rPr>
          <w:rFonts w:hint="eastAsia"/>
          <w:color w:val="auto"/>
          <w:sz w:val="24"/>
          <w:highlight w:val="none"/>
        </w:rPr>
        <w:t>各</w:t>
      </w:r>
      <w:r>
        <w:rPr>
          <w:color w:val="auto"/>
          <w:sz w:val="24"/>
          <w:highlight w:val="none"/>
        </w:rPr>
        <w:t>采购包）评标委员会共（各）推荐</w:t>
      </w:r>
      <w:r>
        <w:rPr>
          <w:rFonts w:hint="eastAsia"/>
          <w:color w:val="auto"/>
          <w:sz w:val="24"/>
          <w:highlight w:val="none"/>
        </w:rPr>
        <w:t>不少于3</w:t>
      </w:r>
      <w:r>
        <w:rPr>
          <w:color w:val="auto"/>
          <w:sz w:val="24"/>
          <w:highlight w:val="none"/>
        </w:rPr>
        <w:t>名中标候选人。</w:t>
      </w:r>
    </w:p>
    <w:p w14:paraId="3EED2966">
      <w:pPr>
        <w:numPr>
          <w:ilvl w:val="0"/>
          <w:numId w:val="14"/>
        </w:numPr>
        <w:tabs>
          <w:tab w:val="left" w:pos="360"/>
        </w:tabs>
        <w:spacing w:line="360" w:lineRule="auto"/>
        <w:outlineLvl w:val="1"/>
        <w:rPr>
          <w:color w:val="auto"/>
          <w:sz w:val="24"/>
          <w:highlight w:val="none"/>
        </w:rPr>
      </w:pPr>
      <w:r>
        <w:rPr>
          <w:color w:val="auto"/>
          <w:sz w:val="24"/>
          <w:highlight w:val="none"/>
        </w:rPr>
        <w:t>报告违法行为</w:t>
      </w:r>
    </w:p>
    <w:p w14:paraId="16C20975">
      <w:pPr>
        <w:numPr>
          <w:ilvl w:val="1"/>
          <w:numId w:val="14"/>
        </w:numPr>
        <w:tabs>
          <w:tab w:val="left" w:pos="1080"/>
        </w:tabs>
        <w:spacing w:line="360" w:lineRule="auto"/>
        <w:ind w:left="1077" w:hanging="720"/>
        <w:rPr>
          <w:color w:val="auto"/>
          <w:sz w:val="24"/>
          <w:highlight w:val="none"/>
        </w:rPr>
      </w:pPr>
      <w:r>
        <w:rPr>
          <w:color w:val="auto"/>
          <w:sz w:val="24"/>
          <w:highlight w:val="none"/>
        </w:rPr>
        <w:t>评标委员会在评标过程中发现投标人有行贿、提供虚假材料或者串通等违法行为时，有向</w:t>
      </w:r>
      <w:r>
        <w:rPr>
          <w:rFonts w:hint="eastAsia"/>
          <w:color w:val="auto"/>
          <w:sz w:val="24"/>
          <w:highlight w:val="none"/>
        </w:rPr>
        <w:t>招标人</w:t>
      </w:r>
      <w:r>
        <w:rPr>
          <w:color w:val="auto"/>
          <w:sz w:val="24"/>
          <w:highlight w:val="none"/>
        </w:rPr>
        <w:t>、采购代理机构或者有关部门报告的职责。</w:t>
      </w:r>
    </w:p>
    <w:p w14:paraId="53FFCDF4">
      <w:pPr>
        <w:numPr>
          <w:ilvl w:val="0"/>
          <w:numId w:val="15"/>
        </w:numPr>
        <w:tabs>
          <w:tab w:val="left" w:pos="360"/>
          <w:tab w:val="left" w:pos="900"/>
        </w:tabs>
        <w:spacing w:line="360" w:lineRule="auto"/>
        <w:jc w:val="center"/>
        <w:outlineLvl w:val="1"/>
        <w:rPr>
          <w:b/>
          <w:color w:val="auto"/>
          <w:sz w:val="24"/>
          <w:highlight w:val="none"/>
        </w:rPr>
      </w:pPr>
      <w:r>
        <w:rPr>
          <w:b/>
          <w:color w:val="auto"/>
          <w:sz w:val="24"/>
          <w:highlight w:val="none"/>
        </w:rPr>
        <w:br w:type="page" w:clear="all"/>
      </w:r>
      <w:r>
        <w:rPr>
          <w:b/>
          <w:color w:val="auto"/>
          <w:sz w:val="24"/>
          <w:highlight w:val="none"/>
        </w:rPr>
        <w:t>评标标准</w:t>
      </w:r>
    </w:p>
    <w:tbl>
      <w:tblPr>
        <w:tblStyle w:val="37"/>
        <w:tblW w:w="99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8"/>
        <w:gridCol w:w="1514"/>
        <w:gridCol w:w="754"/>
        <w:gridCol w:w="4964"/>
        <w:gridCol w:w="1957"/>
      </w:tblGrid>
      <w:tr w14:paraId="29709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8" w:type="dxa"/>
            <w:tcBorders>
              <w:top w:val="single" w:color="auto" w:sz="4" w:space="0"/>
              <w:left w:val="single" w:color="auto" w:sz="4" w:space="0"/>
              <w:bottom w:val="single" w:color="auto" w:sz="4" w:space="0"/>
              <w:right w:val="single" w:color="auto" w:sz="4" w:space="0"/>
            </w:tcBorders>
            <w:vAlign w:val="center"/>
          </w:tcPr>
          <w:p w14:paraId="1E106D1D">
            <w:pPr>
              <w:widowControl/>
              <w:snapToGrid w:val="0"/>
              <w:spacing w:line="288" w:lineRule="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序号</w:t>
            </w:r>
          </w:p>
        </w:tc>
        <w:tc>
          <w:tcPr>
            <w:tcW w:w="1514" w:type="dxa"/>
            <w:tcBorders>
              <w:top w:val="single" w:color="auto" w:sz="4" w:space="0"/>
              <w:left w:val="nil"/>
              <w:bottom w:val="single" w:color="auto" w:sz="4" w:space="0"/>
              <w:right w:val="single" w:color="auto" w:sz="4" w:space="0"/>
            </w:tcBorders>
            <w:vAlign w:val="center"/>
          </w:tcPr>
          <w:p w14:paraId="55536CBD">
            <w:pPr>
              <w:widowControl/>
              <w:snapToGrid w:val="0"/>
              <w:spacing w:line="288" w:lineRule="auto"/>
              <w:jc w:val="center"/>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评审因素</w:t>
            </w:r>
          </w:p>
        </w:tc>
        <w:tc>
          <w:tcPr>
            <w:tcW w:w="754" w:type="dxa"/>
            <w:tcBorders>
              <w:top w:val="single" w:color="auto" w:sz="4" w:space="0"/>
              <w:left w:val="nil"/>
              <w:bottom w:val="single" w:color="auto" w:sz="4" w:space="0"/>
              <w:right w:val="single" w:color="auto" w:sz="4" w:space="0"/>
            </w:tcBorders>
            <w:vAlign w:val="center"/>
          </w:tcPr>
          <w:p w14:paraId="31A74313">
            <w:pPr>
              <w:widowControl/>
              <w:snapToGrid w:val="0"/>
              <w:spacing w:line="288" w:lineRule="auto"/>
              <w:jc w:val="center"/>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分值</w:t>
            </w:r>
          </w:p>
        </w:tc>
        <w:tc>
          <w:tcPr>
            <w:tcW w:w="4964" w:type="dxa"/>
            <w:tcBorders>
              <w:top w:val="single" w:color="auto" w:sz="4" w:space="0"/>
              <w:left w:val="nil"/>
              <w:bottom w:val="single" w:color="auto" w:sz="4" w:space="0"/>
              <w:right w:val="single" w:color="auto" w:sz="4" w:space="0"/>
            </w:tcBorders>
            <w:vAlign w:val="center"/>
          </w:tcPr>
          <w:p w14:paraId="3D69F2F3">
            <w:pPr>
              <w:widowControl/>
              <w:snapToGrid w:val="0"/>
              <w:spacing w:line="288" w:lineRule="auto"/>
              <w:jc w:val="center"/>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评分标准</w:t>
            </w:r>
          </w:p>
        </w:tc>
        <w:tc>
          <w:tcPr>
            <w:tcW w:w="1957" w:type="dxa"/>
            <w:tcBorders>
              <w:top w:val="single" w:color="auto" w:sz="4" w:space="0"/>
              <w:left w:val="nil"/>
              <w:bottom w:val="single" w:color="auto" w:sz="4" w:space="0"/>
              <w:right w:val="single" w:color="auto" w:sz="4" w:space="0"/>
            </w:tcBorders>
            <w:vAlign w:val="center"/>
          </w:tcPr>
          <w:p w14:paraId="7897ACD0">
            <w:pPr>
              <w:widowControl/>
              <w:snapToGrid w:val="0"/>
              <w:spacing w:line="288" w:lineRule="auto"/>
              <w:jc w:val="center"/>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评标依据</w:t>
            </w:r>
          </w:p>
        </w:tc>
      </w:tr>
      <w:tr w14:paraId="240A3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37" w:type="dxa"/>
            <w:gridSpan w:val="5"/>
            <w:tcBorders>
              <w:top w:val="single" w:color="auto" w:sz="4" w:space="0"/>
              <w:left w:val="single" w:color="auto" w:sz="4" w:space="0"/>
              <w:bottom w:val="single" w:color="auto" w:sz="4" w:space="0"/>
              <w:right w:val="single" w:color="auto" w:sz="4" w:space="0"/>
            </w:tcBorders>
            <w:vAlign w:val="center"/>
          </w:tcPr>
          <w:p w14:paraId="6A2776CF">
            <w:pPr>
              <w:widowControl/>
              <w:snapToGrid w:val="0"/>
              <w:spacing w:line="288" w:lineRule="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一、价格分（10分）</w:t>
            </w:r>
          </w:p>
        </w:tc>
      </w:tr>
      <w:tr w14:paraId="0FBC1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748" w:type="dxa"/>
            <w:tcBorders>
              <w:top w:val="single" w:color="auto" w:sz="4" w:space="0"/>
              <w:left w:val="single" w:color="auto" w:sz="4" w:space="0"/>
              <w:bottom w:val="single" w:color="auto" w:sz="4" w:space="0"/>
              <w:right w:val="single" w:color="auto" w:sz="4" w:space="0"/>
            </w:tcBorders>
            <w:shd w:val="clear" w:color="auto" w:fill="auto"/>
            <w:vAlign w:val="center"/>
          </w:tcPr>
          <w:p w14:paraId="798F7C41">
            <w:pPr>
              <w:widowControl/>
              <w:snapToGrid w:val="0"/>
              <w:spacing w:line="288" w:lineRule="auto"/>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1</w:t>
            </w:r>
          </w:p>
        </w:tc>
        <w:tc>
          <w:tcPr>
            <w:tcW w:w="1514" w:type="dxa"/>
            <w:tcBorders>
              <w:top w:val="single" w:color="auto" w:sz="4" w:space="0"/>
              <w:left w:val="nil"/>
              <w:bottom w:val="single" w:color="auto" w:sz="4" w:space="0"/>
              <w:right w:val="single" w:color="auto" w:sz="4" w:space="0"/>
            </w:tcBorders>
            <w:shd w:val="clear" w:color="auto" w:fill="auto"/>
            <w:vAlign w:val="center"/>
          </w:tcPr>
          <w:p w14:paraId="68BBF5C3">
            <w:pPr>
              <w:widowControl/>
              <w:snapToGrid w:val="0"/>
              <w:spacing w:line="288" w:lineRule="auto"/>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价格分</w:t>
            </w:r>
          </w:p>
        </w:tc>
        <w:tc>
          <w:tcPr>
            <w:tcW w:w="754" w:type="dxa"/>
            <w:tcBorders>
              <w:top w:val="single" w:color="auto" w:sz="4" w:space="0"/>
              <w:left w:val="nil"/>
              <w:bottom w:val="single" w:color="auto" w:sz="4" w:space="0"/>
              <w:right w:val="single" w:color="auto" w:sz="4" w:space="0"/>
            </w:tcBorders>
            <w:shd w:val="clear" w:color="auto" w:fill="auto"/>
            <w:vAlign w:val="center"/>
          </w:tcPr>
          <w:p w14:paraId="2681EF53">
            <w:pPr>
              <w:widowControl/>
              <w:snapToGrid w:val="0"/>
              <w:spacing w:line="288" w:lineRule="auto"/>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10</w:t>
            </w:r>
          </w:p>
        </w:tc>
        <w:tc>
          <w:tcPr>
            <w:tcW w:w="4964" w:type="dxa"/>
            <w:tcBorders>
              <w:top w:val="single" w:color="auto" w:sz="4" w:space="0"/>
              <w:left w:val="nil"/>
              <w:bottom w:val="single" w:color="auto" w:sz="4" w:space="0"/>
              <w:right w:val="single" w:color="auto" w:sz="4" w:space="0"/>
            </w:tcBorders>
            <w:vAlign w:val="center"/>
          </w:tcPr>
          <w:p w14:paraId="0420977D">
            <w:pPr>
              <w:snapToGrid w:val="0"/>
              <w:spacing w:line="288"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采用低价优先法计算，即满足</w:t>
            </w:r>
            <w:r>
              <w:rPr>
                <w:rFonts w:hint="eastAsia" w:ascii="宋体" w:hAnsi="宋体" w:cs="宋体"/>
                <w:color w:val="auto"/>
                <w:kern w:val="0"/>
                <w:sz w:val="24"/>
                <w:szCs w:val="24"/>
                <w:highlight w:val="none"/>
                <w:lang w:val="en-US" w:eastAsia="zh-CN"/>
              </w:rPr>
              <w:t>招标</w:t>
            </w:r>
            <w:r>
              <w:rPr>
                <w:rFonts w:hint="eastAsia" w:ascii="宋体" w:hAnsi="宋体" w:eastAsia="宋体" w:cs="宋体"/>
                <w:color w:val="auto"/>
                <w:kern w:val="0"/>
                <w:sz w:val="24"/>
                <w:szCs w:val="24"/>
                <w:highlight w:val="none"/>
              </w:rPr>
              <w:t>文件要求且</w:t>
            </w:r>
            <w:r>
              <w:rPr>
                <w:rFonts w:hint="eastAsia" w:ascii="宋体" w:hAnsi="宋体" w:cs="宋体"/>
                <w:color w:val="auto"/>
                <w:kern w:val="0"/>
                <w:sz w:val="24"/>
                <w:szCs w:val="24"/>
                <w:highlight w:val="none"/>
                <w:lang w:val="en-US" w:eastAsia="zh-CN"/>
              </w:rPr>
              <w:t>报价</w:t>
            </w:r>
            <w:r>
              <w:rPr>
                <w:rFonts w:hint="eastAsia" w:ascii="宋体" w:hAnsi="宋体" w:eastAsia="宋体" w:cs="宋体"/>
                <w:color w:val="auto"/>
                <w:kern w:val="0"/>
                <w:sz w:val="24"/>
                <w:szCs w:val="24"/>
                <w:highlight w:val="none"/>
              </w:rPr>
              <w:t>最低的</w:t>
            </w:r>
            <w:r>
              <w:rPr>
                <w:rFonts w:hint="eastAsia" w:ascii="宋体" w:hAnsi="宋体" w:cs="宋体"/>
                <w:color w:val="auto"/>
                <w:kern w:val="0"/>
                <w:sz w:val="24"/>
                <w:szCs w:val="24"/>
                <w:highlight w:val="none"/>
                <w:lang w:val="en-US" w:eastAsia="zh-CN"/>
              </w:rPr>
              <w:t>投标</w:t>
            </w:r>
            <w:r>
              <w:rPr>
                <w:rFonts w:hint="eastAsia" w:ascii="宋体" w:hAnsi="宋体" w:eastAsia="宋体" w:cs="宋体"/>
                <w:color w:val="auto"/>
                <w:kern w:val="0"/>
                <w:sz w:val="24"/>
                <w:szCs w:val="24"/>
                <w:highlight w:val="none"/>
              </w:rPr>
              <w:t>报价为</w:t>
            </w:r>
            <w:r>
              <w:rPr>
                <w:rFonts w:hint="eastAsia" w:ascii="宋体" w:hAnsi="宋体" w:cs="宋体"/>
                <w:color w:val="auto"/>
                <w:kern w:val="0"/>
                <w:sz w:val="24"/>
                <w:szCs w:val="24"/>
                <w:highlight w:val="none"/>
                <w:lang w:val="en-US" w:eastAsia="zh-CN"/>
              </w:rPr>
              <w:t>投标</w:t>
            </w:r>
            <w:r>
              <w:rPr>
                <w:rFonts w:hint="eastAsia" w:ascii="宋体" w:hAnsi="宋体" w:eastAsia="宋体" w:cs="宋体"/>
                <w:color w:val="auto"/>
                <w:kern w:val="0"/>
                <w:sz w:val="24"/>
                <w:szCs w:val="24"/>
                <w:highlight w:val="none"/>
              </w:rPr>
              <w:t>基准价，其价格分为满分10分。其他</w:t>
            </w:r>
            <w:r>
              <w:rPr>
                <w:rFonts w:hint="eastAsia" w:ascii="宋体" w:hAnsi="宋体" w:cs="宋体"/>
                <w:color w:val="auto"/>
                <w:kern w:val="0"/>
                <w:sz w:val="24"/>
                <w:szCs w:val="24"/>
                <w:highlight w:val="none"/>
                <w:lang w:val="en-US" w:eastAsia="zh-CN"/>
              </w:rPr>
              <w:t>投标人</w:t>
            </w:r>
            <w:r>
              <w:rPr>
                <w:rFonts w:hint="eastAsia" w:ascii="宋体" w:hAnsi="宋体" w:eastAsia="宋体" w:cs="宋体"/>
                <w:color w:val="auto"/>
                <w:kern w:val="0"/>
                <w:sz w:val="24"/>
                <w:szCs w:val="24"/>
                <w:highlight w:val="none"/>
              </w:rPr>
              <w:t>的价格分统一按照下列公式计算：</w:t>
            </w:r>
          </w:p>
          <w:p w14:paraId="33C2DF11">
            <w:pPr>
              <w:snapToGrid w:val="0"/>
              <w:spacing w:line="288" w:lineRule="auto"/>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投标</w:t>
            </w:r>
            <w:r>
              <w:rPr>
                <w:rFonts w:hint="eastAsia" w:ascii="宋体" w:hAnsi="宋体" w:eastAsia="宋体" w:cs="宋体"/>
                <w:color w:val="auto"/>
                <w:kern w:val="0"/>
                <w:sz w:val="24"/>
                <w:szCs w:val="24"/>
                <w:highlight w:val="none"/>
              </w:rPr>
              <w:t>报价得分=</w:t>
            </w:r>
            <w:r>
              <w:rPr>
                <w:rFonts w:hint="eastAsia" w:ascii="宋体" w:hAnsi="宋体" w:cs="宋体"/>
                <w:color w:val="auto"/>
                <w:kern w:val="0"/>
                <w:sz w:val="24"/>
                <w:szCs w:val="24"/>
                <w:highlight w:val="none"/>
                <w:lang w:val="en-US" w:eastAsia="zh-CN"/>
              </w:rPr>
              <w:t>投标</w:t>
            </w:r>
            <w:r>
              <w:rPr>
                <w:rFonts w:hint="eastAsia" w:ascii="宋体" w:hAnsi="宋体" w:eastAsia="宋体" w:cs="宋体"/>
                <w:color w:val="auto"/>
                <w:kern w:val="0"/>
                <w:sz w:val="24"/>
                <w:szCs w:val="24"/>
                <w:highlight w:val="none"/>
              </w:rPr>
              <w:t>基准价</w:t>
            </w:r>
            <w:r>
              <w:rPr>
                <w:rFonts w:hint="eastAsia" w:ascii="宋体" w:hAnsi="宋体" w:cs="宋体"/>
                <w:color w:val="auto"/>
                <w:kern w:val="0"/>
                <w:sz w:val="24"/>
                <w:szCs w:val="24"/>
                <w:highlight w:val="none"/>
                <w:lang w:val="en-US" w:eastAsia="zh-CN"/>
              </w:rPr>
              <w:t>/投标</w:t>
            </w:r>
            <w:r>
              <w:rPr>
                <w:rFonts w:hint="eastAsia" w:ascii="宋体" w:hAnsi="宋体" w:eastAsia="宋体" w:cs="宋体"/>
                <w:color w:val="auto"/>
                <w:kern w:val="0"/>
                <w:sz w:val="24"/>
                <w:szCs w:val="24"/>
                <w:highlight w:val="none"/>
              </w:rPr>
              <w:t>报价×</w:t>
            </w:r>
            <w:r>
              <w:rPr>
                <w:rFonts w:hint="eastAsia" w:ascii="宋体" w:hAnsi="宋体" w:cs="宋体"/>
                <w:color w:val="auto"/>
                <w:kern w:val="0"/>
                <w:sz w:val="24"/>
                <w:szCs w:val="24"/>
                <w:highlight w:val="none"/>
                <w:lang w:val="en-US" w:eastAsia="zh-CN"/>
              </w:rPr>
              <w:t>10%</w:t>
            </w:r>
            <w:r>
              <w:rPr>
                <w:rFonts w:hint="eastAsia" w:ascii="宋体" w:hAnsi="宋体" w:eastAsia="宋体" w:cs="宋体"/>
                <w:color w:val="auto"/>
                <w:kern w:val="0"/>
                <w:sz w:val="24"/>
                <w:szCs w:val="24"/>
                <w:highlight w:val="none"/>
              </w:rPr>
              <w:t>×100。</w:t>
            </w:r>
          </w:p>
        </w:tc>
        <w:tc>
          <w:tcPr>
            <w:tcW w:w="1957" w:type="dxa"/>
            <w:tcBorders>
              <w:top w:val="single" w:color="auto" w:sz="4" w:space="0"/>
              <w:left w:val="nil"/>
              <w:bottom w:val="single" w:color="auto" w:sz="4" w:space="0"/>
              <w:right w:val="single" w:color="auto" w:sz="4" w:space="0"/>
            </w:tcBorders>
            <w:vAlign w:val="center"/>
          </w:tcPr>
          <w:p w14:paraId="557A7226">
            <w:pPr>
              <w:widowControl/>
              <w:snapToGrid w:val="0"/>
              <w:spacing w:line="288"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本项目属于专门面向中小企业预留份额采购项目，按规定不再执行小微型企业价格扣除政策。</w:t>
            </w:r>
          </w:p>
        </w:tc>
      </w:tr>
      <w:tr w14:paraId="3080E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37" w:type="dxa"/>
            <w:gridSpan w:val="5"/>
            <w:tcBorders>
              <w:top w:val="single" w:color="auto" w:sz="4" w:space="0"/>
              <w:left w:val="single" w:color="auto" w:sz="4" w:space="0"/>
              <w:bottom w:val="single" w:color="auto" w:sz="4" w:space="0"/>
              <w:right w:val="single" w:color="auto" w:sz="4" w:space="0"/>
            </w:tcBorders>
            <w:vAlign w:val="center"/>
          </w:tcPr>
          <w:p w14:paraId="20660356">
            <w:pPr>
              <w:widowControl/>
              <w:snapToGrid w:val="0"/>
              <w:spacing w:line="288" w:lineRule="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二、商务分（</w:t>
            </w:r>
            <w:r>
              <w:rPr>
                <w:rFonts w:hint="eastAsia" w:ascii="宋体" w:hAnsi="宋体" w:cs="宋体"/>
                <w:b/>
                <w:color w:val="auto"/>
                <w:kern w:val="0"/>
                <w:sz w:val="24"/>
                <w:szCs w:val="24"/>
                <w:highlight w:val="none"/>
                <w:lang w:val="en-US" w:eastAsia="zh-CN"/>
              </w:rPr>
              <w:t>50</w:t>
            </w:r>
            <w:r>
              <w:rPr>
                <w:rFonts w:hint="eastAsia" w:ascii="宋体" w:hAnsi="宋体" w:eastAsia="宋体" w:cs="宋体"/>
                <w:b/>
                <w:color w:val="auto"/>
                <w:kern w:val="0"/>
                <w:sz w:val="24"/>
                <w:szCs w:val="24"/>
                <w:highlight w:val="none"/>
              </w:rPr>
              <w:t>分）</w:t>
            </w:r>
          </w:p>
        </w:tc>
      </w:tr>
      <w:tr w14:paraId="2FC9D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748" w:type="dxa"/>
            <w:tcBorders>
              <w:top w:val="single" w:color="auto" w:sz="4" w:space="0"/>
              <w:left w:val="single" w:color="auto" w:sz="4" w:space="0"/>
              <w:bottom w:val="single" w:color="auto" w:sz="4" w:space="0"/>
              <w:right w:val="single" w:color="auto" w:sz="4" w:space="0"/>
            </w:tcBorders>
            <w:vAlign w:val="center"/>
          </w:tcPr>
          <w:p w14:paraId="2B222ABE">
            <w:pPr>
              <w:widowControl/>
              <w:snapToGrid w:val="0"/>
              <w:spacing w:line="288"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1514" w:type="dxa"/>
            <w:tcBorders>
              <w:top w:val="single" w:color="auto" w:sz="4" w:space="0"/>
              <w:left w:val="nil"/>
              <w:bottom w:val="single" w:color="auto" w:sz="4" w:space="0"/>
              <w:right w:val="single" w:color="auto" w:sz="4" w:space="0"/>
            </w:tcBorders>
            <w:vAlign w:val="center"/>
          </w:tcPr>
          <w:p w14:paraId="5CD54AC0">
            <w:pPr>
              <w:widowControl/>
              <w:snapToGrid w:val="0"/>
              <w:spacing w:line="288"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业绩案例</w:t>
            </w:r>
          </w:p>
        </w:tc>
        <w:tc>
          <w:tcPr>
            <w:tcW w:w="754" w:type="dxa"/>
            <w:tcBorders>
              <w:top w:val="single" w:color="auto" w:sz="4" w:space="0"/>
              <w:left w:val="nil"/>
              <w:bottom w:val="single" w:color="auto" w:sz="4" w:space="0"/>
              <w:right w:val="single" w:color="auto" w:sz="4" w:space="0"/>
            </w:tcBorders>
            <w:shd w:val="clear" w:color="auto" w:fill="auto"/>
            <w:vAlign w:val="center"/>
          </w:tcPr>
          <w:p w14:paraId="424A8691">
            <w:pPr>
              <w:widowControl/>
              <w:snapToGrid w:val="0"/>
              <w:spacing w:line="288" w:lineRule="auto"/>
              <w:jc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6</w:t>
            </w:r>
          </w:p>
        </w:tc>
        <w:tc>
          <w:tcPr>
            <w:tcW w:w="4964" w:type="dxa"/>
            <w:tcBorders>
              <w:top w:val="single" w:color="auto" w:sz="4" w:space="0"/>
              <w:left w:val="nil"/>
              <w:bottom w:val="single" w:color="auto" w:sz="4" w:space="0"/>
              <w:right w:val="single" w:color="auto" w:sz="4" w:space="0"/>
            </w:tcBorders>
            <w:vAlign w:val="center"/>
          </w:tcPr>
          <w:p w14:paraId="3211F9CA">
            <w:pPr>
              <w:snapToGrid w:val="0"/>
              <w:spacing w:line="288"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近三年（自投标截止之日起倒算）有类似</w:t>
            </w:r>
            <w:r>
              <w:rPr>
                <w:rFonts w:hint="eastAsia" w:ascii="宋体" w:hAnsi="宋体" w:cs="宋体"/>
                <w:color w:val="auto"/>
                <w:kern w:val="0"/>
                <w:sz w:val="24"/>
                <w:szCs w:val="24"/>
                <w:highlight w:val="none"/>
                <w:lang w:val="en-US" w:eastAsia="zh-CN"/>
              </w:rPr>
              <w:t>住房信息化运营支撑、房地产监管、数据治理等房地产行业平台相关</w:t>
            </w:r>
            <w:r>
              <w:rPr>
                <w:rFonts w:hint="eastAsia" w:ascii="宋体" w:hAnsi="宋体" w:eastAsia="宋体" w:cs="宋体"/>
                <w:color w:val="auto"/>
                <w:kern w:val="0"/>
                <w:sz w:val="24"/>
                <w:szCs w:val="24"/>
                <w:highlight w:val="none"/>
              </w:rPr>
              <w:t>业绩，每个得</w:t>
            </w: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分，最高得</w:t>
            </w:r>
            <w:r>
              <w:rPr>
                <w:rFonts w:hint="eastAsia" w:ascii="宋体" w:hAnsi="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分。</w:t>
            </w:r>
          </w:p>
        </w:tc>
        <w:tc>
          <w:tcPr>
            <w:tcW w:w="1957" w:type="dxa"/>
            <w:tcBorders>
              <w:top w:val="single" w:color="auto" w:sz="4" w:space="0"/>
              <w:left w:val="nil"/>
              <w:bottom w:val="single" w:color="auto" w:sz="4" w:space="0"/>
              <w:right w:val="single" w:color="auto" w:sz="4" w:space="0"/>
            </w:tcBorders>
            <w:vAlign w:val="center"/>
          </w:tcPr>
          <w:p w14:paraId="664BE0FA">
            <w:pPr>
              <w:snapToGrid w:val="0"/>
              <w:spacing w:line="288"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提供合同关键页（含项目名称、服务内容、合同金额、签订时间、双方盖章页）复印件或扫描件加盖</w:t>
            </w:r>
            <w:r>
              <w:rPr>
                <w:rFonts w:hint="eastAsia" w:ascii="宋体" w:hAnsi="宋体" w:cs="宋体"/>
                <w:color w:val="auto"/>
                <w:kern w:val="0"/>
                <w:sz w:val="24"/>
                <w:szCs w:val="24"/>
                <w:highlight w:val="none"/>
                <w:lang w:val="en-US" w:eastAsia="zh-CN"/>
              </w:rPr>
              <w:t>投标人</w:t>
            </w:r>
            <w:r>
              <w:rPr>
                <w:rFonts w:hint="eastAsia" w:ascii="宋体" w:hAnsi="宋体" w:eastAsia="宋体" w:cs="宋体"/>
                <w:color w:val="auto"/>
                <w:kern w:val="0"/>
                <w:sz w:val="24"/>
                <w:szCs w:val="24"/>
                <w:highlight w:val="none"/>
              </w:rPr>
              <w:t>公章，否则不得分。</w:t>
            </w:r>
          </w:p>
        </w:tc>
      </w:tr>
      <w:tr w14:paraId="6665A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9" w:hRule="atLeast"/>
          <w:jc w:val="center"/>
        </w:trPr>
        <w:tc>
          <w:tcPr>
            <w:tcW w:w="748" w:type="dxa"/>
            <w:tcBorders>
              <w:top w:val="single" w:color="auto" w:sz="4" w:space="0"/>
              <w:left w:val="single" w:color="auto" w:sz="4" w:space="0"/>
              <w:bottom w:val="single" w:color="auto" w:sz="4" w:space="0"/>
              <w:right w:val="single" w:color="auto" w:sz="4" w:space="0"/>
            </w:tcBorders>
            <w:vAlign w:val="center"/>
          </w:tcPr>
          <w:p w14:paraId="2E8CAB7D">
            <w:pPr>
              <w:widowControl/>
              <w:snapToGrid w:val="0"/>
              <w:spacing w:line="288"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1514" w:type="dxa"/>
            <w:tcBorders>
              <w:top w:val="single" w:color="auto" w:sz="4" w:space="0"/>
              <w:left w:val="nil"/>
              <w:bottom w:val="single" w:color="auto" w:sz="4" w:space="0"/>
              <w:right w:val="single" w:color="auto" w:sz="4" w:space="0"/>
            </w:tcBorders>
            <w:vAlign w:val="center"/>
          </w:tcPr>
          <w:p w14:paraId="62BC6660">
            <w:pPr>
              <w:widowControl/>
              <w:snapToGrid w:val="0"/>
              <w:spacing w:line="288" w:lineRule="auto"/>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软件著作权</w:t>
            </w:r>
            <w:r>
              <w:rPr>
                <w:rFonts w:hint="eastAsia" w:ascii="宋体" w:hAnsi="宋体" w:cs="宋体"/>
                <w:color w:val="auto"/>
                <w:kern w:val="0"/>
                <w:sz w:val="24"/>
                <w:szCs w:val="24"/>
                <w:highlight w:val="none"/>
                <w:lang w:val="en-US" w:eastAsia="zh-CN"/>
              </w:rPr>
              <w:t>证书</w:t>
            </w:r>
          </w:p>
        </w:tc>
        <w:tc>
          <w:tcPr>
            <w:tcW w:w="754" w:type="dxa"/>
            <w:tcBorders>
              <w:top w:val="single" w:color="auto" w:sz="4" w:space="0"/>
              <w:left w:val="nil"/>
              <w:bottom w:val="single" w:color="auto" w:sz="4" w:space="0"/>
              <w:right w:val="single" w:color="auto" w:sz="4" w:space="0"/>
            </w:tcBorders>
            <w:shd w:val="clear" w:color="auto" w:fill="auto"/>
            <w:vAlign w:val="center"/>
          </w:tcPr>
          <w:p w14:paraId="23B6C906">
            <w:pPr>
              <w:widowControl/>
              <w:snapToGrid w:val="0"/>
              <w:spacing w:line="288" w:lineRule="auto"/>
              <w:jc w:val="center"/>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2</w:t>
            </w:r>
          </w:p>
        </w:tc>
        <w:tc>
          <w:tcPr>
            <w:tcW w:w="4964" w:type="dxa"/>
            <w:tcBorders>
              <w:top w:val="single" w:color="auto" w:sz="4" w:space="0"/>
              <w:left w:val="nil"/>
              <w:bottom w:val="single" w:color="auto" w:sz="4" w:space="0"/>
              <w:right w:val="single" w:color="auto" w:sz="4" w:space="0"/>
            </w:tcBorders>
            <w:vAlign w:val="center"/>
          </w:tcPr>
          <w:p w14:paraId="06FB4CCB">
            <w:pPr>
              <w:snapToGrid w:val="0"/>
              <w:spacing w:line="288" w:lineRule="auto"/>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投标人提供与本项目采购标的（</w:t>
            </w:r>
            <w:r>
              <w:rPr>
                <w:rFonts w:hint="eastAsia" w:ascii="宋体" w:hAnsi="宋体" w:eastAsia="宋体" w:cs="宋体"/>
                <w:color w:val="auto"/>
                <w:kern w:val="0"/>
                <w:sz w:val="24"/>
                <w:szCs w:val="24"/>
                <w:highlight w:val="none"/>
              </w:rPr>
              <w:t>房地产信息管理、住房租赁监管服务、房地产市场分析、资金监管协同、数据治理、业务流程管理等</w:t>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相关的软件著作权，每个得1分，最高得</w:t>
            </w: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分；未提供不得分。</w:t>
            </w:r>
          </w:p>
        </w:tc>
        <w:tc>
          <w:tcPr>
            <w:tcW w:w="1957" w:type="dxa"/>
            <w:tcBorders>
              <w:top w:val="single" w:color="auto" w:sz="4" w:space="0"/>
              <w:left w:val="nil"/>
              <w:bottom w:val="single" w:color="auto" w:sz="4" w:space="0"/>
              <w:right w:val="single" w:color="auto" w:sz="4" w:space="0"/>
            </w:tcBorders>
            <w:vAlign w:val="center"/>
          </w:tcPr>
          <w:p w14:paraId="1E304E17">
            <w:pPr>
              <w:snapToGrid w:val="0"/>
              <w:spacing w:line="288"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提供相关软件著作权登记证书复印件或扫描件加盖</w:t>
            </w:r>
            <w:r>
              <w:rPr>
                <w:rFonts w:hint="eastAsia" w:ascii="宋体" w:hAnsi="宋体" w:cs="宋体"/>
                <w:color w:val="auto"/>
                <w:kern w:val="0"/>
                <w:sz w:val="24"/>
                <w:szCs w:val="24"/>
                <w:highlight w:val="none"/>
                <w:lang w:val="en-US" w:eastAsia="zh-CN"/>
              </w:rPr>
              <w:t>投标人</w:t>
            </w:r>
            <w:r>
              <w:rPr>
                <w:rFonts w:hint="eastAsia" w:ascii="宋体" w:hAnsi="宋体" w:eastAsia="宋体" w:cs="宋体"/>
                <w:color w:val="auto"/>
                <w:kern w:val="0"/>
                <w:sz w:val="24"/>
                <w:szCs w:val="24"/>
                <w:highlight w:val="none"/>
              </w:rPr>
              <w:t>公章，否则不得分。</w:t>
            </w:r>
            <w:r>
              <w:rPr>
                <w:rFonts w:hint="eastAsia" w:ascii="宋体" w:hAnsi="宋体" w:cs="宋体"/>
                <w:color w:val="auto"/>
                <w:sz w:val="24"/>
                <w:highlight w:val="none"/>
              </w:rPr>
              <w:t>投标人无自有软件著作权的，可提供合法有效的软件授权或许可使用证明材料</w:t>
            </w:r>
            <w:r>
              <w:rPr>
                <w:rFonts w:hint="eastAsia" w:ascii="宋体" w:hAnsi="宋体" w:cs="宋体"/>
                <w:color w:val="auto"/>
                <w:sz w:val="24"/>
                <w:highlight w:val="none"/>
                <w:lang w:eastAsia="zh-CN"/>
              </w:rPr>
              <w:t>。</w:t>
            </w:r>
            <w:r>
              <w:rPr>
                <w:rFonts w:hint="eastAsia" w:ascii="宋体" w:hAnsi="宋体" w:eastAsia="宋体" w:cs="宋体"/>
                <w:color w:val="auto"/>
                <w:kern w:val="0"/>
                <w:sz w:val="24"/>
                <w:szCs w:val="24"/>
                <w:highlight w:val="none"/>
              </w:rPr>
              <w:t>软件著作权</w:t>
            </w:r>
            <w:r>
              <w:rPr>
                <w:rFonts w:hint="eastAsia" w:ascii="宋体" w:hAnsi="宋体" w:eastAsia="宋体" w:cs="宋体"/>
                <w:color w:val="auto"/>
                <w:kern w:val="0"/>
                <w:sz w:val="24"/>
                <w:szCs w:val="24"/>
                <w:highlight w:val="none"/>
                <w:lang w:val="en-US" w:eastAsia="zh-CN"/>
              </w:rPr>
              <w:t>证书</w:t>
            </w:r>
            <w:r>
              <w:rPr>
                <w:rFonts w:hint="eastAsia" w:ascii="宋体" w:hAnsi="宋体" w:eastAsia="宋体" w:cs="宋体"/>
                <w:color w:val="auto"/>
                <w:kern w:val="0"/>
                <w:sz w:val="24"/>
                <w:szCs w:val="24"/>
                <w:highlight w:val="none"/>
              </w:rPr>
              <w:t>名称关键字不同但内容与采购标的相符的，提供相关证明材料，由</w:t>
            </w:r>
            <w:r>
              <w:rPr>
                <w:rFonts w:hint="eastAsia" w:ascii="宋体" w:hAnsi="宋体" w:cs="宋体"/>
                <w:color w:val="auto"/>
                <w:kern w:val="0"/>
                <w:sz w:val="24"/>
                <w:szCs w:val="24"/>
                <w:highlight w:val="none"/>
                <w:lang w:val="en-US" w:eastAsia="zh-CN"/>
              </w:rPr>
              <w:t>评委</w:t>
            </w:r>
            <w:r>
              <w:rPr>
                <w:rFonts w:hint="eastAsia" w:ascii="宋体" w:hAnsi="宋体" w:eastAsia="宋体" w:cs="宋体"/>
                <w:color w:val="auto"/>
                <w:kern w:val="0"/>
                <w:sz w:val="24"/>
                <w:szCs w:val="24"/>
                <w:highlight w:val="none"/>
              </w:rPr>
              <w:t>判定。</w:t>
            </w:r>
          </w:p>
        </w:tc>
      </w:tr>
      <w:tr w14:paraId="057A8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748" w:type="dxa"/>
            <w:tcBorders>
              <w:top w:val="single" w:color="auto" w:sz="4" w:space="0"/>
              <w:left w:val="single" w:color="auto" w:sz="4" w:space="0"/>
              <w:bottom w:val="single" w:color="auto" w:sz="4" w:space="0"/>
              <w:right w:val="single" w:color="auto" w:sz="4" w:space="0"/>
            </w:tcBorders>
            <w:vAlign w:val="center"/>
          </w:tcPr>
          <w:p w14:paraId="0184F3A0">
            <w:pPr>
              <w:widowControl/>
              <w:snapToGrid w:val="0"/>
              <w:spacing w:line="288" w:lineRule="auto"/>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3</w:t>
            </w:r>
          </w:p>
        </w:tc>
        <w:tc>
          <w:tcPr>
            <w:tcW w:w="1514" w:type="dxa"/>
            <w:tcBorders>
              <w:top w:val="single" w:color="auto" w:sz="4" w:space="0"/>
              <w:left w:val="nil"/>
              <w:bottom w:val="single" w:color="auto" w:sz="4" w:space="0"/>
              <w:right w:val="single" w:color="auto" w:sz="4" w:space="0"/>
            </w:tcBorders>
            <w:vAlign w:val="center"/>
          </w:tcPr>
          <w:p w14:paraId="7F34D4DF">
            <w:pPr>
              <w:widowControl/>
              <w:snapToGrid w:val="0"/>
              <w:spacing w:line="288" w:lineRule="auto"/>
              <w:jc w:val="center"/>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项目所在地</w:t>
            </w:r>
            <w:r>
              <w:rPr>
                <w:rFonts w:hint="eastAsia" w:ascii="宋体" w:hAnsi="宋体" w:eastAsia="宋体" w:cs="宋体"/>
                <w:color w:val="auto"/>
                <w:kern w:val="0"/>
                <w:sz w:val="24"/>
                <w:szCs w:val="24"/>
                <w:highlight w:val="none"/>
              </w:rPr>
              <w:t>驻点与驻场服务</w:t>
            </w:r>
            <w:r>
              <w:rPr>
                <w:rFonts w:hint="eastAsia" w:ascii="宋体" w:hAnsi="宋体" w:cs="宋体"/>
                <w:color w:val="auto"/>
                <w:kern w:val="0"/>
                <w:sz w:val="24"/>
                <w:szCs w:val="24"/>
                <w:highlight w:val="none"/>
                <w:lang w:val="en-US" w:eastAsia="zh-CN"/>
              </w:rPr>
              <w:t>承诺</w:t>
            </w:r>
          </w:p>
        </w:tc>
        <w:tc>
          <w:tcPr>
            <w:tcW w:w="754" w:type="dxa"/>
            <w:tcBorders>
              <w:top w:val="single" w:color="auto" w:sz="4" w:space="0"/>
              <w:left w:val="nil"/>
              <w:bottom w:val="single" w:color="auto" w:sz="4" w:space="0"/>
              <w:right w:val="single" w:color="auto" w:sz="4" w:space="0"/>
            </w:tcBorders>
            <w:shd w:val="clear" w:color="auto" w:fill="auto"/>
            <w:vAlign w:val="center"/>
          </w:tcPr>
          <w:p w14:paraId="0DA22C76">
            <w:pPr>
              <w:widowControl/>
              <w:snapToGrid w:val="0"/>
              <w:spacing w:line="288" w:lineRule="auto"/>
              <w:jc w:val="center"/>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4</w:t>
            </w:r>
          </w:p>
        </w:tc>
        <w:tc>
          <w:tcPr>
            <w:tcW w:w="4964" w:type="dxa"/>
            <w:tcBorders>
              <w:top w:val="single" w:color="auto" w:sz="4" w:space="0"/>
              <w:left w:val="nil"/>
              <w:bottom w:val="single" w:color="auto" w:sz="4" w:space="0"/>
              <w:right w:val="single" w:color="auto" w:sz="4" w:space="0"/>
            </w:tcBorders>
            <w:vAlign w:val="center"/>
          </w:tcPr>
          <w:p w14:paraId="40A142FC">
            <w:pPr>
              <w:snapToGrid w:val="0"/>
              <w:spacing w:line="288" w:lineRule="auto"/>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投标人</w:t>
            </w:r>
            <w:r>
              <w:rPr>
                <w:rFonts w:hint="eastAsia" w:ascii="宋体" w:hAnsi="宋体" w:eastAsia="宋体" w:cs="宋体"/>
                <w:color w:val="auto"/>
                <w:kern w:val="0"/>
                <w:sz w:val="24"/>
                <w:szCs w:val="24"/>
                <w:highlight w:val="none"/>
              </w:rPr>
              <w:t>承诺在项目正式进场前于</w:t>
            </w:r>
            <w:r>
              <w:rPr>
                <w:rFonts w:hint="eastAsia" w:ascii="宋体" w:hAnsi="宋体" w:cs="宋体"/>
                <w:color w:val="auto"/>
                <w:kern w:val="0"/>
                <w:sz w:val="24"/>
                <w:szCs w:val="24"/>
                <w:highlight w:val="none"/>
                <w:lang w:val="en-US" w:eastAsia="zh-CN"/>
              </w:rPr>
              <w:t>项目所在地</w:t>
            </w:r>
            <w:r>
              <w:rPr>
                <w:rFonts w:hint="eastAsia" w:ascii="宋体" w:hAnsi="宋体" w:eastAsia="宋体" w:cs="宋体"/>
                <w:color w:val="auto"/>
                <w:kern w:val="0"/>
                <w:sz w:val="24"/>
                <w:szCs w:val="24"/>
                <w:highlight w:val="none"/>
              </w:rPr>
              <w:t>行政区域内设置固定办公服务驻点并在服务期内持续保留，驻点配置不少于</w:t>
            </w: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名</w:t>
            </w:r>
            <w:r>
              <w:rPr>
                <w:rFonts w:hint="eastAsia" w:ascii="宋体" w:hAnsi="宋体" w:eastAsia="宋体" w:cs="宋体"/>
                <w:color w:val="auto"/>
                <w:kern w:val="0"/>
                <w:sz w:val="24"/>
                <w:szCs w:val="24"/>
                <w:highlight w:val="none"/>
              </w:rPr>
              <w:t>驻点服务人员；同时承诺在</w:t>
            </w:r>
            <w:r>
              <w:rPr>
                <w:rFonts w:hint="eastAsia" w:ascii="宋体" w:hAnsi="宋体" w:cs="宋体"/>
                <w:color w:val="auto"/>
                <w:kern w:val="0"/>
                <w:sz w:val="24"/>
                <w:szCs w:val="24"/>
                <w:highlight w:val="none"/>
                <w:lang w:val="en-US" w:eastAsia="zh-CN"/>
              </w:rPr>
              <w:t>招标</w:t>
            </w:r>
            <w:r>
              <w:rPr>
                <w:rFonts w:hint="eastAsia" w:ascii="宋体" w:hAnsi="宋体" w:eastAsia="宋体" w:cs="宋体"/>
                <w:color w:val="auto"/>
                <w:kern w:val="0"/>
                <w:sz w:val="24"/>
                <w:szCs w:val="24"/>
                <w:highlight w:val="none"/>
              </w:rPr>
              <w:t>人指定地点另行配置不少于</w:t>
            </w: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名</w:t>
            </w:r>
            <w:r>
              <w:rPr>
                <w:rFonts w:hint="eastAsia" w:ascii="宋体" w:hAnsi="宋体" w:eastAsia="宋体" w:cs="宋体"/>
                <w:color w:val="auto"/>
                <w:kern w:val="0"/>
                <w:sz w:val="24"/>
                <w:szCs w:val="24"/>
                <w:highlight w:val="none"/>
              </w:rPr>
              <w:t>驻场人员，驻点服务人员与驻场人员不得由同一人兼任</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得4分。</w:t>
            </w:r>
          </w:p>
        </w:tc>
        <w:tc>
          <w:tcPr>
            <w:tcW w:w="1957" w:type="dxa"/>
            <w:tcBorders>
              <w:top w:val="single" w:color="auto" w:sz="4" w:space="0"/>
              <w:left w:val="nil"/>
              <w:bottom w:val="single" w:color="auto" w:sz="4" w:space="0"/>
              <w:right w:val="single" w:color="auto" w:sz="4" w:space="0"/>
            </w:tcBorders>
            <w:vAlign w:val="center"/>
          </w:tcPr>
          <w:p w14:paraId="0B1CCB81">
            <w:pPr>
              <w:snapToGrid w:val="0"/>
              <w:spacing w:line="288" w:lineRule="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提供</w:t>
            </w:r>
            <w:r>
              <w:rPr>
                <w:rFonts w:hint="eastAsia" w:ascii="宋体" w:hAnsi="宋体" w:eastAsia="宋体" w:cs="宋体"/>
                <w:color w:val="auto"/>
                <w:kern w:val="0"/>
                <w:sz w:val="24"/>
                <w:szCs w:val="24"/>
                <w:highlight w:val="none"/>
                <w:lang w:val="en-US" w:eastAsia="zh-CN"/>
              </w:rPr>
              <w:t>承诺函、配置人员名单</w:t>
            </w:r>
            <w:r>
              <w:rPr>
                <w:rFonts w:hint="eastAsia" w:ascii="宋体" w:hAnsi="宋体" w:eastAsia="宋体" w:cs="宋体"/>
                <w:color w:val="auto"/>
                <w:kern w:val="0"/>
                <w:sz w:val="24"/>
                <w:szCs w:val="24"/>
                <w:highlight w:val="none"/>
              </w:rPr>
              <w:t>以及</w:t>
            </w:r>
            <w:r>
              <w:rPr>
                <w:rFonts w:hint="eastAsia" w:ascii="宋体" w:hAnsi="宋体" w:cs="宋体"/>
                <w:color w:val="auto"/>
                <w:kern w:val="0"/>
                <w:sz w:val="24"/>
                <w:szCs w:val="24"/>
                <w:highlight w:val="none"/>
                <w:lang w:val="en-US" w:eastAsia="zh-CN"/>
              </w:rPr>
              <w:t>投标人</w:t>
            </w:r>
            <w:r>
              <w:rPr>
                <w:rFonts w:hint="eastAsia" w:ascii="宋体" w:hAnsi="宋体" w:eastAsia="宋体" w:cs="宋体"/>
                <w:color w:val="auto"/>
                <w:kern w:val="0"/>
                <w:sz w:val="24"/>
                <w:szCs w:val="24"/>
                <w:highlight w:val="none"/>
              </w:rPr>
              <w:t>为</w:t>
            </w:r>
            <w:r>
              <w:rPr>
                <w:rFonts w:hint="eastAsia" w:ascii="宋体" w:hAnsi="宋体" w:cs="宋体"/>
                <w:color w:val="auto"/>
                <w:kern w:val="0"/>
                <w:sz w:val="24"/>
                <w:szCs w:val="24"/>
                <w:highlight w:val="none"/>
                <w:lang w:val="en-US" w:eastAsia="zh-CN"/>
              </w:rPr>
              <w:t>相应</w:t>
            </w:r>
            <w:r>
              <w:rPr>
                <w:rFonts w:hint="eastAsia" w:ascii="宋体" w:hAnsi="宋体" w:eastAsia="宋体" w:cs="宋体"/>
                <w:color w:val="auto"/>
                <w:kern w:val="0"/>
                <w:sz w:val="24"/>
                <w:szCs w:val="24"/>
                <w:highlight w:val="none"/>
              </w:rPr>
              <w:t>人员缴纳的投标截止日前六个月内任意连续三个月社会基本养老保险参保缴费证明</w:t>
            </w:r>
            <w:r>
              <w:rPr>
                <w:rFonts w:hint="eastAsia" w:ascii="宋体" w:hAnsi="宋体" w:eastAsia="宋体" w:cs="宋体"/>
                <w:color w:val="auto"/>
                <w:kern w:val="0"/>
                <w:sz w:val="24"/>
                <w:szCs w:val="24"/>
                <w:highlight w:val="none"/>
                <w:lang w:val="en-US" w:eastAsia="zh-CN"/>
              </w:rPr>
              <w:t>材料加盖公章</w:t>
            </w:r>
            <w:r>
              <w:rPr>
                <w:rFonts w:hint="eastAsia" w:ascii="宋体" w:hAnsi="宋体" w:eastAsia="宋体" w:cs="宋体"/>
                <w:color w:val="auto"/>
                <w:kern w:val="0"/>
                <w:sz w:val="24"/>
                <w:szCs w:val="24"/>
                <w:highlight w:val="none"/>
              </w:rPr>
              <w:t>；材料不全不得分。依法不需要缴纳社会保险的，应提供相应证明材料。</w:t>
            </w:r>
          </w:p>
        </w:tc>
      </w:tr>
      <w:tr w14:paraId="4CEAE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748" w:type="dxa"/>
            <w:tcBorders>
              <w:top w:val="single" w:color="auto" w:sz="4" w:space="0"/>
              <w:left w:val="single" w:color="auto" w:sz="4" w:space="0"/>
              <w:bottom w:val="single" w:color="auto" w:sz="4" w:space="0"/>
              <w:right w:val="single" w:color="auto" w:sz="4" w:space="0"/>
            </w:tcBorders>
            <w:vAlign w:val="center"/>
          </w:tcPr>
          <w:p w14:paraId="2107FD2D">
            <w:pPr>
              <w:widowControl/>
              <w:snapToGrid w:val="0"/>
              <w:spacing w:line="288" w:lineRule="auto"/>
              <w:jc w:val="center"/>
              <w:rPr>
                <w:rFonts w:hint="default"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4</w:t>
            </w:r>
          </w:p>
        </w:tc>
        <w:tc>
          <w:tcPr>
            <w:tcW w:w="1514" w:type="dxa"/>
            <w:tcBorders>
              <w:top w:val="single" w:color="auto" w:sz="4" w:space="0"/>
              <w:left w:val="nil"/>
              <w:bottom w:val="single" w:color="auto" w:sz="4" w:space="0"/>
              <w:right w:val="single" w:color="auto" w:sz="4" w:space="0"/>
            </w:tcBorders>
            <w:vAlign w:val="center"/>
          </w:tcPr>
          <w:p w14:paraId="7079B53D">
            <w:pPr>
              <w:widowControl/>
              <w:snapToGrid w:val="0"/>
              <w:spacing w:line="288" w:lineRule="auto"/>
              <w:jc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项目负责人</w:t>
            </w:r>
          </w:p>
        </w:tc>
        <w:tc>
          <w:tcPr>
            <w:tcW w:w="754" w:type="dxa"/>
            <w:tcBorders>
              <w:top w:val="single" w:color="auto" w:sz="4" w:space="0"/>
              <w:left w:val="nil"/>
              <w:bottom w:val="single" w:color="auto" w:sz="4" w:space="0"/>
              <w:right w:val="single" w:color="auto" w:sz="4" w:space="0"/>
            </w:tcBorders>
            <w:shd w:val="clear" w:color="auto" w:fill="auto"/>
            <w:vAlign w:val="center"/>
          </w:tcPr>
          <w:p w14:paraId="2A9E6E7E">
            <w:pPr>
              <w:widowControl/>
              <w:snapToGrid w:val="0"/>
              <w:spacing w:line="288" w:lineRule="auto"/>
              <w:jc w:val="center"/>
              <w:rPr>
                <w:rFonts w:hint="default"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3</w:t>
            </w:r>
          </w:p>
        </w:tc>
        <w:tc>
          <w:tcPr>
            <w:tcW w:w="4964" w:type="dxa"/>
            <w:tcBorders>
              <w:top w:val="single" w:color="auto" w:sz="4" w:space="0"/>
              <w:left w:val="nil"/>
              <w:bottom w:val="single" w:color="auto" w:sz="4" w:space="0"/>
              <w:right w:val="single" w:color="auto" w:sz="4" w:space="0"/>
            </w:tcBorders>
            <w:vAlign w:val="center"/>
          </w:tcPr>
          <w:p w14:paraId="03E95D66">
            <w:pPr>
              <w:snapToGrid w:val="0"/>
              <w:spacing w:line="288" w:lineRule="auto"/>
              <w:rPr>
                <w:rFonts w:hint="default"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项目负责人</w:t>
            </w:r>
            <w:r>
              <w:rPr>
                <w:rFonts w:hint="eastAsia" w:ascii="宋体" w:hAnsi="宋体" w:cs="宋体"/>
                <w:color w:val="auto"/>
                <w:kern w:val="0"/>
                <w:sz w:val="24"/>
                <w:szCs w:val="24"/>
                <w:highlight w:val="none"/>
                <w:lang w:val="en-US" w:eastAsia="zh-CN"/>
              </w:rPr>
              <w:t>具有</w:t>
            </w:r>
            <w:r>
              <w:rPr>
                <w:rFonts w:hint="eastAsia" w:ascii="宋体" w:hAnsi="宋体" w:eastAsia="宋体" w:cs="宋体"/>
                <w:color w:val="auto"/>
                <w:sz w:val="24"/>
                <w:szCs w:val="24"/>
                <w:highlight w:val="none"/>
              </w:rPr>
              <w:t>信息系统项目管理师</w:t>
            </w:r>
            <w:r>
              <w:rPr>
                <w:rFonts w:hint="eastAsia" w:ascii="宋体" w:hAnsi="宋体" w:cs="宋体"/>
                <w:color w:val="auto"/>
                <w:sz w:val="24"/>
                <w:szCs w:val="24"/>
                <w:highlight w:val="none"/>
                <w:lang w:val="en-US" w:eastAsia="zh-CN"/>
              </w:rPr>
              <w:t>证书</w:t>
            </w:r>
            <w:r>
              <w:rPr>
                <w:rFonts w:hint="eastAsia" w:ascii="宋体" w:hAnsi="宋体" w:cs="宋体"/>
                <w:color w:val="auto"/>
                <w:kern w:val="0"/>
                <w:sz w:val="24"/>
                <w:szCs w:val="24"/>
                <w:highlight w:val="none"/>
                <w:lang w:val="en-US" w:eastAsia="zh-CN"/>
              </w:rPr>
              <w:t>得3分。</w:t>
            </w:r>
            <w:r>
              <w:rPr>
                <w:rFonts w:hint="eastAsia" w:ascii="宋体" w:hAnsi="宋体" w:cs="宋体"/>
                <w:color w:val="auto"/>
                <w:kern w:val="0"/>
                <w:sz w:val="24"/>
                <w:szCs w:val="24"/>
                <w:highlight w:val="none"/>
                <w:lang w:val="en-US" w:eastAsia="zh-CN"/>
              </w:rPr>
              <w:t>本项最高得3分。</w:t>
            </w:r>
          </w:p>
        </w:tc>
        <w:tc>
          <w:tcPr>
            <w:tcW w:w="1957" w:type="dxa"/>
            <w:tcBorders>
              <w:top w:val="single" w:color="auto" w:sz="4" w:space="0"/>
              <w:left w:val="nil"/>
              <w:bottom w:val="single" w:color="auto" w:sz="4" w:space="0"/>
              <w:right w:val="single" w:color="auto" w:sz="4" w:space="0"/>
            </w:tcBorders>
            <w:vAlign w:val="center"/>
          </w:tcPr>
          <w:p w14:paraId="6840EC2E">
            <w:pPr>
              <w:snapToGrid w:val="0"/>
              <w:spacing w:line="288" w:lineRule="auto"/>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提供有效证书及投标人</w:t>
            </w:r>
            <w:r>
              <w:rPr>
                <w:rFonts w:hint="eastAsia" w:ascii="宋体" w:hAnsi="宋体" w:eastAsia="宋体" w:cs="宋体"/>
                <w:color w:val="auto"/>
                <w:kern w:val="0"/>
                <w:sz w:val="24"/>
                <w:szCs w:val="24"/>
                <w:highlight w:val="none"/>
              </w:rPr>
              <w:t>为相应人员缴纳的投标截止日前六个月内任意连续三个月社会基本养老保险参保缴费证明</w:t>
            </w:r>
            <w:r>
              <w:rPr>
                <w:rFonts w:hint="eastAsia" w:ascii="宋体" w:hAnsi="宋体" w:eastAsia="宋体" w:cs="宋体"/>
                <w:color w:val="auto"/>
                <w:kern w:val="0"/>
                <w:sz w:val="24"/>
                <w:szCs w:val="24"/>
                <w:highlight w:val="none"/>
                <w:lang w:val="en-US" w:eastAsia="zh-CN"/>
              </w:rPr>
              <w:t>材料加盖公章，否则不得分。</w:t>
            </w:r>
            <w:r>
              <w:rPr>
                <w:rFonts w:hint="eastAsia" w:ascii="宋体" w:hAnsi="宋体" w:eastAsia="宋体" w:cs="宋体"/>
                <w:color w:val="auto"/>
                <w:kern w:val="0"/>
                <w:sz w:val="24"/>
                <w:szCs w:val="24"/>
                <w:highlight w:val="none"/>
              </w:rPr>
              <w:t>依法不需要缴纳社会保险的，应提供相应证明材料。</w:t>
            </w:r>
          </w:p>
        </w:tc>
      </w:tr>
      <w:tr w14:paraId="7459F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8" w:type="dxa"/>
            <w:tcBorders>
              <w:top w:val="single" w:color="auto" w:sz="4" w:space="0"/>
              <w:left w:val="single" w:color="auto" w:sz="4" w:space="0"/>
              <w:bottom w:val="single" w:color="auto" w:sz="4" w:space="0"/>
              <w:right w:val="single" w:color="auto" w:sz="4" w:space="0"/>
            </w:tcBorders>
            <w:vAlign w:val="center"/>
          </w:tcPr>
          <w:p w14:paraId="7CC33960">
            <w:pPr>
              <w:widowControl/>
              <w:snapToGrid w:val="0"/>
              <w:spacing w:line="288" w:lineRule="auto"/>
              <w:jc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5</w:t>
            </w:r>
          </w:p>
        </w:tc>
        <w:tc>
          <w:tcPr>
            <w:tcW w:w="1514" w:type="dxa"/>
            <w:tcBorders>
              <w:top w:val="single" w:color="auto" w:sz="4" w:space="0"/>
              <w:left w:val="nil"/>
              <w:bottom w:val="single" w:color="auto" w:sz="4" w:space="0"/>
              <w:right w:val="single" w:color="auto" w:sz="4" w:space="0"/>
            </w:tcBorders>
            <w:vAlign w:val="center"/>
          </w:tcPr>
          <w:p w14:paraId="427F77DB">
            <w:pPr>
              <w:widowControl/>
              <w:snapToGrid w:val="0"/>
              <w:spacing w:line="288"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项目团队能力</w:t>
            </w:r>
          </w:p>
        </w:tc>
        <w:tc>
          <w:tcPr>
            <w:tcW w:w="754" w:type="dxa"/>
            <w:tcBorders>
              <w:top w:val="single" w:color="auto" w:sz="4" w:space="0"/>
              <w:left w:val="nil"/>
              <w:bottom w:val="single" w:color="auto" w:sz="4" w:space="0"/>
              <w:right w:val="single" w:color="auto" w:sz="4" w:space="0"/>
            </w:tcBorders>
            <w:shd w:val="clear" w:color="auto" w:fill="auto"/>
            <w:vAlign w:val="center"/>
          </w:tcPr>
          <w:p w14:paraId="7DB9F9CF">
            <w:pPr>
              <w:widowControl/>
              <w:snapToGrid w:val="0"/>
              <w:spacing w:line="288" w:lineRule="auto"/>
              <w:jc w:val="center"/>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5</w:t>
            </w:r>
          </w:p>
        </w:tc>
        <w:tc>
          <w:tcPr>
            <w:tcW w:w="4964" w:type="dxa"/>
            <w:tcBorders>
              <w:top w:val="single" w:color="auto" w:sz="4" w:space="0"/>
              <w:left w:val="nil"/>
              <w:bottom w:val="single" w:color="auto" w:sz="4" w:space="0"/>
              <w:right w:val="single" w:color="auto" w:sz="4" w:space="0"/>
            </w:tcBorders>
            <w:vAlign w:val="center"/>
          </w:tcPr>
          <w:p w14:paraId="68DA67C1">
            <w:pPr>
              <w:snapToGrid w:val="0"/>
              <w:spacing w:line="288" w:lineRule="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成立针对本项目的5人（含）以上服务小组，提供服务人员名单的，得</w:t>
            </w: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分，未提供名单不得分；</w:t>
            </w:r>
          </w:p>
          <w:p w14:paraId="0C13C97F">
            <w:pPr>
              <w:snapToGrid w:val="0"/>
              <w:spacing w:line="288" w:lineRule="auto"/>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2.投标人</w:t>
            </w:r>
            <w:r>
              <w:rPr>
                <w:rFonts w:hint="eastAsia" w:ascii="宋体" w:hAnsi="宋体" w:eastAsia="宋体" w:cs="宋体"/>
                <w:color w:val="auto"/>
                <w:kern w:val="0"/>
                <w:sz w:val="24"/>
                <w:szCs w:val="24"/>
                <w:highlight w:val="none"/>
              </w:rPr>
              <w:t>承诺提供每日8:00—20:00的7×12小时日常服务和7×24小时重要事项应急服务，并承诺重要事项30分钟内、一般事项2小时内到达</w:t>
            </w:r>
            <w:r>
              <w:rPr>
                <w:rFonts w:hint="eastAsia" w:ascii="宋体" w:hAnsi="宋体" w:cs="宋体"/>
                <w:color w:val="auto"/>
                <w:kern w:val="0"/>
                <w:sz w:val="24"/>
                <w:szCs w:val="24"/>
                <w:highlight w:val="none"/>
                <w:lang w:val="en-US" w:eastAsia="zh-CN"/>
              </w:rPr>
              <w:t>招标</w:t>
            </w:r>
            <w:r>
              <w:rPr>
                <w:rFonts w:hint="eastAsia" w:ascii="宋体" w:hAnsi="宋体" w:eastAsia="宋体" w:cs="宋体"/>
                <w:color w:val="auto"/>
                <w:kern w:val="0"/>
                <w:sz w:val="24"/>
                <w:szCs w:val="24"/>
                <w:highlight w:val="none"/>
              </w:rPr>
              <w:t>人指定现场的，</w:t>
            </w:r>
            <w:r>
              <w:rPr>
                <w:rFonts w:hint="eastAsia" w:ascii="宋体" w:hAnsi="宋体" w:eastAsia="宋体" w:cs="宋体"/>
                <w:color w:val="auto"/>
                <w:kern w:val="0"/>
                <w:sz w:val="24"/>
                <w:szCs w:val="24"/>
                <w:highlight w:val="none"/>
              </w:rPr>
              <w:t>得</w:t>
            </w: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分</w:t>
            </w:r>
            <w:r>
              <w:rPr>
                <w:rFonts w:hint="eastAsia" w:ascii="宋体" w:hAnsi="宋体" w:eastAsia="宋体" w:cs="宋体"/>
                <w:color w:val="auto"/>
                <w:kern w:val="0"/>
                <w:sz w:val="24"/>
                <w:szCs w:val="24"/>
                <w:highlight w:val="none"/>
              </w:rPr>
              <w:t>，未提供承诺不得分。</w:t>
            </w:r>
          </w:p>
        </w:tc>
        <w:tc>
          <w:tcPr>
            <w:tcW w:w="1957" w:type="dxa"/>
            <w:tcBorders>
              <w:top w:val="single" w:color="auto" w:sz="4" w:space="0"/>
              <w:left w:val="nil"/>
              <w:bottom w:val="single" w:color="auto" w:sz="4" w:space="0"/>
              <w:right w:val="single" w:color="auto" w:sz="4" w:space="0"/>
            </w:tcBorders>
            <w:vAlign w:val="center"/>
          </w:tcPr>
          <w:p w14:paraId="4A8D848C">
            <w:pPr>
              <w:snapToGrid w:val="0"/>
              <w:spacing w:line="288"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①</w:t>
            </w:r>
            <w:r>
              <w:rPr>
                <w:rFonts w:hint="eastAsia" w:ascii="宋体" w:hAnsi="宋体" w:eastAsia="宋体" w:cs="宋体"/>
                <w:color w:val="auto"/>
                <w:kern w:val="0"/>
                <w:sz w:val="24"/>
                <w:szCs w:val="24"/>
                <w:highlight w:val="none"/>
              </w:rPr>
              <w:t>提供</w:t>
            </w:r>
            <w:r>
              <w:rPr>
                <w:rFonts w:hint="eastAsia" w:ascii="宋体" w:hAnsi="宋体" w:eastAsia="宋体" w:cs="宋体"/>
                <w:color w:val="auto"/>
                <w:kern w:val="0"/>
                <w:sz w:val="24"/>
                <w:szCs w:val="24"/>
                <w:highlight w:val="none"/>
                <w:lang w:val="en-US" w:eastAsia="zh-CN"/>
              </w:rPr>
              <w:t>人员配置名单</w:t>
            </w:r>
            <w:r>
              <w:rPr>
                <w:rFonts w:hint="eastAsia" w:ascii="宋体" w:hAnsi="宋体" w:eastAsia="宋体" w:cs="宋体"/>
                <w:color w:val="auto"/>
                <w:kern w:val="0"/>
                <w:sz w:val="24"/>
                <w:szCs w:val="24"/>
                <w:highlight w:val="none"/>
              </w:rPr>
              <w:t>以及</w:t>
            </w:r>
            <w:r>
              <w:rPr>
                <w:rFonts w:hint="eastAsia" w:ascii="宋体" w:hAnsi="宋体" w:cs="宋体"/>
                <w:color w:val="auto"/>
                <w:kern w:val="0"/>
                <w:sz w:val="24"/>
                <w:szCs w:val="24"/>
                <w:highlight w:val="none"/>
                <w:lang w:val="en-US" w:eastAsia="zh-CN"/>
              </w:rPr>
              <w:t>投标人</w:t>
            </w:r>
            <w:r>
              <w:rPr>
                <w:rFonts w:hint="eastAsia" w:ascii="宋体" w:hAnsi="宋体" w:eastAsia="宋体" w:cs="宋体"/>
                <w:color w:val="auto"/>
                <w:kern w:val="0"/>
                <w:sz w:val="24"/>
                <w:szCs w:val="24"/>
                <w:highlight w:val="none"/>
              </w:rPr>
              <w:t>为相应人员缴纳的投标截止日前六个月内任意连续三个月社会基本养老保险参保缴费证明</w:t>
            </w:r>
            <w:r>
              <w:rPr>
                <w:rFonts w:hint="eastAsia" w:ascii="宋体" w:hAnsi="宋体" w:eastAsia="宋体" w:cs="宋体"/>
                <w:color w:val="auto"/>
                <w:kern w:val="0"/>
                <w:sz w:val="24"/>
                <w:szCs w:val="24"/>
                <w:highlight w:val="none"/>
                <w:lang w:val="en-US" w:eastAsia="zh-CN"/>
              </w:rPr>
              <w:t>材料加盖公章，否则不得分。</w:t>
            </w:r>
            <w:r>
              <w:rPr>
                <w:rFonts w:hint="eastAsia" w:ascii="宋体" w:hAnsi="宋体" w:eastAsia="宋体" w:cs="宋体"/>
                <w:color w:val="auto"/>
                <w:kern w:val="0"/>
                <w:sz w:val="24"/>
                <w:szCs w:val="24"/>
                <w:highlight w:val="none"/>
              </w:rPr>
              <w:t>依法不需要缴纳社会保险的，应提供相应证明材料。</w:t>
            </w:r>
          </w:p>
          <w:p w14:paraId="5FB1255A">
            <w:pPr>
              <w:snapToGrid w:val="0"/>
              <w:spacing w:line="288" w:lineRule="auto"/>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②提供承诺函加盖公章，否则不得分。</w:t>
            </w:r>
          </w:p>
        </w:tc>
      </w:tr>
      <w:tr w14:paraId="1C972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6" w:hRule="atLeast"/>
          <w:jc w:val="center"/>
        </w:trPr>
        <w:tc>
          <w:tcPr>
            <w:tcW w:w="748" w:type="dxa"/>
            <w:tcBorders>
              <w:top w:val="single" w:color="auto" w:sz="4" w:space="0"/>
              <w:left w:val="single" w:color="auto" w:sz="4" w:space="0"/>
              <w:bottom w:val="single" w:color="auto" w:sz="4" w:space="0"/>
              <w:right w:val="single" w:color="auto" w:sz="4" w:space="0"/>
            </w:tcBorders>
            <w:vAlign w:val="center"/>
          </w:tcPr>
          <w:p w14:paraId="13514739">
            <w:pPr>
              <w:widowControl/>
              <w:snapToGrid w:val="0"/>
              <w:spacing w:line="288" w:lineRule="auto"/>
              <w:jc w:val="center"/>
              <w:rPr>
                <w:rFonts w:hint="default"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6</w:t>
            </w:r>
          </w:p>
        </w:tc>
        <w:tc>
          <w:tcPr>
            <w:tcW w:w="1514" w:type="dxa"/>
            <w:tcBorders>
              <w:top w:val="single" w:color="auto" w:sz="4" w:space="0"/>
              <w:left w:val="nil"/>
              <w:bottom w:val="single" w:color="auto" w:sz="4" w:space="0"/>
              <w:right w:val="single" w:color="auto" w:sz="4" w:space="0"/>
            </w:tcBorders>
            <w:vAlign w:val="center"/>
          </w:tcPr>
          <w:p w14:paraId="206075F1">
            <w:pPr>
              <w:widowControl/>
              <w:snapToGrid w:val="0"/>
              <w:spacing w:line="288"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市场主体与权限体系演示</w:t>
            </w:r>
          </w:p>
        </w:tc>
        <w:tc>
          <w:tcPr>
            <w:tcW w:w="754" w:type="dxa"/>
            <w:tcBorders>
              <w:top w:val="single" w:color="auto" w:sz="4" w:space="0"/>
              <w:left w:val="nil"/>
              <w:bottom w:val="single" w:color="auto" w:sz="4" w:space="0"/>
              <w:right w:val="single" w:color="auto" w:sz="4" w:space="0"/>
            </w:tcBorders>
            <w:shd w:val="clear" w:color="auto" w:fill="auto"/>
            <w:vAlign w:val="center"/>
          </w:tcPr>
          <w:p w14:paraId="28F71397">
            <w:pPr>
              <w:widowControl/>
              <w:snapToGrid w:val="0"/>
              <w:spacing w:line="288" w:lineRule="auto"/>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9</w:t>
            </w:r>
          </w:p>
        </w:tc>
        <w:tc>
          <w:tcPr>
            <w:tcW w:w="4964" w:type="dxa"/>
            <w:tcBorders>
              <w:top w:val="single" w:color="auto" w:sz="4" w:space="0"/>
              <w:left w:val="nil"/>
              <w:bottom w:val="single" w:color="auto" w:sz="4" w:space="0"/>
              <w:right w:val="single" w:color="auto" w:sz="4" w:space="0"/>
            </w:tcBorders>
            <w:vAlign w:val="center"/>
          </w:tcPr>
          <w:p w14:paraId="1281838A">
            <w:pPr>
              <w:snapToGrid w:val="0"/>
              <w:spacing w:line="288"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要求</w:t>
            </w:r>
            <w:r>
              <w:rPr>
                <w:rFonts w:hint="eastAsia" w:ascii="宋体" w:hAnsi="宋体" w:cs="宋体"/>
                <w:color w:val="auto"/>
                <w:kern w:val="0"/>
                <w:sz w:val="24"/>
                <w:szCs w:val="24"/>
                <w:highlight w:val="none"/>
                <w:lang w:val="en-US" w:eastAsia="zh-CN"/>
              </w:rPr>
              <w:t>投标人</w:t>
            </w:r>
            <w:r>
              <w:rPr>
                <w:rFonts w:hint="eastAsia" w:ascii="宋体" w:hAnsi="宋体" w:eastAsia="宋体" w:cs="宋体"/>
                <w:color w:val="auto"/>
                <w:kern w:val="0"/>
                <w:sz w:val="24"/>
                <w:szCs w:val="24"/>
                <w:highlight w:val="none"/>
              </w:rPr>
              <w:t>演示成熟配套工具在市场主体准入管理及精细化权限控制方面的支撑能力。</w:t>
            </w:r>
          </w:p>
          <w:p w14:paraId="02136C95">
            <w:pPr>
              <w:snapToGrid w:val="0"/>
              <w:spacing w:line="288"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企业备案及政务移动端协同能力：演示企业备案全流程线上化辅助功能，包括政务数据接口自动预填报或预填报适配、结构化电子材料上传、自定义多级审批流程配置与流转、电子备案证明生成与下载；演示与“我的常州APP”或同类政务移动端的对接、单点登录、实名认证/实人核验调用、个人身份信息登记与核验流程闭环的已有能力或适配能力；反映门店、品牌及从业人员的配置化管理功能。</w:t>
            </w:r>
          </w:p>
          <w:p w14:paraId="1C2AAEC3">
            <w:pPr>
              <w:snapToGrid w:val="0"/>
              <w:spacing w:line="288"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权限体系与精细化管控能力：演示基于成熟产品的账号体系与RBAC权限模型，反映以配置方式动态设置角色权限范围的功能；展示不同主体（企业、经纪机构、个人用户）数据访问隔离机制，体现权限控制粒度支持到功能级与数据级。</w:t>
            </w:r>
          </w:p>
          <w:p w14:paraId="177FD6F9">
            <w:pPr>
              <w:snapToGrid w:val="0"/>
              <w:spacing w:line="288"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电子印章、电子签名及协议流转留痕能力：演示对接统一电子印章服务平台或相关认证体系的能力，反映企业数字证书电子盖章调用流程，以及个人端结合人脸识别的电子签名功能；展示租赁业务相关协议或监管协同资料在线生成、签署、流转与存证的全过程，并反映全流程日志留痕与防篡改机制。</w:t>
            </w:r>
          </w:p>
          <w:p w14:paraId="5657F1DE">
            <w:pPr>
              <w:snapToGrid w:val="0"/>
              <w:spacing w:line="288"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以上每项3分，</w:t>
            </w:r>
            <w:r>
              <w:rPr>
                <w:rFonts w:hint="eastAsia" w:ascii="宋体" w:hAnsi="宋体" w:cs="宋体"/>
                <w:color w:val="auto"/>
                <w:kern w:val="0"/>
                <w:sz w:val="24"/>
                <w:szCs w:val="24"/>
                <w:highlight w:val="none"/>
                <w:lang w:val="en-US" w:eastAsia="zh-CN"/>
              </w:rPr>
              <w:t>最高得</w:t>
            </w:r>
            <w:r>
              <w:rPr>
                <w:rFonts w:hint="eastAsia" w:ascii="宋体" w:hAnsi="宋体" w:eastAsia="宋体" w:cs="宋体"/>
                <w:color w:val="auto"/>
                <w:kern w:val="0"/>
                <w:sz w:val="24"/>
                <w:szCs w:val="24"/>
                <w:highlight w:val="none"/>
              </w:rPr>
              <w:t>9分。</w:t>
            </w:r>
          </w:p>
        </w:tc>
        <w:tc>
          <w:tcPr>
            <w:tcW w:w="1957" w:type="dxa"/>
            <w:vMerge w:val="restart"/>
            <w:tcBorders>
              <w:top w:val="single" w:color="auto" w:sz="4" w:space="0"/>
              <w:left w:val="nil"/>
              <w:right w:val="single" w:color="auto" w:sz="4" w:space="0"/>
            </w:tcBorders>
            <w:vAlign w:val="center"/>
          </w:tcPr>
          <w:p w14:paraId="3411BB0C">
            <w:pPr>
              <w:snapToGrid w:val="0"/>
              <w:spacing w:line="288" w:lineRule="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投标人</w:t>
            </w:r>
            <w:r>
              <w:rPr>
                <w:rFonts w:hint="eastAsia" w:ascii="宋体" w:hAnsi="宋体" w:eastAsia="宋体" w:cs="宋体"/>
                <w:color w:val="auto"/>
                <w:kern w:val="0"/>
                <w:sz w:val="24"/>
                <w:szCs w:val="24"/>
                <w:highlight w:val="none"/>
              </w:rPr>
              <w:t>上传演示视频（可多个视频，单个视频不超过50M），总时长不超过15分钟。</w:t>
            </w:r>
            <w:r>
              <w:rPr>
                <w:rFonts w:hint="eastAsia" w:ascii="宋体" w:hAnsi="宋体" w:eastAsia="宋体" w:cs="宋体"/>
                <w:color w:val="auto"/>
                <w:kern w:val="0"/>
                <w:sz w:val="24"/>
                <w:szCs w:val="24"/>
                <w:highlight w:val="none"/>
              </w:rPr>
              <w:t>视频内容为进入真实软件系统、成熟生产级系统或可核验的同类项目脱敏环境演示，</w:t>
            </w:r>
            <w:r>
              <w:rPr>
                <w:rFonts w:hint="eastAsia" w:ascii="宋体" w:hAnsi="宋体" w:cs="宋体"/>
                <w:color w:val="auto"/>
                <w:kern w:val="0"/>
                <w:sz w:val="24"/>
                <w:szCs w:val="24"/>
                <w:highlight w:val="none"/>
                <w:lang w:val="en-US" w:eastAsia="zh-CN"/>
              </w:rPr>
              <w:t>否则不得分</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rPr>
              <w:t>最高得30分。不进行演示不得分。涉及第三方接口、敏感数据、尚未授权或尚未启用事项的，可采用模拟数据、脱敏数据或案例环境展示；不要求</w:t>
            </w:r>
            <w:r>
              <w:rPr>
                <w:rFonts w:hint="eastAsia" w:ascii="宋体" w:hAnsi="宋体" w:cs="宋体"/>
                <w:color w:val="auto"/>
                <w:kern w:val="0"/>
                <w:sz w:val="24"/>
                <w:szCs w:val="24"/>
                <w:highlight w:val="none"/>
                <w:lang w:val="en-US" w:eastAsia="zh-CN"/>
              </w:rPr>
              <w:t>投标人</w:t>
            </w:r>
            <w:r>
              <w:rPr>
                <w:rFonts w:hint="eastAsia" w:ascii="宋体" w:hAnsi="宋体" w:eastAsia="宋体" w:cs="宋体"/>
                <w:color w:val="auto"/>
                <w:kern w:val="0"/>
                <w:sz w:val="24"/>
                <w:szCs w:val="24"/>
                <w:highlight w:val="none"/>
              </w:rPr>
              <w:t>提前完成本项目未授权接口联通、资金监管系统建设、信用评价模型或满意度评价体系。</w:t>
            </w:r>
          </w:p>
          <w:p w14:paraId="3960A9AC">
            <w:pPr>
              <w:snapToGrid w:val="0"/>
              <w:spacing w:line="288" w:lineRule="auto"/>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投标人</w:t>
            </w:r>
            <w:r>
              <w:rPr>
                <w:rFonts w:hint="eastAsia" w:ascii="宋体" w:hAnsi="宋体" w:eastAsia="宋体" w:cs="宋体"/>
                <w:color w:val="auto"/>
                <w:kern w:val="0"/>
                <w:sz w:val="24"/>
                <w:szCs w:val="24"/>
                <w:highlight w:val="none"/>
              </w:rPr>
              <w:t>需提供运营服务配套能力演示的视频录制文件，视频格式为*.mp4或*.avi。</w:t>
            </w:r>
          </w:p>
        </w:tc>
      </w:tr>
      <w:tr w14:paraId="71212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748" w:type="dxa"/>
            <w:tcBorders>
              <w:top w:val="single" w:color="auto" w:sz="4" w:space="0"/>
              <w:left w:val="single" w:color="auto" w:sz="4" w:space="0"/>
              <w:bottom w:val="single" w:color="auto" w:sz="4" w:space="0"/>
              <w:right w:val="single" w:color="auto" w:sz="4" w:space="0"/>
            </w:tcBorders>
            <w:vAlign w:val="center"/>
          </w:tcPr>
          <w:p w14:paraId="1DF264BA">
            <w:pPr>
              <w:widowControl/>
              <w:snapToGrid w:val="0"/>
              <w:spacing w:line="288" w:lineRule="auto"/>
              <w:jc w:val="center"/>
              <w:rPr>
                <w:rFonts w:hint="default"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7</w:t>
            </w:r>
          </w:p>
        </w:tc>
        <w:tc>
          <w:tcPr>
            <w:tcW w:w="1514" w:type="dxa"/>
            <w:tcBorders>
              <w:top w:val="single" w:color="auto" w:sz="4" w:space="0"/>
              <w:left w:val="nil"/>
              <w:bottom w:val="single" w:color="auto" w:sz="4" w:space="0"/>
              <w:right w:val="single" w:color="auto" w:sz="4" w:space="0"/>
            </w:tcBorders>
            <w:vAlign w:val="center"/>
          </w:tcPr>
          <w:p w14:paraId="23107AD1">
            <w:pPr>
              <w:widowControl/>
              <w:snapToGrid w:val="0"/>
              <w:spacing w:line="288"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房源核验与展示协同演示</w:t>
            </w:r>
          </w:p>
        </w:tc>
        <w:tc>
          <w:tcPr>
            <w:tcW w:w="754" w:type="dxa"/>
            <w:tcBorders>
              <w:top w:val="single" w:color="auto" w:sz="4" w:space="0"/>
              <w:left w:val="nil"/>
              <w:bottom w:val="single" w:color="auto" w:sz="4" w:space="0"/>
              <w:right w:val="single" w:color="auto" w:sz="4" w:space="0"/>
            </w:tcBorders>
            <w:shd w:val="clear" w:color="auto" w:fill="auto"/>
            <w:vAlign w:val="center"/>
          </w:tcPr>
          <w:p w14:paraId="62945981">
            <w:pPr>
              <w:widowControl/>
              <w:snapToGrid w:val="0"/>
              <w:spacing w:line="288" w:lineRule="auto"/>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9</w:t>
            </w:r>
          </w:p>
        </w:tc>
        <w:tc>
          <w:tcPr>
            <w:tcW w:w="4964" w:type="dxa"/>
            <w:tcBorders>
              <w:top w:val="single" w:color="auto" w:sz="4" w:space="0"/>
              <w:left w:val="nil"/>
              <w:bottom w:val="single" w:color="auto" w:sz="4" w:space="0"/>
              <w:right w:val="single" w:color="auto" w:sz="4" w:space="0"/>
            </w:tcBorders>
            <w:vAlign w:val="center"/>
          </w:tcPr>
          <w:p w14:paraId="5BB05D0E">
            <w:pPr>
              <w:snapToGrid w:val="0"/>
              <w:spacing w:line="288"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要求</w:t>
            </w:r>
            <w:r>
              <w:rPr>
                <w:rFonts w:hint="eastAsia" w:ascii="宋体" w:hAnsi="宋体" w:cs="宋体"/>
                <w:color w:val="auto"/>
                <w:kern w:val="0"/>
                <w:sz w:val="24"/>
                <w:szCs w:val="24"/>
                <w:highlight w:val="none"/>
                <w:lang w:val="en-US" w:eastAsia="zh-CN"/>
              </w:rPr>
              <w:t>投标人</w:t>
            </w:r>
            <w:r>
              <w:rPr>
                <w:rFonts w:hint="eastAsia" w:ascii="宋体" w:hAnsi="宋体" w:eastAsia="宋体" w:cs="宋体"/>
                <w:color w:val="auto"/>
                <w:kern w:val="0"/>
                <w:sz w:val="24"/>
                <w:szCs w:val="24"/>
                <w:highlight w:val="none"/>
              </w:rPr>
              <w:t>演示配套工具在房源全生命周期管理及标准化接口协同方面的能力。</w:t>
            </w:r>
          </w:p>
          <w:p w14:paraId="180724BB">
            <w:pPr>
              <w:snapToGrid w:val="0"/>
              <w:spacing w:line="288"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不动产三要素核验能力：演示对接政务数据平台实现房源比对校验的功能；反映不动产三要素核验机制，包括产权人姓名一致性校验、产权人身份证件号码比对校验、不动产权证号有效性校验；演示对查封、抵押等限制交易状态的识别与拦截提示；反映规则引擎与人工辅助核验流程的协同联动。</w:t>
            </w:r>
          </w:p>
          <w:p w14:paraId="23DBAFED">
            <w:pPr>
              <w:snapToGrid w:val="0"/>
              <w:spacing w:line="288"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（2）常州住房APP</w:t>
            </w:r>
            <w:r>
              <w:rPr>
                <w:rFonts w:hint="eastAsia" w:ascii="宋体" w:hAnsi="宋体" w:cs="宋体"/>
                <w:color w:val="auto"/>
                <w:kern w:val="0"/>
                <w:sz w:val="24"/>
                <w:szCs w:val="24"/>
                <w:highlight w:val="none"/>
                <w:lang w:val="en-US" w:eastAsia="zh-CN"/>
              </w:rPr>
              <w:t>或其他类似APP</w:t>
            </w:r>
            <w:r>
              <w:rPr>
                <w:rFonts w:hint="eastAsia" w:ascii="宋体" w:hAnsi="宋体" w:eastAsia="宋体" w:cs="宋体"/>
                <w:color w:val="auto"/>
                <w:kern w:val="0"/>
                <w:sz w:val="24"/>
                <w:szCs w:val="24"/>
                <w:highlight w:val="none"/>
              </w:rPr>
              <w:t>对接及多端展示协同能力：演示与常州住房APP</w:t>
            </w:r>
            <w:r>
              <w:rPr>
                <w:rFonts w:hint="eastAsia" w:ascii="宋体" w:hAnsi="宋体" w:cs="宋体"/>
                <w:color w:val="auto"/>
                <w:kern w:val="0"/>
                <w:sz w:val="24"/>
                <w:szCs w:val="24"/>
                <w:highlight w:val="none"/>
                <w:lang w:val="en-US" w:eastAsia="zh-CN"/>
              </w:rPr>
              <w:t>或其他类似APP</w:t>
            </w:r>
            <w:r>
              <w:rPr>
                <w:rFonts w:hint="eastAsia" w:ascii="宋体" w:hAnsi="宋体" w:eastAsia="宋体" w:cs="宋体"/>
                <w:color w:val="auto"/>
                <w:kern w:val="0"/>
                <w:sz w:val="24"/>
                <w:szCs w:val="24"/>
                <w:highlight w:val="none"/>
              </w:rPr>
              <w:t>移动端工作台对接能力，反映经纪人实勘照片上传、房源核验申请提交及移动端业务办理闭环；展示官方核验房源在APP端专区的统一标签化展示；演示PC端多维度信息编辑维护界面与房源状态管理功能；反映租客端地图找房、列表展示、多条件组合筛选及关键词搜索等多模式房源查找功能。</w:t>
            </w:r>
          </w:p>
          <w:p w14:paraId="78F10E84">
            <w:pPr>
              <w:snapToGrid w:val="0"/>
              <w:spacing w:line="288"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标准化接口与外部平台协同能力：演示系统API开放能力与集成能力，反映与第三方网络房源平台的数据协同发布；展示房源状态变更（签约、解约、到期）时的信息交互与双向同步机制，体现双向数据交互与状态一致性管理。</w:t>
            </w:r>
          </w:p>
          <w:p w14:paraId="661B149E">
            <w:pPr>
              <w:snapToGrid w:val="0"/>
              <w:spacing w:line="288"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以上每项3分，</w:t>
            </w:r>
            <w:r>
              <w:rPr>
                <w:rFonts w:hint="eastAsia" w:ascii="宋体" w:hAnsi="宋体" w:cs="宋体"/>
                <w:color w:val="auto"/>
                <w:kern w:val="0"/>
                <w:sz w:val="24"/>
                <w:szCs w:val="24"/>
                <w:highlight w:val="none"/>
                <w:lang w:val="en-US" w:eastAsia="zh-CN"/>
              </w:rPr>
              <w:t>最高得</w:t>
            </w:r>
            <w:r>
              <w:rPr>
                <w:rFonts w:hint="eastAsia" w:ascii="宋体" w:hAnsi="宋体" w:eastAsia="宋体" w:cs="宋体"/>
                <w:color w:val="auto"/>
                <w:kern w:val="0"/>
                <w:sz w:val="24"/>
                <w:szCs w:val="24"/>
                <w:highlight w:val="none"/>
              </w:rPr>
              <w:t>9分。</w:t>
            </w:r>
          </w:p>
        </w:tc>
        <w:tc>
          <w:tcPr>
            <w:tcW w:w="1957" w:type="dxa"/>
            <w:vMerge w:val="continue"/>
            <w:tcBorders>
              <w:left w:val="nil"/>
              <w:right w:val="single" w:color="auto" w:sz="4" w:space="0"/>
            </w:tcBorders>
            <w:vAlign w:val="center"/>
          </w:tcPr>
          <w:p w14:paraId="17039EDA">
            <w:pPr>
              <w:snapToGrid w:val="0"/>
              <w:spacing w:line="288" w:lineRule="auto"/>
              <w:jc w:val="left"/>
              <w:rPr>
                <w:rFonts w:hint="eastAsia" w:ascii="宋体" w:hAnsi="宋体" w:eastAsia="宋体" w:cs="宋体"/>
                <w:color w:val="auto"/>
                <w:kern w:val="0"/>
                <w:sz w:val="24"/>
                <w:highlight w:val="none"/>
                <w:lang w:val="en-US" w:eastAsia="zh-CN"/>
              </w:rPr>
            </w:pPr>
          </w:p>
        </w:tc>
      </w:tr>
      <w:tr w14:paraId="32873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6" w:hRule="atLeast"/>
          <w:jc w:val="center"/>
        </w:trPr>
        <w:tc>
          <w:tcPr>
            <w:tcW w:w="748" w:type="dxa"/>
            <w:tcBorders>
              <w:top w:val="single" w:color="auto" w:sz="4" w:space="0"/>
              <w:left w:val="single" w:color="auto" w:sz="4" w:space="0"/>
              <w:bottom w:val="single" w:color="auto" w:sz="4" w:space="0"/>
              <w:right w:val="single" w:color="auto" w:sz="4" w:space="0"/>
            </w:tcBorders>
            <w:vAlign w:val="center"/>
          </w:tcPr>
          <w:p w14:paraId="1A0D997B">
            <w:pPr>
              <w:widowControl/>
              <w:snapToGrid w:val="0"/>
              <w:spacing w:line="288" w:lineRule="auto"/>
              <w:jc w:val="center"/>
              <w:rPr>
                <w:rFonts w:hint="default"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8</w:t>
            </w:r>
          </w:p>
        </w:tc>
        <w:tc>
          <w:tcPr>
            <w:tcW w:w="1514" w:type="dxa"/>
            <w:tcBorders>
              <w:top w:val="single" w:color="auto" w:sz="4" w:space="0"/>
              <w:left w:val="nil"/>
              <w:bottom w:val="single" w:color="auto" w:sz="4" w:space="0"/>
              <w:right w:val="single" w:color="auto" w:sz="4" w:space="0"/>
            </w:tcBorders>
            <w:vAlign w:val="center"/>
          </w:tcPr>
          <w:p w14:paraId="30BB8547">
            <w:pPr>
              <w:widowControl/>
              <w:snapToGrid w:val="0"/>
              <w:spacing w:line="288"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合同网签与履约服务演示</w:t>
            </w:r>
          </w:p>
        </w:tc>
        <w:tc>
          <w:tcPr>
            <w:tcW w:w="754" w:type="dxa"/>
            <w:tcBorders>
              <w:top w:val="single" w:color="auto" w:sz="4" w:space="0"/>
              <w:left w:val="nil"/>
              <w:bottom w:val="single" w:color="auto" w:sz="4" w:space="0"/>
              <w:right w:val="single" w:color="auto" w:sz="4" w:space="0"/>
            </w:tcBorders>
            <w:shd w:val="clear" w:color="auto" w:fill="auto"/>
            <w:vAlign w:val="center"/>
          </w:tcPr>
          <w:p w14:paraId="310D3A3E">
            <w:pPr>
              <w:widowControl/>
              <w:snapToGrid w:val="0"/>
              <w:spacing w:line="288" w:lineRule="auto"/>
              <w:jc w:val="center"/>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12</w:t>
            </w:r>
          </w:p>
        </w:tc>
        <w:tc>
          <w:tcPr>
            <w:tcW w:w="4964" w:type="dxa"/>
            <w:tcBorders>
              <w:top w:val="single" w:color="auto" w:sz="4" w:space="0"/>
              <w:left w:val="nil"/>
              <w:bottom w:val="single" w:color="auto" w:sz="4" w:space="0"/>
              <w:right w:val="single" w:color="auto" w:sz="4" w:space="0"/>
            </w:tcBorders>
            <w:vAlign w:val="center"/>
          </w:tcPr>
          <w:p w14:paraId="725F38AF">
            <w:pPr>
              <w:snapToGrid w:val="0"/>
              <w:spacing w:line="288"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要求</w:t>
            </w:r>
            <w:r>
              <w:rPr>
                <w:rFonts w:hint="eastAsia" w:ascii="宋体" w:hAnsi="宋体" w:cs="宋体"/>
                <w:color w:val="auto"/>
                <w:kern w:val="0"/>
                <w:sz w:val="24"/>
                <w:szCs w:val="24"/>
                <w:highlight w:val="none"/>
                <w:lang w:val="en-US" w:eastAsia="zh-CN"/>
              </w:rPr>
              <w:t>投标人</w:t>
            </w:r>
            <w:r>
              <w:rPr>
                <w:rFonts w:hint="eastAsia" w:ascii="宋体" w:hAnsi="宋体" w:eastAsia="宋体" w:cs="宋体"/>
                <w:color w:val="auto"/>
                <w:kern w:val="0"/>
                <w:sz w:val="24"/>
                <w:szCs w:val="24"/>
                <w:highlight w:val="none"/>
              </w:rPr>
              <w:t>演示配套工具在合同网签、备案流转和履约服务支撑方面的能力。</w:t>
            </w:r>
          </w:p>
          <w:p w14:paraId="68F4EC98">
            <w:pPr>
              <w:snapToGrid w:val="0"/>
              <w:spacing w:line="288"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网签功能及全过程存证能力：演示内置标准化房屋租赁合同示范文本及动态配置管理；反映多角色在线协同起草、条款确认，并结合房源核验结果与电子签章状态进行逻辑校验，实现电子存证签署及防篡改锁定功能。</w:t>
            </w:r>
          </w:p>
          <w:p w14:paraId="6762EC4A">
            <w:pPr>
              <w:snapToGrid w:val="0"/>
              <w:spacing w:line="288"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备案功能与流转审批闭环能力：演示合同一键备案申请的标准化流转审批路径，以及符合规则条件时的系统辅助审核机制；反映审核通过后带有标准二维码的电子版房屋租赁登记备案凭证自动生成与下载功能。备案审核和备案结论由主管部门依法确认。</w:t>
            </w:r>
          </w:p>
          <w:p w14:paraId="33C52A38">
            <w:pPr>
              <w:snapToGrid w:val="0"/>
              <w:spacing w:line="288"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（3）合同档案与履约管理能力：反映完整的合同专属档案管理库视图，以及基于标准流程的合同到期续签、提前解约等操作。</w:t>
            </w:r>
          </w:p>
          <w:p w14:paraId="1CA9AFB4">
            <w:pPr>
              <w:snapToGrid w:val="0"/>
              <w:spacing w:line="288"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（4）租后服务与即时沟通能力：反映基于工单引擎的租后投诉建议工单生成、流转、处理全跟踪过程，以及系统内置的各角色站内消息沟通功能。</w:t>
            </w:r>
          </w:p>
          <w:p w14:paraId="78A41B1B">
            <w:pPr>
              <w:snapToGrid w:val="0"/>
              <w:spacing w:line="288"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以上每项3分，</w:t>
            </w:r>
            <w:r>
              <w:rPr>
                <w:rFonts w:hint="eastAsia" w:ascii="宋体" w:hAnsi="宋体" w:cs="宋体"/>
                <w:color w:val="auto"/>
                <w:kern w:val="0"/>
                <w:sz w:val="24"/>
                <w:szCs w:val="24"/>
                <w:highlight w:val="none"/>
                <w:lang w:val="en-US" w:eastAsia="zh-CN"/>
              </w:rPr>
              <w:t>最高得12</w:t>
            </w:r>
            <w:r>
              <w:rPr>
                <w:rFonts w:hint="eastAsia" w:ascii="宋体" w:hAnsi="宋体" w:eastAsia="宋体" w:cs="宋体"/>
                <w:color w:val="auto"/>
                <w:kern w:val="0"/>
                <w:sz w:val="24"/>
                <w:szCs w:val="24"/>
                <w:highlight w:val="none"/>
              </w:rPr>
              <w:t>分。</w:t>
            </w:r>
          </w:p>
        </w:tc>
        <w:tc>
          <w:tcPr>
            <w:tcW w:w="1957" w:type="dxa"/>
            <w:vMerge w:val="continue"/>
            <w:tcBorders>
              <w:left w:val="nil"/>
              <w:bottom w:val="single" w:color="auto" w:sz="4" w:space="0"/>
              <w:right w:val="single" w:color="auto" w:sz="4" w:space="0"/>
            </w:tcBorders>
            <w:vAlign w:val="center"/>
          </w:tcPr>
          <w:p w14:paraId="4E1A9545">
            <w:pPr>
              <w:snapToGrid w:val="0"/>
              <w:spacing w:line="288" w:lineRule="auto"/>
              <w:jc w:val="left"/>
              <w:rPr>
                <w:rFonts w:hint="eastAsia" w:ascii="宋体" w:hAnsi="宋体" w:eastAsia="宋体" w:cs="宋体"/>
                <w:color w:val="auto"/>
                <w:kern w:val="0"/>
                <w:sz w:val="24"/>
                <w:highlight w:val="none"/>
                <w:lang w:val="en-US" w:eastAsia="zh-CN"/>
              </w:rPr>
            </w:pPr>
          </w:p>
        </w:tc>
      </w:tr>
      <w:tr w14:paraId="419FC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937" w:type="dxa"/>
            <w:gridSpan w:val="5"/>
            <w:tcBorders>
              <w:top w:val="single" w:color="auto" w:sz="4" w:space="0"/>
              <w:left w:val="single" w:color="auto" w:sz="4" w:space="0"/>
              <w:bottom w:val="single" w:color="auto" w:sz="4" w:space="0"/>
              <w:right w:val="single" w:color="auto" w:sz="4" w:space="0"/>
            </w:tcBorders>
            <w:vAlign w:val="center"/>
          </w:tcPr>
          <w:p w14:paraId="10F73527">
            <w:pPr>
              <w:snapToGrid w:val="0"/>
              <w:spacing w:line="288" w:lineRule="auto"/>
              <w:rPr>
                <w:rFonts w:hint="eastAsia" w:ascii="宋体" w:hAnsi="宋体" w:eastAsia="宋体" w:cs="宋体"/>
                <w:color w:val="auto"/>
                <w:kern w:val="0"/>
                <w:sz w:val="24"/>
                <w:szCs w:val="24"/>
                <w:highlight w:val="none"/>
              </w:rPr>
            </w:pPr>
            <w:r>
              <w:rPr>
                <w:rFonts w:hint="eastAsia" w:ascii="宋体" w:hAnsi="宋体" w:eastAsia="宋体" w:cs="宋体"/>
                <w:b/>
                <w:color w:val="auto"/>
                <w:kern w:val="0"/>
                <w:sz w:val="24"/>
                <w:szCs w:val="24"/>
                <w:highlight w:val="none"/>
              </w:rPr>
              <w:t>三、技术分（</w:t>
            </w:r>
            <w:r>
              <w:rPr>
                <w:rFonts w:hint="eastAsia" w:ascii="宋体" w:hAnsi="宋体" w:cs="宋体"/>
                <w:b/>
                <w:color w:val="auto"/>
                <w:kern w:val="0"/>
                <w:sz w:val="24"/>
                <w:szCs w:val="24"/>
                <w:highlight w:val="none"/>
                <w:lang w:val="en-US" w:eastAsia="zh-CN"/>
              </w:rPr>
              <w:t>40</w:t>
            </w:r>
            <w:r>
              <w:rPr>
                <w:rFonts w:hint="eastAsia" w:ascii="宋体" w:hAnsi="宋体" w:eastAsia="宋体" w:cs="宋体"/>
                <w:b/>
                <w:color w:val="auto"/>
                <w:kern w:val="0"/>
                <w:sz w:val="24"/>
                <w:szCs w:val="24"/>
                <w:highlight w:val="none"/>
              </w:rPr>
              <w:t>分）</w:t>
            </w:r>
          </w:p>
        </w:tc>
      </w:tr>
      <w:tr w14:paraId="1E7FD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jc w:val="center"/>
        </w:trPr>
        <w:tc>
          <w:tcPr>
            <w:tcW w:w="748" w:type="dxa"/>
            <w:tcBorders>
              <w:top w:val="single" w:color="auto" w:sz="4" w:space="0"/>
              <w:left w:val="single" w:color="auto" w:sz="4" w:space="0"/>
              <w:bottom w:val="single" w:color="auto" w:sz="4" w:space="0"/>
              <w:right w:val="single" w:color="auto" w:sz="4" w:space="0"/>
            </w:tcBorders>
            <w:vAlign w:val="center"/>
          </w:tcPr>
          <w:p w14:paraId="7A678024">
            <w:pPr>
              <w:widowControl/>
              <w:snapToGrid w:val="0"/>
              <w:spacing w:line="288"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1514" w:type="dxa"/>
            <w:tcBorders>
              <w:top w:val="single" w:color="auto" w:sz="4" w:space="0"/>
              <w:left w:val="nil"/>
              <w:bottom w:val="single" w:color="auto" w:sz="4" w:space="0"/>
              <w:right w:val="single" w:color="auto" w:sz="4" w:space="0"/>
            </w:tcBorders>
            <w:vAlign w:val="center"/>
          </w:tcPr>
          <w:p w14:paraId="12879146">
            <w:pPr>
              <w:widowControl/>
              <w:snapToGrid w:val="0"/>
              <w:spacing w:line="288"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运营支撑与配套工具方案</w:t>
            </w:r>
          </w:p>
        </w:tc>
        <w:tc>
          <w:tcPr>
            <w:tcW w:w="754" w:type="dxa"/>
            <w:tcBorders>
              <w:top w:val="single" w:color="auto" w:sz="4" w:space="0"/>
              <w:left w:val="nil"/>
              <w:bottom w:val="single" w:color="auto" w:sz="4" w:space="0"/>
              <w:right w:val="single" w:color="auto" w:sz="4" w:space="0"/>
            </w:tcBorders>
            <w:vAlign w:val="center"/>
          </w:tcPr>
          <w:p w14:paraId="3DB1640F">
            <w:pPr>
              <w:snapToGrid w:val="0"/>
              <w:spacing w:line="288" w:lineRule="auto"/>
              <w:jc w:val="center"/>
              <w:rPr>
                <w:rFonts w:hint="eastAsia" w:ascii="宋体" w:hAnsi="宋体" w:eastAsia="宋体" w:cs="宋体"/>
                <w:color w:val="auto"/>
                <w:kern w:val="0"/>
                <w:sz w:val="24"/>
                <w:szCs w:val="24"/>
                <w:highlight w:val="none"/>
                <w:lang w:eastAsia="zh-CN"/>
              </w:rPr>
            </w:pPr>
            <w:r>
              <w:rPr>
                <w:rFonts w:hint="eastAsia" w:ascii="宋体" w:hAnsi="宋体" w:cs="宋体"/>
                <w:color w:val="auto"/>
                <w:sz w:val="24"/>
                <w:szCs w:val="24"/>
                <w:highlight w:val="none"/>
                <w:lang w:val="en-US" w:eastAsia="zh-CN"/>
              </w:rPr>
              <w:t>8</w:t>
            </w:r>
          </w:p>
        </w:tc>
        <w:tc>
          <w:tcPr>
            <w:tcW w:w="4964" w:type="dxa"/>
            <w:tcBorders>
              <w:top w:val="single" w:color="auto" w:sz="4" w:space="0"/>
              <w:left w:val="nil"/>
              <w:bottom w:val="single" w:color="auto" w:sz="4" w:space="0"/>
              <w:right w:val="single" w:color="auto" w:sz="4" w:space="0"/>
            </w:tcBorders>
            <w:vAlign w:val="center"/>
          </w:tcPr>
          <w:p w14:paraId="61BEFD77">
            <w:pPr>
              <w:snapToGrid w:val="0"/>
              <w:spacing w:line="288" w:lineRule="auto"/>
              <w:rPr>
                <w:rFonts w:hint="eastAsia" w:ascii="宋体" w:hAnsi="宋体" w:cs="宋体"/>
                <w:color w:val="auto"/>
                <w:kern w:val="0"/>
                <w:sz w:val="24"/>
                <w:szCs w:val="24"/>
                <w:highlight w:val="none"/>
                <w:lang w:eastAsia="zh-CN"/>
              </w:rPr>
            </w:pPr>
            <w:r>
              <w:rPr>
                <w:rFonts w:hint="eastAsia" w:ascii="宋体" w:hAnsi="宋体" w:cs="宋体"/>
                <w:color w:val="auto"/>
                <w:kern w:val="0"/>
                <w:sz w:val="24"/>
                <w:szCs w:val="24"/>
                <w:highlight w:val="none"/>
                <w:lang w:val="en-US" w:eastAsia="zh-CN"/>
              </w:rPr>
              <w:t>投标人</w:t>
            </w:r>
            <w:r>
              <w:rPr>
                <w:rFonts w:hint="eastAsia" w:ascii="宋体" w:hAnsi="宋体" w:eastAsia="宋体" w:cs="宋体"/>
                <w:color w:val="auto"/>
                <w:kern w:val="0"/>
                <w:sz w:val="24"/>
                <w:szCs w:val="24"/>
                <w:highlight w:val="none"/>
              </w:rPr>
              <w:t>提供的住房租赁监管运营支撑方案完整，能够以项目运营服务为核心，配套说明市场主体服务、房源信息服务、合同网签备案支撑、租金基础信息及监管协同辅助、信用信息与风险线索整理、数字化监管协同、门户维护、统计报送，以及对接银行等金融机构支付、交易流水、账单对账等业务和其他系统的协同能力；配套成品软件或服务支撑工具成熟、稳定、可配置，功能边界清晰且贴合实际业务场景的，得</w:t>
            </w:r>
            <w:r>
              <w:rPr>
                <w:rFonts w:hint="eastAsia" w:ascii="宋体" w:hAnsi="宋体" w:cs="宋体"/>
                <w:color w:val="auto"/>
                <w:kern w:val="0"/>
                <w:sz w:val="24"/>
                <w:szCs w:val="24"/>
                <w:highlight w:val="none"/>
                <w:lang w:val="en-US" w:eastAsia="zh-CN"/>
              </w:rPr>
              <w:t>8</w:t>
            </w:r>
            <w:r>
              <w:rPr>
                <w:rFonts w:hint="eastAsia" w:ascii="宋体" w:hAnsi="宋体" w:eastAsia="宋体" w:cs="宋体"/>
                <w:color w:val="auto"/>
                <w:kern w:val="0"/>
                <w:sz w:val="24"/>
                <w:szCs w:val="24"/>
                <w:highlight w:val="none"/>
              </w:rPr>
              <w:t>分</w:t>
            </w:r>
            <w:r>
              <w:rPr>
                <w:rFonts w:hint="eastAsia" w:ascii="宋体" w:hAnsi="宋体" w:cs="宋体"/>
                <w:color w:val="auto"/>
                <w:kern w:val="0"/>
                <w:sz w:val="24"/>
                <w:szCs w:val="24"/>
                <w:highlight w:val="none"/>
                <w:lang w:eastAsia="zh-CN"/>
              </w:rPr>
              <w:t>；</w:t>
            </w:r>
          </w:p>
          <w:p w14:paraId="44D2C918">
            <w:pPr>
              <w:snapToGrid w:val="0"/>
              <w:spacing w:line="288" w:lineRule="auto"/>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方案较完整详细，功能及服务流程设计较细化得6分；</w:t>
            </w:r>
          </w:p>
          <w:p w14:paraId="1738F314">
            <w:pPr>
              <w:snapToGrid w:val="0"/>
              <w:spacing w:line="288" w:lineRule="auto"/>
              <w:rPr>
                <w:rFonts w:hint="eastAsia" w:ascii="宋体" w:hAnsi="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基本包含上述内容但部分功能或服务流程设计不够细化的，得</w:t>
            </w:r>
            <w:r>
              <w:rPr>
                <w:rFonts w:hint="eastAsia" w:ascii="宋体" w:hAnsi="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分</w:t>
            </w:r>
            <w:r>
              <w:rPr>
                <w:rFonts w:hint="eastAsia" w:ascii="宋体" w:hAnsi="宋体" w:cs="宋体"/>
                <w:color w:val="auto"/>
                <w:kern w:val="0"/>
                <w:sz w:val="24"/>
                <w:szCs w:val="24"/>
                <w:highlight w:val="none"/>
                <w:lang w:eastAsia="zh-CN"/>
              </w:rPr>
              <w:t>；</w:t>
            </w:r>
          </w:p>
          <w:p w14:paraId="0C5B994A">
            <w:pPr>
              <w:snapToGrid w:val="0"/>
              <w:spacing w:line="288" w:lineRule="auto"/>
              <w:rPr>
                <w:rFonts w:hint="eastAsia" w:ascii="宋体" w:hAnsi="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缺失关键服务内容或与业务需求匹配度一般的，得</w:t>
            </w: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r>
              <w:rPr>
                <w:rFonts w:hint="eastAsia" w:ascii="宋体" w:hAnsi="宋体" w:cs="宋体"/>
                <w:color w:val="auto"/>
                <w:kern w:val="0"/>
                <w:sz w:val="24"/>
                <w:szCs w:val="24"/>
                <w:highlight w:val="none"/>
                <w:lang w:eastAsia="zh-CN"/>
              </w:rPr>
              <w:t>；</w:t>
            </w:r>
          </w:p>
          <w:p w14:paraId="5BFD3EEE">
            <w:pPr>
              <w:snapToGrid w:val="0"/>
              <w:spacing w:line="288"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未提供</w:t>
            </w:r>
            <w:r>
              <w:rPr>
                <w:rFonts w:hint="eastAsia" w:ascii="宋体" w:hAnsi="宋体" w:cs="宋体"/>
                <w:color w:val="auto"/>
                <w:kern w:val="0"/>
                <w:sz w:val="24"/>
                <w:szCs w:val="24"/>
                <w:highlight w:val="none"/>
                <w:lang w:val="en-US" w:eastAsia="zh-CN"/>
              </w:rPr>
              <w:t>方案不得分</w:t>
            </w:r>
            <w:r>
              <w:rPr>
                <w:rFonts w:hint="eastAsia" w:ascii="宋体" w:hAnsi="宋体" w:eastAsia="宋体" w:cs="宋体"/>
                <w:color w:val="auto"/>
                <w:kern w:val="0"/>
                <w:sz w:val="24"/>
                <w:szCs w:val="24"/>
                <w:highlight w:val="none"/>
              </w:rPr>
              <w:t>。</w:t>
            </w:r>
          </w:p>
        </w:tc>
        <w:tc>
          <w:tcPr>
            <w:tcW w:w="1957" w:type="dxa"/>
            <w:tcBorders>
              <w:top w:val="nil"/>
              <w:left w:val="nil"/>
              <w:bottom w:val="single" w:color="auto" w:sz="4" w:space="0"/>
              <w:right w:val="single" w:color="auto" w:sz="4" w:space="0"/>
            </w:tcBorders>
            <w:vAlign w:val="center"/>
          </w:tcPr>
          <w:p w14:paraId="0962350C">
            <w:pPr>
              <w:snapToGrid w:val="0"/>
              <w:spacing w:line="288" w:lineRule="auto"/>
              <w:rPr>
                <w:rFonts w:hint="eastAsia" w:ascii="宋体" w:hAnsi="宋体" w:eastAsia="宋体" w:cs="宋体"/>
                <w:b/>
                <w:color w:val="auto"/>
                <w:kern w:val="0"/>
                <w:sz w:val="24"/>
                <w:szCs w:val="24"/>
                <w:highlight w:val="none"/>
              </w:rPr>
            </w:pPr>
          </w:p>
        </w:tc>
      </w:tr>
      <w:tr w14:paraId="206B3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748" w:type="dxa"/>
            <w:tcBorders>
              <w:top w:val="single" w:color="auto" w:sz="4" w:space="0"/>
              <w:left w:val="single" w:color="auto" w:sz="4" w:space="0"/>
              <w:bottom w:val="single" w:color="auto" w:sz="4" w:space="0"/>
              <w:right w:val="single" w:color="auto" w:sz="4" w:space="0"/>
            </w:tcBorders>
            <w:vAlign w:val="center"/>
          </w:tcPr>
          <w:p w14:paraId="5ADEFC5D">
            <w:pPr>
              <w:widowControl/>
              <w:snapToGrid w:val="0"/>
              <w:spacing w:line="288"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1514" w:type="dxa"/>
            <w:tcBorders>
              <w:top w:val="single" w:color="auto" w:sz="4" w:space="0"/>
              <w:left w:val="nil"/>
              <w:bottom w:val="single" w:color="auto" w:sz="4" w:space="0"/>
              <w:right w:val="single" w:color="auto" w:sz="4" w:space="0"/>
            </w:tcBorders>
            <w:vAlign w:val="center"/>
          </w:tcPr>
          <w:p w14:paraId="47342C07">
            <w:pPr>
              <w:widowControl/>
              <w:snapToGrid w:val="0"/>
              <w:spacing w:line="288"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驻场运营与政务协同方案</w:t>
            </w:r>
          </w:p>
        </w:tc>
        <w:tc>
          <w:tcPr>
            <w:tcW w:w="754" w:type="dxa"/>
            <w:tcBorders>
              <w:top w:val="single" w:color="auto" w:sz="4" w:space="0"/>
              <w:left w:val="nil"/>
              <w:bottom w:val="single" w:color="auto" w:sz="4" w:space="0"/>
              <w:right w:val="single" w:color="auto" w:sz="4" w:space="0"/>
            </w:tcBorders>
            <w:vAlign w:val="center"/>
          </w:tcPr>
          <w:p w14:paraId="185A5CE2">
            <w:pPr>
              <w:snapToGrid w:val="0"/>
              <w:spacing w:line="288" w:lineRule="auto"/>
              <w:jc w:val="center"/>
              <w:rPr>
                <w:rFonts w:hint="eastAsia" w:ascii="宋体" w:hAnsi="宋体" w:eastAsia="宋体" w:cs="宋体"/>
                <w:color w:val="auto"/>
                <w:kern w:val="0"/>
                <w:sz w:val="24"/>
                <w:szCs w:val="24"/>
                <w:highlight w:val="none"/>
                <w:lang w:val="en-US" w:eastAsia="zh-CN"/>
              </w:rPr>
            </w:pPr>
            <w:r>
              <w:rPr>
                <w:rFonts w:hint="eastAsia" w:ascii="宋体" w:hAnsi="宋体" w:cs="宋体"/>
                <w:color w:val="auto"/>
                <w:sz w:val="24"/>
                <w:szCs w:val="24"/>
                <w:highlight w:val="none"/>
                <w:lang w:val="en-US" w:eastAsia="zh-CN"/>
              </w:rPr>
              <w:t>8</w:t>
            </w:r>
          </w:p>
        </w:tc>
        <w:tc>
          <w:tcPr>
            <w:tcW w:w="4964" w:type="dxa"/>
            <w:tcBorders>
              <w:top w:val="single" w:color="auto" w:sz="4" w:space="0"/>
              <w:left w:val="nil"/>
              <w:bottom w:val="single" w:color="auto" w:sz="4" w:space="0"/>
              <w:right w:val="single" w:color="auto" w:sz="4" w:space="0"/>
            </w:tcBorders>
            <w:vAlign w:val="center"/>
          </w:tcPr>
          <w:p w14:paraId="71322351">
            <w:pPr>
              <w:snapToGrid w:val="0"/>
              <w:spacing w:line="288" w:lineRule="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投标人</w:t>
            </w:r>
            <w:r>
              <w:rPr>
                <w:rFonts w:hint="eastAsia" w:ascii="宋体" w:hAnsi="宋体" w:eastAsia="宋体" w:cs="宋体"/>
                <w:color w:val="auto"/>
                <w:kern w:val="0"/>
                <w:sz w:val="24"/>
                <w:szCs w:val="24"/>
                <w:highlight w:val="none"/>
              </w:rPr>
              <w:t>围绕驻场运营与政务协同，提供主体备案初审辅助、房源核验复核辅助、合同备案流转支撑、租金基础信息和对账材料整理、纠纷工单流转、数据报送、跨部门协同记录等全流程保障机制；</w:t>
            </w:r>
          </w:p>
          <w:p w14:paraId="5537F7FA">
            <w:pPr>
              <w:snapToGrid w:val="0"/>
              <w:spacing w:line="288" w:lineRule="auto"/>
              <w:rPr>
                <w:rFonts w:hint="eastAsia" w:ascii="宋体" w:hAnsi="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运营流程清晰、协同措施具体可落地的，得</w:t>
            </w:r>
            <w:r>
              <w:rPr>
                <w:rFonts w:hint="eastAsia" w:ascii="宋体" w:hAnsi="宋体" w:cs="宋体"/>
                <w:color w:val="auto"/>
                <w:kern w:val="0"/>
                <w:sz w:val="24"/>
                <w:szCs w:val="24"/>
                <w:highlight w:val="none"/>
                <w:lang w:val="en-US" w:eastAsia="zh-CN"/>
              </w:rPr>
              <w:t>8</w:t>
            </w:r>
            <w:r>
              <w:rPr>
                <w:rFonts w:hint="eastAsia" w:ascii="宋体" w:hAnsi="宋体" w:eastAsia="宋体" w:cs="宋体"/>
                <w:color w:val="auto"/>
                <w:kern w:val="0"/>
                <w:sz w:val="24"/>
                <w:szCs w:val="24"/>
                <w:highlight w:val="none"/>
              </w:rPr>
              <w:t>分</w:t>
            </w:r>
            <w:r>
              <w:rPr>
                <w:rFonts w:hint="eastAsia" w:ascii="宋体" w:hAnsi="宋体" w:cs="宋体"/>
                <w:color w:val="auto"/>
                <w:kern w:val="0"/>
                <w:sz w:val="24"/>
                <w:szCs w:val="24"/>
                <w:highlight w:val="none"/>
                <w:lang w:eastAsia="zh-CN"/>
              </w:rPr>
              <w:t>；</w:t>
            </w:r>
          </w:p>
          <w:p w14:paraId="27BB8E01">
            <w:pPr>
              <w:snapToGrid w:val="0"/>
              <w:spacing w:line="288" w:lineRule="auto"/>
              <w:rPr>
                <w:rFonts w:hint="eastAsia" w:ascii="宋体" w:hAnsi="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运营流程</w:t>
            </w:r>
            <w:r>
              <w:rPr>
                <w:rFonts w:hint="eastAsia" w:ascii="宋体" w:hAnsi="宋体" w:cs="宋体"/>
                <w:color w:val="auto"/>
                <w:kern w:val="0"/>
                <w:sz w:val="24"/>
                <w:szCs w:val="24"/>
                <w:highlight w:val="none"/>
                <w:lang w:val="en-US" w:eastAsia="zh-CN"/>
              </w:rPr>
              <w:t>较</w:t>
            </w:r>
            <w:r>
              <w:rPr>
                <w:rFonts w:hint="eastAsia" w:ascii="宋体" w:hAnsi="宋体" w:eastAsia="宋体" w:cs="宋体"/>
                <w:color w:val="auto"/>
                <w:kern w:val="0"/>
                <w:sz w:val="24"/>
                <w:szCs w:val="24"/>
                <w:highlight w:val="none"/>
              </w:rPr>
              <w:t>清晰、协同措施</w:t>
            </w:r>
            <w:r>
              <w:rPr>
                <w:rFonts w:hint="eastAsia" w:ascii="宋体" w:hAnsi="宋体" w:cs="宋体"/>
                <w:color w:val="auto"/>
                <w:kern w:val="0"/>
                <w:sz w:val="24"/>
                <w:szCs w:val="24"/>
                <w:highlight w:val="none"/>
                <w:lang w:val="en-US" w:eastAsia="zh-CN"/>
              </w:rPr>
              <w:t>较</w:t>
            </w:r>
            <w:r>
              <w:rPr>
                <w:rFonts w:hint="eastAsia" w:ascii="宋体" w:hAnsi="宋体" w:eastAsia="宋体" w:cs="宋体"/>
                <w:color w:val="auto"/>
                <w:kern w:val="0"/>
                <w:sz w:val="24"/>
                <w:szCs w:val="24"/>
                <w:highlight w:val="none"/>
              </w:rPr>
              <w:t>具体</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可行性较高的</w:t>
            </w:r>
            <w:r>
              <w:rPr>
                <w:rFonts w:hint="eastAsia" w:ascii="宋体" w:hAnsi="宋体" w:eastAsia="宋体" w:cs="宋体"/>
                <w:color w:val="auto"/>
                <w:kern w:val="0"/>
                <w:sz w:val="24"/>
                <w:szCs w:val="24"/>
                <w:highlight w:val="none"/>
              </w:rPr>
              <w:t>，得</w:t>
            </w:r>
            <w:r>
              <w:rPr>
                <w:rFonts w:hint="eastAsia" w:ascii="宋体" w:hAnsi="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分</w:t>
            </w:r>
            <w:r>
              <w:rPr>
                <w:rFonts w:hint="eastAsia" w:ascii="宋体" w:hAnsi="宋体" w:cs="宋体"/>
                <w:color w:val="auto"/>
                <w:kern w:val="0"/>
                <w:sz w:val="24"/>
                <w:szCs w:val="24"/>
                <w:highlight w:val="none"/>
                <w:lang w:eastAsia="zh-CN"/>
              </w:rPr>
              <w:t>；</w:t>
            </w:r>
          </w:p>
          <w:p w14:paraId="77FA08D2">
            <w:pPr>
              <w:snapToGrid w:val="0"/>
              <w:spacing w:line="288" w:lineRule="auto"/>
              <w:rPr>
                <w:rFonts w:hint="eastAsia" w:ascii="宋体" w:hAnsi="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基本包含上述内容但部分环节缺乏闭环的，得</w:t>
            </w:r>
            <w:r>
              <w:rPr>
                <w:rFonts w:hint="eastAsia" w:ascii="宋体" w:hAnsi="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分</w:t>
            </w:r>
            <w:r>
              <w:rPr>
                <w:rFonts w:hint="eastAsia" w:ascii="宋体" w:hAnsi="宋体" w:cs="宋体"/>
                <w:color w:val="auto"/>
                <w:kern w:val="0"/>
                <w:sz w:val="24"/>
                <w:szCs w:val="24"/>
                <w:highlight w:val="none"/>
                <w:lang w:eastAsia="zh-CN"/>
              </w:rPr>
              <w:t>；</w:t>
            </w:r>
          </w:p>
          <w:p w14:paraId="006A78CD">
            <w:pPr>
              <w:snapToGrid w:val="0"/>
              <w:spacing w:line="288" w:lineRule="auto"/>
              <w:rPr>
                <w:rFonts w:hint="eastAsia" w:ascii="宋体" w:hAnsi="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措施简单或明显不符合监管服务要求的，得</w:t>
            </w: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r>
              <w:rPr>
                <w:rFonts w:hint="eastAsia" w:ascii="宋体" w:hAnsi="宋体" w:cs="宋体"/>
                <w:color w:val="auto"/>
                <w:kern w:val="0"/>
                <w:sz w:val="24"/>
                <w:szCs w:val="24"/>
                <w:highlight w:val="none"/>
                <w:lang w:eastAsia="zh-CN"/>
              </w:rPr>
              <w:t>；</w:t>
            </w:r>
          </w:p>
          <w:p w14:paraId="34234524">
            <w:pPr>
              <w:snapToGrid w:val="0"/>
              <w:spacing w:line="288"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未提供</w:t>
            </w:r>
            <w:r>
              <w:rPr>
                <w:rFonts w:hint="eastAsia" w:ascii="宋体" w:hAnsi="宋体" w:cs="宋体"/>
                <w:color w:val="auto"/>
                <w:kern w:val="0"/>
                <w:sz w:val="24"/>
                <w:szCs w:val="24"/>
                <w:highlight w:val="none"/>
                <w:lang w:val="en-US" w:eastAsia="zh-CN"/>
              </w:rPr>
              <w:t>方案不得分</w:t>
            </w:r>
            <w:r>
              <w:rPr>
                <w:rFonts w:hint="eastAsia" w:ascii="宋体" w:hAnsi="宋体" w:eastAsia="宋体" w:cs="宋体"/>
                <w:color w:val="auto"/>
                <w:kern w:val="0"/>
                <w:sz w:val="24"/>
                <w:szCs w:val="24"/>
                <w:highlight w:val="none"/>
              </w:rPr>
              <w:t>。</w:t>
            </w:r>
          </w:p>
        </w:tc>
        <w:tc>
          <w:tcPr>
            <w:tcW w:w="1957" w:type="dxa"/>
            <w:tcBorders>
              <w:top w:val="nil"/>
              <w:left w:val="nil"/>
              <w:bottom w:val="single" w:color="auto" w:sz="4" w:space="0"/>
              <w:right w:val="single" w:color="auto" w:sz="4" w:space="0"/>
            </w:tcBorders>
            <w:vAlign w:val="center"/>
          </w:tcPr>
          <w:p w14:paraId="368AADFC">
            <w:pPr>
              <w:snapToGrid w:val="0"/>
              <w:spacing w:line="288" w:lineRule="auto"/>
              <w:rPr>
                <w:rFonts w:hint="eastAsia" w:ascii="宋体" w:hAnsi="宋体" w:eastAsia="宋体" w:cs="宋体"/>
                <w:b/>
                <w:color w:val="auto"/>
                <w:kern w:val="0"/>
                <w:sz w:val="24"/>
                <w:szCs w:val="24"/>
                <w:highlight w:val="none"/>
              </w:rPr>
            </w:pPr>
          </w:p>
        </w:tc>
      </w:tr>
      <w:tr w14:paraId="19677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jc w:val="center"/>
        </w:trPr>
        <w:tc>
          <w:tcPr>
            <w:tcW w:w="748" w:type="dxa"/>
            <w:tcBorders>
              <w:top w:val="nil"/>
              <w:left w:val="single" w:color="auto" w:sz="4" w:space="0"/>
              <w:bottom w:val="single" w:color="auto" w:sz="4" w:space="0"/>
              <w:right w:val="single" w:color="auto" w:sz="4" w:space="0"/>
            </w:tcBorders>
            <w:vAlign w:val="center"/>
          </w:tcPr>
          <w:p w14:paraId="42ACA7C5">
            <w:pPr>
              <w:widowControl/>
              <w:snapToGrid w:val="0"/>
              <w:spacing w:line="288" w:lineRule="auto"/>
              <w:jc w:val="center"/>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3</w:t>
            </w:r>
          </w:p>
        </w:tc>
        <w:tc>
          <w:tcPr>
            <w:tcW w:w="1514" w:type="dxa"/>
            <w:tcBorders>
              <w:top w:val="nil"/>
              <w:left w:val="nil"/>
              <w:bottom w:val="single" w:color="auto" w:sz="4" w:space="0"/>
              <w:right w:val="single" w:color="auto" w:sz="4" w:space="0"/>
            </w:tcBorders>
            <w:vAlign w:val="center"/>
          </w:tcPr>
          <w:p w14:paraId="43E292C6">
            <w:pPr>
              <w:widowControl/>
              <w:snapToGrid w:val="0"/>
              <w:spacing w:line="288"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数据安全与保密管理方案</w:t>
            </w:r>
          </w:p>
        </w:tc>
        <w:tc>
          <w:tcPr>
            <w:tcW w:w="754" w:type="dxa"/>
            <w:tcBorders>
              <w:top w:val="single" w:color="auto" w:sz="4" w:space="0"/>
              <w:left w:val="nil"/>
              <w:bottom w:val="single" w:color="auto" w:sz="4" w:space="0"/>
              <w:right w:val="single" w:color="auto" w:sz="4" w:space="0"/>
            </w:tcBorders>
            <w:vAlign w:val="center"/>
          </w:tcPr>
          <w:p w14:paraId="5E491684">
            <w:pPr>
              <w:snapToGrid w:val="0"/>
              <w:spacing w:line="288" w:lineRule="auto"/>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p>
        </w:tc>
        <w:tc>
          <w:tcPr>
            <w:tcW w:w="4964" w:type="dxa"/>
            <w:tcBorders>
              <w:top w:val="single" w:color="auto" w:sz="4" w:space="0"/>
              <w:left w:val="nil"/>
              <w:bottom w:val="single" w:color="auto" w:sz="4" w:space="0"/>
              <w:right w:val="single" w:color="auto" w:sz="4" w:space="0"/>
            </w:tcBorders>
            <w:vAlign w:val="center"/>
          </w:tcPr>
          <w:p w14:paraId="12D65F2B">
            <w:pPr>
              <w:snapToGrid w:val="0"/>
              <w:spacing w:line="288" w:lineRule="auto"/>
              <w:rPr>
                <w:rFonts w:hint="eastAsia" w:ascii="宋体" w:hAnsi="宋体" w:cs="宋体"/>
                <w:color w:val="auto"/>
                <w:kern w:val="0"/>
                <w:sz w:val="24"/>
                <w:szCs w:val="24"/>
                <w:highlight w:val="none"/>
                <w:lang w:eastAsia="zh-CN"/>
              </w:rPr>
            </w:pPr>
            <w:r>
              <w:rPr>
                <w:rFonts w:hint="eastAsia" w:ascii="宋体" w:hAnsi="宋体" w:cs="宋体"/>
                <w:color w:val="auto"/>
                <w:kern w:val="0"/>
                <w:sz w:val="24"/>
                <w:szCs w:val="24"/>
                <w:highlight w:val="none"/>
                <w:lang w:val="en-US" w:eastAsia="zh-CN"/>
              </w:rPr>
              <w:t>投标人围绕</w:t>
            </w:r>
            <w:r>
              <w:rPr>
                <w:rFonts w:ascii="宋体" w:hAnsi="宋体" w:eastAsia="宋体" w:cs="宋体"/>
                <w:color w:val="auto"/>
                <w:sz w:val="24"/>
                <w:szCs w:val="24"/>
                <w:highlight w:val="none"/>
              </w:rPr>
              <w:t>数据权属管理、最小权限管控、操作日志审计、敏感信息脱敏、传输存储加密、数据备份与恢复、人员保密管控、数据泄露应急处置、政务数据全生命周期保密等方面</w:t>
            </w:r>
            <w:r>
              <w:rPr>
                <w:rFonts w:hint="eastAsia" w:ascii="宋体" w:hAnsi="宋体" w:eastAsia="宋体" w:cs="宋体"/>
                <w:color w:val="auto"/>
                <w:sz w:val="24"/>
                <w:szCs w:val="24"/>
                <w:highlight w:val="none"/>
                <w:lang w:val="en-US" w:eastAsia="zh-CN"/>
              </w:rPr>
              <w:t>提供</w:t>
            </w:r>
            <w:r>
              <w:rPr>
                <w:rFonts w:hint="eastAsia" w:ascii="宋体" w:hAnsi="宋体" w:eastAsia="宋体" w:cs="宋体"/>
                <w:color w:val="auto"/>
                <w:kern w:val="0"/>
                <w:sz w:val="24"/>
                <w:szCs w:val="24"/>
                <w:highlight w:val="none"/>
              </w:rPr>
              <w:t>数据安全与保密管理方案</w:t>
            </w:r>
            <w:r>
              <w:rPr>
                <w:rFonts w:hint="eastAsia" w:ascii="宋体" w:hAnsi="宋体" w:cs="宋体"/>
                <w:color w:val="auto"/>
                <w:kern w:val="0"/>
                <w:sz w:val="24"/>
                <w:szCs w:val="24"/>
                <w:highlight w:val="none"/>
                <w:lang w:eastAsia="zh-CN"/>
              </w:rPr>
              <w:t>。</w:t>
            </w:r>
          </w:p>
          <w:p w14:paraId="09466DEB">
            <w:pPr>
              <w:snapToGrid w:val="0"/>
              <w:spacing w:line="288" w:lineRule="auto"/>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方案完整，保密管控措施详实，可操作性强的，得7分；</w:t>
            </w:r>
          </w:p>
          <w:p w14:paraId="77D75618">
            <w:pPr>
              <w:snapToGrid w:val="0"/>
              <w:spacing w:line="288" w:lineRule="auto"/>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方案较完整，保密管控措施较详实，可操作性较强的，得5分；</w:t>
            </w:r>
          </w:p>
          <w:p w14:paraId="07A3C086">
            <w:pPr>
              <w:snapToGrid w:val="0"/>
              <w:spacing w:line="288" w:lineRule="auto"/>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方案覆盖基础安全措施，保密管控措施基本详实，可操作性一般的，得3分；</w:t>
            </w:r>
          </w:p>
          <w:p w14:paraId="2E241EBC">
            <w:pPr>
              <w:snapToGrid w:val="0"/>
              <w:spacing w:line="288" w:lineRule="auto"/>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仅简单提及安全要求，无系统化管控、应急处置机制的，得1分；</w:t>
            </w:r>
          </w:p>
          <w:p w14:paraId="41728BF9">
            <w:pPr>
              <w:snapToGrid w:val="0"/>
              <w:spacing w:line="288" w:lineRule="auto"/>
              <w:rPr>
                <w:rFonts w:hint="default" w:ascii="宋体" w:hAnsi="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未提供</w:t>
            </w:r>
            <w:r>
              <w:rPr>
                <w:rFonts w:hint="eastAsia" w:ascii="宋体" w:hAnsi="宋体" w:cs="宋体"/>
                <w:color w:val="auto"/>
                <w:kern w:val="0"/>
                <w:sz w:val="24"/>
                <w:szCs w:val="24"/>
                <w:highlight w:val="none"/>
                <w:lang w:val="en-US" w:eastAsia="zh-CN"/>
              </w:rPr>
              <w:t>方案不得分</w:t>
            </w:r>
            <w:r>
              <w:rPr>
                <w:rFonts w:hint="eastAsia" w:ascii="宋体" w:hAnsi="宋体" w:eastAsia="宋体" w:cs="宋体"/>
                <w:color w:val="auto"/>
                <w:kern w:val="0"/>
                <w:sz w:val="24"/>
                <w:szCs w:val="24"/>
                <w:highlight w:val="none"/>
              </w:rPr>
              <w:t>。</w:t>
            </w:r>
          </w:p>
        </w:tc>
        <w:tc>
          <w:tcPr>
            <w:tcW w:w="1957" w:type="dxa"/>
            <w:tcBorders>
              <w:top w:val="nil"/>
              <w:left w:val="nil"/>
              <w:bottom w:val="single" w:color="auto" w:sz="4" w:space="0"/>
              <w:right w:val="single" w:color="auto" w:sz="4" w:space="0"/>
            </w:tcBorders>
            <w:vAlign w:val="center"/>
          </w:tcPr>
          <w:p w14:paraId="185F4C10">
            <w:pPr>
              <w:snapToGrid w:val="0"/>
              <w:spacing w:line="288" w:lineRule="auto"/>
              <w:rPr>
                <w:rFonts w:hint="eastAsia" w:ascii="宋体" w:hAnsi="宋体" w:eastAsia="宋体" w:cs="宋体"/>
                <w:b/>
                <w:color w:val="auto"/>
                <w:kern w:val="0"/>
                <w:sz w:val="24"/>
                <w:szCs w:val="24"/>
                <w:highlight w:val="none"/>
              </w:rPr>
            </w:pPr>
          </w:p>
        </w:tc>
      </w:tr>
      <w:tr w14:paraId="76D9F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748" w:type="dxa"/>
            <w:tcBorders>
              <w:top w:val="single" w:color="auto" w:sz="4" w:space="0"/>
              <w:left w:val="single" w:color="auto" w:sz="4" w:space="0"/>
              <w:bottom w:val="single" w:color="auto" w:sz="4" w:space="0"/>
              <w:right w:val="single" w:color="auto" w:sz="4" w:space="0"/>
            </w:tcBorders>
            <w:vAlign w:val="center"/>
          </w:tcPr>
          <w:p w14:paraId="50F13FF5">
            <w:pPr>
              <w:widowControl/>
              <w:snapToGrid w:val="0"/>
              <w:spacing w:line="288" w:lineRule="auto"/>
              <w:jc w:val="center"/>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4</w:t>
            </w:r>
          </w:p>
        </w:tc>
        <w:tc>
          <w:tcPr>
            <w:tcW w:w="1514" w:type="dxa"/>
            <w:tcBorders>
              <w:top w:val="single" w:color="auto" w:sz="4" w:space="0"/>
              <w:left w:val="nil"/>
              <w:bottom w:val="single" w:color="auto" w:sz="4" w:space="0"/>
              <w:right w:val="single" w:color="auto" w:sz="4" w:space="0"/>
            </w:tcBorders>
            <w:vAlign w:val="center"/>
          </w:tcPr>
          <w:p w14:paraId="568E1861">
            <w:pPr>
              <w:widowControl/>
              <w:snapToGrid w:val="0"/>
              <w:spacing w:line="288"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期满交接与业务连续性保障方案</w:t>
            </w:r>
          </w:p>
        </w:tc>
        <w:tc>
          <w:tcPr>
            <w:tcW w:w="754" w:type="dxa"/>
            <w:tcBorders>
              <w:top w:val="single" w:color="auto" w:sz="4" w:space="0"/>
              <w:left w:val="nil"/>
              <w:bottom w:val="single" w:color="auto" w:sz="4" w:space="0"/>
              <w:right w:val="single" w:color="auto" w:sz="4" w:space="0"/>
            </w:tcBorders>
            <w:vAlign w:val="center"/>
          </w:tcPr>
          <w:p w14:paraId="710743CF">
            <w:pPr>
              <w:snapToGrid w:val="0"/>
              <w:spacing w:line="288" w:lineRule="auto"/>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p>
        </w:tc>
        <w:tc>
          <w:tcPr>
            <w:tcW w:w="4964" w:type="dxa"/>
            <w:tcBorders>
              <w:top w:val="single" w:color="auto" w:sz="4" w:space="0"/>
              <w:left w:val="nil"/>
              <w:bottom w:val="single" w:color="auto" w:sz="4" w:space="0"/>
              <w:right w:val="single" w:color="auto" w:sz="4" w:space="0"/>
            </w:tcBorders>
            <w:vAlign w:val="center"/>
          </w:tcPr>
          <w:p w14:paraId="1E772302">
            <w:pPr>
              <w:snapToGrid w:val="0"/>
              <w:spacing w:line="288" w:lineRule="auto"/>
              <w:rPr>
                <w:rFonts w:hint="eastAsia" w:ascii="宋体" w:hAnsi="宋体" w:cs="宋体"/>
                <w:color w:val="auto"/>
                <w:kern w:val="0"/>
                <w:sz w:val="24"/>
                <w:szCs w:val="24"/>
                <w:highlight w:val="none"/>
                <w:lang w:eastAsia="zh-CN"/>
              </w:rPr>
            </w:pPr>
            <w:r>
              <w:rPr>
                <w:rFonts w:hint="eastAsia" w:ascii="宋体" w:hAnsi="宋体" w:cs="宋体"/>
                <w:color w:val="auto"/>
                <w:kern w:val="0"/>
                <w:sz w:val="24"/>
                <w:szCs w:val="24"/>
                <w:highlight w:val="none"/>
                <w:lang w:val="en-US" w:eastAsia="zh-CN"/>
              </w:rPr>
              <w:t>投标人围绕</w:t>
            </w:r>
            <w:r>
              <w:rPr>
                <w:rFonts w:ascii="宋体" w:hAnsi="宋体" w:eastAsia="宋体" w:cs="宋体"/>
                <w:color w:val="auto"/>
                <w:sz w:val="24"/>
                <w:szCs w:val="24"/>
                <w:highlight w:val="none"/>
              </w:rPr>
              <w:t>全量业务数据移交、运营台账归档、运维接口文档交付、过渡期对接配合、业务无缝衔接等方面</w:t>
            </w:r>
            <w:r>
              <w:rPr>
                <w:rFonts w:hint="eastAsia" w:ascii="宋体" w:hAnsi="宋体" w:eastAsia="宋体" w:cs="宋体"/>
                <w:color w:val="auto"/>
                <w:sz w:val="24"/>
                <w:szCs w:val="24"/>
                <w:highlight w:val="none"/>
                <w:lang w:val="en-US" w:eastAsia="zh-CN"/>
              </w:rPr>
              <w:t>提供</w:t>
            </w:r>
            <w:r>
              <w:rPr>
                <w:rFonts w:hint="eastAsia" w:ascii="宋体" w:hAnsi="宋体" w:eastAsia="宋体" w:cs="宋体"/>
                <w:color w:val="auto"/>
                <w:kern w:val="0"/>
                <w:sz w:val="24"/>
                <w:szCs w:val="24"/>
                <w:highlight w:val="none"/>
              </w:rPr>
              <w:t>期满交接与业务连续性保障方案</w:t>
            </w:r>
            <w:r>
              <w:rPr>
                <w:rFonts w:hint="eastAsia" w:ascii="宋体" w:hAnsi="宋体" w:cs="宋体"/>
                <w:color w:val="auto"/>
                <w:kern w:val="0"/>
                <w:sz w:val="24"/>
                <w:szCs w:val="24"/>
                <w:highlight w:val="none"/>
                <w:lang w:eastAsia="zh-CN"/>
              </w:rPr>
              <w:t>。</w:t>
            </w:r>
          </w:p>
          <w:p w14:paraId="02BB2B3C">
            <w:pPr>
              <w:snapToGrid w:val="0"/>
              <w:spacing w:line="288" w:lineRule="auto"/>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方案完整，合理可行的，得6分；</w:t>
            </w:r>
          </w:p>
          <w:p w14:paraId="5CE25416">
            <w:pPr>
              <w:snapToGrid w:val="0"/>
              <w:spacing w:line="288" w:lineRule="auto"/>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方案较完整，较合理可行的，得4分；</w:t>
            </w:r>
          </w:p>
          <w:p w14:paraId="317FF527">
            <w:pPr>
              <w:snapToGrid w:val="0"/>
              <w:spacing w:line="288" w:lineRule="auto"/>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方案基本完整，基本合理可行的，得2分；</w:t>
            </w:r>
          </w:p>
          <w:p w14:paraId="308C0A42">
            <w:pPr>
              <w:snapToGrid w:val="0"/>
              <w:spacing w:line="288" w:lineRule="auto"/>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方案简略，无具体实施步骤，合理可行性较差的，得1分；</w:t>
            </w:r>
          </w:p>
          <w:p w14:paraId="152C9C73">
            <w:pPr>
              <w:snapToGrid w:val="0"/>
              <w:spacing w:line="288" w:lineRule="auto"/>
              <w:rPr>
                <w:rFonts w:hint="default"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未提供方案不得分。</w:t>
            </w:r>
          </w:p>
        </w:tc>
        <w:tc>
          <w:tcPr>
            <w:tcW w:w="1957" w:type="dxa"/>
            <w:tcBorders>
              <w:top w:val="nil"/>
              <w:left w:val="nil"/>
              <w:bottom w:val="single" w:color="auto" w:sz="4" w:space="0"/>
              <w:right w:val="single" w:color="auto" w:sz="4" w:space="0"/>
            </w:tcBorders>
            <w:vAlign w:val="center"/>
          </w:tcPr>
          <w:p w14:paraId="618C0B41">
            <w:pPr>
              <w:snapToGrid w:val="0"/>
              <w:spacing w:line="288" w:lineRule="auto"/>
              <w:rPr>
                <w:rFonts w:hint="eastAsia" w:ascii="宋体" w:hAnsi="宋体" w:eastAsia="宋体" w:cs="宋体"/>
                <w:b/>
                <w:color w:val="auto"/>
                <w:kern w:val="0"/>
                <w:sz w:val="24"/>
                <w:szCs w:val="24"/>
                <w:highlight w:val="none"/>
              </w:rPr>
            </w:pPr>
          </w:p>
        </w:tc>
      </w:tr>
      <w:tr w14:paraId="0CCB7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748" w:type="dxa"/>
            <w:tcBorders>
              <w:top w:val="single" w:color="auto" w:sz="4" w:space="0"/>
              <w:left w:val="single" w:color="auto" w:sz="4" w:space="0"/>
              <w:bottom w:val="single" w:color="auto" w:sz="4" w:space="0"/>
              <w:right w:val="single" w:color="auto" w:sz="4" w:space="0"/>
            </w:tcBorders>
            <w:vAlign w:val="center"/>
          </w:tcPr>
          <w:p w14:paraId="6808D409">
            <w:pPr>
              <w:widowControl/>
              <w:snapToGrid w:val="0"/>
              <w:spacing w:line="288" w:lineRule="auto"/>
              <w:jc w:val="center"/>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lang w:val="en-US" w:eastAsia="zh-CN"/>
              </w:rPr>
              <w:t>5</w:t>
            </w:r>
          </w:p>
        </w:tc>
        <w:tc>
          <w:tcPr>
            <w:tcW w:w="1514" w:type="dxa"/>
            <w:tcBorders>
              <w:top w:val="single" w:color="auto" w:sz="4" w:space="0"/>
              <w:left w:val="nil"/>
              <w:bottom w:val="single" w:color="auto" w:sz="4" w:space="0"/>
              <w:right w:val="single" w:color="auto" w:sz="4" w:space="0"/>
            </w:tcBorders>
            <w:vAlign w:val="center"/>
          </w:tcPr>
          <w:p w14:paraId="16740C1C">
            <w:pPr>
              <w:widowControl/>
              <w:snapToGrid w:val="0"/>
              <w:spacing w:line="288"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用户培训方案</w:t>
            </w:r>
          </w:p>
        </w:tc>
        <w:tc>
          <w:tcPr>
            <w:tcW w:w="754" w:type="dxa"/>
            <w:tcBorders>
              <w:top w:val="single" w:color="auto" w:sz="4" w:space="0"/>
              <w:left w:val="nil"/>
              <w:bottom w:val="single" w:color="auto" w:sz="4" w:space="0"/>
              <w:right w:val="single" w:color="auto" w:sz="4" w:space="0"/>
            </w:tcBorders>
            <w:vAlign w:val="center"/>
          </w:tcPr>
          <w:p w14:paraId="24AC47D7">
            <w:pPr>
              <w:snapToGrid w:val="0"/>
              <w:spacing w:line="288" w:lineRule="auto"/>
              <w:jc w:val="center"/>
              <w:rPr>
                <w:rFonts w:hint="eastAsia" w:ascii="宋体" w:hAnsi="宋体" w:eastAsia="宋体" w:cs="宋体"/>
                <w:color w:val="auto"/>
                <w:kern w:val="0"/>
                <w:sz w:val="24"/>
                <w:szCs w:val="24"/>
                <w:highlight w:val="none"/>
                <w:lang w:val="en-US" w:eastAsia="zh-CN"/>
              </w:rPr>
            </w:pPr>
            <w:r>
              <w:rPr>
                <w:rFonts w:hint="eastAsia" w:ascii="宋体" w:hAnsi="宋体" w:cs="宋体"/>
                <w:color w:val="auto"/>
                <w:sz w:val="24"/>
                <w:szCs w:val="24"/>
                <w:highlight w:val="none"/>
                <w:lang w:val="en-US" w:eastAsia="zh-CN"/>
              </w:rPr>
              <w:t>6</w:t>
            </w:r>
          </w:p>
        </w:tc>
        <w:tc>
          <w:tcPr>
            <w:tcW w:w="4964" w:type="dxa"/>
            <w:tcBorders>
              <w:top w:val="single" w:color="auto" w:sz="4" w:space="0"/>
              <w:left w:val="nil"/>
              <w:bottom w:val="single" w:color="auto" w:sz="4" w:space="0"/>
              <w:right w:val="single" w:color="auto" w:sz="4" w:space="0"/>
            </w:tcBorders>
            <w:vAlign w:val="center"/>
          </w:tcPr>
          <w:p w14:paraId="014CC5C4">
            <w:pPr>
              <w:snapToGrid w:val="0"/>
              <w:spacing w:line="288" w:lineRule="auto"/>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lang w:val="en-US" w:eastAsia="zh-CN"/>
              </w:rPr>
              <w:t>投标人</w:t>
            </w:r>
            <w:r>
              <w:rPr>
                <w:rFonts w:hint="eastAsia" w:ascii="宋体" w:hAnsi="宋体" w:eastAsia="宋体" w:cs="宋体"/>
                <w:color w:val="auto"/>
                <w:kern w:val="0"/>
                <w:sz w:val="24"/>
                <w:szCs w:val="24"/>
                <w:highlight w:val="none"/>
              </w:rPr>
              <w:t>针对监管部门操作人员、个人房东、租赁企业、经纪机构及从业人员等对象，制定培训计划、操作指南、常见问题材料和咨询答疑机制</w:t>
            </w:r>
            <w:r>
              <w:rPr>
                <w:rFonts w:hint="eastAsia" w:ascii="宋体" w:hAnsi="宋体" w:cs="宋体"/>
                <w:color w:val="auto"/>
                <w:kern w:val="0"/>
                <w:sz w:val="24"/>
                <w:szCs w:val="24"/>
                <w:highlight w:val="none"/>
                <w:lang w:eastAsia="zh-CN"/>
              </w:rPr>
              <w:t>；</w:t>
            </w:r>
          </w:p>
          <w:p w14:paraId="302F0308">
            <w:pPr>
              <w:snapToGrid w:val="0"/>
              <w:spacing w:line="288" w:lineRule="auto"/>
              <w:rPr>
                <w:rFonts w:hint="eastAsia" w:ascii="宋体" w:hAnsi="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培训机制完善、各角色覆盖全面的，得</w:t>
            </w:r>
            <w:r>
              <w:rPr>
                <w:rFonts w:hint="eastAsia" w:ascii="宋体" w:hAnsi="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分</w:t>
            </w:r>
            <w:r>
              <w:rPr>
                <w:rFonts w:hint="eastAsia" w:ascii="宋体" w:hAnsi="宋体" w:cs="宋体"/>
                <w:color w:val="auto"/>
                <w:kern w:val="0"/>
                <w:sz w:val="24"/>
                <w:szCs w:val="24"/>
                <w:highlight w:val="none"/>
                <w:lang w:eastAsia="zh-CN"/>
              </w:rPr>
              <w:t>；</w:t>
            </w:r>
          </w:p>
          <w:p w14:paraId="28124572">
            <w:pPr>
              <w:snapToGrid w:val="0"/>
              <w:spacing w:line="288" w:lineRule="auto"/>
              <w:rPr>
                <w:rFonts w:hint="default"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方案较完善，较合理，针对性较强的，得4分</w:t>
            </w:r>
          </w:p>
          <w:p w14:paraId="77A8438A">
            <w:pPr>
              <w:snapToGrid w:val="0"/>
              <w:spacing w:line="288" w:lineRule="auto"/>
              <w:rPr>
                <w:rFonts w:hint="eastAsia" w:ascii="宋体" w:hAnsi="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方案基本合理但针对性不强的，得</w:t>
            </w: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r>
              <w:rPr>
                <w:rFonts w:hint="eastAsia" w:ascii="宋体" w:hAnsi="宋体" w:cs="宋体"/>
                <w:color w:val="auto"/>
                <w:kern w:val="0"/>
                <w:sz w:val="24"/>
                <w:szCs w:val="24"/>
                <w:highlight w:val="none"/>
                <w:lang w:eastAsia="zh-CN"/>
              </w:rPr>
              <w:t>；</w:t>
            </w:r>
          </w:p>
          <w:p w14:paraId="77E1C8AE">
            <w:pPr>
              <w:snapToGrid w:val="0"/>
              <w:spacing w:line="288" w:lineRule="auto"/>
              <w:rPr>
                <w:rFonts w:hint="eastAsia" w:ascii="宋体" w:hAnsi="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方案流于形式或内容缺失的，得</w:t>
            </w:r>
            <w:r>
              <w:rPr>
                <w:rFonts w:hint="eastAsia" w:ascii="宋体" w:hAnsi="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分</w:t>
            </w:r>
            <w:r>
              <w:rPr>
                <w:rFonts w:hint="eastAsia" w:ascii="宋体" w:hAnsi="宋体" w:cs="宋体"/>
                <w:color w:val="auto"/>
                <w:kern w:val="0"/>
                <w:sz w:val="24"/>
                <w:szCs w:val="24"/>
                <w:highlight w:val="none"/>
                <w:lang w:eastAsia="zh-CN"/>
              </w:rPr>
              <w:t>；</w:t>
            </w:r>
          </w:p>
          <w:p w14:paraId="2DCDE053">
            <w:pPr>
              <w:snapToGrid w:val="0"/>
              <w:spacing w:line="288" w:lineRule="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未提供方案不得分。</w:t>
            </w:r>
          </w:p>
        </w:tc>
        <w:tc>
          <w:tcPr>
            <w:tcW w:w="1957" w:type="dxa"/>
            <w:tcBorders>
              <w:top w:val="nil"/>
              <w:left w:val="nil"/>
              <w:bottom w:val="single" w:color="auto" w:sz="4" w:space="0"/>
              <w:right w:val="single" w:color="auto" w:sz="4" w:space="0"/>
            </w:tcBorders>
            <w:vAlign w:val="center"/>
          </w:tcPr>
          <w:p w14:paraId="6BF9E559">
            <w:pPr>
              <w:snapToGrid w:val="0"/>
              <w:spacing w:line="288" w:lineRule="auto"/>
              <w:rPr>
                <w:rFonts w:hint="eastAsia" w:ascii="宋体" w:hAnsi="宋体" w:eastAsia="宋体" w:cs="宋体"/>
                <w:b/>
                <w:color w:val="auto"/>
                <w:kern w:val="0"/>
                <w:sz w:val="24"/>
                <w:szCs w:val="24"/>
                <w:highlight w:val="none"/>
              </w:rPr>
            </w:pPr>
          </w:p>
        </w:tc>
      </w:tr>
      <w:tr w14:paraId="2432B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748" w:type="dxa"/>
            <w:tcBorders>
              <w:top w:val="single" w:color="auto" w:sz="4" w:space="0"/>
              <w:left w:val="single" w:color="auto" w:sz="4" w:space="0"/>
              <w:bottom w:val="single" w:color="auto" w:sz="4" w:space="0"/>
              <w:right w:val="single" w:color="auto" w:sz="4" w:space="0"/>
            </w:tcBorders>
            <w:vAlign w:val="center"/>
          </w:tcPr>
          <w:p w14:paraId="11D13737">
            <w:pPr>
              <w:widowControl/>
              <w:snapToGrid w:val="0"/>
              <w:spacing w:line="288" w:lineRule="auto"/>
              <w:jc w:val="center"/>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lang w:val="en-US" w:eastAsia="zh-CN"/>
              </w:rPr>
              <w:t>6</w:t>
            </w:r>
          </w:p>
        </w:tc>
        <w:tc>
          <w:tcPr>
            <w:tcW w:w="1514" w:type="dxa"/>
            <w:tcBorders>
              <w:top w:val="single" w:color="auto" w:sz="4" w:space="0"/>
              <w:left w:val="nil"/>
              <w:bottom w:val="single" w:color="auto" w:sz="4" w:space="0"/>
              <w:right w:val="single" w:color="auto" w:sz="4" w:space="0"/>
            </w:tcBorders>
            <w:vAlign w:val="center"/>
          </w:tcPr>
          <w:p w14:paraId="23B23CBD">
            <w:pPr>
              <w:widowControl/>
              <w:snapToGrid w:val="0"/>
              <w:spacing w:line="288" w:lineRule="auto"/>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应急响应与网络安全保障方案</w:t>
            </w:r>
          </w:p>
        </w:tc>
        <w:tc>
          <w:tcPr>
            <w:tcW w:w="754" w:type="dxa"/>
            <w:tcBorders>
              <w:top w:val="single" w:color="auto" w:sz="4" w:space="0"/>
              <w:left w:val="nil"/>
              <w:bottom w:val="single" w:color="auto" w:sz="4" w:space="0"/>
              <w:right w:val="single" w:color="auto" w:sz="4" w:space="0"/>
            </w:tcBorders>
            <w:vAlign w:val="center"/>
          </w:tcPr>
          <w:p w14:paraId="54B05DEC">
            <w:pPr>
              <w:snapToGrid w:val="0"/>
              <w:spacing w:line="288" w:lineRule="auto"/>
              <w:jc w:val="center"/>
              <w:rPr>
                <w:rFonts w:hint="eastAsia" w:ascii="宋体" w:hAnsi="宋体" w:eastAsia="宋体" w:cs="宋体"/>
                <w:color w:val="auto"/>
                <w:kern w:val="0"/>
                <w:sz w:val="24"/>
                <w:szCs w:val="24"/>
                <w:highlight w:val="none"/>
                <w:lang w:eastAsia="zh-CN"/>
              </w:rPr>
            </w:pPr>
            <w:r>
              <w:rPr>
                <w:rFonts w:hint="eastAsia" w:ascii="宋体" w:hAnsi="宋体" w:cs="宋体"/>
                <w:color w:val="auto"/>
                <w:sz w:val="24"/>
                <w:szCs w:val="24"/>
                <w:highlight w:val="none"/>
                <w:lang w:val="en-US" w:eastAsia="zh-CN"/>
              </w:rPr>
              <w:t>5</w:t>
            </w:r>
          </w:p>
        </w:tc>
        <w:tc>
          <w:tcPr>
            <w:tcW w:w="4964" w:type="dxa"/>
            <w:tcBorders>
              <w:top w:val="single" w:color="auto" w:sz="4" w:space="0"/>
              <w:left w:val="nil"/>
              <w:bottom w:val="single" w:color="auto" w:sz="4" w:space="0"/>
              <w:right w:val="single" w:color="auto" w:sz="4" w:space="0"/>
            </w:tcBorders>
            <w:vAlign w:val="center"/>
          </w:tcPr>
          <w:p w14:paraId="23D1EFB3">
            <w:pPr>
              <w:snapToGrid w:val="0"/>
              <w:spacing w:line="288" w:lineRule="auto"/>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投标人</w:t>
            </w:r>
            <w:r>
              <w:rPr>
                <w:rFonts w:hint="eastAsia" w:ascii="宋体" w:hAnsi="宋体" w:eastAsia="宋体" w:cs="宋体"/>
                <w:color w:val="auto"/>
                <w:kern w:val="0"/>
                <w:sz w:val="24"/>
                <w:szCs w:val="24"/>
                <w:highlight w:val="none"/>
              </w:rPr>
              <w:t>针对配套成品软件或服务支撑工具运行异常、日常操作故障、阶段业务高峰、恶意攻击、数据泄露等事件，提供分级响应、重要事项30分钟到场、一般事项2小时到场、日志留存、备份恢复、权限控制、安全事件处置和问题复盘方案</w:t>
            </w:r>
            <w:r>
              <w:rPr>
                <w:rFonts w:hint="eastAsia" w:ascii="宋体" w:hAnsi="宋体" w:cs="宋体"/>
                <w:color w:val="auto"/>
                <w:kern w:val="0"/>
                <w:sz w:val="24"/>
                <w:szCs w:val="24"/>
                <w:highlight w:val="none"/>
                <w:lang w:val="en-US" w:eastAsia="zh-CN"/>
              </w:rPr>
              <w:t>.</w:t>
            </w:r>
          </w:p>
          <w:p w14:paraId="36A9B22C">
            <w:pPr>
              <w:snapToGrid w:val="0"/>
              <w:spacing w:line="288" w:lineRule="auto"/>
              <w:rPr>
                <w:rFonts w:hint="eastAsia" w:ascii="宋体" w:hAnsi="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措施具体、时限清晰、可落地性强的，得</w:t>
            </w:r>
            <w:r>
              <w:rPr>
                <w:rFonts w:hint="eastAsia" w:ascii="宋体" w:hAnsi="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分</w:t>
            </w:r>
            <w:r>
              <w:rPr>
                <w:rFonts w:hint="eastAsia" w:ascii="宋体" w:hAnsi="宋体" w:cs="宋体"/>
                <w:color w:val="auto"/>
                <w:kern w:val="0"/>
                <w:sz w:val="24"/>
                <w:szCs w:val="24"/>
                <w:highlight w:val="none"/>
                <w:lang w:eastAsia="zh-CN"/>
              </w:rPr>
              <w:t>；</w:t>
            </w:r>
          </w:p>
          <w:p w14:paraId="0135CD0B">
            <w:pPr>
              <w:snapToGrid w:val="0"/>
              <w:spacing w:line="288" w:lineRule="auto"/>
              <w:rPr>
                <w:rFonts w:hint="eastAsia" w:ascii="宋体" w:hAnsi="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措施具体、时限清晰、可落地性强的，得</w:t>
            </w: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分</w:t>
            </w:r>
            <w:r>
              <w:rPr>
                <w:rFonts w:hint="eastAsia" w:ascii="宋体" w:hAnsi="宋体" w:cs="宋体"/>
                <w:color w:val="auto"/>
                <w:kern w:val="0"/>
                <w:sz w:val="24"/>
                <w:szCs w:val="24"/>
                <w:highlight w:val="none"/>
                <w:lang w:eastAsia="zh-CN"/>
              </w:rPr>
              <w:t>；</w:t>
            </w:r>
          </w:p>
          <w:p w14:paraId="2038179E">
            <w:pPr>
              <w:snapToGrid w:val="0"/>
              <w:spacing w:line="288" w:lineRule="auto"/>
              <w:rPr>
                <w:rFonts w:hint="eastAsia" w:ascii="宋体" w:hAnsi="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基本包含上述内容但部分环节措施不够细化的，得</w:t>
            </w: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w:t>
            </w:r>
            <w:r>
              <w:rPr>
                <w:rFonts w:hint="eastAsia" w:ascii="宋体" w:hAnsi="宋体" w:cs="宋体"/>
                <w:color w:val="auto"/>
                <w:kern w:val="0"/>
                <w:sz w:val="24"/>
                <w:szCs w:val="24"/>
                <w:highlight w:val="none"/>
                <w:lang w:eastAsia="zh-CN"/>
              </w:rPr>
              <w:t>；</w:t>
            </w:r>
          </w:p>
          <w:p w14:paraId="1467ECC3">
            <w:pPr>
              <w:snapToGrid w:val="0"/>
              <w:spacing w:line="288" w:lineRule="auto"/>
              <w:rPr>
                <w:rFonts w:hint="eastAsia" w:ascii="宋体" w:hAnsi="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内容缺失关键环节或机制不合理的，得</w:t>
            </w:r>
            <w:r>
              <w:rPr>
                <w:rFonts w:hint="eastAsia" w:ascii="宋体" w:hAnsi="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分</w:t>
            </w:r>
            <w:r>
              <w:rPr>
                <w:rFonts w:hint="eastAsia" w:ascii="宋体" w:hAnsi="宋体" w:cs="宋体"/>
                <w:color w:val="auto"/>
                <w:kern w:val="0"/>
                <w:sz w:val="24"/>
                <w:szCs w:val="24"/>
                <w:highlight w:val="none"/>
                <w:lang w:eastAsia="zh-CN"/>
              </w:rPr>
              <w:t>；</w:t>
            </w:r>
          </w:p>
          <w:p w14:paraId="6CBD0F4D">
            <w:pPr>
              <w:snapToGrid w:val="0"/>
              <w:spacing w:line="288" w:lineRule="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未提供方案不得分。</w:t>
            </w:r>
          </w:p>
        </w:tc>
        <w:tc>
          <w:tcPr>
            <w:tcW w:w="1957" w:type="dxa"/>
            <w:tcBorders>
              <w:top w:val="single" w:color="auto" w:sz="4" w:space="0"/>
              <w:left w:val="nil"/>
              <w:bottom w:val="single" w:color="auto" w:sz="4" w:space="0"/>
              <w:right w:val="single" w:color="auto" w:sz="4" w:space="0"/>
            </w:tcBorders>
            <w:vAlign w:val="center"/>
          </w:tcPr>
          <w:p w14:paraId="255BD5E1">
            <w:pPr>
              <w:snapToGrid w:val="0"/>
              <w:spacing w:line="288" w:lineRule="auto"/>
              <w:rPr>
                <w:rFonts w:hint="eastAsia" w:ascii="宋体" w:hAnsi="宋体" w:eastAsia="宋体" w:cs="宋体"/>
                <w:b/>
                <w:color w:val="auto"/>
                <w:kern w:val="0"/>
                <w:sz w:val="24"/>
                <w:szCs w:val="24"/>
                <w:highlight w:val="none"/>
              </w:rPr>
            </w:pPr>
          </w:p>
        </w:tc>
      </w:tr>
    </w:tbl>
    <w:p w14:paraId="7069418F">
      <w:pPr>
        <w:tabs>
          <w:tab w:val="left" w:pos="5940"/>
        </w:tabs>
        <w:spacing w:line="312" w:lineRule="auto"/>
        <w:jc w:val="left"/>
        <w:rPr>
          <w:rFonts w:hint="eastAsia" w:ascii="宋体" w:hAnsi="宋体" w:cs="宋体"/>
          <w:bCs/>
          <w:color w:val="auto"/>
          <w:sz w:val="24"/>
          <w:highlight w:val="none"/>
        </w:rPr>
      </w:pPr>
      <w:r>
        <w:rPr>
          <w:rFonts w:hint="eastAsia" w:ascii="宋体" w:hAnsi="宋体" w:cs="宋体"/>
          <w:bCs/>
          <w:color w:val="auto"/>
          <w:sz w:val="24"/>
          <w:highlight w:val="none"/>
        </w:rPr>
        <w:t>注：1、评分细则中要求提供的证明文件及资料等在投标文件中提供扫描件，过时不予接收。</w:t>
      </w:r>
    </w:p>
    <w:p w14:paraId="1CE10BE6">
      <w:pPr>
        <w:tabs>
          <w:tab w:val="left" w:pos="5940"/>
        </w:tabs>
        <w:spacing w:line="312" w:lineRule="auto"/>
        <w:ind w:firstLine="480" w:firstLineChars="200"/>
        <w:jc w:val="left"/>
        <w:rPr>
          <w:rFonts w:hint="eastAsia" w:ascii="宋体" w:hAnsi="宋体" w:cs="宋体"/>
          <w:bCs/>
          <w:color w:val="auto"/>
          <w:sz w:val="24"/>
          <w:highlight w:val="none"/>
        </w:rPr>
        <w:sectPr>
          <w:footerReference r:id="rId6" w:type="default"/>
          <w:pgSz w:w="11906" w:h="16838"/>
          <w:pgMar w:top="1111" w:right="1191" w:bottom="1111" w:left="1191" w:header="851" w:footer="705" w:gutter="0"/>
          <w:pgNumType w:fmt="decimal"/>
          <w:cols w:space="1701" w:num="1"/>
          <w:docGrid w:linePitch="360" w:charSpace="0"/>
        </w:sectPr>
      </w:pPr>
      <w:r>
        <w:rPr>
          <w:rFonts w:hint="eastAsia" w:ascii="宋体" w:hAnsi="宋体" w:cs="宋体"/>
          <w:bCs/>
          <w:color w:val="auto"/>
          <w:sz w:val="24"/>
          <w:highlight w:val="none"/>
        </w:rPr>
        <w:t>2、评标时，未能按以上要求提供相应证明的，不作为评标依据，不得分。</w:t>
      </w:r>
    </w:p>
    <w:p w14:paraId="77F983A5">
      <w:pPr>
        <w:keepNext w:val="0"/>
        <w:keepLines w:val="0"/>
        <w:pageBreakBefore/>
        <w:widowControl w:val="0"/>
        <w:tabs>
          <w:tab w:val="left" w:pos="5940"/>
        </w:tabs>
        <w:kinsoku/>
        <w:wordWrap/>
        <w:overflowPunct/>
        <w:topLinePunct w:val="0"/>
        <w:autoSpaceDE/>
        <w:autoSpaceDN/>
        <w:bidi w:val="0"/>
        <w:adjustRightInd/>
        <w:snapToGrid/>
        <w:spacing w:line="312" w:lineRule="auto"/>
        <w:jc w:val="center"/>
        <w:textAlignment w:val="auto"/>
        <w:rPr>
          <w:b/>
          <w:color w:val="auto"/>
          <w:sz w:val="36"/>
          <w:szCs w:val="36"/>
          <w:highlight w:val="none"/>
        </w:rPr>
      </w:pPr>
      <w:bookmarkStart w:id="828" w:name="_Toc157413236"/>
      <w:r>
        <w:rPr>
          <w:b/>
          <w:color w:val="auto"/>
          <w:sz w:val="36"/>
          <w:szCs w:val="36"/>
          <w:highlight w:val="none"/>
        </w:rPr>
        <w:t>第五章   采购需求</w:t>
      </w:r>
      <w:bookmarkEnd w:id="828"/>
    </w:p>
    <w:p w14:paraId="214CDB86">
      <w:pPr>
        <w:tabs>
          <w:tab w:val="left" w:pos="735"/>
          <w:tab w:val="left" w:pos="945"/>
          <w:tab w:val="left" w:pos="1155"/>
        </w:tabs>
        <w:spacing w:line="360" w:lineRule="auto"/>
        <w:jc w:val="left"/>
        <w:rPr>
          <w:rFonts w:ascii="宋体" w:hAnsi="宋体" w:cs="宋体"/>
          <w:b/>
          <w:color w:val="auto"/>
          <w:sz w:val="24"/>
          <w:highlight w:val="none"/>
        </w:rPr>
      </w:pPr>
      <w:bookmarkStart w:id="829" w:name="_Toc157413237"/>
      <w:r>
        <w:rPr>
          <w:rFonts w:hint="eastAsia" w:ascii="宋体" w:hAnsi="宋体"/>
          <w:b/>
          <w:bCs/>
          <w:color w:val="auto"/>
          <w:sz w:val="24"/>
          <w:highlight w:val="none"/>
        </w:rPr>
        <w:t>一、</w:t>
      </w:r>
      <w:r>
        <w:rPr>
          <w:rFonts w:hint="eastAsia" w:ascii="宋体" w:hAnsi="宋体" w:cs="宋体"/>
          <w:b/>
          <w:color w:val="auto"/>
          <w:sz w:val="24"/>
          <w:highlight w:val="none"/>
        </w:rPr>
        <w:t>采购标的</w:t>
      </w:r>
    </w:p>
    <w:p w14:paraId="6DC96F92">
      <w:pPr>
        <w:spacing w:line="360" w:lineRule="auto"/>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1.项目名称：</w:t>
      </w:r>
      <w:r>
        <w:rPr>
          <w:rFonts w:hint="eastAsia" w:asciiTheme="minorEastAsia" w:hAnsiTheme="minorEastAsia" w:eastAsiaTheme="minorEastAsia"/>
          <w:color w:val="auto"/>
          <w:sz w:val="24"/>
          <w:highlight w:val="none"/>
          <w:lang w:eastAsia="zh-CN"/>
        </w:rPr>
        <w:t>常州市住房租赁监管运营支撑服务项目</w:t>
      </w:r>
    </w:p>
    <w:p w14:paraId="6441EF79">
      <w:pPr>
        <w:spacing w:line="360" w:lineRule="auto"/>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2.预算金额：</w:t>
      </w:r>
      <w:r>
        <w:rPr>
          <w:rFonts w:hint="eastAsia" w:asciiTheme="minorEastAsia" w:hAnsiTheme="minorEastAsia" w:eastAsiaTheme="minorEastAsia"/>
          <w:color w:val="auto"/>
          <w:sz w:val="24"/>
          <w:highlight w:val="none"/>
          <w:lang w:eastAsia="zh-CN"/>
        </w:rPr>
        <w:t>180万元/三年（60万/年）</w:t>
      </w:r>
    </w:p>
    <w:p w14:paraId="5120A835">
      <w:pPr>
        <w:spacing w:line="360" w:lineRule="auto"/>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3.最高限价：</w:t>
      </w:r>
      <w:r>
        <w:rPr>
          <w:rFonts w:hint="eastAsia" w:asciiTheme="minorEastAsia" w:hAnsiTheme="minorEastAsia" w:eastAsiaTheme="minorEastAsia"/>
          <w:color w:val="auto"/>
          <w:sz w:val="24"/>
          <w:highlight w:val="none"/>
          <w:lang w:eastAsia="zh-CN"/>
        </w:rPr>
        <w:t>180万元/三年（60万/年）</w:t>
      </w:r>
    </w:p>
    <w:p w14:paraId="46B324B7">
      <w:pPr>
        <w:snapToGrid w:val="0"/>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4.采购需求（简介）：</w:t>
      </w:r>
      <w:r>
        <w:rPr>
          <w:rFonts w:hint="eastAsia" w:ascii="宋体" w:hAnsi="宋体"/>
          <w:bCs/>
          <w:color w:val="auto"/>
          <w:sz w:val="24"/>
          <w:highlight w:val="none"/>
        </w:rPr>
        <w:t>本项目为</w:t>
      </w:r>
      <w:r>
        <w:rPr>
          <w:rFonts w:hint="eastAsia" w:ascii="宋体" w:hAnsi="宋体"/>
          <w:bCs/>
          <w:color w:val="auto"/>
          <w:sz w:val="24"/>
          <w:highlight w:val="none"/>
          <w:lang w:eastAsia="zh-CN"/>
        </w:rPr>
        <w:t>常州市住房租赁监管运营支撑服务项目。</w:t>
      </w:r>
      <w:r>
        <w:rPr>
          <w:rFonts w:hint="eastAsia" w:ascii="宋体" w:hAnsi="宋体"/>
          <w:bCs/>
          <w:color w:val="auto"/>
          <w:sz w:val="24"/>
          <w:highlight w:val="none"/>
          <w:lang w:val="en-US" w:eastAsia="zh-CN"/>
        </w:rPr>
        <w:t>根据招标</w:t>
      </w:r>
      <w:r>
        <w:rPr>
          <w:rFonts w:hint="eastAsia" w:ascii="宋体" w:hAnsi="宋体"/>
          <w:bCs/>
          <w:color w:val="auto"/>
          <w:sz w:val="24"/>
          <w:highlight w:val="none"/>
          <w:lang w:eastAsia="zh-CN"/>
        </w:rPr>
        <w:t>人住房租赁监管和便民服务工作需要，提供全周期运营支撑服务。</w:t>
      </w:r>
      <w:r>
        <w:rPr>
          <w:rFonts w:hint="eastAsia" w:ascii="宋体" w:hAnsi="宋体" w:eastAsia="宋体" w:cs="宋体"/>
          <w:bCs/>
          <w:color w:val="auto"/>
          <w:sz w:val="24"/>
          <w:szCs w:val="24"/>
          <w:highlight w:val="none"/>
        </w:rPr>
        <w:t>采购内容</w:t>
      </w:r>
      <w:r>
        <w:rPr>
          <w:rFonts w:hint="eastAsia" w:ascii="宋体" w:hAnsi="宋体" w:cs="宋体"/>
          <w:bCs/>
          <w:color w:val="auto"/>
          <w:sz w:val="24"/>
          <w:szCs w:val="24"/>
          <w:highlight w:val="none"/>
          <w:lang w:val="en-US" w:eastAsia="zh-CN"/>
        </w:rPr>
        <w:t>包括</w:t>
      </w:r>
      <w:r>
        <w:rPr>
          <w:rFonts w:hint="eastAsia" w:ascii="宋体" w:hAnsi="宋体" w:eastAsia="宋体" w:cs="宋体"/>
          <w:b w:val="0"/>
          <w:bCs/>
          <w:color w:val="auto"/>
          <w:sz w:val="24"/>
          <w:szCs w:val="24"/>
          <w:highlight w:val="none"/>
        </w:rPr>
        <w:t>日常运营支撑服务、业务资料整理与数据治理服务、业务协同和统计报送服务、技术运维与安全保障服务、培训咨询服务、服务过程资料整理及期满交接等。</w:t>
      </w:r>
    </w:p>
    <w:p w14:paraId="4F2A1B7A">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5.合同履行期限：</w:t>
      </w:r>
      <w:r>
        <w:rPr>
          <w:rFonts w:hint="eastAsia" w:asciiTheme="minorEastAsia" w:hAnsiTheme="minorEastAsia"/>
          <w:color w:val="auto"/>
          <w:sz w:val="24"/>
          <w:highlight w:val="none"/>
          <w:lang w:eastAsia="zh-CN"/>
        </w:rPr>
        <w:t>合同签订生效之日起3年。</w:t>
      </w:r>
    </w:p>
    <w:p w14:paraId="039C869B">
      <w:pPr>
        <w:spacing w:line="360" w:lineRule="auto"/>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6.是/否接受联合体投标：不接</w:t>
      </w:r>
      <w:r>
        <w:rPr>
          <w:rFonts w:hint="eastAsia" w:ascii="宋体" w:hAnsi="宋体" w:cs="宋体"/>
          <w:color w:val="auto"/>
          <w:sz w:val="24"/>
          <w:highlight w:val="none"/>
          <w:lang w:val="en-US" w:eastAsia="zh-CN"/>
        </w:rPr>
        <w:t>受</w:t>
      </w:r>
      <w:r>
        <w:rPr>
          <w:rFonts w:hint="eastAsia" w:ascii="宋体" w:hAnsi="宋体" w:cs="宋体"/>
          <w:color w:val="auto"/>
          <w:sz w:val="24"/>
          <w:highlight w:val="none"/>
        </w:rPr>
        <w:t>联合体投标</w:t>
      </w:r>
      <w:r>
        <w:rPr>
          <w:rFonts w:hint="eastAsia" w:ascii="宋体" w:hAnsi="宋体" w:cs="宋体"/>
          <w:color w:val="auto"/>
          <w:sz w:val="24"/>
          <w:highlight w:val="none"/>
          <w:lang w:eastAsia="zh-CN"/>
        </w:rPr>
        <w:t>。</w:t>
      </w:r>
    </w:p>
    <w:p w14:paraId="6316E4D6">
      <w:pPr>
        <w:spacing w:line="360" w:lineRule="auto"/>
        <w:ind w:firstLine="480"/>
        <w:rPr>
          <w:rFonts w:ascii="宋体" w:hAnsi="宋体" w:cs="宋体"/>
          <w:bCs/>
          <w:color w:val="auto"/>
          <w:sz w:val="24"/>
          <w:highlight w:val="none"/>
        </w:rPr>
      </w:pPr>
      <w:r>
        <w:rPr>
          <w:rFonts w:hint="eastAsia" w:ascii="宋体" w:hAnsi="宋体" w:cs="宋体"/>
          <w:color w:val="auto"/>
          <w:sz w:val="24"/>
          <w:highlight w:val="none"/>
        </w:rPr>
        <w:t>7.是/否接受分支机构参与响应：</w:t>
      </w:r>
      <w:r>
        <w:rPr>
          <w:rFonts w:hint="eastAsia" w:ascii="宋体" w:hAnsi="宋体" w:cs="宋体"/>
          <w:bCs/>
          <w:color w:val="auto"/>
          <w:sz w:val="24"/>
          <w:highlight w:val="none"/>
        </w:rPr>
        <w:t>否</w:t>
      </w:r>
    </w:p>
    <w:p w14:paraId="1B27F67C">
      <w:pPr>
        <w:spacing w:line="360" w:lineRule="auto"/>
        <w:ind w:firstLine="480"/>
        <w:rPr>
          <w:rFonts w:hint="eastAsia" w:ascii="宋体" w:hAnsi="宋体" w:eastAsia="宋体" w:cs="宋体"/>
          <w:color w:val="auto"/>
          <w:sz w:val="24"/>
          <w:highlight w:val="none"/>
          <w:lang w:eastAsia="zh-CN"/>
        </w:rPr>
      </w:pPr>
      <w:r>
        <w:rPr>
          <w:rFonts w:hint="eastAsia" w:ascii="宋体" w:hAnsi="宋体" w:cs="宋体"/>
          <w:color w:val="auto"/>
          <w:sz w:val="24"/>
          <w:highlight w:val="none"/>
        </w:rPr>
        <w:t>8.是/否属于政府购买服务：</w:t>
      </w:r>
      <w:r>
        <w:rPr>
          <w:rFonts w:hint="eastAsia" w:ascii="宋体" w:hAnsi="宋体" w:cs="宋体"/>
          <w:color w:val="auto"/>
          <w:sz w:val="24"/>
          <w:highlight w:val="none"/>
          <w:lang w:val="en-US" w:eastAsia="zh-CN"/>
        </w:rPr>
        <w:t>否</w:t>
      </w:r>
    </w:p>
    <w:p w14:paraId="762472AC">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9.是/否接受进口产品投标：否</w:t>
      </w:r>
    </w:p>
    <w:p w14:paraId="23BA3A34">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10.是/否专门面向中小企业预留采购份额：是</w:t>
      </w:r>
    </w:p>
    <w:p w14:paraId="437B4288">
      <w:pPr>
        <w:spacing w:line="360" w:lineRule="auto"/>
        <w:ind w:firstLine="480"/>
        <w:rPr>
          <w:rFonts w:hint="eastAsia" w:ascii="宋体" w:hAnsi="宋体" w:eastAsia="宋体" w:cs="宋体"/>
          <w:bCs/>
          <w:color w:val="auto"/>
          <w:sz w:val="24"/>
          <w:highlight w:val="none"/>
          <w:lang w:eastAsia="zh-CN"/>
        </w:rPr>
      </w:pPr>
      <w:r>
        <w:rPr>
          <w:rFonts w:hint="eastAsia" w:ascii="宋体" w:hAnsi="宋体" w:cs="宋体"/>
          <w:color w:val="auto"/>
          <w:sz w:val="24"/>
          <w:highlight w:val="none"/>
        </w:rPr>
        <w:t>11.本项目的特定资格要求：</w:t>
      </w:r>
      <w:r>
        <w:rPr>
          <w:rFonts w:hint="eastAsia" w:ascii="宋体" w:hAnsi="宋体" w:cs="宋体"/>
          <w:color w:val="auto"/>
          <w:sz w:val="24"/>
          <w:highlight w:val="none"/>
          <w:lang w:eastAsia="zh-CN"/>
        </w:rPr>
        <w:t>无。</w:t>
      </w:r>
    </w:p>
    <w:p w14:paraId="1B63B0B1">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12.项目类别：服务类</w:t>
      </w:r>
    </w:p>
    <w:p w14:paraId="451FA4F4">
      <w:pPr>
        <w:spacing w:line="360" w:lineRule="auto"/>
        <w:jc w:val="left"/>
        <w:rPr>
          <w:rFonts w:ascii="宋体" w:hAnsi="宋体"/>
          <w:b/>
          <w:color w:val="auto"/>
          <w:sz w:val="24"/>
          <w:highlight w:val="none"/>
        </w:rPr>
      </w:pPr>
      <w:r>
        <w:rPr>
          <w:rFonts w:hint="eastAsia" w:ascii="宋体" w:hAnsi="宋体"/>
          <w:b/>
          <w:color w:val="auto"/>
          <w:sz w:val="24"/>
          <w:highlight w:val="none"/>
        </w:rPr>
        <w:t>二、商务要求</w:t>
      </w:r>
    </w:p>
    <w:p w14:paraId="40289CBE">
      <w:pPr>
        <w:spacing w:line="360" w:lineRule="auto"/>
        <w:ind w:firstLine="480"/>
        <w:rPr>
          <w:rFonts w:ascii="宋体" w:hAnsi="宋体" w:cs="宋体"/>
          <w:b/>
          <w:bCs/>
          <w:i/>
          <w:color w:val="auto"/>
          <w:sz w:val="24"/>
          <w:highlight w:val="none"/>
        </w:rPr>
      </w:pP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一</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交付（实施）的时间（期限）和地点（范围）</w:t>
      </w:r>
    </w:p>
    <w:p w14:paraId="4E3A4219">
      <w:pPr>
        <w:spacing w:line="360" w:lineRule="auto"/>
        <w:ind w:firstLine="480"/>
        <w:rPr>
          <w:rFonts w:hint="eastAsia" w:ascii="宋体" w:hAnsi="宋体" w:cs="宋体"/>
          <w:color w:val="auto"/>
          <w:sz w:val="24"/>
          <w:highlight w:val="none"/>
        </w:rPr>
      </w:pPr>
      <w:r>
        <w:rPr>
          <w:rFonts w:hint="eastAsia" w:ascii="宋体" w:hAnsi="宋体" w:cs="宋体"/>
          <w:b/>
          <w:bCs/>
          <w:color w:val="auto"/>
          <w:sz w:val="24"/>
          <w:highlight w:val="none"/>
          <w:lang w:val="en-US" w:eastAsia="zh-CN"/>
        </w:rPr>
        <w:t>1.</w:t>
      </w:r>
      <w:r>
        <w:rPr>
          <w:rFonts w:hint="eastAsia" w:ascii="宋体" w:hAnsi="宋体" w:cs="宋体"/>
          <w:b/>
          <w:bCs/>
          <w:color w:val="auto"/>
          <w:sz w:val="24"/>
          <w:highlight w:val="none"/>
        </w:rPr>
        <w:t>时间：</w:t>
      </w:r>
      <w:r>
        <w:rPr>
          <w:rFonts w:hint="eastAsia" w:ascii="宋体" w:hAnsi="宋体" w:cs="宋体"/>
          <w:color w:val="auto"/>
          <w:sz w:val="24"/>
          <w:highlight w:val="none"/>
          <w:lang w:eastAsia="zh-CN"/>
        </w:rPr>
        <w:t>合同签订生效之日起3年。</w:t>
      </w:r>
      <w:r>
        <w:rPr>
          <w:rFonts w:hint="eastAsia" w:ascii="宋体" w:hAnsi="宋体" w:cs="宋体"/>
          <w:color w:val="auto"/>
          <w:sz w:val="24"/>
          <w:highlight w:val="none"/>
        </w:rPr>
        <w:t>全程提供驻场+驻点双模式服务，驻场、驻点服务期限与项目整体服务周期同步。</w:t>
      </w:r>
    </w:p>
    <w:p w14:paraId="1D4BF892">
      <w:pPr>
        <w:spacing w:line="360" w:lineRule="auto"/>
        <w:ind w:firstLine="480"/>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2.服务</w:t>
      </w:r>
      <w:r>
        <w:rPr>
          <w:rFonts w:hint="eastAsia" w:ascii="宋体" w:hAnsi="宋体" w:cs="宋体"/>
          <w:b/>
          <w:bCs/>
          <w:color w:val="auto"/>
          <w:sz w:val="24"/>
          <w:highlight w:val="none"/>
        </w:rPr>
        <w:t>地点：</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人指定地点及</w:t>
      </w:r>
      <w:r>
        <w:rPr>
          <w:rFonts w:hint="eastAsia" w:ascii="宋体" w:hAnsi="宋体" w:cs="宋体"/>
          <w:color w:val="auto"/>
          <w:sz w:val="24"/>
          <w:highlight w:val="none"/>
          <w:lang w:val="en-US" w:eastAsia="zh-CN"/>
        </w:rPr>
        <w:t>中标人</w:t>
      </w:r>
      <w:r>
        <w:rPr>
          <w:rFonts w:hint="eastAsia" w:ascii="宋体" w:hAnsi="宋体" w:cs="宋体"/>
          <w:color w:val="auto"/>
          <w:sz w:val="24"/>
          <w:highlight w:val="none"/>
        </w:rPr>
        <w:t>在常州市行政区域内设置的固定办公服务驻点。</w:t>
      </w:r>
    </w:p>
    <w:p w14:paraId="08D49D47">
      <w:pPr>
        <w:spacing w:line="360" w:lineRule="auto"/>
        <w:ind w:firstLine="480"/>
        <w:rPr>
          <w:rFonts w:ascii="宋体" w:hAnsi="宋体" w:cs="宋体"/>
          <w:b/>
          <w:bCs/>
          <w:color w:val="auto"/>
          <w:sz w:val="24"/>
          <w:highlight w:val="none"/>
        </w:rPr>
      </w:pP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二</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付款条件（进度和方式）</w:t>
      </w:r>
    </w:p>
    <w:p w14:paraId="6E9BF876">
      <w:pPr>
        <w:spacing w:line="360" w:lineRule="auto"/>
        <w:ind w:firstLine="480" w:firstLineChars="200"/>
        <w:rPr>
          <w:rFonts w:hint="eastAsia" w:ascii="宋体" w:hAnsi="宋体" w:cs="宋体"/>
          <w:color w:val="auto"/>
          <w:sz w:val="24"/>
          <w:highlight w:val="none"/>
        </w:rPr>
      </w:pPr>
      <w:r>
        <w:rPr>
          <w:rFonts w:hint="eastAsia"/>
          <w:color w:val="auto"/>
          <w:sz w:val="24"/>
          <w:highlight w:val="none"/>
        </w:rPr>
        <w:t>分三阶段支付，</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人收到</w:t>
      </w:r>
      <w:r>
        <w:rPr>
          <w:rFonts w:hint="eastAsia" w:ascii="宋体" w:hAnsi="宋体" w:cs="宋体"/>
          <w:color w:val="auto"/>
          <w:sz w:val="24"/>
          <w:highlight w:val="none"/>
          <w:lang w:val="en-US" w:eastAsia="zh-CN"/>
        </w:rPr>
        <w:t>中标人</w:t>
      </w:r>
      <w:r>
        <w:rPr>
          <w:rFonts w:hint="eastAsia" w:ascii="宋体" w:hAnsi="宋体" w:cs="宋体"/>
          <w:color w:val="auto"/>
          <w:sz w:val="24"/>
          <w:highlight w:val="none"/>
        </w:rPr>
        <w:t>开具的对应金额发票后，10个工作日内完成付款：</w:t>
      </w:r>
    </w:p>
    <w:p w14:paraId="5461B51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第一阶段：合同生效，</w:t>
      </w:r>
      <w:r>
        <w:rPr>
          <w:rFonts w:hint="eastAsia" w:ascii="宋体" w:hAnsi="宋体" w:cs="宋体"/>
          <w:color w:val="auto"/>
          <w:sz w:val="24"/>
          <w:highlight w:val="none"/>
          <w:lang w:val="en-US" w:eastAsia="zh-CN"/>
        </w:rPr>
        <w:t>中标人</w:t>
      </w:r>
      <w:r>
        <w:rPr>
          <w:rFonts w:hint="eastAsia" w:ascii="宋体" w:hAnsi="宋体" w:cs="宋体"/>
          <w:color w:val="auto"/>
          <w:sz w:val="24"/>
          <w:highlight w:val="none"/>
        </w:rPr>
        <w:t>完成进场准备、提交实施计划并经</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人确认后，支付</w:t>
      </w:r>
      <w:r>
        <w:rPr>
          <w:rFonts w:hint="eastAsia" w:ascii="宋体" w:hAnsi="宋体" w:cs="宋体"/>
          <w:color w:val="auto"/>
          <w:sz w:val="24"/>
          <w:highlight w:val="none"/>
          <w:lang w:val="en-US" w:eastAsia="zh-CN"/>
        </w:rPr>
        <w:t>第1年度</w:t>
      </w:r>
      <w:r>
        <w:rPr>
          <w:rFonts w:hint="eastAsia" w:ascii="宋体" w:hAnsi="宋体" w:cs="宋体"/>
          <w:color w:val="auto"/>
          <w:sz w:val="24"/>
          <w:highlight w:val="none"/>
        </w:rPr>
        <w:t>合同</w:t>
      </w:r>
      <w:r>
        <w:rPr>
          <w:rFonts w:hint="eastAsia" w:ascii="宋体" w:hAnsi="宋体" w:cs="宋体"/>
          <w:color w:val="auto"/>
          <w:sz w:val="24"/>
          <w:highlight w:val="none"/>
          <w:lang w:val="en-US" w:eastAsia="zh-CN"/>
        </w:rPr>
        <w:t>金额</w:t>
      </w:r>
      <w:r>
        <w:rPr>
          <w:rFonts w:hint="eastAsia" w:ascii="宋体" w:hAnsi="宋体" w:cs="宋体"/>
          <w:color w:val="auto"/>
          <w:sz w:val="24"/>
          <w:highlight w:val="none"/>
        </w:rPr>
        <w:t>的30%。</w:t>
      </w:r>
    </w:p>
    <w:p w14:paraId="5E4CDC97">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第二阶段：服务满1年，经阶段考核或年度验收合格后，支付</w:t>
      </w:r>
      <w:r>
        <w:rPr>
          <w:rFonts w:hint="eastAsia" w:ascii="宋体" w:hAnsi="宋体" w:cs="宋体"/>
          <w:color w:val="auto"/>
          <w:sz w:val="24"/>
          <w:highlight w:val="none"/>
          <w:lang w:val="en-US" w:eastAsia="zh-CN"/>
        </w:rPr>
        <w:t>第1年度</w:t>
      </w:r>
      <w:r>
        <w:rPr>
          <w:rFonts w:hint="eastAsia" w:ascii="宋体" w:hAnsi="宋体" w:cs="宋体"/>
          <w:color w:val="auto"/>
          <w:sz w:val="24"/>
          <w:highlight w:val="none"/>
        </w:rPr>
        <w:t>合同</w:t>
      </w:r>
      <w:r>
        <w:rPr>
          <w:rFonts w:hint="eastAsia" w:ascii="宋体" w:hAnsi="宋体" w:cs="宋体"/>
          <w:color w:val="auto"/>
          <w:sz w:val="24"/>
          <w:highlight w:val="none"/>
          <w:lang w:val="en-US" w:eastAsia="zh-CN"/>
        </w:rPr>
        <w:t>金额</w:t>
      </w:r>
      <w:r>
        <w:rPr>
          <w:rFonts w:hint="eastAsia" w:ascii="宋体" w:hAnsi="宋体" w:cs="宋体"/>
          <w:color w:val="auto"/>
          <w:sz w:val="24"/>
          <w:highlight w:val="none"/>
        </w:rPr>
        <w:t>的</w:t>
      </w:r>
      <w:r>
        <w:rPr>
          <w:rFonts w:hint="eastAsia" w:ascii="宋体" w:hAnsi="宋体" w:cs="宋体"/>
          <w:color w:val="auto"/>
          <w:sz w:val="24"/>
          <w:highlight w:val="none"/>
          <w:lang w:val="en-US" w:eastAsia="zh-CN"/>
        </w:rPr>
        <w:t>70</w:t>
      </w:r>
      <w:r>
        <w:rPr>
          <w:rFonts w:hint="eastAsia" w:ascii="宋体" w:hAnsi="宋体" w:cs="宋体"/>
          <w:color w:val="auto"/>
          <w:sz w:val="24"/>
          <w:highlight w:val="none"/>
        </w:rPr>
        <w:t>%。</w:t>
      </w:r>
    </w:p>
    <w:p w14:paraId="2FBA175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第三阶段：服务满2年，经第二年度阶段考核或年度验收合格，一次性支付第</w:t>
      </w:r>
      <w:r>
        <w:rPr>
          <w:rFonts w:hint="eastAsia" w:ascii="宋体" w:hAnsi="宋体" w:cs="宋体"/>
          <w:color w:val="auto"/>
          <w:sz w:val="24"/>
          <w:highlight w:val="none"/>
          <w:lang w:eastAsia="zh-CN"/>
        </w:rPr>
        <w:t>2</w:t>
      </w:r>
      <w:r>
        <w:rPr>
          <w:rFonts w:hint="eastAsia" w:ascii="宋体" w:hAnsi="宋体" w:cs="宋体"/>
          <w:color w:val="auto"/>
          <w:sz w:val="24"/>
          <w:highlight w:val="none"/>
        </w:rPr>
        <w:t>年度全额合同价款。</w:t>
      </w:r>
    </w:p>
    <w:p w14:paraId="54EB3D0D">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第</w:t>
      </w:r>
      <w:r>
        <w:rPr>
          <w:rFonts w:hint="eastAsia" w:ascii="宋体" w:hAnsi="宋体" w:cs="宋体"/>
          <w:color w:val="auto"/>
          <w:sz w:val="24"/>
          <w:highlight w:val="none"/>
          <w:lang w:val="en-US" w:eastAsia="zh-CN"/>
        </w:rPr>
        <w:t>四</w:t>
      </w:r>
      <w:r>
        <w:rPr>
          <w:rFonts w:hint="eastAsia" w:ascii="宋体" w:hAnsi="宋体" w:cs="宋体"/>
          <w:color w:val="auto"/>
          <w:sz w:val="24"/>
          <w:highlight w:val="none"/>
        </w:rPr>
        <w:t>阶段：服务满</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年，经第</w:t>
      </w:r>
      <w:r>
        <w:rPr>
          <w:rFonts w:hint="eastAsia" w:ascii="宋体" w:hAnsi="宋体" w:cs="宋体"/>
          <w:color w:val="auto"/>
          <w:sz w:val="24"/>
          <w:highlight w:val="none"/>
          <w:lang w:val="en-US" w:eastAsia="zh-CN"/>
        </w:rPr>
        <w:t>三</w:t>
      </w:r>
      <w:r>
        <w:rPr>
          <w:rFonts w:hint="eastAsia" w:ascii="宋体" w:hAnsi="宋体" w:cs="宋体"/>
          <w:color w:val="auto"/>
          <w:sz w:val="24"/>
          <w:highlight w:val="none"/>
        </w:rPr>
        <w:t>年度阶段考核或年度验收合格，一次性支付第</w:t>
      </w:r>
      <w:r>
        <w:rPr>
          <w:rFonts w:hint="eastAsia" w:ascii="宋体" w:hAnsi="宋体" w:cs="宋体"/>
          <w:color w:val="auto"/>
          <w:sz w:val="24"/>
          <w:highlight w:val="none"/>
          <w:lang w:eastAsia="zh-CN"/>
        </w:rPr>
        <w:t>3</w:t>
      </w:r>
      <w:r>
        <w:rPr>
          <w:rFonts w:hint="eastAsia" w:ascii="宋体" w:hAnsi="宋体" w:cs="宋体"/>
          <w:color w:val="auto"/>
          <w:sz w:val="24"/>
          <w:highlight w:val="none"/>
        </w:rPr>
        <w:t>年度全额合同价款。</w:t>
      </w:r>
    </w:p>
    <w:p w14:paraId="7E10A764">
      <w:pPr>
        <w:spacing w:line="360" w:lineRule="auto"/>
        <w:ind w:firstLine="480"/>
        <w:rPr>
          <w:rFonts w:ascii="宋体" w:hAnsi="宋体" w:cs="宋体"/>
          <w:b/>
          <w:bCs/>
          <w:color w:val="auto"/>
          <w:sz w:val="24"/>
          <w:highlight w:val="none"/>
        </w:rPr>
      </w:pP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三</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报价要求</w:t>
      </w:r>
    </w:p>
    <w:p w14:paraId="1B5CBB5A">
      <w:pPr>
        <w:spacing w:line="360" w:lineRule="auto"/>
        <w:ind w:firstLine="480" w:firstLineChars="200"/>
        <w:rPr>
          <w:rFonts w:ascii="宋体" w:hAnsi="宋体" w:cs="宋体"/>
          <w:b/>
          <w:color w:val="auto"/>
          <w:sz w:val="24"/>
          <w:highlight w:val="none"/>
        </w:rPr>
      </w:pPr>
      <w:r>
        <w:rPr>
          <w:rFonts w:hint="eastAsia" w:ascii="宋体" w:hAnsi="宋体" w:cs="宋体"/>
          <w:color w:val="auto"/>
          <w:sz w:val="24"/>
          <w:highlight w:val="none"/>
        </w:rPr>
        <w:t>本项目为</w:t>
      </w:r>
      <w:r>
        <w:rPr>
          <w:rFonts w:hint="eastAsia" w:ascii="宋体" w:hAnsi="宋体" w:cs="宋体"/>
          <w:b/>
          <w:bCs/>
          <w:color w:val="auto"/>
          <w:sz w:val="24"/>
          <w:highlight w:val="none"/>
          <w:lang w:val="en-US" w:eastAsia="zh-CN"/>
        </w:rPr>
        <w:t>固定总价</w:t>
      </w:r>
      <w:r>
        <w:rPr>
          <w:rFonts w:hint="eastAsia" w:ascii="宋体" w:hAnsi="宋体" w:cs="宋体"/>
          <w:color w:val="auto"/>
          <w:sz w:val="24"/>
          <w:highlight w:val="none"/>
        </w:rPr>
        <w:t>，</w:t>
      </w:r>
      <w:r>
        <w:rPr>
          <w:rFonts w:hint="eastAsia" w:ascii="宋体" w:hAnsi="宋体" w:cs="宋体"/>
          <w:color w:val="auto"/>
          <w:spacing w:val="2"/>
          <w:sz w:val="24"/>
          <w:highlight w:val="none"/>
          <w:lang w:val="en-US" w:eastAsia="zh-CN"/>
        </w:rPr>
        <w:t>投标</w:t>
      </w:r>
      <w:r>
        <w:rPr>
          <w:rFonts w:hint="eastAsia" w:ascii="宋体" w:hAnsi="宋体" w:cs="宋体"/>
          <w:color w:val="auto"/>
          <w:spacing w:val="2"/>
          <w:sz w:val="24"/>
          <w:highlight w:val="none"/>
        </w:rPr>
        <w:t>报价应包括</w:t>
      </w:r>
      <w:r>
        <w:rPr>
          <w:rFonts w:hint="eastAsia" w:ascii="宋体" w:hAnsi="宋体" w:cs="宋体"/>
          <w:color w:val="auto"/>
          <w:spacing w:val="2"/>
          <w:sz w:val="24"/>
          <w:highlight w:val="none"/>
          <w:lang w:val="en-US" w:eastAsia="zh-CN"/>
        </w:rPr>
        <w:t>招标</w:t>
      </w:r>
      <w:r>
        <w:rPr>
          <w:rFonts w:hint="eastAsia" w:ascii="宋体" w:hAnsi="宋体" w:cs="宋体"/>
          <w:color w:val="auto"/>
          <w:spacing w:val="2"/>
          <w:sz w:val="24"/>
          <w:highlight w:val="none"/>
        </w:rPr>
        <w:t>文件所确定的采购范围相应服务的提供、人员（包括工资和补贴）、办公场所及设施、软硬件配套、工具运维、保险、劳保、管理、各种税费、利润、税金、政策性文件规定及合同包含的所有风险、责任等各项应有费用，以及为完成该项服务项目所涉及到的一切相关费用，</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cs="宋体"/>
          <w:color w:val="auto"/>
          <w:spacing w:val="2"/>
          <w:sz w:val="24"/>
          <w:highlight w:val="none"/>
        </w:rPr>
        <w:t>不再支付其他任何费用。</w:t>
      </w:r>
    </w:p>
    <w:p w14:paraId="1A05A6FA">
      <w:pPr>
        <w:snapToGrid/>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项目总则</w:t>
      </w:r>
    </w:p>
    <w:p w14:paraId="65E394EB">
      <w:pPr>
        <w:snapToGrid/>
        <w:spacing w:line="360" w:lineRule="auto"/>
        <w:ind w:firstLine="482" w:firstLineChars="20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一</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项目背景</w:t>
      </w:r>
    </w:p>
    <w:p w14:paraId="3DD94D8D">
      <w:pPr>
        <w:snapToGrid/>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依据国家、省、市关于规范住房租赁市场、推进政务数字化监管、优化住房租赁便民服务等有关要求，</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bCs/>
          <w:color w:val="auto"/>
          <w:sz w:val="24"/>
          <w:szCs w:val="24"/>
          <w:highlight w:val="none"/>
        </w:rPr>
        <w:t>拟</w:t>
      </w:r>
      <w:r>
        <w:rPr>
          <w:rFonts w:hint="eastAsia" w:ascii="宋体" w:hAnsi="宋体" w:cs="宋体"/>
          <w:bCs/>
          <w:color w:val="auto"/>
          <w:sz w:val="24"/>
          <w:szCs w:val="24"/>
          <w:highlight w:val="none"/>
          <w:lang w:val="en-US" w:eastAsia="zh-CN"/>
        </w:rPr>
        <w:t>采购</w:t>
      </w:r>
      <w:r>
        <w:rPr>
          <w:rFonts w:hint="eastAsia" w:ascii="宋体" w:hAnsi="宋体" w:eastAsia="宋体" w:cs="宋体"/>
          <w:bCs/>
          <w:color w:val="auto"/>
          <w:sz w:val="24"/>
          <w:szCs w:val="24"/>
          <w:highlight w:val="none"/>
        </w:rPr>
        <w:t>具备住房租赁</w:t>
      </w:r>
      <w:r>
        <w:rPr>
          <w:rFonts w:hint="eastAsia" w:ascii="宋体" w:hAnsi="宋体" w:cs="宋体"/>
          <w:bCs/>
          <w:color w:val="auto"/>
          <w:sz w:val="24"/>
          <w:szCs w:val="24"/>
          <w:highlight w:val="none"/>
          <w:lang w:val="en-US" w:eastAsia="zh-CN"/>
        </w:rPr>
        <w:t>数字化</w:t>
      </w:r>
      <w:r>
        <w:rPr>
          <w:rFonts w:hint="eastAsia" w:ascii="宋体" w:hAnsi="宋体" w:eastAsia="宋体" w:cs="宋体"/>
          <w:bCs/>
          <w:color w:val="auto"/>
          <w:sz w:val="24"/>
          <w:szCs w:val="24"/>
          <w:highlight w:val="none"/>
        </w:rPr>
        <w:t>监管运营服务能力、住建业务协同经验和数据安全保障能力的</w:t>
      </w:r>
      <w:r>
        <w:rPr>
          <w:rFonts w:hint="eastAsia" w:ascii="宋体" w:hAnsi="宋体" w:cs="宋体"/>
          <w:color w:val="auto"/>
          <w:kern w:val="0"/>
          <w:sz w:val="24"/>
          <w:szCs w:val="24"/>
          <w:highlight w:val="none"/>
          <w:lang w:val="en-US" w:eastAsia="zh-CN"/>
        </w:rPr>
        <w:t>投标人</w:t>
      </w:r>
      <w:r>
        <w:rPr>
          <w:rFonts w:hint="eastAsia" w:ascii="宋体" w:hAnsi="宋体" w:eastAsia="宋体" w:cs="宋体"/>
          <w:bCs/>
          <w:color w:val="auto"/>
          <w:sz w:val="24"/>
          <w:szCs w:val="24"/>
          <w:highlight w:val="none"/>
        </w:rPr>
        <w:t>，围绕常州市住房租赁监管业务提供持续性运营支撑。</w:t>
      </w:r>
    </w:p>
    <w:p w14:paraId="0F041EC8">
      <w:pPr>
        <w:snapToGrid/>
        <w:spacing w:line="360" w:lineRule="auto"/>
        <w:ind w:firstLine="482" w:firstLineChars="20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二</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项目目标</w:t>
      </w:r>
    </w:p>
    <w:p w14:paraId="2C1DA28B">
      <w:pPr>
        <w:snapToGrid/>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支撑住房租赁监管相关业务持续、规范、有序运行，提升日常服务响应和事务办理效率。</w:t>
      </w:r>
    </w:p>
    <w:p w14:paraId="07F177B4">
      <w:pPr>
        <w:snapToGrid/>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rPr>
        <w:t>协助</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bCs/>
          <w:color w:val="auto"/>
          <w:sz w:val="24"/>
          <w:szCs w:val="24"/>
          <w:highlight w:val="none"/>
        </w:rPr>
        <w:t>开展市场主体、房源、合同、租金相关基础信息、咨询投诉、工单流转等数据和资料的整理、核对、归集和台账维护。</w:t>
      </w:r>
    </w:p>
    <w:p w14:paraId="5589F9A0">
      <w:pPr>
        <w:snapToGrid/>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rPr>
        <w:t>围绕业务受理、材料整理、流程流转、统计报送、政策宣传、培训咨询等事项提供运营服务支撑，保障业务过程可记录、问题处理可追踪、资料成果可交接。</w:t>
      </w:r>
    </w:p>
    <w:p w14:paraId="293A42AC">
      <w:pPr>
        <w:snapToGrid/>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rPr>
        <w:t>依托成熟稳定的服务配套工具和必要配套资源，提高运营服务效率，但不以单独交付软件产品、硬件设备或系统建设成果作为项目目标。</w:t>
      </w:r>
    </w:p>
    <w:p w14:paraId="3B1C8844">
      <w:pPr>
        <w:snapToGrid/>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rPr>
        <w:t>建立安全、保密、运维、交接和服务质量管理机制，保障服务期内业务连续、安全合规、责任边界清晰。</w:t>
      </w:r>
    </w:p>
    <w:p w14:paraId="50A472FE">
      <w:pPr>
        <w:snapToGrid/>
        <w:spacing w:line="360" w:lineRule="auto"/>
        <w:ind w:firstLine="482" w:firstLineChars="20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val="en-US" w:eastAsia="zh-CN"/>
        </w:rPr>
        <w:t>三</w:t>
      </w:r>
      <w:r>
        <w:rPr>
          <w:rFonts w:hint="eastAsia" w:ascii="宋体" w:hAnsi="宋体" w:eastAsia="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项目定位与采购内容</w:t>
      </w:r>
    </w:p>
    <w:p w14:paraId="4FDC4F64">
      <w:pPr>
        <w:snapToGrid/>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本项目</w:t>
      </w:r>
      <w:r>
        <w:rPr>
          <w:rFonts w:hint="eastAsia" w:ascii="宋体" w:hAnsi="宋体" w:cs="宋体"/>
          <w:bCs/>
          <w:color w:val="auto"/>
          <w:sz w:val="24"/>
          <w:szCs w:val="24"/>
          <w:highlight w:val="none"/>
          <w:lang w:val="en-US" w:eastAsia="zh-CN"/>
        </w:rPr>
        <w:t>为</w:t>
      </w:r>
      <w:r>
        <w:rPr>
          <w:rFonts w:hint="eastAsia" w:ascii="宋体" w:hAnsi="宋体" w:eastAsia="宋体" w:cs="宋体"/>
          <w:bCs/>
          <w:color w:val="auto"/>
          <w:sz w:val="24"/>
          <w:szCs w:val="24"/>
          <w:highlight w:val="none"/>
        </w:rPr>
        <w:t>常州市住房租赁监管运营支撑服务。采购内容包括日常运营支撑服务、业务资料整理与数据治理服务、业务协同和统计报送服务、技术运维与安全保障服务、培训咨询服务、服务过程资料整理及期满交接等。</w:t>
      </w:r>
    </w:p>
    <w:p w14:paraId="51DE965B">
      <w:pPr>
        <w:snapToGrid/>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投标人</w:t>
      </w:r>
      <w:r>
        <w:rPr>
          <w:rFonts w:hint="eastAsia" w:ascii="宋体" w:hAnsi="宋体" w:eastAsia="宋体" w:cs="宋体"/>
          <w:bCs/>
          <w:color w:val="auto"/>
          <w:sz w:val="24"/>
          <w:szCs w:val="24"/>
          <w:highlight w:val="none"/>
        </w:rPr>
        <w:t>可提供成熟、稳定、可</w:t>
      </w:r>
      <w:r>
        <w:rPr>
          <w:rFonts w:hint="eastAsia" w:ascii="宋体" w:hAnsi="宋体" w:eastAsia="宋体" w:cs="宋体"/>
          <w:bCs/>
          <w:color w:val="auto"/>
          <w:sz w:val="24"/>
          <w:szCs w:val="24"/>
          <w:highlight w:val="none"/>
        </w:rPr>
        <w:t>配置的成品软件或服务支撑工具、必要软硬件环境、办公及培训物资、操作手册、表单模板和其他辅助资料作为履约配套。上述配套内容应服从运营服务需要，不改变本项目服务类采购性质；除合同另有约定外，</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bCs/>
          <w:color w:val="auto"/>
          <w:sz w:val="24"/>
          <w:szCs w:val="24"/>
          <w:highlight w:val="none"/>
        </w:rPr>
        <w:t>不要求</w:t>
      </w:r>
      <w:r>
        <w:rPr>
          <w:rFonts w:hint="eastAsia" w:ascii="宋体" w:hAnsi="宋体" w:cs="宋体"/>
          <w:bCs/>
          <w:color w:val="auto"/>
          <w:sz w:val="24"/>
          <w:szCs w:val="24"/>
          <w:highlight w:val="none"/>
          <w:lang w:val="en-US" w:eastAsia="zh-CN"/>
        </w:rPr>
        <w:t>投标人</w:t>
      </w:r>
      <w:r>
        <w:rPr>
          <w:rFonts w:hint="eastAsia" w:ascii="宋体" w:hAnsi="宋体" w:eastAsia="宋体" w:cs="宋体"/>
          <w:bCs/>
          <w:color w:val="auto"/>
          <w:sz w:val="24"/>
          <w:szCs w:val="24"/>
          <w:highlight w:val="none"/>
        </w:rPr>
        <w:t>交付软件源代码、软件著作权、底层数据库管理权限、硬件资产或单独形成系统建设成果。</w:t>
      </w:r>
    </w:p>
    <w:p w14:paraId="633AF188">
      <w:pPr>
        <w:snapToGrid/>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投标人</w:t>
      </w:r>
      <w:r>
        <w:rPr>
          <w:rFonts w:hint="eastAsia" w:ascii="宋体" w:hAnsi="宋体" w:eastAsia="宋体" w:cs="宋体"/>
          <w:bCs/>
          <w:color w:val="auto"/>
          <w:sz w:val="24"/>
          <w:szCs w:val="24"/>
          <w:highlight w:val="none"/>
        </w:rPr>
        <w:t>应充分衔接本市住房租赁监管及相关资金监管业务机制，具备对接银行等金融机构支付、交易流水、账单对账等业务的能力。在</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bCs/>
          <w:color w:val="auto"/>
          <w:sz w:val="24"/>
          <w:szCs w:val="24"/>
          <w:highlight w:val="none"/>
        </w:rPr>
        <w:t>完成授权、相关金融机构开放接口并具备网络安全和数据共享条件的前提下，可开展支付信息协同、交易流水查询、监管账户关联、账单对账、问题跟踪和资料整理等配合服务。涉及资金划转、资金处置或监管判断的事项，由</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bCs/>
          <w:color w:val="auto"/>
          <w:sz w:val="24"/>
          <w:szCs w:val="24"/>
          <w:highlight w:val="none"/>
        </w:rPr>
        <w:t>、主管部门或相关金融机构依法依规</w:t>
      </w:r>
      <w:r>
        <w:rPr>
          <w:rFonts w:hint="eastAsia" w:ascii="宋体" w:hAnsi="宋体" w:eastAsia="宋体" w:cs="宋体"/>
          <w:bCs/>
          <w:color w:val="auto"/>
          <w:sz w:val="24"/>
          <w:szCs w:val="24"/>
          <w:highlight w:val="none"/>
        </w:rPr>
        <w:t>确认，</w:t>
      </w:r>
      <w:r>
        <w:rPr>
          <w:rFonts w:hint="eastAsia" w:ascii="宋体" w:hAnsi="宋体" w:cs="宋体"/>
          <w:bCs/>
          <w:color w:val="auto"/>
          <w:sz w:val="24"/>
          <w:szCs w:val="24"/>
          <w:highlight w:val="none"/>
          <w:lang w:val="en-US" w:eastAsia="zh-CN"/>
        </w:rPr>
        <w:t>投标人</w:t>
      </w:r>
      <w:r>
        <w:rPr>
          <w:rFonts w:hint="eastAsia" w:ascii="宋体" w:hAnsi="宋体" w:eastAsia="宋体" w:cs="宋体"/>
          <w:bCs/>
          <w:color w:val="auto"/>
          <w:sz w:val="24"/>
          <w:szCs w:val="24"/>
          <w:highlight w:val="none"/>
        </w:rPr>
        <w:t>仅提供运营辅助和资料支撑。</w:t>
      </w:r>
    </w:p>
    <w:p w14:paraId="6750CB64">
      <w:pPr>
        <w:snapToGrid/>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因政策调整、第三方系统接口条件、数据共享授权、监管规则变化、业务流程优化或</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bCs/>
          <w:color w:val="auto"/>
          <w:sz w:val="24"/>
          <w:szCs w:val="24"/>
          <w:highlight w:val="none"/>
        </w:rPr>
        <w:t>工作安排变化，需要对具体支撑事项进行调整的，双方可通过书面确认、会议纪要、工作联系单或服务台账明确调整内容、责任边界、完成方式和验收材料。</w:t>
      </w:r>
    </w:p>
    <w:p w14:paraId="1AC48854">
      <w:pPr>
        <w:tabs>
          <w:tab w:val="left" w:pos="735"/>
          <w:tab w:val="left" w:pos="945"/>
          <w:tab w:val="left" w:pos="1155"/>
        </w:tabs>
        <w:spacing w:line="360" w:lineRule="auto"/>
        <w:jc w:val="left"/>
        <w:rPr>
          <w:rFonts w:hint="eastAsia" w:ascii="宋体" w:hAnsi="宋体" w:eastAsia="宋体" w:cs="宋体"/>
          <w:bCs/>
          <w:color w:val="auto"/>
          <w:sz w:val="24"/>
          <w:szCs w:val="24"/>
          <w:highlight w:val="none"/>
        </w:rPr>
      </w:pPr>
      <w:r>
        <w:rPr>
          <w:rFonts w:hint="eastAsia" w:ascii="宋体" w:hAnsi="宋体" w:cs="宋体"/>
          <w:b/>
          <w:color w:val="auto"/>
          <w:sz w:val="24"/>
          <w:highlight w:val="none"/>
          <w:lang w:val="en-US" w:eastAsia="zh-CN"/>
        </w:rPr>
        <w:t>四</w:t>
      </w:r>
      <w:r>
        <w:rPr>
          <w:rFonts w:hint="eastAsia" w:ascii="宋体" w:hAnsi="宋体" w:cs="宋体"/>
          <w:b/>
          <w:color w:val="auto"/>
          <w:sz w:val="24"/>
          <w:highlight w:val="none"/>
        </w:rPr>
        <w:t>、技术要求</w:t>
      </w:r>
    </w:p>
    <w:p w14:paraId="51A6A8BF">
      <w:pPr>
        <w:snapToGrid/>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服务内容及要求</w:t>
      </w:r>
    </w:p>
    <w:p w14:paraId="01A4855A">
      <w:pPr>
        <w:snapToGrid/>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投标人</w:t>
      </w:r>
      <w:r>
        <w:rPr>
          <w:rFonts w:hint="eastAsia" w:ascii="宋体" w:hAnsi="宋体" w:eastAsia="宋体" w:cs="宋体"/>
          <w:bCs/>
          <w:color w:val="auto"/>
          <w:sz w:val="24"/>
          <w:szCs w:val="24"/>
          <w:highlight w:val="none"/>
        </w:rPr>
        <w:t>应围绕</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bCs/>
          <w:color w:val="auto"/>
          <w:sz w:val="24"/>
          <w:szCs w:val="24"/>
          <w:highlight w:val="none"/>
        </w:rPr>
        <w:t>住房租赁监管和便民服务工作需要，提供全周期运营支撑服务。下列内容为服务方向和支撑范围：</w:t>
      </w:r>
    </w:p>
    <w:p w14:paraId="1F9C78A2">
      <w:pPr>
        <w:snapToGrid/>
        <w:spacing w:line="360" w:lineRule="auto"/>
        <w:ind w:firstLine="482" w:firstLineChars="20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1.</w:t>
      </w:r>
      <w:r>
        <w:rPr>
          <w:rFonts w:hint="eastAsia" w:ascii="宋体" w:hAnsi="宋体" w:eastAsia="宋体" w:cs="宋体"/>
          <w:b/>
          <w:bCs w:val="0"/>
          <w:color w:val="auto"/>
          <w:sz w:val="24"/>
          <w:szCs w:val="24"/>
          <w:highlight w:val="none"/>
        </w:rPr>
        <w:t>综合运营支撑服务</w:t>
      </w:r>
    </w:p>
    <w:p w14:paraId="50CC9566">
      <w:pPr>
        <w:snapToGrid/>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协助</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bCs/>
          <w:color w:val="auto"/>
          <w:sz w:val="24"/>
          <w:szCs w:val="24"/>
          <w:highlight w:val="none"/>
        </w:rPr>
        <w:t>梳理住房租赁监管日常服务流程，建立工作台账、问题处理台账、数据处理台账、培训咨询台账和阶段报告机制。</w:t>
      </w:r>
    </w:p>
    <w:p w14:paraId="538C5863">
      <w:pPr>
        <w:snapToGrid/>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协助开展日常业务咨询、资料收集、信息录入、流程流转、结果反馈、统计报送和资料归档等事务性工作。</w:t>
      </w:r>
    </w:p>
    <w:p w14:paraId="4A27A688">
      <w:pPr>
        <w:snapToGrid/>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对服务过程中形成的问题、需求、风险线索和用户反馈进行汇总，按</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bCs/>
          <w:color w:val="auto"/>
          <w:sz w:val="24"/>
          <w:szCs w:val="24"/>
          <w:highlight w:val="none"/>
        </w:rPr>
        <w:t>要求提出处理建议或优化建议。</w:t>
      </w:r>
    </w:p>
    <w:p w14:paraId="6E2C7DB4">
      <w:pPr>
        <w:snapToGrid/>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根据</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bCs/>
          <w:color w:val="auto"/>
          <w:sz w:val="24"/>
          <w:szCs w:val="24"/>
          <w:highlight w:val="none"/>
        </w:rPr>
        <w:t>阶段工作安排，配合做好政策宣传、业务通知、操作指引和服务资料更新等日常运营事项。</w:t>
      </w:r>
    </w:p>
    <w:p w14:paraId="3BDF5B7A">
      <w:pPr>
        <w:snapToGrid/>
        <w:spacing w:line="360" w:lineRule="auto"/>
        <w:ind w:firstLine="482" w:firstLineChars="20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2.</w:t>
      </w:r>
      <w:r>
        <w:rPr>
          <w:rFonts w:hint="eastAsia" w:ascii="宋体" w:hAnsi="宋体" w:eastAsia="宋体" w:cs="宋体"/>
          <w:b/>
          <w:bCs w:val="0"/>
          <w:color w:val="auto"/>
          <w:sz w:val="24"/>
          <w:szCs w:val="24"/>
          <w:highlight w:val="none"/>
        </w:rPr>
        <w:t>市场主体服务支撑</w:t>
      </w:r>
    </w:p>
    <w:p w14:paraId="02C51F2E">
      <w:pPr>
        <w:snapToGrid/>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协助开展住房租赁企业、房地产经纪机构、门店、品牌、从业人员等信息的归集、核对、更新、查询、统计和日常维护。</w:t>
      </w:r>
    </w:p>
    <w:p w14:paraId="5F49E29A">
      <w:pPr>
        <w:snapToGrid/>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为市场主体在线申请、材料上传、信息填报、进度查询、证明下载等事项提供工具操作、材料形式检查和流程技术支撑。</w:t>
      </w:r>
    </w:p>
    <w:p w14:paraId="3087254F">
      <w:pPr>
        <w:snapToGrid/>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协助</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bCs/>
          <w:color w:val="auto"/>
          <w:sz w:val="24"/>
          <w:szCs w:val="24"/>
          <w:highlight w:val="none"/>
        </w:rPr>
        <w:t>维护账号、角色、权限、操作记录等管理机制，保障不同主体按照授权范围使用相关服务。</w:t>
      </w:r>
    </w:p>
    <w:p w14:paraId="4BAF1FBD">
      <w:pPr>
        <w:snapToGrid/>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对主体信息缺失、重复、异常或需人工复核的情况形成记录，并按</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bCs/>
          <w:color w:val="auto"/>
          <w:sz w:val="24"/>
          <w:szCs w:val="24"/>
          <w:highlight w:val="none"/>
        </w:rPr>
        <w:t>要求流转处理。</w:t>
      </w:r>
    </w:p>
    <w:p w14:paraId="18617FE9">
      <w:pPr>
        <w:snapToGrid/>
        <w:spacing w:line="360" w:lineRule="auto"/>
        <w:ind w:firstLine="482" w:firstLineChars="20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3.</w:t>
      </w:r>
      <w:r>
        <w:rPr>
          <w:rFonts w:hint="eastAsia" w:ascii="宋体" w:hAnsi="宋体" w:eastAsia="宋体" w:cs="宋体"/>
          <w:b/>
          <w:bCs w:val="0"/>
          <w:color w:val="auto"/>
          <w:sz w:val="24"/>
          <w:szCs w:val="24"/>
          <w:highlight w:val="none"/>
        </w:rPr>
        <w:t>房源信息服务支撑</w:t>
      </w:r>
    </w:p>
    <w:p w14:paraId="6F74D6D9">
      <w:pPr>
        <w:snapToGrid/>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协助开展房源信息登记、房源状态维护、房源信息质量检查、异常房源线索整理、上下架状态维护和房源查询展示支撑。</w:t>
      </w:r>
    </w:p>
    <w:p w14:paraId="70632E6D">
      <w:pPr>
        <w:snapToGrid/>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在不动产、地址、第三方房源平台等数据或接口条件具备的前提下，配合</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bCs/>
          <w:color w:val="auto"/>
          <w:sz w:val="24"/>
          <w:szCs w:val="24"/>
          <w:highlight w:val="none"/>
        </w:rPr>
        <w:t>开展房源信息核验、同步、比对和状态更新。</w:t>
      </w:r>
    </w:p>
    <w:p w14:paraId="27F90582">
      <w:pPr>
        <w:snapToGrid/>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对业务中发现的房源信息缺失、重复、异常或需要人工复核的情况形成台账，并按</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bCs/>
          <w:color w:val="auto"/>
          <w:sz w:val="24"/>
          <w:szCs w:val="24"/>
          <w:highlight w:val="none"/>
        </w:rPr>
        <w:t>要求进行提示、流转和归档。</w:t>
      </w:r>
    </w:p>
    <w:p w14:paraId="17551416">
      <w:pPr>
        <w:snapToGrid/>
        <w:spacing w:line="360" w:lineRule="auto"/>
        <w:ind w:firstLine="482" w:firstLineChars="20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4.</w:t>
      </w:r>
      <w:r>
        <w:rPr>
          <w:rFonts w:hint="eastAsia" w:ascii="宋体" w:hAnsi="宋体" w:eastAsia="宋体" w:cs="宋体"/>
          <w:b/>
          <w:bCs w:val="0"/>
          <w:color w:val="auto"/>
          <w:sz w:val="24"/>
          <w:szCs w:val="24"/>
          <w:highlight w:val="none"/>
        </w:rPr>
        <w:t>合同网签备案支撑</w:t>
      </w:r>
    </w:p>
    <w:p w14:paraId="35F04AE3">
      <w:pPr>
        <w:snapToGrid/>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配合</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bCs/>
          <w:color w:val="auto"/>
          <w:sz w:val="24"/>
          <w:szCs w:val="24"/>
          <w:highlight w:val="none"/>
        </w:rPr>
        <w:t>做好租赁合同范本、备案申请材料、附件材料、备案证明、合同档案等基础资料的维护协助工作，具体范围和方式以</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bCs/>
          <w:color w:val="auto"/>
          <w:sz w:val="24"/>
          <w:szCs w:val="24"/>
          <w:highlight w:val="none"/>
        </w:rPr>
        <w:t>安排为准。</w:t>
      </w:r>
    </w:p>
    <w:p w14:paraId="5E75B776">
      <w:pPr>
        <w:snapToGrid/>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在相关条件具备的情况下，为合同在线签署、纸质合同资料补录、备案申请发起、流程流转、备案证明生成、续签、解约等事项提供必要的技术支撑和台账记录协助。</w:t>
      </w:r>
    </w:p>
    <w:p w14:paraId="650C1144">
      <w:pPr>
        <w:snapToGrid/>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备案审核、备案结论、备案证明效力确认等事项由</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bCs/>
          <w:color w:val="auto"/>
          <w:sz w:val="24"/>
          <w:szCs w:val="24"/>
          <w:highlight w:val="none"/>
        </w:rPr>
        <w:t>或主管部门依法作出，</w:t>
      </w:r>
      <w:r>
        <w:rPr>
          <w:rFonts w:hint="eastAsia" w:ascii="宋体" w:hAnsi="宋体" w:cs="宋体"/>
          <w:color w:val="auto"/>
          <w:kern w:val="0"/>
          <w:sz w:val="24"/>
          <w:szCs w:val="24"/>
          <w:highlight w:val="none"/>
          <w:lang w:val="en-US" w:eastAsia="zh-CN"/>
        </w:rPr>
        <w:t>投标人</w:t>
      </w:r>
      <w:r>
        <w:rPr>
          <w:rFonts w:hint="eastAsia" w:ascii="宋体" w:hAnsi="宋体" w:eastAsia="宋体" w:cs="宋体"/>
          <w:bCs/>
          <w:color w:val="auto"/>
          <w:sz w:val="24"/>
          <w:szCs w:val="24"/>
          <w:highlight w:val="none"/>
        </w:rPr>
        <w:t>仅提供流程</w:t>
      </w:r>
      <w:r>
        <w:rPr>
          <w:rFonts w:hint="eastAsia" w:ascii="宋体" w:hAnsi="宋体" w:eastAsia="宋体" w:cs="宋体"/>
          <w:bCs/>
          <w:color w:val="auto"/>
          <w:sz w:val="24"/>
          <w:szCs w:val="24"/>
          <w:highlight w:val="none"/>
        </w:rPr>
        <w:t>支撑、资料辅助和操作服务。</w:t>
      </w:r>
    </w:p>
    <w:p w14:paraId="1AFF5105">
      <w:pPr>
        <w:snapToGrid/>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根据</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bCs/>
          <w:color w:val="auto"/>
          <w:sz w:val="24"/>
          <w:szCs w:val="24"/>
          <w:highlight w:val="none"/>
        </w:rPr>
        <w:t>工作安排，配合开展租金基础信息、监管账户关联信息、账单对账记录和异常线索等材料整理及台账维护；涉及资金划转、资金处置和监管判断的事项，由</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bCs/>
          <w:color w:val="auto"/>
          <w:sz w:val="24"/>
          <w:szCs w:val="24"/>
          <w:highlight w:val="none"/>
        </w:rPr>
        <w:t>、主管部门或相关银行等金融机构依</w:t>
      </w:r>
      <w:r>
        <w:rPr>
          <w:rFonts w:hint="eastAsia" w:ascii="宋体" w:hAnsi="宋体" w:eastAsia="宋体" w:cs="宋体"/>
          <w:bCs/>
          <w:color w:val="auto"/>
          <w:sz w:val="24"/>
          <w:szCs w:val="24"/>
          <w:highlight w:val="none"/>
        </w:rPr>
        <w:t>法依规确认，</w:t>
      </w:r>
      <w:r>
        <w:rPr>
          <w:rFonts w:hint="eastAsia" w:ascii="宋体" w:hAnsi="宋体" w:cs="宋体"/>
          <w:color w:val="auto"/>
          <w:kern w:val="0"/>
          <w:sz w:val="24"/>
          <w:szCs w:val="24"/>
          <w:highlight w:val="none"/>
          <w:lang w:val="en-US" w:eastAsia="zh-CN"/>
        </w:rPr>
        <w:t>投标人</w:t>
      </w:r>
      <w:r>
        <w:rPr>
          <w:rFonts w:hint="eastAsia" w:ascii="宋体" w:hAnsi="宋体" w:eastAsia="宋体" w:cs="宋体"/>
          <w:bCs/>
          <w:color w:val="auto"/>
          <w:sz w:val="24"/>
          <w:szCs w:val="24"/>
          <w:highlight w:val="none"/>
        </w:rPr>
        <w:t>仅提供辅助支撑。</w:t>
      </w:r>
    </w:p>
    <w:p w14:paraId="4FD3F532">
      <w:pPr>
        <w:snapToGrid/>
        <w:spacing w:line="360" w:lineRule="auto"/>
        <w:ind w:firstLine="482" w:firstLineChars="20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5.</w:t>
      </w:r>
      <w:r>
        <w:rPr>
          <w:rFonts w:hint="eastAsia" w:ascii="宋体" w:hAnsi="宋体" w:eastAsia="宋体" w:cs="宋体"/>
          <w:b/>
          <w:bCs w:val="0"/>
          <w:color w:val="auto"/>
          <w:sz w:val="24"/>
          <w:szCs w:val="24"/>
          <w:highlight w:val="none"/>
        </w:rPr>
        <w:t>信用信息与风险线索整理支撑</w:t>
      </w:r>
    </w:p>
    <w:p w14:paraId="11726AD7">
      <w:pPr>
        <w:snapToGrid/>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协助</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bCs/>
          <w:color w:val="auto"/>
          <w:sz w:val="24"/>
          <w:szCs w:val="24"/>
          <w:highlight w:val="none"/>
        </w:rPr>
        <w:t>归集市场主体备案、合同履约、投诉处理、异常线索等基础信息，为后续信用档案维护、风险线索梳理或监管参考提供资料支撑。</w:t>
      </w:r>
    </w:p>
    <w:p w14:paraId="6D796E41">
      <w:pPr>
        <w:snapToGrid/>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根据</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bCs/>
          <w:color w:val="auto"/>
          <w:sz w:val="24"/>
          <w:szCs w:val="24"/>
          <w:highlight w:val="none"/>
        </w:rPr>
        <w:t>确认的规则和实际数据条件，对高频投诉、业务办理异常、对账异常、信息填报异常等情况进行必要的信息整理和技术提示。</w:t>
      </w:r>
    </w:p>
    <w:p w14:paraId="7BB750F3">
      <w:pPr>
        <w:snapToGrid/>
        <w:spacing w:line="360" w:lineRule="auto"/>
        <w:ind w:firstLine="482" w:firstLineChars="20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6.</w:t>
      </w:r>
      <w:r>
        <w:rPr>
          <w:rFonts w:hint="eastAsia" w:ascii="宋体" w:hAnsi="宋体" w:eastAsia="宋体" w:cs="宋体"/>
          <w:b/>
          <w:bCs w:val="0"/>
          <w:color w:val="auto"/>
          <w:sz w:val="24"/>
          <w:szCs w:val="24"/>
          <w:highlight w:val="none"/>
        </w:rPr>
        <w:t>统计报送与专项材料支撑</w:t>
      </w:r>
    </w:p>
    <w:p w14:paraId="42A97935">
      <w:pPr>
        <w:snapToGrid/>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围绕市场主体、房源、合同、备案、租金基础信息、投诉纠纷、工单流转等业务数据，根据</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bCs/>
          <w:color w:val="auto"/>
          <w:sz w:val="24"/>
          <w:szCs w:val="24"/>
          <w:highlight w:val="none"/>
        </w:rPr>
        <w:t>需要协助形成统计报表和工作台账。</w:t>
      </w:r>
    </w:p>
    <w:p w14:paraId="7A9BB4B3">
      <w:pPr>
        <w:snapToGrid/>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根据</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bCs/>
          <w:color w:val="auto"/>
          <w:sz w:val="24"/>
          <w:szCs w:val="24"/>
          <w:highlight w:val="none"/>
        </w:rPr>
        <w:t>阶段性工作需要，配合整理市场运行情况、区域分布、主体活跃度、服务事项处理情况等参考性材料。</w:t>
      </w:r>
    </w:p>
    <w:p w14:paraId="42703E0C">
      <w:pPr>
        <w:snapToGrid/>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统计口径、报送范围、报告形式和报送频次，以政策要求、数据条件和</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bCs/>
          <w:color w:val="auto"/>
          <w:sz w:val="24"/>
          <w:szCs w:val="24"/>
          <w:highlight w:val="none"/>
        </w:rPr>
        <w:t>实际工作安排为准。</w:t>
      </w:r>
    </w:p>
    <w:p w14:paraId="6709387C">
      <w:pPr>
        <w:snapToGrid/>
        <w:spacing w:line="360" w:lineRule="auto"/>
        <w:ind w:firstLine="482" w:firstLineChars="20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7.</w:t>
      </w:r>
      <w:r>
        <w:rPr>
          <w:rFonts w:hint="eastAsia" w:ascii="宋体" w:hAnsi="宋体" w:eastAsia="宋体" w:cs="宋体"/>
          <w:b/>
          <w:bCs w:val="0"/>
          <w:color w:val="auto"/>
          <w:sz w:val="24"/>
          <w:szCs w:val="24"/>
          <w:highlight w:val="none"/>
        </w:rPr>
        <w:t>纠纷工单流转与便民服务支撑</w:t>
      </w:r>
    </w:p>
    <w:p w14:paraId="67C8DCFD">
      <w:pPr>
        <w:snapToGrid/>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为租赁双方咨询、投诉、建议、纠纷等事项提供登记、工单生成、流程流转、进度记录、台账归档等技术支撑协助。</w:t>
      </w:r>
    </w:p>
    <w:p w14:paraId="1FD2BDFD">
      <w:pPr>
        <w:snapToGrid/>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协助开展政策宣传、办事指南维护、操作指引编制、常见问题整理、门户信息维护、用户咨询答复等便民服务支撑，具体内容以</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bCs/>
          <w:color w:val="auto"/>
          <w:sz w:val="24"/>
          <w:szCs w:val="24"/>
          <w:highlight w:val="none"/>
        </w:rPr>
        <w:t>安排为准。</w:t>
      </w:r>
    </w:p>
    <w:p w14:paraId="72CF51D9">
      <w:pPr>
        <w:snapToGrid/>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纠纷调处、责任认定、处理决定和行政处置，由</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bCs/>
          <w:color w:val="auto"/>
          <w:sz w:val="24"/>
          <w:szCs w:val="24"/>
          <w:highlight w:val="none"/>
        </w:rPr>
        <w:t>或主管部门依法负责，</w:t>
      </w:r>
      <w:r>
        <w:rPr>
          <w:rFonts w:hint="eastAsia" w:ascii="宋体" w:hAnsi="宋体" w:cs="宋体"/>
          <w:color w:val="auto"/>
          <w:kern w:val="0"/>
          <w:sz w:val="24"/>
          <w:szCs w:val="24"/>
          <w:highlight w:val="none"/>
          <w:lang w:val="en-US" w:eastAsia="zh-CN"/>
        </w:rPr>
        <w:t>投标人</w:t>
      </w:r>
      <w:r>
        <w:rPr>
          <w:rFonts w:hint="eastAsia" w:ascii="宋体" w:hAnsi="宋体" w:eastAsia="宋体" w:cs="宋体"/>
          <w:bCs/>
          <w:color w:val="auto"/>
          <w:sz w:val="24"/>
          <w:szCs w:val="24"/>
          <w:highlight w:val="none"/>
        </w:rPr>
        <w:t>不替代作出任何结论。</w:t>
      </w:r>
    </w:p>
    <w:p w14:paraId="1683E1DA">
      <w:pPr>
        <w:snapToGrid/>
        <w:spacing w:line="360" w:lineRule="auto"/>
        <w:ind w:firstLine="482" w:firstLineChars="20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8.</w:t>
      </w:r>
      <w:r>
        <w:rPr>
          <w:rFonts w:hint="eastAsia" w:ascii="宋体" w:hAnsi="宋体" w:eastAsia="宋体" w:cs="宋体"/>
          <w:b/>
          <w:bCs w:val="0"/>
          <w:color w:val="auto"/>
          <w:sz w:val="24"/>
          <w:szCs w:val="24"/>
          <w:highlight w:val="none"/>
        </w:rPr>
        <w:t>业</w:t>
      </w:r>
      <w:r>
        <w:rPr>
          <w:rFonts w:hint="eastAsia" w:ascii="宋体" w:hAnsi="宋体" w:eastAsia="宋体" w:cs="宋体"/>
          <w:b/>
          <w:bCs w:val="0"/>
          <w:color w:val="auto"/>
          <w:sz w:val="24"/>
          <w:szCs w:val="24"/>
          <w:highlight w:val="none"/>
        </w:rPr>
        <w:t>务协同与数据共享支撑</w:t>
      </w:r>
    </w:p>
    <w:p w14:paraId="5C7C30F3">
      <w:pPr>
        <w:snapToGrid/>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投标人</w:t>
      </w:r>
      <w:r>
        <w:rPr>
          <w:rFonts w:hint="eastAsia" w:ascii="宋体" w:hAnsi="宋体" w:eastAsia="宋体" w:cs="宋体"/>
          <w:bCs/>
          <w:color w:val="auto"/>
          <w:sz w:val="24"/>
          <w:szCs w:val="24"/>
          <w:highlight w:val="none"/>
        </w:rPr>
        <w:t>应具备对接银行等金融机构支付、交易流水、账单对账等业务及其他相关平台的能力。在</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bCs/>
          <w:color w:val="auto"/>
          <w:sz w:val="24"/>
          <w:szCs w:val="24"/>
          <w:highlight w:val="none"/>
        </w:rPr>
        <w:t>完成相关授权、第三方系统开放接口且网络安全和数据共享条件具备的前提下，配合开展与政务服务平台、数据共享平台、电子签章服务、银行等金融机构、公安、市监、不动产</w:t>
      </w:r>
      <w:r>
        <w:rPr>
          <w:rFonts w:hint="eastAsia" w:ascii="宋体" w:hAnsi="宋体" w:eastAsia="宋体" w:cs="宋体"/>
          <w:bCs/>
          <w:color w:val="auto"/>
          <w:sz w:val="24"/>
          <w:szCs w:val="24"/>
          <w:highlight w:val="none"/>
        </w:rPr>
        <w:t>、网络房源平台等相关主体的业务协同。</w:t>
      </w:r>
    </w:p>
    <w:p w14:paraId="236EC26E">
      <w:pPr>
        <w:snapToGrid/>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eastAsia="zh-CN"/>
        </w:rPr>
        <w:t>）</w:t>
      </w:r>
      <w:r>
        <w:rPr>
          <w:rFonts w:hint="eastAsia" w:ascii="宋体" w:hAnsi="宋体" w:cs="宋体"/>
          <w:color w:val="auto"/>
          <w:kern w:val="0"/>
          <w:sz w:val="24"/>
          <w:szCs w:val="24"/>
          <w:highlight w:val="none"/>
          <w:lang w:val="en-US" w:eastAsia="zh-CN"/>
        </w:rPr>
        <w:t>投标人</w:t>
      </w:r>
      <w:r>
        <w:rPr>
          <w:rFonts w:hint="eastAsia" w:ascii="宋体" w:hAnsi="宋体" w:eastAsia="宋体" w:cs="宋体"/>
          <w:bCs/>
          <w:color w:val="auto"/>
          <w:sz w:val="24"/>
          <w:szCs w:val="24"/>
          <w:highlight w:val="none"/>
        </w:rPr>
        <w:t>在其可控范围内做好接口参数配置、联调配合、日志留存、数据比对、问题跟踪和材料整理等配合工作。</w:t>
      </w:r>
    </w:p>
    <w:p w14:paraId="6B25BBDE">
      <w:pPr>
        <w:snapToGrid/>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因第三方系统限制、接口未开放、数据质量、网络链路、政策许可或</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bCs/>
          <w:color w:val="auto"/>
          <w:sz w:val="24"/>
          <w:szCs w:val="24"/>
          <w:highlight w:val="none"/>
        </w:rPr>
        <w:t>授权条件未具备等非</w:t>
      </w:r>
      <w:r>
        <w:rPr>
          <w:rFonts w:hint="eastAsia" w:ascii="宋体" w:hAnsi="宋体" w:cs="宋体"/>
          <w:color w:val="auto"/>
          <w:kern w:val="0"/>
          <w:sz w:val="24"/>
          <w:szCs w:val="24"/>
          <w:highlight w:val="none"/>
          <w:lang w:val="en-US" w:eastAsia="zh-CN"/>
        </w:rPr>
        <w:t>投标人</w:t>
      </w:r>
      <w:r>
        <w:rPr>
          <w:rFonts w:hint="eastAsia" w:ascii="宋体" w:hAnsi="宋体" w:eastAsia="宋体" w:cs="宋体"/>
          <w:bCs/>
          <w:color w:val="auto"/>
          <w:sz w:val="24"/>
          <w:szCs w:val="24"/>
          <w:highlight w:val="none"/>
        </w:rPr>
        <w:t>可控因素，导致相关事项无法开展、延期或调整的，应据实记录、区分责任，并按</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bCs/>
          <w:color w:val="auto"/>
          <w:sz w:val="24"/>
          <w:szCs w:val="24"/>
          <w:highlight w:val="none"/>
        </w:rPr>
        <w:t>确认意见执行。</w:t>
      </w:r>
    </w:p>
    <w:p w14:paraId="21A51F8C">
      <w:pPr>
        <w:snapToGrid/>
        <w:spacing w:line="360" w:lineRule="auto"/>
        <w:ind w:firstLine="482" w:firstLineChars="200"/>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9.</w:t>
      </w:r>
      <w:r>
        <w:rPr>
          <w:rFonts w:hint="eastAsia" w:ascii="宋体" w:hAnsi="宋体" w:eastAsia="宋体" w:cs="宋体"/>
          <w:b/>
          <w:bCs w:val="0"/>
          <w:color w:val="auto"/>
          <w:sz w:val="24"/>
          <w:szCs w:val="24"/>
          <w:highlight w:val="none"/>
        </w:rPr>
        <w:t>技术运维、安全保障与配套资源管理</w:t>
      </w:r>
    </w:p>
    <w:p w14:paraId="56B806EA">
      <w:pPr>
        <w:snapToGrid/>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负责服务期内配套工具、必要软硬件环境、账号权限、表单模板、培训资料和相关配套资源的日常维护、巡检、问题响应和安全管理。</w:t>
      </w:r>
    </w:p>
    <w:p w14:paraId="6CEE1CAA">
      <w:pPr>
        <w:snapToGrid/>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建立故障分级、响应反馈、进度通报、问题复盘和整改闭环机制，重大问题应及时向</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bCs/>
          <w:color w:val="auto"/>
          <w:sz w:val="24"/>
          <w:szCs w:val="24"/>
          <w:highlight w:val="none"/>
        </w:rPr>
        <w:t>报告并提供处置建议。</w:t>
      </w:r>
    </w:p>
    <w:p w14:paraId="640C5CC0">
      <w:pPr>
        <w:snapToGrid/>
        <w:spacing w:line="360" w:lineRule="auto"/>
        <w:ind w:firstLine="480" w:firstLineChars="2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严格执行网络安全、数据安全、个人信息保护和政务数据保密要求，服务过程中形成的各类记录应真实、完整、可追溯。</w:t>
      </w:r>
    </w:p>
    <w:p w14:paraId="494F1A0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服务配套资源与工具要求</w:t>
      </w:r>
    </w:p>
    <w:p w14:paraId="7AA73890">
      <w:pPr>
        <w:pStyle w:val="467"/>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eastAsia="zh-CN"/>
        </w:rPr>
        <w:t>应根据履约需要配套成熟稳定的成品软件或服务支撑工具、必要软硬件环境、办公及培训物资、资料模板和技术支持能力。配套内容用于提升服务效率和保障服务连续，不作为本项目单独采购、单独建设或单独验收的软件、硬件、系统成果。</w:t>
      </w:r>
    </w:p>
    <w:p w14:paraId="7C31F654">
      <w:pPr>
        <w:pStyle w:val="467"/>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1.配套资源总体要求</w:t>
      </w:r>
    </w:p>
    <w:p w14:paraId="23C3E4D6">
      <w:pPr>
        <w:pStyle w:val="467"/>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）配套资源应满足住房租赁监管运营服务日常开展需要，具备安全、稳定、可维护、可交接的基本要求。</w:t>
      </w:r>
    </w:p>
    <w:p w14:paraId="2D2EA402">
      <w:pPr>
        <w:pStyle w:val="467"/>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cs="宋体"/>
          <w:color w:val="auto"/>
          <w:kern w:val="0"/>
          <w:sz w:val="24"/>
          <w:szCs w:val="24"/>
          <w:highlight w:val="none"/>
          <w:lang w:val="en-US" w:eastAsia="zh-CN"/>
        </w:rPr>
        <w:t>投标人</w:t>
      </w:r>
      <w:r>
        <w:rPr>
          <w:rFonts w:hint="eastAsia" w:ascii="宋体" w:hAnsi="宋体" w:eastAsia="宋体" w:cs="宋体"/>
          <w:color w:val="auto"/>
          <w:sz w:val="24"/>
          <w:szCs w:val="24"/>
          <w:highlight w:val="none"/>
          <w:lang w:eastAsia="zh-CN"/>
        </w:rPr>
        <w:t>应按照</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color w:val="auto"/>
          <w:sz w:val="24"/>
          <w:szCs w:val="24"/>
          <w:highlight w:val="none"/>
          <w:lang w:eastAsia="zh-CN"/>
        </w:rPr>
        <w:t>工作安排合理配置服务人员、工具环境、培训材料、台账模板和必要办公支撑，保障运营事项有序推进。</w:t>
      </w:r>
    </w:p>
    <w:p w14:paraId="7156B864">
      <w:pPr>
        <w:pStyle w:val="467"/>
        <w:snapToGrid/>
        <w:spacing w:line="360" w:lineRule="auto"/>
        <w:ind w:left="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）配套资源的启用范围、启用时间和使用方式，以</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color w:val="auto"/>
          <w:sz w:val="24"/>
          <w:szCs w:val="24"/>
          <w:highlight w:val="none"/>
          <w:lang w:eastAsia="zh-CN"/>
        </w:rPr>
        <w:t>实际业务需要、外部条件和双方确认的实施安排为准。</w:t>
      </w:r>
    </w:p>
    <w:p w14:paraId="26ECC21A">
      <w:pPr>
        <w:pStyle w:val="467"/>
        <w:snapToGrid/>
        <w:spacing w:line="360" w:lineRule="auto"/>
        <w:ind w:left="0" w:firstLine="482"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eastAsia="zh-CN"/>
        </w:rPr>
        <w:t>配套成品软件及服务支撑工具要求</w:t>
      </w:r>
    </w:p>
    <w:p w14:paraId="63DF16F7">
      <w:pPr>
        <w:pStyle w:val="467"/>
        <w:snapToGrid/>
        <w:spacing w:line="360" w:lineRule="auto"/>
        <w:ind w:left="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）工具应具备成熟性、稳定性、可</w:t>
      </w:r>
      <w:r>
        <w:rPr>
          <w:rFonts w:hint="eastAsia" w:ascii="宋体" w:hAnsi="宋体" w:eastAsia="宋体" w:cs="宋体"/>
          <w:color w:val="auto"/>
          <w:sz w:val="24"/>
          <w:szCs w:val="24"/>
          <w:highlight w:val="none"/>
          <w:lang w:eastAsia="zh-CN"/>
        </w:rPr>
        <w:t>配置性和可维护性，能够支撑已启用业务场景中的日常办理、数据归集、查询统计、流程流转、报表生成和资料留存。</w:t>
      </w:r>
    </w:p>
    <w:p w14:paraId="0080F26D">
      <w:pPr>
        <w:pStyle w:val="467"/>
        <w:snapToGrid/>
        <w:spacing w:line="360" w:lineRule="auto"/>
        <w:ind w:left="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）工具应支持按照角色、权限和数据范围进行管理，具备必要的操作日志、查询记录、消息提醒、数据导出、报表生成和资料归档能力。</w:t>
      </w:r>
    </w:p>
    <w:p w14:paraId="6DE0FA44">
      <w:pPr>
        <w:pStyle w:val="467"/>
        <w:snapToGrid/>
        <w:spacing w:line="360" w:lineRule="auto"/>
        <w:ind w:left="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）工具可通过已有产品、标准模块、参数配置、流程配置、报表配置、接口适配和人工运营相结合的方式满足服务目标。</w:t>
      </w:r>
    </w:p>
    <w:p w14:paraId="6AEDE528">
      <w:pPr>
        <w:pStyle w:val="467"/>
        <w:snapToGrid/>
        <w:spacing w:line="360" w:lineRule="auto"/>
        <w:ind w:left="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）对服务期内未实际启用或外部条件暂不具备的事项，可采用实施方案、配置记录、演示说明、案例材料、工作台账或</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color w:val="auto"/>
          <w:sz w:val="24"/>
          <w:szCs w:val="24"/>
          <w:highlight w:val="none"/>
          <w:lang w:eastAsia="zh-CN"/>
        </w:rPr>
        <w:t>确认的调整说明作为支撑材料。</w:t>
      </w:r>
    </w:p>
    <w:p w14:paraId="7B4AECCC">
      <w:pPr>
        <w:pStyle w:val="467"/>
        <w:snapToGrid/>
        <w:spacing w:line="360" w:lineRule="auto"/>
        <w:ind w:left="0" w:firstLine="241" w:firstLineChars="100"/>
        <w:rPr>
          <w:rFonts w:hint="eastAsia" w:ascii="宋体" w:hAnsi="宋体" w:eastAsia="宋体" w:cs="宋体"/>
          <w:color w:val="auto"/>
          <w:sz w:val="24"/>
          <w:szCs w:val="24"/>
          <w:highlight w:val="none"/>
          <w:lang w:eastAsia="zh-CN"/>
        </w:rPr>
      </w:pPr>
      <w:r>
        <w:rPr>
          <w:rFonts w:hint="eastAsia" w:ascii="宋体" w:hAnsi="宋体" w:eastAsia="宋体" w:cs="宋体"/>
          <w:b/>
          <w:i/>
          <w:iCs w:val="0"/>
          <w:color w:val="auto"/>
          <w:sz w:val="24"/>
          <w:szCs w:val="24"/>
          <w:highlight w:val="none"/>
          <w:u w:val="single"/>
        </w:rPr>
        <w:t>★</w:t>
      </w:r>
      <w:r>
        <w:rPr>
          <w:rFonts w:hint="eastAsia" w:ascii="宋体" w:hAnsi="宋体" w:eastAsia="宋体" w:cs="宋体"/>
          <w:i/>
          <w:color w:val="auto"/>
          <w:sz w:val="24"/>
          <w:szCs w:val="24"/>
          <w:highlight w:val="none"/>
          <w:u w:val="single"/>
          <w:lang w:eastAsia="zh-CN"/>
        </w:rPr>
        <w:t>（</w:t>
      </w:r>
      <w:r>
        <w:rPr>
          <w:rFonts w:hint="eastAsia" w:ascii="宋体" w:hAnsi="宋体" w:eastAsia="宋体" w:cs="宋体"/>
          <w:i/>
          <w:color w:val="auto"/>
          <w:sz w:val="24"/>
          <w:szCs w:val="24"/>
          <w:highlight w:val="none"/>
          <w:u w:val="single"/>
          <w:lang w:val="en-US" w:eastAsia="zh-CN"/>
        </w:rPr>
        <w:t>5</w:t>
      </w:r>
      <w:r>
        <w:rPr>
          <w:rFonts w:hint="eastAsia" w:ascii="宋体" w:hAnsi="宋体" w:eastAsia="宋体" w:cs="宋体"/>
          <w:i/>
          <w:color w:val="auto"/>
          <w:sz w:val="24"/>
          <w:szCs w:val="24"/>
          <w:highlight w:val="none"/>
          <w:u w:val="single"/>
          <w:lang w:eastAsia="zh-CN"/>
        </w:rPr>
        <w:t>）</w:t>
      </w:r>
      <w:r>
        <w:rPr>
          <w:rFonts w:hint="eastAsia" w:ascii="宋体" w:hAnsi="宋体" w:cs="宋体"/>
          <w:i/>
          <w:color w:val="auto"/>
          <w:sz w:val="24"/>
          <w:szCs w:val="24"/>
          <w:highlight w:val="none"/>
          <w:u w:val="single"/>
          <w:lang w:val="en-US" w:eastAsia="zh-CN"/>
        </w:rPr>
        <w:t>投标人</w:t>
      </w:r>
      <w:r>
        <w:rPr>
          <w:rFonts w:hint="eastAsia" w:ascii="宋体" w:hAnsi="宋体" w:cs="宋体"/>
          <w:i/>
          <w:color w:val="auto"/>
          <w:sz w:val="24"/>
          <w:szCs w:val="24"/>
          <w:highlight w:val="none"/>
          <w:u w:val="single"/>
          <w:lang w:val="en-US" w:eastAsia="zh-CN"/>
        </w:rPr>
        <w:t>承诺</w:t>
      </w:r>
      <w:r>
        <w:rPr>
          <w:rFonts w:hint="eastAsia" w:ascii="宋体" w:hAnsi="宋体" w:eastAsia="宋体" w:cs="宋体"/>
          <w:i/>
          <w:color w:val="auto"/>
          <w:sz w:val="24"/>
          <w:szCs w:val="24"/>
          <w:highlight w:val="none"/>
          <w:u w:val="single"/>
          <w:lang w:eastAsia="zh-CN"/>
        </w:rPr>
        <w:t>拟投入本项目的成品软件须在投标截止时间前完成网络安全风险评估</w:t>
      </w:r>
      <w:r>
        <w:rPr>
          <w:rFonts w:hint="eastAsia" w:ascii="宋体" w:hAnsi="宋体" w:cs="宋体"/>
          <w:i/>
          <w:color w:val="auto"/>
          <w:sz w:val="24"/>
          <w:szCs w:val="24"/>
          <w:highlight w:val="none"/>
          <w:u w:val="single"/>
          <w:lang w:eastAsia="zh-CN"/>
        </w:rPr>
        <w:t>，</w:t>
      </w:r>
      <w:r>
        <w:rPr>
          <w:rFonts w:hint="eastAsia" w:ascii="宋体" w:hAnsi="宋体" w:eastAsia="宋体" w:cs="宋体"/>
          <w:i/>
          <w:iCs w:val="0"/>
          <w:color w:val="auto"/>
          <w:sz w:val="24"/>
          <w:szCs w:val="24"/>
          <w:highlight w:val="none"/>
          <w:u w:val="single"/>
          <w:lang w:eastAsia="zh-CN"/>
        </w:rPr>
        <w:t>评估对象应与本项目拟投入的软件一致，或属于同一产品体系且能够明确对应本项目拟投入的软件</w:t>
      </w:r>
      <w:r>
        <w:rPr>
          <w:rFonts w:hint="eastAsia" w:ascii="宋体" w:hAnsi="宋体" w:cs="宋体"/>
          <w:i/>
          <w:iCs w:val="0"/>
          <w:color w:val="auto"/>
          <w:sz w:val="24"/>
          <w:szCs w:val="24"/>
          <w:highlight w:val="none"/>
          <w:u w:val="single"/>
          <w:lang w:eastAsia="zh-CN"/>
        </w:rPr>
        <w:t>，</w:t>
      </w:r>
      <w:r>
        <w:rPr>
          <w:rFonts w:hint="eastAsia" w:ascii="宋体" w:hAnsi="宋体" w:cs="宋体"/>
          <w:i/>
          <w:iCs w:val="0"/>
          <w:color w:val="auto"/>
          <w:sz w:val="24"/>
          <w:szCs w:val="24"/>
          <w:highlight w:val="none"/>
          <w:u w:val="single"/>
          <w:lang w:val="en-US" w:eastAsia="zh-CN"/>
        </w:rPr>
        <w:t>并能提供</w:t>
      </w:r>
      <w:r>
        <w:rPr>
          <w:rFonts w:hint="eastAsia" w:ascii="宋体" w:hAnsi="宋体" w:eastAsia="宋体" w:cs="宋体"/>
          <w:i/>
          <w:iCs w:val="0"/>
          <w:color w:val="auto"/>
          <w:sz w:val="24"/>
          <w:szCs w:val="24"/>
          <w:highlight w:val="none"/>
          <w:u w:val="single"/>
          <w:lang w:eastAsia="zh-CN"/>
        </w:rPr>
        <w:t>由第三方专业机构出具的网络安全风险评估报告关键页，至少包括报告封面、评估对象、评估结论、出具日期和机构盖章页。</w:t>
      </w:r>
      <w:r>
        <w:rPr>
          <w:rFonts w:hint="eastAsia" w:ascii="宋体" w:hAnsi="宋体" w:cs="宋体"/>
          <w:b/>
          <w:bCs/>
          <w:i/>
          <w:iCs w:val="0"/>
          <w:color w:val="auto"/>
          <w:sz w:val="24"/>
          <w:szCs w:val="24"/>
          <w:highlight w:val="none"/>
          <w:u w:val="single"/>
          <w:lang w:eastAsia="zh-CN"/>
        </w:rPr>
        <w:t>（</w:t>
      </w:r>
      <w:r>
        <w:rPr>
          <w:rFonts w:hint="eastAsia" w:ascii="宋体" w:hAnsi="宋体" w:cs="宋体"/>
          <w:b/>
          <w:bCs/>
          <w:i/>
          <w:iCs w:val="0"/>
          <w:color w:val="auto"/>
          <w:sz w:val="24"/>
          <w:szCs w:val="24"/>
          <w:highlight w:val="none"/>
          <w:u w:val="single"/>
          <w:lang w:val="en-US" w:eastAsia="zh-CN"/>
        </w:rPr>
        <w:t>本项为实质性要求，须提供承诺函并加盖投标人公章，否则视为无效投标。</w:t>
      </w:r>
      <w:r>
        <w:rPr>
          <w:rFonts w:hint="eastAsia" w:ascii="宋体" w:hAnsi="宋体" w:cs="宋体"/>
          <w:b/>
          <w:bCs/>
          <w:i/>
          <w:iCs w:val="0"/>
          <w:color w:val="auto"/>
          <w:sz w:val="24"/>
          <w:szCs w:val="24"/>
          <w:highlight w:val="none"/>
          <w:u w:val="single"/>
          <w:lang w:eastAsia="zh-CN"/>
        </w:rPr>
        <w:t>）</w:t>
      </w:r>
    </w:p>
    <w:p w14:paraId="347A9299">
      <w:pPr>
        <w:pStyle w:val="467"/>
        <w:snapToGrid/>
        <w:spacing w:line="360" w:lineRule="auto"/>
        <w:ind w:left="0" w:firstLine="482"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lang w:eastAsia="zh-CN"/>
        </w:rPr>
        <w:t>配套硬件、物资与资料要求</w:t>
      </w:r>
    </w:p>
    <w:p w14:paraId="5D56BCAA">
      <w:pPr>
        <w:pStyle w:val="467"/>
        <w:snapToGrid/>
        <w:spacing w:line="360" w:lineRule="auto"/>
        <w:ind w:left="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cs="宋体"/>
          <w:color w:val="auto"/>
          <w:kern w:val="0"/>
          <w:sz w:val="24"/>
          <w:szCs w:val="24"/>
          <w:highlight w:val="none"/>
          <w:lang w:val="en-US" w:eastAsia="zh-CN"/>
        </w:rPr>
        <w:t>投标人应</w:t>
      </w:r>
      <w:r>
        <w:rPr>
          <w:rFonts w:hint="eastAsia" w:ascii="宋体" w:hAnsi="宋体" w:eastAsia="宋体" w:cs="宋体"/>
          <w:color w:val="auto"/>
          <w:sz w:val="24"/>
          <w:szCs w:val="24"/>
          <w:highlight w:val="none"/>
          <w:lang w:eastAsia="zh-CN"/>
        </w:rPr>
        <w:t>根据履约需要自行配备必要的办公设备、演示设备、培训材料、操作手册、常见问题说明、表单模板和其他辅助资料。</w:t>
      </w:r>
    </w:p>
    <w:p w14:paraId="6390B1BA">
      <w:pPr>
        <w:pStyle w:val="467"/>
        <w:snapToGrid/>
        <w:spacing w:line="360" w:lineRule="auto"/>
        <w:ind w:left="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中标人</w:t>
      </w:r>
      <w:r>
        <w:rPr>
          <w:rFonts w:hint="eastAsia" w:ascii="宋体" w:hAnsi="宋体" w:eastAsia="宋体" w:cs="宋体"/>
          <w:color w:val="auto"/>
          <w:sz w:val="24"/>
          <w:szCs w:val="24"/>
          <w:highlight w:val="none"/>
          <w:lang w:eastAsia="zh-CN"/>
        </w:rPr>
        <w:t>应在项目正式进场前，在常州市行政区域内设置固定办公服务驻点，并在服务期内持续保留。办公服务驻点应具备人员办公、问题受理、现场调度、资料管理和应急处置等基本条件，不得仅以联络地址代替，</w:t>
      </w:r>
      <w:r>
        <w:rPr>
          <w:rFonts w:hint="eastAsia" w:ascii="宋体" w:hAnsi="宋体" w:eastAsia="宋体" w:cs="宋体"/>
          <w:color w:val="auto"/>
          <w:sz w:val="24"/>
          <w:szCs w:val="24"/>
          <w:highlight w:val="none"/>
          <w:lang w:eastAsia="zh-CN"/>
        </w:rPr>
        <w:t>并配置不少于</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名驻点服务人员。</w:t>
      </w:r>
      <w:r>
        <w:rPr>
          <w:rFonts w:hint="eastAsia" w:ascii="宋体" w:hAnsi="宋体" w:cs="宋体"/>
          <w:color w:val="auto"/>
          <w:sz w:val="24"/>
          <w:szCs w:val="24"/>
          <w:highlight w:val="none"/>
          <w:lang w:val="en-US" w:eastAsia="zh-CN"/>
        </w:rPr>
        <w:t>中标人</w:t>
      </w:r>
      <w:r>
        <w:rPr>
          <w:rFonts w:hint="eastAsia" w:ascii="宋体" w:hAnsi="宋体" w:eastAsia="宋体" w:cs="宋体"/>
          <w:color w:val="auto"/>
          <w:sz w:val="24"/>
          <w:szCs w:val="24"/>
          <w:highlight w:val="none"/>
          <w:lang w:eastAsia="zh-CN"/>
        </w:rPr>
        <w:t>还应在</w:t>
      </w: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lang w:eastAsia="zh-CN"/>
        </w:rPr>
        <w:t>人指定地点另行配置不少于</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名驻场人员；驻点服务人员与驻场人员应分别配置，不得由同一人兼任。</w:t>
      </w:r>
      <w:r>
        <w:rPr>
          <w:rFonts w:hint="eastAsia" w:ascii="宋体" w:hAnsi="宋体" w:eastAsia="宋体" w:cs="宋体"/>
          <w:color w:val="auto"/>
          <w:sz w:val="24"/>
          <w:szCs w:val="24"/>
          <w:highlight w:val="none"/>
          <w:lang w:eastAsia="zh-CN"/>
        </w:rPr>
        <w:t>正式进场时，</w:t>
      </w:r>
      <w:r>
        <w:rPr>
          <w:rFonts w:hint="eastAsia" w:ascii="宋体" w:hAnsi="宋体" w:cs="宋体"/>
          <w:color w:val="auto"/>
          <w:sz w:val="24"/>
          <w:szCs w:val="24"/>
          <w:highlight w:val="none"/>
          <w:lang w:val="en-US" w:eastAsia="zh-CN"/>
        </w:rPr>
        <w:t>中标人</w:t>
      </w:r>
      <w:r>
        <w:rPr>
          <w:rFonts w:hint="eastAsia" w:ascii="宋体" w:hAnsi="宋体" w:eastAsia="宋体" w:cs="宋体"/>
          <w:color w:val="auto"/>
          <w:sz w:val="24"/>
          <w:szCs w:val="24"/>
          <w:highlight w:val="none"/>
          <w:lang w:eastAsia="zh-CN"/>
        </w:rPr>
        <w:t>应向</w:t>
      </w: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lang w:eastAsia="zh-CN"/>
        </w:rPr>
        <w:t>人提交驻点地址、房屋产权证明或租赁合同等合法场地使用证明、现场照片、驻点人员名单、驻场人员名单、联系人及联系电话。驻点以依法登记的分支机构形式设立的，还应提供分支机构营业执照；未以分支机构形式设立的，不要求驻点单独取得营业执照。分支机构仅作为办公服务驻点使用，不改变本项目不接受分支机构作为</w:t>
      </w: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eastAsia="zh-CN"/>
        </w:rPr>
        <w:t>的要求。驻点发生变更的，应提前书面</w:t>
      </w:r>
      <w:r>
        <w:rPr>
          <w:rFonts w:hint="eastAsia" w:ascii="宋体" w:hAnsi="宋体" w:cs="宋体"/>
          <w:color w:val="auto"/>
          <w:sz w:val="24"/>
          <w:szCs w:val="24"/>
          <w:highlight w:val="none"/>
          <w:lang w:val="en-US" w:eastAsia="zh-CN"/>
        </w:rPr>
        <w:t>向招标人</w:t>
      </w:r>
      <w:r>
        <w:rPr>
          <w:rFonts w:hint="eastAsia" w:ascii="宋体" w:hAnsi="宋体" w:eastAsia="宋体" w:cs="宋体"/>
          <w:color w:val="auto"/>
          <w:sz w:val="24"/>
          <w:szCs w:val="24"/>
          <w:highlight w:val="none"/>
          <w:lang w:eastAsia="zh-CN"/>
        </w:rPr>
        <w:t>报备</w:t>
      </w:r>
      <w:r>
        <w:rPr>
          <w:rFonts w:hint="eastAsia" w:ascii="宋体" w:hAnsi="宋体" w:cs="宋体"/>
          <w:color w:val="auto"/>
          <w:sz w:val="24"/>
          <w:szCs w:val="24"/>
          <w:highlight w:val="none"/>
          <w:lang w:val="en-US" w:eastAsia="zh-CN"/>
        </w:rPr>
        <w:t>并经同意后实施</w:t>
      </w:r>
      <w:r>
        <w:rPr>
          <w:rFonts w:hint="eastAsia" w:ascii="宋体" w:hAnsi="宋体" w:eastAsia="宋体" w:cs="宋体"/>
          <w:color w:val="auto"/>
          <w:sz w:val="24"/>
          <w:szCs w:val="24"/>
          <w:highlight w:val="none"/>
          <w:lang w:eastAsia="zh-CN"/>
        </w:rPr>
        <w:t>。</w:t>
      </w:r>
    </w:p>
    <w:p w14:paraId="40FF22F5">
      <w:pPr>
        <w:pStyle w:val="467"/>
        <w:snapToGrid/>
        <w:spacing w:line="360" w:lineRule="auto"/>
        <w:ind w:left="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）配套硬件、物资和资料原则上随服务使用和管理，不作为</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color w:val="auto"/>
          <w:sz w:val="24"/>
          <w:szCs w:val="24"/>
          <w:highlight w:val="none"/>
          <w:lang w:eastAsia="zh-CN"/>
        </w:rPr>
        <w:t>固定资产交付内容；确需移交的，以合同约定或</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color w:val="auto"/>
          <w:sz w:val="24"/>
          <w:szCs w:val="24"/>
          <w:highlight w:val="none"/>
          <w:lang w:eastAsia="zh-CN"/>
        </w:rPr>
        <w:t>书面确认为准。</w:t>
      </w:r>
    </w:p>
    <w:p w14:paraId="16ECEA8C">
      <w:pPr>
        <w:pStyle w:val="467"/>
        <w:snapToGrid/>
        <w:spacing w:line="360" w:lineRule="auto"/>
        <w:ind w:left="0" w:firstLine="482"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lang w:eastAsia="zh-CN"/>
        </w:rPr>
        <w:t>接口协同能力要求</w:t>
      </w:r>
    </w:p>
    <w:p w14:paraId="19EEB2A9">
      <w:pPr>
        <w:pStyle w:val="467"/>
        <w:snapToGrid/>
        <w:spacing w:line="360" w:lineRule="auto"/>
        <w:ind w:left="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eastAsia="zh-CN"/>
        </w:rPr>
        <w:t>应具备对接银行等金融机构支付、交易流水、账单对账等业务及其他第三方系统的能力，能够开展标准化接口适配、参数配置、联调测试、日志留存、数据核对和问题定位，并配合</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color w:val="auto"/>
          <w:sz w:val="24"/>
          <w:szCs w:val="24"/>
          <w:highlight w:val="none"/>
          <w:lang w:eastAsia="zh-CN"/>
        </w:rPr>
        <w:t>开展业务协同。</w:t>
      </w:r>
    </w:p>
    <w:p w14:paraId="7548C0E7">
      <w:pPr>
        <w:pStyle w:val="467"/>
        <w:snapToGrid/>
        <w:spacing w:line="360" w:lineRule="auto"/>
        <w:ind w:left="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）接口协同以</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color w:val="auto"/>
          <w:sz w:val="24"/>
          <w:szCs w:val="24"/>
          <w:highlight w:val="none"/>
          <w:lang w:eastAsia="zh-CN"/>
        </w:rPr>
        <w:t>授权、第三方系统配合、网络安全条件、数据共享条件及政策允许为前提。</w:t>
      </w:r>
    </w:p>
    <w:p w14:paraId="031D5103">
      <w:pPr>
        <w:pStyle w:val="467"/>
        <w:snapToGrid/>
        <w:spacing w:line="360" w:lineRule="auto"/>
        <w:ind w:left="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）因非</w:t>
      </w:r>
      <w:r>
        <w:rPr>
          <w:rFonts w:hint="eastAsia" w:ascii="宋体" w:hAnsi="宋体" w:cs="宋体"/>
          <w:color w:val="auto"/>
          <w:kern w:val="0"/>
          <w:sz w:val="24"/>
          <w:szCs w:val="24"/>
          <w:highlight w:val="none"/>
          <w:lang w:val="en-US" w:eastAsia="zh-CN"/>
        </w:rPr>
        <w:t>投标人</w:t>
      </w:r>
      <w:r>
        <w:rPr>
          <w:rFonts w:hint="eastAsia" w:ascii="宋体" w:hAnsi="宋体" w:eastAsia="宋体" w:cs="宋体"/>
          <w:color w:val="auto"/>
          <w:sz w:val="24"/>
          <w:szCs w:val="24"/>
          <w:highlight w:val="none"/>
          <w:lang w:eastAsia="zh-CN"/>
        </w:rPr>
        <w:t>可控原因导致无法开通、延期、变更或调整的，</w:t>
      </w:r>
      <w:r>
        <w:rPr>
          <w:rFonts w:hint="eastAsia" w:ascii="宋体" w:hAnsi="宋体" w:cs="宋体"/>
          <w:color w:val="auto"/>
          <w:kern w:val="0"/>
          <w:sz w:val="24"/>
          <w:szCs w:val="24"/>
          <w:highlight w:val="none"/>
          <w:lang w:val="en-US" w:eastAsia="zh-CN"/>
        </w:rPr>
        <w:t>投标人</w:t>
      </w:r>
      <w:r>
        <w:rPr>
          <w:rFonts w:hint="eastAsia" w:ascii="宋体" w:hAnsi="宋体" w:eastAsia="宋体" w:cs="宋体"/>
          <w:color w:val="auto"/>
          <w:sz w:val="24"/>
          <w:szCs w:val="24"/>
          <w:highlight w:val="none"/>
          <w:lang w:eastAsia="zh-CN"/>
        </w:rPr>
        <w:t>应提供原因说明、替代方案或阶段性材料，并按</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color w:val="auto"/>
          <w:sz w:val="24"/>
          <w:szCs w:val="24"/>
          <w:highlight w:val="none"/>
          <w:lang w:eastAsia="zh-CN"/>
        </w:rPr>
        <w:t>确认意见执行。</w:t>
      </w:r>
    </w:p>
    <w:p w14:paraId="16B99392">
      <w:pPr>
        <w:pStyle w:val="467"/>
        <w:snapToGrid/>
        <w:spacing w:line="360" w:lineRule="auto"/>
        <w:ind w:left="0" w:firstLine="482"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5.</w:t>
      </w:r>
      <w:r>
        <w:rPr>
          <w:rFonts w:hint="eastAsia" w:ascii="宋体" w:hAnsi="宋体" w:eastAsia="宋体" w:cs="宋体"/>
          <w:b/>
          <w:bCs/>
          <w:color w:val="auto"/>
          <w:sz w:val="24"/>
          <w:szCs w:val="24"/>
          <w:highlight w:val="none"/>
          <w:lang w:eastAsia="zh-CN"/>
        </w:rPr>
        <w:t>稳定性、易用性与可维护性要求</w:t>
      </w:r>
    </w:p>
    <w:p w14:paraId="685EF359">
      <w:pPr>
        <w:pStyle w:val="467"/>
        <w:snapToGrid/>
        <w:spacing w:line="360" w:lineRule="auto"/>
        <w:ind w:left="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）配套工具和资源应能够满足本市住房租赁监管日常业务办理和阶段性业务高峰需要，主要业务办理、查询统计和报表导出应保持稳定、顺畅。</w:t>
      </w:r>
    </w:p>
    <w:p w14:paraId="1DAA8DBA">
      <w:pPr>
        <w:pStyle w:val="467"/>
        <w:snapToGrid/>
        <w:spacing w:line="360" w:lineRule="auto"/>
        <w:ind w:left="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）涉及并发、响应时间、数据容量、备份策略等运行指标的，原则上以满足</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color w:val="auto"/>
          <w:sz w:val="24"/>
          <w:szCs w:val="24"/>
          <w:highlight w:val="none"/>
          <w:lang w:eastAsia="zh-CN"/>
        </w:rPr>
        <w:t>实际业务连续运行和用户正常使用体验为标准；确需设定具体指标的，可在合同、实施计划或服务等级协议中另行明确。</w:t>
      </w:r>
    </w:p>
    <w:p w14:paraId="69461B82">
      <w:pPr>
        <w:pStyle w:val="467"/>
        <w:snapToGrid/>
        <w:spacing w:line="360" w:lineRule="auto"/>
        <w:ind w:left="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）界面和操作流程应清晰、便捷，能够提供必要的待办提醒、条件查询、表单校验、操作指引、常用报表和日志查询等服务支撑能力。</w:t>
      </w:r>
    </w:p>
    <w:p w14:paraId="419A3C7E">
      <w:pPr>
        <w:snapToGrid/>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、服务组织与运行保障要求</w:t>
      </w:r>
    </w:p>
    <w:p w14:paraId="550F87B0">
      <w:pPr>
        <w:pStyle w:val="467"/>
        <w:snapToGrid/>
        <w:spacing w:line="360" w:lineRule="auto"/>
        <w:ind w:left="0" w:firstLine="482"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lang w:eastAsia="zh-CN"/>
        </w:rPr>
        <w:t>）项目组织</w:t>
      </w:r>
    </w:p>
    <w:p w14:paraId="4FD54394">
      <w:pPr>
        <w:pStyle w:val="467"/>
        <w:snapToGrid/>
        <w:spacing w:line="360" w:lineRule="auto"/>
        <w:ind w:left="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kern w:val="0"/>
          <w:sz w:val="24"/>
          <w:szCs w:val="24"/>
          <w:highlight w:val="none"/>
          <w:lang w:val="en-US" w:eastAsia="zh-CN"/>
        </w:rPr>
        <w:t>投标人</w:t>
      </w:r>
      <w:r>
        <w:rPr>
          <w:rFonts w:hint="eastAsia" w:ascii="宋体" w:hAnsi="宋体" w:eastAsia="宋体" w:cs="宋体"/>
          <w:color w:val="auto"/>
          <w:sz w:val="24"/>
          <w:szCs w:val="24"/>
          <w:highlight w:val="none"/>
          <w:lang w:eastAsia="zh-CN"/>
        </w:rPr>
        <w:t>应成立满足项目服务需要的项目服务小组，明确项目负责人、运营服务人员、技术运维人员、安全管理人员和培训咨询人员等职责分工。人员配置应与投标承诺、服务范围和实际业务量相匹配。</w:t>
      </w:r>
    </w:p>
    <w:p w14:paraId="438E5A09">
      <w:pPr>
        <w:pStyle w:val="467"/>
        <w:snapToGrid/>
        <w:spacing w:line="360" w:lineRule="auto"/>
        <w:ind w:left="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cs="宋体"/>
          <w:color w:val="auto"/>
          <w:kern w:val="0"/>
          <w:sz w:val="24"/>
          <w:szCs w:val="24"/>
          <w:highlight w:val="none"/>
          <w:lang w:val="en-US" w:eastAsia="zh-CN"/>
        </w:rPr>
        <w:t>投标人</w:t>
      </w:r>
      <w:r>
        <w:rPr>
          <w:rFonts w:hint="eastAsia" w:ascii="宋体" w:hAnsi="宋体" w:eastAsia="宋体" w:cs="宋体"/>
          <w:color w:val="auto"/>
          <w:sz w:val="24"/>
          <w:szCs w:val="24"/>
          <w:highlight w:val="none"/>
          <w:lang w:eastAsia="zh-CN"/>
        </w:rPr>
        <w:t>应指定专人作为</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color w:val="auto"/>
          <w:sz w:val="24"/>
          <w:szCs w:val="24"/>
          <w:highlight w:val="none"/>
          <w:lang w:eastAsia="zh-CN"/>
        </w:rPr>
        <w:t>服务联系人，负责日常沟通、任务接收、台账维护、问题协调和进度反馈。</w:t>
      </w:r>
      <w:r>
        <w:rPr>
          <w:rFonts w:hint="eastAsia" w:ascii="宋体" w:hAnsi="宋体" w:cs="宋体"/>
          <w:color w:val="auto"/>
          <w:kern w:val="0"/>
          <w:sz w:val="24"/>
          <w:szCs w:val="24"/>
          <w:highlight w:val="none"/>
          <w:lang w:val="en-US" w:eastAsia="zh-CN"/>
        </w:rPr>
        <w:t>投标人</w:t>
      </w:r>
      <w:r>
        <w:rPr>
          <w:rFonts w:hint="eastAsia" w:ascii="宋体" w:hAnsi="宋体" w:eastAsia="宋体" w:cs="宋体"/>
          <w:color w:val="auto"/>
          <w:sz w:val="24"/>
          <w:szCs w:val="24"/>
          <w:highlight w:val="none"/>
          <w:lang w:eastAsia="zh-CN"/>
        </w:rPr>
        <w:t>应在常州固定办公服务驻点配置不少于</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名驻点服务人员，并在</w:t>
      </w: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lang w:eastAsia="zh-CN"/>
        </w:rPr>
        <w:t>人指定地点另行配置不少于</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名驻场人员，二者不得由同一人兼任。驻场人员负责</w:t>
      </w: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lang w:eastAsia="zh-CN"/>
        </w:rPr>
        <w:t>人指定地点的日常服务，驻点服务人员及项目服务小组其他人员依托常州固定办公服务驻点提供问题受理、现场调度和应急保障</w:t>
      </w:r>
      <w:r>
        <w:rPr>
          <w:rFonts w:hint="eastAsia" w:ascii="宋体" w:hAnsi="宋体" w:eastAsia="宋体" w:cs="宋体"/>
          <w:color w:val="auto"/>
          <w:sz w:val="24"/>
          <w:szCs w:val="24"/>
          <w:highlight w:val="none"/>
          <w:lang w:eastAsia="zh-CN"/>
        </w:rPr>
        <w:t>；日常事项可通过现场、电话、远程</w:t>
      </w:r>
      <w:r>
        <w:rPr>
          <w:rFonts w:hint="eastAsia" w:ascii="宋体" w:hAnsi="宋体" w:eastAsia="宋体" w:cs="宋体"/>
          <w:color w:val="auto"/>
          <w:sz w:val="24"/>
          <w:szCs w:val="24"/>
          <w:highlight w:val="none"/>
          <w:lang w:eastAsia="zh-CN"/>
        </w:rPr>
        <w:t>或</w:t>
      </w:r>
      <w:r>
        <w:rPr>
          <w:rFonts w:hint="eastAsia" w:ascii="宋体" w:hAnsi="宋体" w:eastAsia="宋体" w:cs="宋体"/>
          <w:color w:val="auto"/>
          <w:sz w:val="24"/>
          <w:szCs w:val="24"/>
          <w:highlight w:val="none"/>
          <w:lang w:eastAsia="zh-CN"/>
        </w:rPr>
        <w:t>线上会议等方式开展</w:t>
      </w:r>
      <w:r>
        <w:rPr>
          <w:rFonts w:hint="eastAsia" w:ascii="宋体" w:hAnsi="宋体" w:eastAsia="宋体" w:cs="宋体"/>
          <w:color w:val="auto"/>
          <w:sz w:val="24"/>
          <w:szCs w:val="24"/>
          <w:highlight w:val="none"/>
          <w:lang w:eastAsia="zh-CN"/>
        </w:rPr>
        <w:t>，但不得影响本文件约定的响应和到场时限</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eastAsia="zh-CN"/>
        </w:rPr>
        <w:t>驻点服务人员和驻场人员可计入项目服务小组人数。</w:t>
      </w:r>
    </w:p>
    <w:p w14:paraId="4720D9DF">
      <w:pPr>
        <w:pStyle w:val="467"/>
        <w:snapToGrid/>
        <w:spacing w:line="360" w:lineRule="auto"/>
        <w:ind w:left="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合同签订后，</w:t>
      </w: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eastAsia="zh-CN"/>
        </w:rPr>
        <w:t>应在</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color w:val="auto"/>
          <w:sz w:val="24"/>
          <w:szCs w:val="24"/>
          <w:highlight w:val="none"/>
          <w:lang w:eastAsia="zh-CN"/>
        </w:rPr>
        <w:t>要求的时间内提交项目实施计划，内容包括服务组织、工作流程、进度安排、沟通机制、资料清单、安全措施和阶段成果。服务期内人员发生调整的，应提前告知</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color w:val="auto"/>
          <w:sz w:val="24"/>
          <w:szCs w:val="24"/>
          <w:highlight w:val="none"/>
          <w:lang w:eastAsia="zh-CN"/>
        </w:rPr>
        <w:t>并做好交接。</w:t>
      </w:r>
    </w:p>
    <w:p w14:paraId="5253083E">
      <w:pPr>
        <w:pStyle w:val="467"/>
        <w:snapToGrid/>
        <w:spacing w:line="360" w:lineRule="auto"/>
        <w:ind w:left="0" w:firstLine="482"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lang w:eastAsia="zh-CN"/>
        </w:rPr>
        <w:t>）日常运营机制</w:t>
      </w:r>
    </w:p>
    <w:p w14:paraId="56701042">
      <w:pPr>
        <w:pStyle w:val="467"/>
        <w:snapToGrid/>
        <w:spacing w:line="360" w:lineRule="auto"/>
        <w:ind w:left="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建立日常工作台账，记录业务支撑事项、咨询处理、问题反馈、数据处理、报表提交、培训开展和整改闭环情况。</w:t>
      </w:r>
    </w:p>
    <w:p w14:paraId="242C96BC">
      <w:pPr>
        <w:pStyle w:val="467"/>
        <w:snapToGrid/>
        <w:spacing w:line="360" w:lineRule="auto"/>
        <w:ind w:left="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按</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color w:val="auto"/>
          <w:sz w:val="24"/>
          <w:szCs w:val="24"/>
          <w:highlight w:val="none"/>
          <w:lang w:eastAsia="zh-CN"/>
        </w:rPr>
        <w:t>要求定期提交服务简报、阶段报告或专项材料，反映服务进展、问题处理、数据质量、运行保障、安全情况和后续建议。</w:t>
      </w:r>
    </w:p>
    <w:p w14:paraId="5D9F6D35">
      <w:pPr>
        <w:pStyle w:val="467"/>
        <w:snapToGrid/>
        <w:spacing w:line="360" w:lineRule="auto"/>
        <w:ind w:left="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对</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color w:val="auto"/>
          <w:sz w:val="24"/>
          <w:szCs w:val="24"/>
          <w:highlight w:val="none"/>
          <w:lang w:eastAsia="zh-CN"/>
        </w:rPr>
        <w:t>提出的优化需求、政策调整、流程变化和用户反馈，及时组织评估，提出处理计划，并按确认后的计划执行。</w:t>
      </w:r>
    </w:p>
    <w:p w14:paraId="482D6BF6">
      <w:pPr>
        <w:pStyle w:val="467"/>
        <w:snapToGrid/>
        <w:spacing w:line="360" w:lineRule="auto"/>
        <w:ind w:left="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对涉及跨部门、跨平台、第三方系统的事项，做好沟通记录、材料整理、联调配合和问题跟踪。</w:t>
      </w:r>
    </w:p>
    <w:p w14:paraId="119390D1">
      <w:pPr>
        <w:pStyle w:val="467"/>
        <w:snapToGrid/>
        <w:spacing w:line="360" w:lineRule="auto"/>
        <w:ind w:left="0" w:firstLine="482"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lang w:eastAsia="zh-CN"/>
        </w:rPr>
        <w:t>）故障响应与运维支持</w:t>
      </w:r>
    </w:p>
    <w:p w14:paraId="65274A3C">
      <w:pPr>
        <w:pStyle w:val="467"/>
        <w:snapToGrid/>
        <w:spacing w:line="360" w:lineRule="auto"/>
        <w:ind w:left="0"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eastAsia="zh-CN"/>
        </w:rPr>
        <w:t>应建立分级响应和现场处置机制，提供每日8:00—20:00的7×12小时日常服务支持和7×24小时重要事项应急支持。重要事项包括核心业务中断、重大故障、数据异常、网络安全事件，以及其他可能对业务连续性、数据安全或公共服务秩序造成较大影响的事项；</w:t>
      </w:r>
      <w:r>
        <w:rPr>
          <w:rFonts w:hint="eastAsia" w:ascii="宋体" w:hAnsi="宋体" w:cs="宋体"/>
          <w:color w:val="auto"/>
          <w:kern w:val="0"/>
          <w:sz w:val="24"/>
          <w:szCs w:val="24"/>
          <w:highlight w:val="none"/>
          <w:lang w:val="en-US" w:eastAsia="zh-CN"/>
        </w:rPr>
        <w:t>投标人</w:t>
      </w:r>
      <w:r>
        <w:rPr>
          <w:rFonts w:hint="eastAsia" w:ascii="宋体" w:hAnsi="宋体" w:eastAsia="宋体" w:cs="宋体"/>
          <w:color w:val="auto"/>
          <w:sz w:val="24"/>
          <w:szCs w:val="24"/>
          <w:highlight w:val="none"/>
          <w:lang w:eastAsia="zh-CN"/>
        </w:rPr>
        <w:t>接到</w:t>
      </w: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lang w:eastAsia="zh-CN"/>
        </w:rPr>
        <w:t>人通知后应立即响应，并在30分钟内到达</w:t>
      </w: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lang w:eastAsia="zh-CN"/>
        </w:rPr>
        <w:t>人指定现场。一般事项需要现场处理的，</w:t>
      </w: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eastAsia="zh-CN"/>
        </w:rPr>
        <w:t>应及时响应，并在2小时内到达</w:t>
      </w: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lang w:eastAsia="zh-CN"/>
        </w:rPr>
        <w:t>人指定现场。到场时限自</w:t>
      </w: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lang w:eastAsia="zh-CN"/>
        </w:rPr>
        <w:t>人通过电话、短信、即时通信工具或工单发出通知之时起计算。</w:t>
      </w:r>
      <w:r>
        <w:rPr>
          <w:rFonts w:hint="eastAsia" w:ascii="宋体" w:hAnsi="宋体" w:cs="宋体"/>
          <w:color w:val="auto"/>
          <w:kern w:val="0"/>
          <w:sz w:val="24"/>
          <w:szCs w:val="24"/>
          <w:highlight w:val="none"/>
          <w:lang w:val="en-US" w:eastAsia="zh-CN"/>
        </w:rPr>
        <w:t>投标人</w:t>
      </w:r>
      <w:r>
        <w:rPr>
          <w:rFonts w:hint="eastAsia" w:ascii="宋体" w:hAnsi="宋体" w:eastAsia="宋体" w:cs="宋体"/>
          <w:color w:val="auto"/>
          <w:sz w:val="24"/>
          <w:szCs w:val="24"/>
          <w:highlight w:val="none"/>
          <w:lang w:eastAsia="zh-CN"/>
        </w:rPr>
        <w:t>应合理设置驻点位置、人员排班和应急调度机制，确保满足上述到场时限。因交通管制、极端天气、突发公共事件等非</w:t>
      </w:r>
      <w:r>
        <w:rPr>
          <w:rFonts w:hint="eastAsia" w:ascii="宋体" w:hAnsi="宋体" w:cs="宋体"/>
          <w:color w:val="auto"/>
          <w:kern w:val="0"/>
          <w:sz w:val="24"/>
          <w:szCs w:val="24"/>
          <w:highlight w:val="none"/>
          <w:lang w:val="en-US" w:eastAsia="zh-CN"/>
        </w:rPr>
        <w:t>投标人</w:t>
      </w:r>
      <w:r>
        <w:rPr>
          <w:rFonts w:hint="eastAsia" w:ascii="宋体" w:hAnsi="宋体" w:eastAsia="宋体" w:cs="宋体"/>
          <w:color w:val="auto"/>
          <w:sz w:val="24"/>
          <w:szCs w:val="24"/>
          <w:highlight w:val="none"/>
          <w:lang w:eastAsia="zh-CN"/>
        </w:rPr>
        <w:t>可控原因确实无法按时到达的，</w:t>
      </w:r>
      <w:r>
        <w:rPr>
          <w:rFonts w:hint="eastAsia" w:ascii="宋体" w:hAnsi="宋体" w:cs="宋体"/>
          <w:color w:val="auto"/>
          <w:kern w:val="0"/>
          <w:sz w:val="24"/>
          <w:szCs w:val="24"/>
          <w:highlight w:val="none"/>
          <w:lang w:val="en-US" w:eastAsia="zh-CN"/>
        </w:rPr>
        <w:t>投标人</w:t>
      </w:r>
      <w:r>
        <w:rPr>
          <w:rFonts w:hint="eastAsia" w:ascii="宋体" w:hAnsi="宋体" w:eastAsia="宋体" w:cs="宋体"/>
          <w:color w:val="auto"/>
          <w:sz w:val="24"/>
          <w:szCs w:val="24"/>
          <w:highlight w:val="none"/>
          <w:lang w:eastAsia="zh-CN"/>
        </w:rPr>
        <w:t>应立即说明情况、持续提供远程支持并尽快到场，相关情况应留痕备查。</w:t>
      </w:r>
    </w:p>
    <w:tbl>
      <w:tblPr>
        <w:tblStyle w:val="37"/>
        <w:tblW w:w="9071" w:type="dxa"/>
        <w:jc w:val="center"/>
        <w:tblLayout w:type="fixed"/>
        <w:tblCellMar>
          <w:top w:w="0" w:type="dxa"/>
          <w:left w:w="108" w:type="dxa"/>
          <w:bottom w:w="0" w:type="dxa"/>
          <w:right w:w="108" w:type="dxa"/>
        </w:tblCellMar>
      </w:tblPr>
      <w:tblGrid>
        <w:gridCol w:w="2040"/>
        <w:gridCol w:w="4537"/>
        <w:gridCol w:w="2494"/>
      </w:tblGrid>
      <w:tr w14:paraId="35901ECF">
        <w:tblPrEx>
          <w:tblCellMar>
            <w:top w:w="0" w:type="dxa"/>
            <w:left w:w="108" w:type="dxa"/>
            <w:bottom w:w="0" w:type="dxa"/>
            <w:right w:w="108" w:type="dxa"/>
          </w:tblCellMar>
        </w:tblPrEx>
        <w:trPr>
          <w:tblHeader/>
          <w:jc w:val="center"/>
        </w:trPr>
        <w:tc>
          <w:tcPr>
            <w:tcW w:w="2040" w:type="dxa"/>
            <w:tcBorders>
              <w:top w:val="single" w:color="000000" w:sz="4" w:space="0"/>
              <w:left w:val="single" w:color="000000" w:sz="4" w:space="0"/>
              <w:bottom w:val="single" w:color="000000" w:sz="4" w:space="0"/>
              <w:right w:val="single" w:color="000000" w:sz="4" w:space="0"/>
            </w:tcBorders>
            <w:shd w:val="clear" w:color="auto" w:fill="D9EAF7"/>
            <w:vAlign w:val="center"/>
          </w:tcPr>
          <w:p w14:paraId="2F57D55C">
            <w:pPr>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问题类型</w:t>
            </w:r>
          </w:p>
        </w:tc>
        <w:tc>
          <w:tcPr>
            <w:tcW w:w="4537" w:type="dxa"/>
            <w:tcBorders>
              <w:top w:val="single" w:color="000000" w:sz="4" w:space="0"/>
              <w:left w:val="single" w:color="000000" w:sz="4" w:space="0"/>
              <w:bottom w:val="single" w:color="000000" w:sz="4" w:space="0"/>
              <w:right w:val="single" w:color="000000" w:sz="4" w:space="0"/>
            </w:tcBorders>
            <w:shd w:val="clear" w:color="auto" w:fill="D9EAF7"/>
            <w:vAlign w:val="center"/>
          </w:tcPr>
          <w:p w14:paraId="57A10409">
            <w:pPr>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服务要求</w:t>
            </w:r>
          </w:p>
        </w:tc>
        <w:tc>
          <w:tcPr>
            <w:tcW w:w="2494" w:type="dxa"/>
            <w:tcBorders>
              <w:top w:val="single" w:color="000000" w:sz="4" w:space="0"/>
              <w:left w:val="single" w:color="000000" w:sz="4" w:space="0"/>
              <w:bottom w:val="single" w:color="000000" w:sz="4" w:space="0"/>
              <w:right w:val="single" w:color="000000" w:sz="4" w:space="0"/>
            </w:tcBorders>
            <w:shd w:val="clear" w:color="auto" w:fill="D9EAF7"/>
            <w:vAlign w:val="center"/>
          </w:tcPr>
          <w:p w14:paraId="5724B066">
            <w:pPr>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验收或记录材料</w:t>
            </w:r>
          </w:p>
        </w:tc>
      </w:tr>
      <w:tr w14:paraId="3793A253">
        <w:tblPrEx>
          <w:tblCellMar>
            <w:top w:w="0" w:type="dxa"/>
            <w:left w:w="108" w:type="dxa"/>
            <w:bottom w:w="0" w:type="dxa"/>
            <w:right w:w="108" w:type="dxa"/>
          </w:tblCellMar>
        </w:tblPrEx>
        <w:trPr>
          <w:jc w:val="center"/>
        </w:trPr>
        <w:tc>
          <w:tcPr>
            <w:tcW w:w="2040" w:type="dxa"/>
            <w:tcBorders>
              <w:top w:val="single" w:color="000000" w:sz="4" w:space="0"/>
              <w:left w:val="single" w:color="000000" w:sz="4" w:space="0"/>
              <w:bottom w:val="single" w:color="000000" w:sz="4" w:space="0"/>
              <w:right w:val="single" w:color="000000" w:sz="4" w:space="0"/>
            </w:tcBorders>
            <w:vAlign w:val="center"/>
          </w:tcPr>
          <w:p w14:paraId="74FAB84C">
            <w:pPr>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一般咨询或操作问题</w:t>
            </w:r>
          </w:p>
        </w:tc>
        <w:tc>
          <w:tcPr>
            <w:tcW w:w="4537" w:type="dxa"/>
            <w:tcBorders>
              <w:top w:val="single" w:color="000000" w:sz="4" w:space="0"/>
              <w:left w:val="single" w:color="000000" w:sz="4" w:space="0"/>
              <w:bottom w:val="single" w:color="000000" w:sz="4" w:space="0"/>
              <w:right w:val="single" w:color="000000" w:sz="4" w:space="0"/>
            </w:tcBorders>
            <w:vAlign w:val="center"/>
          </w:tcPr>
          <w:p w14:paraId="517D384A">
            <w:pPr>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及时响应并提供操作指导、远程协助或处理建议；需要现场处理的，应在2小时内到达现场，并在工作时间内持续跟踪直至闭环。</w:t>
            </w:r>
          </w:p>
        </w:tc>
        <w:tc>
          <w:tcPr>
            <w:tcW w:w="2494" w:type="dxa"/>
            <w:tcBorders>
              <w:top w:val="single" w:color="000000" w:sz="4" w:space="0"/>
              <w:left w:val="single" w:color="000000" w:sz="4" w:space="0"/>
              <w:bottom w:val="single" w:color="000000" w:sz="4" w:space="0"/>
              <w:right w:val="single" w:color="000000" w:sz="4" w:space="0"/>
            </w:tcBorders>
            <w:vAlign w:val="center"/>
          </w:tcPr>
          <w:p w14:paraId="4BE55250">
            <w:pPr>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咨询记录、处理记录、用户反馈或台账记录</w:t>
            </w:r>
          </w:p>
        </w:tc>
      </w:tr>
      <w:tr w14:paraId="1BE7984D">
        <w:tblPrEx>
          <w:tblCellMar>
            <w:top w:w="0" w:type="dxa"/>
            <w:left w:w="108" w:type="dxa"/>
            <w:bottom w:w="0" w:type="dxa"/>
            <w:right w:w="108" w:type="dxa"/>
          </w:tblCellMar>
        </w:tblPrEx>
        <w:trPr>
          <w:jc w:val="center"/>
        </w:trPr>
        <w:tc>
          <w:tcPr>
            <w:tcW w:w="2040" w:type="dxa"/>
            <w:tcBorders>
              <w:top w:val="single" w:color="000000" w:sz="4" w:space="0"/>
              <w:left w:val="single" w:color="000000" w:sz="4" w:space="0"/>
              <w:bottom w:val="single" w:color="000000" w:sz="4" w:space="0"/>
              <w:right w:val="single" w:color="000000" w:sz="4" w:space="0"/>
            </w:tcBorders>
            <w:vAlign w:val="center"/>
          </w:tcPr>
          <w:p w14:paraId="35C72D22">
            <w:pPr>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一般功能或数据问题</w:t>
            </w:r>
          </w:p>
        </w:tc>
        <w:tc>
          <w:tcPr>
            <w:tcW w:w="4537" w:type="dxa"/>
            <w:tcBorders>
              <w:top w:val="single" w:color="000000" w:sz="4" w:space="0"/>
              <w:left w:val="single" w:color="000000" w:sz="4" w:space="0"/>
              <w:bottom w:val="single" w:color="000000" w:sz="4" w:space="0"/>
              <w:right w:val="single" w:color="000000" w:sz="4" w:space="0"/>
            </w:tcBorders>
            <w:vAlign w:val="center"/>
          </w:tcPr>
          <w:p w14:paraId="351B492B">
            <w:pPr>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及时定位原因并提出处理意见；需要现场处理的，应在2小时内到达现场。涉及配置调整或数据修正的，按</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color w:val="auto"/>
                <w:sz w:val="24"/>
                <w:szCs w:val="24"/>
                <w:highlight w:val="none"/>
              </w:rPr>
              <w:t>确认意见执行。</w:t>
            </w:r>
          </w:p>
        </w:tc>
        <w:tc>
          <w:tcPr>
            <w:tcW w:w="2494" w:type="dxa"/>
            <w:tcBorders>
              <w:top w:val="single" w:color="000000" w:sz="4" w:space="0"/>
              <w:left w:val="single" w:color="000000" w:sz="4" w:space="0"/>
              <w:bottom w:val="single" w:color="000000" w:sz="4" w:space="0"/>
              <w:right w:val="single" w:color="000000" w:sz="4" w:space="0"/>
            </w:tcBorders>
            <w:vAlign w:val="center"/>
          </w:tcPr>
          <w:p w14:paraId="72D2CBF6">
            <w:pPr>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问题单、处理结果、配置记录或数据处理记录</w:t>
            </w:r>
          </w:p>
        </w:tc>
      </w:tr>
      <w:tr w14:paraId="30728C44">
        <w:tblPrEx>
          <w:tblCellMar>
            <w:top w:w="0" w:type="dxa"/>
            <w:left w:w="108" w:type="dxa"/>
            <w:bottom w:w="0" w:type="dxa"/>
            <w:right w:w="108" w:type="dxa"/>
          </w:tblCellMar>
        </w:tblPrEx>
        <w:trPr>
          <w:jc w:val="center"/>
        </w:trPr>
        <w:tc>
          <w:tcPr>
            <w:tcW w:w="2040" w:type="dxa"/>
            <w:tcBorders>
              <w:top w:val="single" w:color="000000" w:sz="4" w:space="0"/>
              <w:left w:val="single" w:color="000000" w:sz="4" w:space="0"/>
              <w:bottom w:val="single" w:color="000000" w:sz="4" w:space="0"/>
              <w:right w:val="single" w:color="000000" w:sz="4" w:space="0"/>
            </w:tcBorders>
            <w:vAlign w:val="center"/>
          </w:tcPr>
          <w:p w14:paraId="1ECA863C">
            <w:pPr>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重大故障或安全风险</w:t>
            </w:r>
          </w:p>
        </w:tc>
        <w:tc>
          <w:tcPr>
            <w:tcW w:w="4537" w:type="dxa"/>
            <w:tcBorders>
              <w:top w:val="single" w:color="000000" w:sz="4" w:space="0"/>
              <w:left w:val="single" w:color="000000" w:sz="4" w:space="0"/>
              <w:bottom w:val="single" w:color="000000" w:sz="4" w:space="0"/>
              <w:right w:val="single" w:color="000000" w:sz="4" w:space="0"/>
            </w:tcBorders>
            <w:vAlign w:val="center"/>
          </w:tcPr>
          <w:p w14:paraId="5A8C717B">
            <w:pPr>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立即启动7×24小时应急响应，优先恢复核心业务可用性；接到通知后30分钟内到达现场，持续反馈处置进度，并在事后形成复盘和整改材料。</w:t>
            </w:r>
          </w:p>
        </w:tc>
        <w:tc>
          <w:tcPr>
            <w:tcW w:w="2494" w:type="dxa"/>
            <w:tcBorders>
              <w:top w:val="single" w:color="000000" w:sz="4" w:space="0"/>
              <w:left w:val="single" w:color="000000" w:sz="4" w:space="0"/>
              <w:bottom w:val="single" w:color="000000" w:sz="4" w:space="0"/>
              <w:right w:val="single" w:color="000000" w:sz="4" w:space="0"/>
            </w:tcBorders>
            <w:vAlign w:val="center"/>
          </w:tcPr>
          <w:p w14:paraId="58EA52AD">
            <w:pPr>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故障报告、应急处置记录和复盘报告</w:t>
            </w:r>
          </w:p>
        </w:tc>
      </w:tr>
      <w:tr w14:paraId="2D019BB1">
        <w:tblPrEx>
          <w:tblCellMar>
            <w:top w:w="0" w:type="dxa"/>
            <w:left w:w="108" w:type="dxa"/>
            <w:bottom w:w="0" w:type="dxa"/>
            <w:right w:w="108" w:type="dxa"/>
          </w:tblCellMar>
        </w:tblPrEx>
        <w:trPr>
          <w:jc w:val="center"/>
        </w:trPr>
        <w:tc>
          <w:tcPr>
            <w:tcW w:w="2040" w:type="dxa"/>
            <w:tcBorders>
              <w:top w:val="single" w:color="000000" w:sz="4" w:space="0"/>
              <w:left w:val="single" w:color="000000" w:sz="4" w:space="0"/>
              <w:bottom w:val="single" w:color="000000" w:sz="4" w:space="0"/>
              <w:right w:val="single" w:color="000000" w:sz="4" w:space="0"/>
            </w:tcBorders>
            <w:vAlign w:val="center"/>
          </w:tcPr>
          <w:p w14:paraId="357BE93E">
            <w:pPr>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第三方系统或外部接口问题</w:t>
            </w:r>
          </w:p>
        </w:tc>
        <w:tc>
          <w:tcPr>
            <w:tcW w:w="4537" w:type="dxa"/>
            <w:tcBorders>
              <w:top w:val="single" w:color="000000" w:sz="4" w:space="0"/>
              <w:left w:val="single" w:color="000000" w:sz="4" w:space="0"/>
              <w:bottom w:val="single" w:color="000000" w:sz="4" w:space="0"/>
              <w:right w:val="single" w:color="000000" w:sz="4" w:space="0"/>
            </w:tcBorders>
            <w:vAlign w:val="center"/>
          </w:tcPr>
          <w:p w14:paraId="6DAFAF82">
            <w:pPr>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及时响应并配合</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color w:val="auto"/>
                <w:sz w:val="24"/>
                <w:szCs w:val="24"/>
                <w:highlight w:val="none"/>
              </w:rPr>
              <w:t>沟通协调，保存联调日志和问题说明，提供替代流程或阶段性建议；需要</w:t>
            </w:r>
            <w:r>
              <w:rPr>
                <w:rFonts w:hint="eastAsia" w:ascii="宋体" w:hAnsi="宋体" w:cs="宋体"/>
                <w:color w:val="auto"/>
                <w:kern w:val="0"/>
                <w:sz w:val="24"/>
                <w:szCs w:val="24"/>
                <w:highlight w:val="none"/>
                <w:lang w:val="en-US" w:eastAsia="zh-CN"/>
              </w:rPr>
              <w:t>投标人</w:t>
            </w:r>
            <w:r>
              <w:rPr>
                <w:rFonts w:hint="eastAsia" w:ascii="宋体" w:hAnsi="宋体" w:eastAsia="宋体" w:cs="宋体"/>
                <w:color w:val="auto"/>
                <w:sz w:val="24"/>
                <w:szCs w:val="24"/>
                <w:highlight w:val="none"/>
              </w:rPr>
              <w:t>现场处理的，应在2小时内到达现场。</w:t>
            </w:r>
          </w:p>
        </w:tc>
        <w:tc>
          <w:tcPr>
            <w:tcW w:w="2494" w:type="dxa"/>
            <w:tcBorders>
              <w:top w:val="single" w:color="000000" w:sz="4" w:space="0"/>
              <w:left w:val="single" w:color="000000" w:sz="4" w:space="0"/>
              <w:bottom w:val="single" w:color="000000" w:sz="4" w:space="0"/>
              <w:right w:val="single" w:color="000000" w:sz="4" w:space="0"/>
            </w:tcBorders>
            <w:vAlign w:val="center"/>
          </w:tcPr>
          <w:p w14:paraId="07ED1314">
            <w:pPr>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联调记录、接口日志、会议纪要或情况说明</w:t>
            </w:r>
          </w:p>
        </w:tc>
      </w:tr>
    </w:tbl>
    <w:p w14:paraId="78804A35">
      <w:pPr>
        <w:pStyle w:val="467"/>
        <w:snapToGrid/>
        <w:spacing w:before="159" w:beforeLines="50" w:beforeAutospacing="0" w:line="360" w:lineRule="auto"/>
        <w:ind w:left="0" w:leftChars="0" w:firstLine="482"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lang w:eastAsia="zh-CN"/>
        </w:rPr>
        <w:t>）培训与咨询服务</w:t>
      </w:r>
    </w:p>
    <w:p w14:paraId="6CABD195">
      <w:pPr>
        <w:pStyle w:val="467"/>
        <w:snapToGrid/>
        <w:spacing w:line="360" w:lineRule="auto"/>
        <w:ind w:left="0"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eastAsia="zh-CN"/>
        </w:rPr>
        <w:t>应根据</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color w:val="auto"/>
          <w:sz w:val="24"/>
          <w:szCs w:val="24"/>
          <w:highlight w:val="none"/>
          <w:lang w:eastAsia="zh-CN"/>
        </w:rPr>
        <w:t>年度工作安排制定培训计划，面向监管部门操作人员、租赁企业、经纪机构、房东、承租人等不同对象提供操作培训、线上答疑、操作手册、常见问题说明或视频材料。培训形式可包括集中培训、专题培训、现场指导、远程会议、电话咨询、在线答疑、图文手册和视频教程等，具体场次、对象和内容以</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color w:val="auto"/>
          <w:sz w:val="24"/>
          <w:szCs w:val="24"/>
          <w:highlight w:val="none"/>
          <w:lang w:eastAsia="zh-CN"/>
        </w:rPr>
        <w:t>实际安排及培训记录为准。</w:t>
      </w:r>
    </w:p>
    <w:p w14:paraId="4C4B5D49">
      <w:pPr>
        <w:snapToGrid/>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rPr>
        <w:t>网络安全、数据安全与保密要求</w:t>
      </w:r>
    </w:p>
    <w:p w14:paraId="0246A379">
      <w:pPr>
        <w:pStyle w:val="467"/>
        <w:snapToGrid/>
        <w:spacing w:line="360" w:lineRule="auto"/>
        <w:ind w:left="0"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eastAsia="zh-CN"/>
        </w:rPr>
        <w:t>应严格遵守网络安全、数据安全、个人信息保护、政务数据管理和住房租赁管理等相关规定，确保服务过程中数据安全、权限清晰、操作留痕、责任可追溯。</w:t>
      </w:r>
    </w:p>
    <w:p w14:paraId="6AFA0649">
      <w:pPr>
        <w:pStyle w:val="467"/>
        <w:snapToGrid/>
        <w:spacing w:line="360" w:lineRule="auto"/>
        <w:ind w:left="0" w:firstLine="482"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lang w:eastAsia="zh-CN"/>
        </w:rPr>
        <w:t>）数据权属</w:t>
      </w:r>
    </w:p>
    <w:p w14:paraId="14D01A9B">
      <w:pPr>
        <w:pStyle w:val="467"/>
        <w:snapToGrid/>
        <w:spacing w:line="360" w:lineRule="auto"/>
        <w:ind w:left="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服务期内因本项目产生、归集、加工、整理、存储和形成的房源、合同、租金、主体、用户、监管业务、统计报表、服务台账等数据和资料，其所有权、管理权和使用权依法归</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color w:val="auto"/>
          <w:sz w:val="24"/>
          <w:szCs w:val="24"/>
          <w:highlight w:val="none"/>
          <w:lang w:eastAsia="zh-CN"/>
        </w:rPr>
        <w:t>或有关主管部门所有。</w:t>
      </w:r>
    </w:p>
    <w:p w14:paraId="0E996F13">
      <w:pPr>
        <w:pStyle w:val="467"/>
        <w:snapToGrid/>
        <w:spacing w:line="360" w:lineRule="auto"/>
        <w:ind w:left="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未经</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color w:val="auto"/>
          <w:sz w:val="24"/>
          <w:szCs w:val="24"/>
          <w:highlight w:val="none"/>
          <w:lang w:eastAsia="zh-CN"/>
        </w:rPr>
        <w:t>书面同意，</w:t>
      </w: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eastAsia="zh-CN"/>
        </w:rPr>
        <w:t>不得擅自复制、导出、留存、转移、披露、共享、出售或用于本项目以外的商业用途、模型训练、产品推广和其他用途。</w:t>
      </w:r>
    </w:p>
    <w:p w14:paraId="2F46D94F">
      <w:pPr>
        <w:pStyle w:val="467"/>
        <w:snapToGrid/>
        <w:spacing w:line="360" w:lineRule="auto"/>
        <w:ind w:left="0" w:firstLine="482" w:firstLineChars="200"/>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lang w:eastAsia="zh-CN"/>
        </w:rPr>
        <w:t>）权限与审计</w:t>
      </w:r>
    </w:p>
    <w:p w14:paraId="4C0B8863">
      <w:pPr>
        <w:pStyle w:val="467"/>
        <w:snapToGrid/>
        <w:spacing w:line="360" w:lineRule="auto"/>
        <w:ind w:left="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eastAsia="zh-CN"/>
        </w:rPr>
        <w:t>应按照最小必要原则配置账号和权限，对关键操作、数据查询、数据导出、接口调用、配置变更和异常行为进行记录，确保操作可追溯。</w:t>
      </w:r>
    </w:p>
    <w:p w14:paraId="717C0BE3">
      <w:pPr>
        <w:pStyle w:val="467"/>
        <w:snapToGrid/>
        <w:spacing w:line="360" w:lineRule="auto"/>
        <w:ind w:left="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涉及个人信息、敏感信息和重要数据的处理，应采取身份认证、访问控制、日志审计、脱敏展示、传输加密和权限隔离等措施。</w:t>
      </w:r>
    </w:p>
    <w:p w14:paraId="3EE10012">
      <w:pPr>
        <w:pStyle w:val="467"/>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lang w:eastAsia="zh-CN"/>
        </w:rPr>
        <w:t>）备份与恢复</w:t>
      </w:r>
    </w:p>
    <w:p w14:paraId="58CC8F13">
      <w:pPr>
        <w:pStyle w:val="467"/>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eastAsia="zh-CN"/>
        </w:rPr>
        <w:t>应建立适合本项目业务特点的数据备份、恢复和应急机制，保障服务期内数据安全和业务连续性。备份频率、留存周期、恢复目标等可根据</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color w:val="auto"/>
          <w:sz w:val="24"/>
          <w:szCs w:val="24"/>
          <w:highlight w:val="none"/>
          <w:lang w:eastAsia="zh-CN"/>
        </w:rPr>
        <w:t>要求、系统部署条件和合同约定确定。</w:t>
      </w:r>
    </w:p>
    <w:p w14:paraId="3A99B241">
      <w:pPr>
        <w:pStyle w:val="467"/>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发生数据异常、服务中断、安全事件或其他重大问题时，</w:t>
      </w: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eastAsia="zh-CN"/>
        </w:rPr>
        <w:t>应及时报告</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color w:val="auto"/>
          <w:sz w:val="24"/>
          <w:szCs w:val="24"/>
          <w:highlight w:val="none"/>
          <w:lang w:eastAsia="zh-CN"/>
        </w:rPr>
        <w:t>，采取止损、恢复、排查、整改和复盘措施。</w:t>
      </w:r>
    </w:p>
    <w:p w14:paraId="35584619">
      <w:pPr>
        <w:pStyle w:val="467"/>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lang w:eastAsia="zh-CN"/>
        </w:rPr>
        <w:t>）保密义务</w:t>
      </w:r>
    </w:p>
    <w:p w14:paraId="168608CC">
      <w:pPr>
        <w:pStyle w:val="467"/>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eastAsia="zh-CN"/>
        </w:rPr>
        <w:t>应</w:t>
      </w:r>
      <w:r>
        <w:rPr>
          <w:rFonts w:hint="eastAsia" w:ascii="宋体" w:hAnsi="宋体" w:cs="宋体"/>
          <w:color w:val="auto"/>
          <w:sz w:val="24"/>
          <w:szCs w:val="24"/>
          <w:highlight w:val="none"/>
          <w:lang w:val="en-US" w:eastAsia="zh-CN"/>
        </w:rPr>
        <w:t>与招标人签订保密协议，并</w:t>
      </w:r>
      <w:r>
        <w:rPr>
          <w:rFonts w:hint="eastAsia" w:ascii="宋体" w:hAnsi="宋体" w:eastAsia="宋体" w:cs="宋体"/>
          <w:color w:val="auto"/>
          <w:sz w:val="24"/>
          <w:szCs w:val="24"/>
          <w:highlight w:val="none"/>
          <w:lang w:eastAsia="zh-CN"/>
        </w:rPr>
        <w:t>组织参与本项目的人员签署保密承诺或保密协议，严格控制知悉范围，未经</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color w:val="auto"/>
          <w:sz w:val="24"/>
          <w:szCs w:val="24"/>
          <w:highlight w:val="none"/>
          <w:lang w:eastAsia="zh-CN"/>
        </w:rPr>
        <w:t>同意不得对外披露业务信息、系统资料、账号权限、接口资料、数据内容和个人隐私信息。</w:t>
      </w:r>
    </w:p>
    <w:p w14:paraId="2F0C3A2D">
      <w:pPr>
        <w:pStyle w:val="467"/>
        <w:snapToGrid/>
        <w:spacing w:line="360" w:lineRule="auto"/>
        <w:ind w:left="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保密义务不因合同终止、人员离岗或服务期满而免除。服务期满或合同终止后，</w:t>
      </w: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eastAsia="zh-CN"/>
        </w:rPr>
        <w:t>应按</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color w:val="auto"/>
          <w:sz w:val="24"/>
          <w:szCs w:val="24"/>
          <w:highlight w:val="none"/>
          <w:lang w:eastAsia="zh-CN"/>
        </w:rPr>
        <w:t>要求完成数据移交、留存数据清理和书面承诺。</w:t>
      </w:r>
    </w:p>
    <w:p w14:paraId="640A7246">
      <w:pPr>
        <w:snapToGrid/>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rPr>
        <w:t>验收、考核与资料成果</w:t>
      </w:r>
    </w:p>
    <w:p w14:paraId="7FCEDE0A">
      <w:pPr>
        <w:pStyle w:val="467"/>
        <w:snapToGrid/>
        <w:spacing w:line="360" w:lineRule="auto"/>
        <w:ind w:left="0" w:firstLine="482"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lang w:eastAsia="zh-CN"/>
        </w:rPr>
        <w:t>）验收原则</w:t>
      </w:r>
    </w:p>
    <w:p w14:paraId="3E291414">
      <w:pPr>
        <w:pStyle w:val="467"/>
        <w:snapToGrid/>
        <w:spacing w:line="360" w:lineRule="auto"/>
        <w:ind w:left="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本项目按服务类项目组织验收，以运营支撑服务完成情况、已启用业务场景支撑效果、运行保障效果</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项目所在地</w:t>
      </w:r>
      <w:r>
        <w:rPr>
          <w:rFonts w:hint="eastAsia" w:ascii="宋体" w:hAnsi="宋体" w:eastAsia="宋体" w:cs="宋体"/>
          <w:color w:val="auto"/>
          <w:sz w:val="24"/>
          <w:szCs w:val="24"/>
          <w:highlight w:val="none"/>
          <w:lang w:eastAsia="zh-CN"/>
        </w:rPr>
        <w:t>固定办公服务驻点和驻场人员分别配置及持续履职情况、响应和到场时限落实情况</w:t>
      </w:r>
      <w:r>
        <w:rPr>
          <w:rFonts w:hint="eastAsia" w:ascii="宋体" w:hAnsi="宋体" w:eastAsia="宋体" w:cs="宋体"/>
          <w:color w:val="auto"/>
          <w:sz w:val="24"/>
          <w:szCs w:val="24"/>
          <w:highlight w:val="none"/>
          <w:lang w:eastAsia="zh-CN"/>
        </w:rPr>
        <w:t>、资料成果完整性、数据安全合规性和服务期满交接情况为验收对象，不以单独软件产品、源代码、硬件资产、系统建设成果或未启用业务场景逐项功能清单作为验收标的。</w:t>
      </w:r>
    </w:p>
    <w:p w14:paraId="48F41337">
      <w:pPr>
        <w:pStyle w:val="467"/>
        <w:snapToGrid/>
        <w:spacing w:line="360" w:lineRule="auto"/>
        <w:ind w:left="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验收可采用资料审查、台账核对、现场或远程查验、抽样验证、服务报告确认、问题整改复核等方式进行。对因政策、第三方接口、数据授权、</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color w:val="auto"/>
          <w:sz w:val="24"/>
          <w:szCs w:val="24"/>
          <w:highlight w:val="none"/>
          <w:lang w:eastAsia="zh-CN"/>
        </w:rPr>
        <w:t>业务安排等非</w:t>
      </w: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eastAsia="zh-CN"/>
        </w:rPr>
        <w:t>原因暂未开展的事项，可依据</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color w:val="auto"/>
          <w:sz w:val="24"/>
          <w:szCs w:val="24"/>
          <w:highlight w:val="none"/>
          <w:lang w:eastAsia="zh-CN"/>
        </w:rPr>
        <w:t>确认的情况说明、实施计划、替代方案或阶段性成果进行确认。</w:t>
      </w:r>
    </w:p>
    <w:p w14:paraId="4C31DF08">
      <w:pPr>
        <w:pStyle w:val="467"/>
        <w:snapToGrid/>
        <w:spacing w:line="360" w:lineRule="auto"/>
        <w:ind w:left="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服务期满3年后，</w:t>
      </w: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lang w:eastAsia="zh-CN"/>
        </w:rPr>
        <w:t>人组织总体履约验收。总体履约验收重点核验三年服务完成情况、年度考核结果、驻点和驻场履职记录、响应处置记录、数据安全与保密、资料成果及期满交接情况。验收发现问题的，</w:t>
      </w: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eastAsia="zh-CN"/>
        </w:rPr>
        <w:t>应在</w:t>
      </w: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lang w:eastAsia="zh-CN"/>
        </w:rPr>
        <w:t>人要求的合理期限内完成整改；总体履约验收不合格的，按合同约定处理。</w:t>
      </w:r>
    </w:p>
    <w:p w14:paraId="5691F78D">
      <w:pPr>
        <w:pStyle w:val="467"/>
        <w:snapToGrid/>
        <w:spacing w:line="360" w:lineRule="auto"/>
        <w:ind w:left="0" w:firstLine="482"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lang w:eastAsia="zh-CN"/>
        </w:rPr>
        <w:t>）主要验收内容</w:t>
      </w:r>
    </w:p>
    <w:tbl>
      <w:tblPr>
        <w:tblStyle w:val="37"/>
        <w:tblW w:w="9071" w:type="dxa"/>
        <w:jc w:val="center"/>
        <w:tblLayout w:type="fixed"/>
        <w:tblCellMar>
          <w:top w:w="0" w:type="dxa"/>
          <w:left w:w="108" w:type="dxa"/>
          <w:bottom w:w="0" w:type="dxa"/>
          <w:right w:w="108" w:type="dxa"/>
        </w:tblCellMar>
      </w:tblPr>
      <w:tblGrid>
        <w:gridCol w:w="2381"/>
        <w:gridCol w:w="6690"/>
      </w:tblGrid>
      <w:tr w14:paraId="3546E209">
        <w:tblPrEx>
          <w:tblCellMar>
            <w:top w:w="0" w:type="dxa"/>
            <w:left w:w="108" w:type="dxa"/>
            <w:bottom w:w="0" w:type="dxa"/>
            <w:right w:w="108" w:type="dxa"/>
          </w:tblCellMar>
        </w:tblPrEx>
        <w:trPr>
          <w:tblHeader/>
          <w:jc w:val="center"/>
        </w:trPr>
        <w:tc>
          <w:tcPr>
            <w:tcW w:w="2381" w:type="dxa"/>
            <w:tcBorders>
              <w:top w:val="single" w:color="000000" w:sz="4" w:space="0"/>
              <w:left w:val="single" w:color="000000" w:sz="4" w:space="0"/>
              <w:bottom w:val="single" w:color="000000" w:sz="4" w:space="0"/>
              <w:right w:val="single" w:color="000000" w:sz="4" w:space="0"/>
            </w:tcBorders>
            <w:shd w:val="clear" w:color="auto" w:fill="D9EAF7"/>
            <w:vAlign w:val="center"/>
          </w:tcPr>
          <w:p w14:paraId="38D2BC82">
            <w:pPr>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验收类别</w:t>
            </w:r>
          </w:p>
        </w:tc>
        <w:tc>
          <w:tcPr>
            <w:tcW w:w="6690" w:type="dxa"/>
            <w:tcBorders>
              <w:top w:val="single" w:color="000000" w:sz="4" w:space="0"/>
              <w:left w:val="single" w:color="000000" w:sz="4" w:space="0"/>
              <w:bottom w:val="single" w:color="000000" w:sz="4" w:space="0"/>
              <w:right w:val="single" w:color="000000" w:sz="4" w:space="0"/>
            </w:tcBorders>
            <w:shd w:val="clear" w:color="auto" w:fill="D9EAF7"/>
            <w:vAlign w:val="center"/>
          </w:tcPr>
          <w:p w14:paraId="07968A5E">
            <w:pPr>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验收要点</w:t>
            </w:r>
          </w:p>
        </w:tc>
      </w:tr>
      <w:tr w14:paraId="575CBBD8">
        <w:tblPrEx>
          <w:tblCellMar>
            <w:top w:w="0" w:type="dxa"/>
            <w:left w:w="108" w:type="dxa"/>
            <w:bottom w:w="0" w:type="dxa"/>
            <w:right w:w="108" w:type="dxa"/>
          </w:tblCellMar>
        </w:tblPrEx>
        <w:trPr>
          <w:jc w:val="center"/>
        </w:trPr>
        <w:tc>
          <w:tcPr>
            <w:tcW w:w="2381" w:type="dxa"/>
            <w:tcBorders>
              <w:top w:val="single" w:color="000000" w:sz="4" w:space="0"/>
              <w:left w:val="single" w:color="000000" w:sz="4" w:space="0"/>
              <w:bottom w:val="single" w:color="000000" w:sz="4" w:space="0"/>
              <w:right w:val="single" w:color="000000" w:sz="4" w:space="0"/>
            </w:tcBorders>
            <w:vAlign w:val="center"/>
          </w:tcPr>
          <w:p w14:paraId="7B5A3B59">
            <w:pPr>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运营服务</w:t>
            </w:r>
          </w:p>
        </w:tc>
        <w:tc>
          <w:tcPr>
            <w:tcW w:w="6690" w:type="dxa"/>
            <w:tcBorders>
              <w:top w:val="single" w:color="000000" w:sz="4" w:space="0"/>
              <w:left w:val="single" w:color="000000" w:sz="4" w:space="0"/>
              <w:bottom w:val="single" w:color="000000" w:sz="4" w:space="0"/>
              <w:right w:val="single" w:color="000000" w:sz="4" w:space="0"/>
            </w:tcBorders>
            <w:vAlign w:val="center"/>
          </w:tcPr>
          <w:p w14:paraId="4FA3BB7E">
            <w:pPr>
              <w:snapToGrid/>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项目所在地</w:t>
            </w:r>
            <w:r>
              <w:rPr>
                <w:rFonts w:hint="eastAsia" w:ascii="宋体" w:hAnsi="宋体" w:eastAsia="宋体" w:cs="宋体"/>
                <w:color w:val="auto"/>
                <w:sz w:val="24"/>
                <w:szCs w:val="24"/>
                <w:highlight w:val="none"/>
              </w:rPr>
              <w:t>固定办公服务驻点及不少于</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名驻点服务人员持续到位，</w:t>
            </w: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rPr>
              <w:t>人指定地点另行配置不少于</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名驻场人员，二者不由同一人兼任；沟通机制、服务台账和阶段报告完整，重要事项30分钟、一般事项2小时到场要求落实。</w:t>
            </w:r>
          </w:p>
        </w:tc>
      </w:tr>
      <w:tr w14:paraId="623E474D">
        <w:tblPrEx>
          <w:tblCellMar>
            <w:top w:w="0" w:type="dxa"/>
            <w:left w:w="108" w:type="dxa"/>
            <w:bottom w:w="0" w:type="dxa"/>
            <w:right w:w="108" w:type="dxa"/>
          </w:tblCellMar>
        </w:tblPrEx>
        <w:trPr>
          <w:jc w:val="center"/>
        </w:trPr>
        <w:tc>
          <w:tcPr>
            <w:tcW w:w="2381" w:type="dxa"/>
            <w:tcBorders>
              <w:top w:val="single" w:color="000000" w:sz="4" w:space="0"/>
              <w:left w:val="single" w:color="000000" w:sz="4" w:space="0"/>
              <w:bottom w:val="single" w:color="000000" w:sz="4" w:space="0"/>
              <w:right w:val="single" w:color="000000" w:sz="4" w:space="0"/>
            </w:tcBorders>
            <w:vAlign w:val="center"/>
          </w:tcPr>
          <w:p w14:paraId="1B9F3CF7">
            <w:pPr>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已启用场景支撑</w:t>
            </w:r>
          </w:p>
        </w:tc>
        <w:tc>
          <w:tcPr>
            <w:tcW w:w="6690" w:type="dxa"/>
            <w:tcBorders>
              <w:top w:val="single" w:color="000000" w:sz="4" w:space="0"/>
              <w:left w:val="single" w:color="000000" w:sz="4" w:space="0"/>
              <w:bottom w:val="single" w:color="000000" w:sz="4" w:space="0"/>
              <w:right w:val="single" w:color="000000" w:sz="4" w:space="0"/>
            </w:tcBorders>
            <w:vAlign w:val="center"/>
          </w:tcPr>
          <w:p w14:paraId="46F28DFF">
            <w:pPr>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能够支撑</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color w:val="auto"/>
                <w:sz w:val="24"/>
                <w:szCs w:val="24"/>
                <w:highlight w:val="none"/>
              </w:rPr>
              <w:t>已启用的主要业务场景，满足日常办理、查询统计、流程流转、报表导出和资料留存需要。</w:t>
            </w:r>
          </w:p>
        </w:tc>
      </w:tr>
      <w:tr w14:paraId="52B4E51A">
        <w:tblPrEx>
          <w:tblCellMar>
            <w:top w:w="0" w:type="dxa"/>
            <w:left w:w="108" w:type="dxa"/>
            <w:bottom w:w="0" w:type="dxa"/>
            <w:right w:w="108" w:type="dxa"/>
          </w:tblCellMar>
        </w:tblPrEx>
        <w:trPr>
          <w:jc w:val="center"/>
        </w:trPr>
        <w:tc>
          <w:tcPr>
            <w:tcW w:w="2381" w:type="dxa"/>
            <w:tcBorders>
              <w:top w:val="single" w:color="000000" w:sz="4" w:space="0"/>
              <w:left w:val="single" w:color="000000" w:sz="4" w:space="0"/>
              <w:bottom w:val="single" w:color="000000" w:sz="4" w:space="0"/>
              <w:right w:val="single" w:color="000000" w:sz="4" w:space="0"/>
            </w:tcBorders>
            <w:vAlign w:val="center"/>
          </w:tcPr>
          <w:p w14:paraId="0A4242BF">
            <w:pPr>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数据治理与报表</w:t>
            </w:r>
          </w:p>
        </w:tc>
        <w:tc>
          <w:tcPr>
            <w:tcW w:w="6690" w:type="dxa"/>
            <w:tcBorders>
              <w:top w:val="single" w:color="000000" w:sz="4" w:space="0"/>
              <w:left w:val="single" w:color="000000" w:sz="4" w:space="0"/>
              <w:bottom w:val="single" w:color="000000" w:sz="4" w:space="0"/>
              <w:right w:val="single" w:color="000000" w:sz="4" w:space="0"/>
            </w:tcBorders>
            <w:vAlign w:val="center"/>
          </w:tcPr>
          <w:p w14:paraId="2B0750D6">
            <w:pPr>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color w:val="auto"/>
                <w:sz w:val="24"/>
                <w:szCs w:val="24"/>
                <w:highlight w:val="none"/>
              </w:rPr>
              <w:t>要求开展数据整理、质量检查、统计报送和专项材料整理，形成可追溯材料。</w:t>
            </w:r>
          </w:p>
        </w:tc>
      </w:tr>
      <w:tr w14:paraId="52A390AE">
        <w:tblPrEx>
          <w:tblCellMar>
            <w:top w:w="0" w:type="dxa"/>
            <w:left w:w="108" w:type="dxa"/>
            <w:bottom w:w="0" w:type="dxa"/>
            <w:right w:w="108" w:type="dxa"/>
          </w:tblCellMar>
        </w:tblPrEx>
        <w:trPr>
          <w:jc w:val="center"/>
        </w:trPr>
        <w:tc>
          <w:tcPr>
            <w:tcW w:w="2381" w:type="dxa"/>
            <w:tcBorders>
              <w:top w:val="single" w:color="000000" w:sz="4" w:space="0"/>
              <w:left w:val="single" w:color="000000" w:sz="4" w:space="0"/>
              <w:bottom w:val="single" w:color="000000" w:sz="4" w:space="0"/>
              <w:right w:val="single" w:color="000000" w:sz="4" w:space="0"/>
            </w:tcBorders>
            <w:vAlign w:val="center"/>
          </w:tcPr>
          <w:p w14:paraId="00C5FB9A">
            <w:pPr>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资金监管协同辅助</w:t>
            </w:r>
          </w:p>
        </w:tc>
        <w:tc>
          <w:tcPr>
            <w:tcW w:w="6690" w:type="dxa"/>
            <w:tcBorders>
              <w:top w:val="single" w:color="000000" w:sz="4" w:space="0"/>
              <w:left w:val="single" w:color="000000" w:sz="4" w:space="0"/>
              <w:bottom w:val="single" w:color="000000" w:sz="4" w:space="0"/>
              <w:right w:val="single" w:color="000000" w:sz="4" w:space="0"/>
            </w:tcBorders>
            <w:vAlign w:val="center"/>
          </w:tcPr>
          <w:p w14:paraId="4651FEAA">
            <w:pPr>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color w:val="auto"/>
                <w:sz w:val="24"/>
                <w:szCs w:val="24"/>
                <w:highlight w:val="none"/>
              </w:rPr>
              <w:t>安排完成监管账户、账单、对账、问题线索等基础协同材料整理，不替代资金处置或监管判断。</w:t>
            </w:r>
          </w:p>
        </w:tc>
      </w:tr>
      <w:tr w14:paraId="6815C4BB">
        <w:tblPrEx>
          <w:tblCellMar>
            <w:top w:w="0" w:type="dxa"/>
            <w:left w:w="108" w:type="dxa"/>
            <w:bottom w:w="0" w:type="dxa"/>
            <w:right w:w="108" w:type="dxa"/>
          </w:tblCellMar>
        </w:tblPrEx>
        <w:trPr>
          <w:jc w:val="center"/>
        </w:trPr>
        <w:tc>
          <w:tcPr>
            <w:tcW w:w="2381" w:type="dxa"/>
            <w:tcBorders>
              <w:top w:val="single" w:color="000000" w:sz="4" w:space="0"/>
              <w:left w:val="single" w:color="000000" w:sz="4" w:space="0"/>
              <w:bottom w:val="single" w:color="000000" w:sz="4" w:space="0"/>
              <w:right w:val="single" w:color="000000" w:sz="4" w:space="0"/>
            </w:tcBorders>
            <w:vAlign w:val="center"/>
          </w:tcPr>
          <w:p w14:paraId="67F24F1B">
            <w:pPr>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运维保障</w:t>
            </w:r>
          </w:p>
        </w:tc>
        <w:tc>
          <w:tcPr>
            <w:tcW w:w="6690" w:type="dxa"/>
            <w:tcBorders>
              <w:top w:val="single" w:color="000000" w:sz="4" w:space="0"/>
              <w:left w:val="single" w:color="000000" w:sz="4" w:space="0"/>
              <w:bottom w:val="single" w:color="000000" w:sz="4" w:space="0"/>
              <w:right w:val="single" w:color="000000" w:sz="4" w:space="0"/>
            </w:tcBorders>
            <w:vAlign w:val="center"/>
          </w:tcPr>
          <w:p w14:paraId="55D1AE3A">
            <w:pPr>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运行巡检、故障响应</w:t>
            </w:r>
            <w:r>
              <w:rPr>
                <w:rFonts w:hint="eastAsia" w:ascii="宋体" w:hAnsi="宋体" w:eastAsia="宋体" w:cs="宋体"/>
                <w:color w:val="auto"/>
                <w:sz w:val="24"/>
                <w:szCs w:val="24"/>
                <w:highlight w:val="none"/>
              </w:rPr>
              <w:t>、现场到场</w:t>
            </w:r>
            <w:r>
              <w:rPr>
                <w:rFonts w:hint="eastAsia" w:ascii="宋体" w:hAnsi="宋体" w:eastAsia="宋体" w:cs="宋体"/>
                <w:color w:val="auto"/>
                <w:sz w:val="24"/>
                <w:szCs w:val="24"/>
                <w:highlight w:val="none"/>
              </w:rPr>
              <w:t>、配置调整、问题整改和安全保障记录完整，重大问题</w:t>
            </w:r>
            <w:r>
              <w:rPr>
                <w:rFonts w:hint="eastAsia" w:ascii="宋体" w:hAnsi="宋体" w:eastAsia="宋体" w:cs="宋体"/>
                <w:color w:val="auto"/>
                <w:sz w:val="24"/>
                <w:szCs w:val="24"/>
                <w:highlight w:val="none"/>
              </w:rPr>
              <w:t>处</w:t>
            </w:r>
            <w:r>
              <w:rPr>
                <w:rFonts w:hint="eastAsia" w:ascii="宋体" w:hAnsi="宋体" w:eastAsia="宋体" w:cs="宋体"/>
                <w:color w:val="auto"/>
                <w:sz w:val="24"/>
                <w:szCs w:val="24"/>
                <w:highlight w:val="none"/>
              </w:rPr>
              <w:t>置</w:t>
            </w:r>
            <w:r>
              <w:rPr>
                <w:rFonts w:hint="eastAsia" w:ascii="宋体" w:hAnsi="宋体" w:eastAsia="宋体" w:cs="宋体"/>
                <w:color w:val="auto"/>
                <w:sz w:val="24"/>
                <w:szCs w:val="24"/>
                <w:highlight w:val="none"/>
              </w:rPr>
              <w:t>及时并形成</w:t>
            </w:r>
            <w:r>
              <w:rPr>
                <w:rFonts w:hint="eastAsia" w:ascii="宋体" w:hAnsi="宋体" w:eastAsia="宋体" w:cs="宋体"/>
                <w:color w:val="auto"/>
                <w:sz w:val="24"/>
                <w:szCs w:val="24"/>
                <w:highlight w:val="none"/>
              </w:rPr>
              <w:t>复盘</w:t>
            </w:r>
            <w:r>
              <w:rPr>
                <w:rFonts w:hint="eastAsia" w:ascii="宋体" w:hAnsi="宋体" w:eastAsia="宋体" w:cs="宋体"/>
                <w:color w:val="auto"/>
                <w:sz w:val="24"/>
                <w:szCs w:val="24"/>
                <w:highlight w:val="none"/>
              </w:rPr>
              <w:t>材料</w:t>
            </w:r>
            <w:r>
              <w:rPr>
                <w:rFonts w:hint="eastAsia" w:ascii="宋体" w:hAnsi="宋体" w:eastAsia="宋体" w:cs="宋体"/>
                <w:color w:val="auto"/>
                <w:sz w:val="24"/>
                <w:szCs w:val="24"/>
                <w:highlight w:val="none"/>
              </w:rPr>
              <w:t>。</w:t>
            </w:r>
          </w:p>
        </w:tc>
      </w:tr>
      <w:tr w14:paraId="718F027D">
        <w:tblPrEx>
          <w:tblCellMar>
            <w:top w:w="0" w:type="dxa"/>
            <w:left w:w="108" w:type="dxa"/>
            <w:bottom w:w="0" w:type="dxa"/>
            <w:right w:w="108" w:type="dxa"/>
          </w:tblCellMar>
        </w:tblPrEx>
        <w:trPr>
          <w:jc w:val="center"/>
        </w:trPr>
        <w:tc>
          <w:tcPr>
            <w:tcW w:w="2381" w:type="dxa"/>
            <w:tcBorders>
              <w:top w:val="single" w:color="000000" w:sz="4" w:space="0"/>
              <w:left w:val="single" w:color="000000" w:sz="4" w:space="0"/>
              <w:bottom w:val="single" w:color="000000" w:sz="4" w:space="0"/>
              <w:right w:val="single" w:color="000000" w:sz="4" w:space="0"/>
            </w:tcBorders>
            <w:vAlign w:val="center"/>
          </w:tcPr>
          <w:p w14:paraId="262915B9">
            <w:pPr>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安全合规</w:t>
            </w:r>
          </w:p>
        </w:tc>
        <w:tc>
          <w:tcPr>
            <w:tcW w:w="6690" w:type="dxa"/>
            <w:tcBorders>
              <w:top w:val="single" w:color="000000" w:sz="4" w:space="0"/>
              <w:left w:val="single" w:color="000000" w:sz="4" w:space="0"/>
              <w:bottom w:val="single" w:color="000000" w:sz="4" w:space="0"/>
              <w:right w:val="single" w:color="000000" w:sz="4" w:space="0"/>
            </w:tcBorders>
            <w:vAlign w:val="center"/>
          </w:tcPr>
          <w:p w14:paraId="1133213E">
            <w:pPr>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权限管理、日志审计、保密协议、数据备份、个人信息保护和安全事件处置符合合同及</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color w:val="auto"/>
                <w:sz w:val="24"/>
                <w:szCs w:val="24"/>
                <w:highlight w:val="none"/>
              </w:rPr>
              <w:t>要求</w:t>
            </w:r>
            <w:r>
              <w:rPr>
                <w:rFonts w:hint="eastAsia" w:ascii="宋体" w:hAnsi="宋体" w:eastAsia="宋体" w:cs="宋体"/>
                <w:color w:val="auto"/>
                <w:sz w:val="24"/>
                <w:szCs w:val="24"/>
                <w:highlight w:val="none"/>
              </w:rPr>
              <w:t>，安全管理记录真实、完整、可追溯</w:t>
            </w:r>
            <w:r>
              <w:rPr>
                <w:rFonts w:hint="eastAsia" w:ascii="宋体" w:hAnsi="宋体" w:eastAsia="宋体" w:cs="宋体"/>
                <w:color w:val="auto"/>
                <w:sz w:val="24"/>
                <w:szCs w:val="24"/>
                <w:highlight w:val="none"/>
              </w:rPr>
              <w:t>。</w:t>
            </w:r>
          </w:p>
        </w:tc>
      </w:tr>
      <w:tr w14:paraId="6CE5369E">
        <w:tblPrEx>
          <w:tblCellMar>
            <w:top w:w="0" w:type="dxa"/>
            <w:left w:w="108" w:type="dxa"/>
            <w:bottom w:w="0" w:type="dxa"/>
            <w:right w:w="108" w:type="dxa"/>
          </w:tblCellMar>
        </w:tblPrEx>
        <w:trPr>
          <w:jc w:val="center"/>
        </w:trPr>
        <w:tc>
          <w:tcPr>
            <w:tcW w:w="2381" w:type="dxa"/>
            <w:tcBorders>
              <w:top w:val="single" w:color="000000" w:sz="4" w:space="0"/>
              <w:left w:val="single" w:color="000000" w:sz="4" w:space="0"/>
              <w:bottom w:val="single" w:color="000000" w:sz="4" w:space="0"/>
              <w:right w:val="single" w:color="000000" w:sz="4" w:space="0"/>
            </w:tcBorders>
            <w:vAlign w:val="center"/>
          </w:tcPr>
          <w:p w14:paraId="165F73BE">
            <w:pPr>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交接连续性</w:t>
            </w:r>
          </w:p>
        </w:tc>
        <w:tc>
          <w:tcPr>
            <w:tcW w:w="6690" w:type="dxa"/>
            <w:tcBorders>
              <w:top w:val="single" w:color="000000" w:sz="4" w:space="0"/>
              <w:left w:val="single" w:color="000000" w:sz="4" w:space="0"/>
              <w:bottom w:val="single" w:color="000000" w:sz="4" w:space="0"/>
              <w:right w:val="single" w:color="000000" w:sz="4" w:space="0"/>
            </w:tcBorders>
            <w:vAlign w:val="center"/>
          </w:tcPr>
          <w:p w14:paraId="66E7FD17">
            <w:pPr>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期满或终止时按要求完成数据、台账、资料、接口说明和操作指引移交，保障业务连续。</w:t>
            </w:r>
          </w:p>
        </w:tc>
      </w:tr>
    </w:tbl>
    <w:p w14:paraId="67991721">
      <w:pPr>
        <w:pStyle w:val="467"/>
        <w:snapToGrid/>
        <w:spacing w:before="159" w:beforeLines="50" w:beforeAutospacing="0" w:line="360" w:lineRule="auto"/>
        <w:ind w:left="0" w:leftChars="0" w:firstLine="482"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lang w:eastAsia="zh-CN"/>
        </w:rPr>
        <w:t>）整改与责任区分</w:t>
      </w:r>
    </w:p>
    <w:p w14:paraId="7719294C">
      <w:pPr>
        <w:pStyle w:val="467"/>
        <w:snapToGrid/>
        <w:spacing w:line="360" w:lineRule="auto"/>
        <w:ind w:left="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color w:val="auto"/>
          <w:sz w:val="24"/>
          <w:szCs w:val="24"/>
          <w:highlight w:val="none"/>
          <w:lang w:eastAsia="zh-CN"/>
        </w:rPr>
        <w:t>有权对服务质量、资料完整性、数据安全和履约情况进行监督。发现问题的，</w:t>
      </w: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eastAsia="zh-CN"/>
        </w:rPr>
        <w:t>应在</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color w:val="auto"/>
          <w:sz w:val="24"/>
          <w:szCs w:val="24"/>
          <w:highlight w:val="none"/>
          <w:lang w:eastAsia="zh-CN"/>
        </w:rPr>
        <w:t>要求的合理期限内整改并提交整改说明。</w:t>
      </w:r>
    </w:p>
    <w:p w14:paraId="3D7E33CB">
      <w:pPr>
        <w:pStyle w:val="467"/>
        <w:snapToGrid/>
        <w:spacing w:line="360" w:lineRule="auto"/>
        <w:ind w:left="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对因</w:t>
      </w: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eastAsia="zh-CN"/>
        </w:rPr>
        <w:t>原因导致的服务不到位、资料缺失、重大故障、数据安全问题或违约行为，按合同约定处理。对因</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color w:val="auto"/>
          <w:sz w:val="24"/>
          <w:szCs w:val="24"/>
          <w:highlight w:val="none"/>
          <w:lang w:eastAsia="zh-CN"/>
        </w:rPr>
        <w:t>业务安排、第三方接口、外部系统、政策调整、数据授权、不可抗力等非</w:t>
      </w: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eastAsia="zh-CN"/>
        </w:rPr>
        <w:t>可控原因导致的延期、调整或未启用事项，应依据事实记录和双方确认材料区分责任。</w:t>
      </w:r>
    </w:p>
    <w:p w14:paraId="2D95D44E">
      <w:pPr>
        <w:snapToGrid/>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八、</w:t>
      </w:r>
      <w:r>
        <w:rPr>
          <w:rFonts w:hint="eastAsia" w:ascii="宋体" w:hAnsi="宋体" w:eastAsia="宋体" w:cs="宋体"/>
          <w:b/>
          <w:bCs/>
          <w:color w:val="auto"/>
          <w:sz w:val="24"/>
          <w:szCs w:val="24"/>
          <w:highlight w:val="none"/>
        </w:rPr>
        <w:t>服务期满交接与连续性保障</w:t>
      </w:r>
    </w:p>
    <w:p w14:paraId="67FE7AD7">
      <w:pPr>
        <w:pStyle w:val="467"/>
        <w:snapToGrid/>
        <w:spacing w:line="360" w:lineRule="auto"/>
        <w:ind w:left="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服务期满或合同终止时，</w:t>
      </w: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eastAsia="zh-CN"/>
        </w:rPr>
        <w:t>应按</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color w:val="auto"/>
          <w:sz w:val="24"/>
          <w:szCs w:val="24"/>
          <w:highlight w:val="none"/>
          <w:lang w:eastAsia="zh-CN"/>
        </w:rPr>
        <w:t>要求完成交接，保障住房租赁监管服务连续、安全、可追溯。交接费用原则上已包含在</w:t>
      </w:r>
      <w:r>
        <w:rPr>
          <w:rFonts w:hint="eastAsia" w:ascii="宋体" w:hAnsi="宋体" w:cs="宋体"/>
          <w:color w:val="auto"/>
          <w:sz w:val="24"/>
          <w:szCs w:val="24"/>
          <w:highlight w:val="none"/>
          <w:lang w:val="en-US" w:eastAsia="zh-CN"/>
        </w:rPr>
        <w:t>投标</w:t>
      </w:r>
      <w:r>
        <w:rPr>
          <w:rFonts w:hint="eastAsia" w:ascii="宋体" w:hAnsi="宋体" w:eastAsia="宋体" w:cs="宋体"/>
          <w:color w:val="auto"/>
          <w:sz w:val="24"/>
          <w:szCs w:val="24"/>
          <w:highlight w:val="none"/>
          <w:lang w:eastAsia="zh-CN"/>
        </w:rPr>
        <w:t>报价中。</w:t>
      </w:r>
    </w:p>
    <w:p w14:paraId="28BB8763">
      <w:pPr>
        <w:pStyle w:val="467"/>
        <w:snapToGrid/>
        <w:spacing w:line="360" w:lineRule="auto"/>
        <w:ind w:left="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业务数据移交：以</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color w:val="auto"/>
          <w:sz w:val="24"/>
          <w:szCs w:val="24"/>
          <w:highlight w:val="none"/>
          <w:lang w:eastAsia="zh-CN"/>
        </w:rPr>
        <w:t>确认的格式移交本项目相关业务数据，并提供必要的数据字典、字段说明、导出说明和校验材料。</w:t>
      </w:r>
    </w:p>
    <w:p w14:paraId="3D45AF6A">
      <w:pPr>
        <w:pStyle w:val="467"/>
        <w:snapToGrid/>
        <w:spacing w:line="360" w:lineRule="auto"/>
        <w:ind w:left="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服务资料移交：移交服务台账、问题处理记录、操作记录、培训资料、统计报表、运行报告、整改记录和运营档案。</w:t>
      </w:r>
    </w:p>
    <w:p w14:paraId="3567562B">
      <w:pPr>
        <w:pStyle w:val="467"/>
        <w:snapToGrid/>
        <w:spacing w:line="360" w:lineRule="auto"/>
        <w:ind w:left="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运维资料移交：移交配套工具使用说明、接口说明、配置说明、常见问题、操作指引、账号权限清单和必要的运维说明。</w:t>
      </w:r>
    </w:p>
    <w:p w14:paraId="58616F3C">
      <w:pPr>
        <w:pStyle w:val="467"/>
        <w:snapToGrid/>
        <w:spacing w:line="360" w:lineRule="auto"/>
        <w:ind w:left="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过渡期配合：在</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color w:val="auto"/>
          <w:sz w:val="24"/>
          <w:szCs w:val="24"/>
          <w:highlight w:val="none"/>
          <w:lang w:eastAsia="zh-CN"/>
        </w:rPr>
        <w:t>指定的合理过渡期内配合后续服务承接、数据核验、资料说明和必要的业务衔接。</w:t>
      </w:r>
    </w:p>
    <w:p w14:paraId="55AAD2CA">
      <w:pPr>
        <w:pStyle w:val="467"/>
        <w:snapToGrid/>
        <w:spacing w:line="360" w:lineRule="auto"/>
        <w:ind w:left="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数据清理：交接完成并经</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color w:val="auto"/>
          <w:sz w:val="24"/>
          <w:szCs w:val="24"/>
          <w:highlight w:val="none"/>
          <w:lang w:eastAsia="zh-CN"/>
        </w:rPr>
        <w:t>确认后，按</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color w:val="auto"/>
          <w:sz w:val="24"/>
          <w:szCs w:val="24"/>
          <w:highlight w:val="none"/>
          <w:lang w:eastAsia="zh-CN"/>
        </w:rPr>
        <w:t>要求安全清除或封存</w:t>
      </w:r>
      <w:r>
        <w:rPr>
          <w:rFonts w:hint="eastAsia" w:ascii="宋体" w:hAnsi="宋体" w:cs="宋体"/>
          <w:color w:val="auto"/>
          <w:kern w:val="0"/>
          <w:sz w:val="24"/>
          <w:szCs w:val="24"/>
          <w:highlight w:val="none"/>
          <w:lang w:val="en-US" w:eastAsia="zh-CN"/>
        </w:rPr>
        <w:t>投标人</w:t>
      </w:r>
      <w:r>
        <w:rPr>
          <w:rFonts w:hint="eastAsia" w:ascii="宋体" w:hAnsi="宋体" w:eastAsia="宋体" w:cs="宋体"/>
          <w:color w:val="auto"/>
          <w:sz w:val="24"/>
          <w:szCs w:val="24"/>
          <w:highlight w:val="none"/>
          <w:lang w:eastAsia="zh-CN"/>
        </w:rPr>
        <w:t>留存的业务数据，并出具书面承诺。</w:t>
      </w:r>
    </w:p>
    <w:p w14:paraId="156573F1">
      <w:pPr>
        <w:snapToGrid/>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九、</w:t>
      </w:r>
      <w:r>
        <w:rPr>
          <w:rFonts w:hint="eastAsia" w:ascii="宋体" w:hAnsi="宋体" w:eastAsia="宋体" w:cs="宋体"/>
          <w:b/>
          <w:bCs/>
          <w:color w:val="auto"/>
          <w:sz w:val="24"/>
          <w:szCs w:val="24"/>
          <w:highlight w:val="none"/>
        </w:rPr>
        <w:t>其他合规与服务保障要求</w:t>
      </w:r>
    </w:p>
    <w:p w14:paraId="701D8EE2">
      <w:pPr>
        <w:pStyle w:val="467"/>
        <w:snapToGrid/>
        <w:spacing w:line="360" w:lineRule="auto"/>
        <w:ind w:left="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eastAsia="zh-CN"/>
        </w:rPr>
        <w:t>应遵守政府采购、住房租赁、网络安全、数据安全、个人信息保护、政务数据管理等相关法律法规和</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color w:val="auto"/>
          <w:sz w:val="24"/>
          <w:szCs w:val="24"/>
          <w:highlight w:val="none"/>
          <w:lang w:eastAsia="zh-CN"/>
        </w:rPr>
        <w:t>管理制度。</w:t>
      </w:r>
    </w:p>
    <w:p w14:paraId="38FF65FE">
      <w:pPr>
        <w:pStyle w:val="467"/>
        <w:snapToGrid/>
        <w:spacing w:line="360" w:lineRule="auto"/>
        <w:ind w:left="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本项目所需运营服务、</w:t>
      </w:r>
      <w:r>
        <w:rPr>
          <w:rFonts w:hint="eastAsia" w:ascii="宋体" w:hAnsi="宋体" w:cs="宋体"/>
          <w:color w:val="auto"/>
          <w:sz w:val="24"/>
          <w:szCs w:val="24"/>
          <w:highlight w:val="none"/>
          <w:lang w:val="en-US" w:eastAsia="zh-CN"/>
        </w:rPr>
        <w:t>项目所在地</w:t>
      </w:r>
      <w:r>
        <w:rPr>
          <w:rFonts w:hint="eastAsia" w:ascii="宋体" w:hAnsi="宋体" w:eastAsia="宋体" w:cs="宋体"/>
          <w:color w:val="auto"/>
          <w:sz w:val="24"/>
          <w:szCs w:val="24"/>
          <w:highlight w:val="none"/>
          <w:lang w:eastAsia="zh-CN"/>
        </w:rPr>
        <w:t>固定办公服务驻点及驻点服务人员、</w:t>
      </w: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lang w:eastAsia="zh-CN"/>
        </w:rPr>
        <w:t>人指定地点的</w:t>
      </w:r>
      <w:r>
        <w:rPr>
          <w:rFonts w:hint="eastAsia" w:ascii="宋体" w:hAnsi="宋体" w:eastAsia="宋体" w:cs="宋体"/>
          <w:color w:val="auto"/>
          <w:sz w:val="24"/>
          <w:szCs w:val="24"/>
          <w:highlight w:val="none"/>
          <w:lang w:eastAsia="zh-CN"/>
        </w:rPr>
        <w:t>驻场</w:t>
      </w:r>
      <w:r>
        <w:rPr>
          <w:rFonts w:hint="eastAsia" w:ascii="宋体" w:hAnsi="宋体" w:eastAsia="宋体" w:cs="宋体"/>
          <w:color w:val="auto"/>
          <w:sz w:val="24"/>
          <w:szCs w:val="24"/>
          <w:highlight w:val="none"/>
          <w:lang w:eastAsia="zh-CN"/>
        </w:rPr>
        <w:t>人员、到场服务、培训咨询、成品软件或配套工具使用、必要软硬件和物资配套、数据治理、配置调整、接口配合、安全保障、资料整理和期满交接等费用，除合同另有约定外，均包含在投标总报价中。</w:t>
      </w:r>
    </w:p>
    <w:p w14:paraId="38F89EB6">
      <w:pPr>
        <w:pStyle w:val="467"/>
        <w:snapToGrid/>
        <w:spacing w:line="360" w:lineRule="auto"/>
        <w:ind w:left="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eastAsia="zh-CN"/>
        </w:rPr>
        <w:t>配套工具的知识产权依法归</w:t>
      </w:r>
      <w:r>
        <w:rPr>
          <w:rFonts w:hint="eastAsia" w:ascii="宋体" w:hAnsi="宋体" w:cs="宋体"/>
          <w:color w:val="auto"/>
          <w:kern w:val="0"/>
          <w:sz w:val="24"/>
          <w:szCs w:val="24"/>
          <w:highlight w:val="none"/>
          <w:lang w:val="en-US" w:eastAsia="zh-CN"/>
        </w:rPr>
        <w:t>投标人</w:t>
      </w:r>
      <w:r>
        <w:rPr>
          <w:rFonts w:hint="eastAsia" w:ascii="宋体" w:hAnsi="宋体" w:eastAsia="宋体" w:cs="宋体"/>
          <w:color w:val="auto"/>
          <w:sz w:val="24"/>
          <w:szCs w:val="24"/>
          <w:highlight w:val="none"/>
          <w:lang w:eastAsia="zh-CN"/>
        </w:rPr>
        <w:t>或其授权方所有。</w:t>
      </w: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eastAsia="zh-CN"/>
        </w:rPr>
        <w:t>应确保</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color w:val="auto"/>
          <w:sz w:val="24"/>
          <w:szCs w:val="24"/>
          <w:highlight w:val="none"/>
          <w:lang w:eastAsia="zh-CN"/>
        </w:rPr>
        <w:t>在服务期内合法、稳定使用相关工</w:t>
      </w:r>
      <w:r>
        <w:rPr>
          <w:rFonts w:hint="eastAsia" w:ascii="宋体" w:hAnsi="宋体" w:eastAsia="宋体" w:cs="宋体"/>
          <w:color w:val="auto"/>
          <w:sz w:val="24"/>
          <w:szCs w:val="24"/>
          <w:highlight w:val="none"/>
          <w:lang w:eastAsia="zh-CN"/>
        </w:rPr>
        <w:t>具，不得因知识产权争议影响项目履约。</w:t>
      </w:r>
    </w:p>
    <w:p w14:paraId="34ED7300">
      <w:pPr>
        <w:pStyle w:val="467"/>
        <w:snapToGrid/>
        <w:spacing w:line="360" w:lineRule="auto"/>
        <w:ind w:left="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lang w:eastAsia="zh-CN"/>
        </w:rPr>
        <w:t>应配合</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color w:val="auto"/>
          <w:sz w:val="24"/>
          <w:szCs w:val="24"/>
          <w:highlight w:val="none"/>
          <w:lang w:eastAsia="zh-CN"/>
        </w:rPr>
        <w:t>开展合法合规的监督、检查、审计和绩效评价，按实际形成的合同、台账、报告、记录、会议纪要、整改材料和交接资料提供证明。</w:t>
      </w:r>
    </w:p>
    <w:p w14:paraId="14619A66">
      <w:pPr>
        <w:pStyle w:val="467"/>
        <w:snapToGrid/>
        <w:spacing w:line="360" w:lineRule="auto"/>
        <w:ind w:left="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本文件未尽事宜，按照</w:t>
      </w: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lang w:eastAsia="zh-CN"/>
        </w:rPr>
        <w:t>文件、投标文件、合同约定及国家、省、市有关规定执行。</w:t>
      </w:r>
    </w:p>
    <w:p w14:paraId="2E274C23">
      <w:pPr>
        <w:snapToGrid/>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十、</w:t>
      </w:r>
      <w:r>
        <w:rPr>
          <w:rFonts w:hint="eastAsia" w:ascii="宋体" w:hAnsi="宋体" w:eastAsia="宋体" w:cs="宋体"/>
          <w:b/>
          <w:bCs/>
          <w:color w:val="auto"/>
          <w:sz w:val="24"/>
          <w:szCs w:val="24"/>
          <w:highlight w:val="none"/>
        </w:rPr>
        <w:t>演示</w:t>
      </w:r>
    </w:p>
    <w:p w14:paraId="34A0B0CF">
      <w:pPr>
        <w:snapToGrid/>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上传演示视频的形式</w:t>
      </w:r>
    </w:p>
    <w:p w14:paraId="13ABC3BA">
      <w:pPr>
        <w:snapToGrid/>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kern w:val="0"/>
          <w:sz w:val="24"/>
          <w:szCs w:val="24"/>
          <w:highlight w:val="none"/>
          <w:lang w:val="en-US" w:eastAsia="zh-CN"/>
        </w:rPr>
        <w:t>投标人</w:t>
      </w:r>
      <w:r>
        <w:rPr>
          <w:rFonts w:hint="eastAsia" w:ascii="宋体" w:hAnsi="宋体" w:eastAsia="宋体" w:cs="宋体"/>
          <w:color w:val="auto"/>
          <w:sz w:val="24"/>
          <w:szCs w:val="24"/>
          <w:highlight w:val="none"/>
        </w:rPr>
        <w:t>需按照</w:t>
      </w:r>
      <w:r>
        <w:rPr>
          <w:rFonts w:hint="eastAsia" w:ascii="宋体" w:hAnsi="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文件规定的演示内容制作演示视频文件，视频文件的格式为*.mp4或*.avi，</w:t>
      </w:r>
      <w:r>
        <w:rPr>
          <w:rFonts w:hint="eastAsia" w:ascii="宋体" w:hAnsi="宋体" w:cs="宋体"/>
          <w:color w:val="auto"/>
          <w:kern w:val="0"/>
          <w:sz w:val="24"/>
          <w:szCs w:val="24"/>
          <w:highlight w:val="none"/>
          <w:lang w:val="en-US" w:eastAsia="zh-CN"/>
        </w:rPr>
        <w:t>投标人</w:t>
      </w:r>
      <w:r>
        <w:rPr>
          <w:rFonts w:hint="eastAsia" w:ascii="宋体" w:hAnsi="宋体" w:eastAsia="宋体" w:cs="宋体"/>
          <w:color w:val="auto"/>
          <w:sz w:val="24"/>
          <w:szCs w:val="24"/>
          <w:highlight w:val="none"/>
        </w:rPr>
        <w:t>须将视频文件分段压缩为*.zip文件上传（单个文件不得大于50M，所有文件总共不得大于300M）。文件上传方式见《操作手册》规定，上传的演示视频将作为</w:t>
      </w:r>
      <w:r>
        <w:rPr>
          <w:rFonts w:hint="eastAsia" w:ascii="宋体" w:hAnsi="宋体" w:cs="宋体"/>
          <w:color w:val="auto"/>
          <w:sz w:val="24"/>
          <w:szCs w:val="24"/>
          <w:highlight w:val="none"/>
          <w:lang w:val="en-US" w:eastAsia="zh-CN"/>
        </w:rPr>
        <w:t>投标</w:t>
      </w:r>
      <w:r>
        <w:rPr>
          <w:rFonts w:hint="eastAsia" w:ascii="宋体" w:hAnsi="宋体" w:eastAsia="宋体" w:cs="宋体"/>
          <w:color w:val="auto"/>
          <w:sz w:val="24"/>
          <w:szCs w:val="24"/>
          <w:highlight w:val="none"/>
        </w:rPr>
        <w:t>文件的组成部分，视频时长总计不超过15</w:t>
      </w:r>
      <w:r>
        <w:rPr>
          <w:rFonts w:hint="eastAsia" w:ascii="宋体" w:hAnsi="宋体" w:eastAsia="宋体" w:cs="宋体"/>
          <w:color w:val="auto"/>
          <w:sz w:val="24"/>
          <w:szCs w:val="24"/>
          <w:highlight w:val="none"/>
        </w:rPr>
        <w:t>分钟。</w:t>
      </w:r>
    </w:p>
    <w:p w14:paraId="3F8077D5">
      <w:pPr>
        <w:snapToGrid/>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演示内容如下</w:t>
      </w:r>
    </w:p>
    <w:p w14:paraId="3E82083C">
      <w:pPr>
        <w:snapToGrid/>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市场主体与权限体系演示视频。</w:t>
      </w:r>
    </w:p>
    <w:p w14:paraId="1D82C82E">
      <w:pPr>
        <w:snapToGrid/>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企业备案及政务移动端协同能力：演示企业备案全流程线上化辅助功能，包括政务数据接口自动预填报或预填报适配、结构化电子材料上传、自定义多级审批流程配置与流转、电子备案证明生成与下载；演示与“我的常州APP”或同类政务移动端的对接、单点登录、实名认证/实人核验调用、个人身份信息登记与核验流程闭环的已有能力或适配能力；反映门店、品牌及从业人员的配置化管理功能。</w:t>
      </w:r>
    </w:p>
    <w:p w14:paraId="3D465325">
      <w:pPr>
        <w:snapToGrid/>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权限体系与精细化管控能力：演示基于成熟产品的账号体系与RBAC权限模型，反映以配置方式动态设置角色权限范围的功能；展示不同主体（企业、经纪机构、个人用户）数据访问隔离机制，体现权限控制粒度支持到功能级与数据级。</w:t>
      </w:r>
    </w:p>
    <w:p w14:paraId="4DF08264">
      <w:pPr>
        <w:snapToGrid/>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电子印章、电子签名及协议流转留痕能力：演示对接市级统一电子印章服务平台或相关认证体系的能力，反映企业数字证书电子盖章调用流程，以及个人端结合人脸识别的电子签名功能；展示租赁业务相关协议或监管协同资料在线生成、签署、流转与存证的全过程，并反映全流程日志留痕与防篡改机制。</w:t>
      </w:r>
    </w:p>
    <w:p w14:paraId="1EC708E7">
      <w:pPr>
        <w:snapToGrid/>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房源核验与展示协同演示视频。</w:t>
      </w:r>
    </w:p>
    <w:p w14:paraId="54AD3FD6">
      <w:pPr>
        <w:snapToGrid/>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动产三要素核验能力：演示对接政务数据平台实现房源比对校验的功能；反映不动产三要素核验机制，包括产权人姓名一致性校验、产权人身份证件号码比对校验、不动产权证号有效性校验；演示对查封、抵押等限制交易状态的识别与拦截提示；反映规则引擎与人工辅助核验流程的协同联动。</w:t>
      </w:r>
    </w:p>
    <w:p w14:paraId="1576DE3F">
      <w:pPr>
        <w:snapToGrid/>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常州住房APP</w:t>
      </w:r>
      <w:r>
        <w:rPr>
          <w:rFonts w:hint="eastAsia" w:ascii="宋体" w:hAnsi="宋体" w:cs="宋体"/>
          <w:color w:val="auto"/>
          <w:kern w:val="0"/>
          <w:sz w:val="24"/>
          <w:szCs w:val="24"/>
          <w:highlight w:val="none"/>
          <w:lang w:val="en-US" w:eastAsia="zh-CN"/>
        </w:rPr>
        <w:t>或其他类似APP</w:t>
      </w:r>
      <w:r>
        <w:rPr>
          <w:rFonts w:hint="eastAsia" w:ascii="宋体" w:hAnsi="宋体" w:eastAsia="宋体" w:cs="宋体"/>
          <w:color w:val="auto"/>
          <w:sz w:val="24"/>
          <w:szCs w:val="24"/>
          <w:highlight w:val="none"/>
        </w:rPr>
        <w:t>对接及多端展示协同能力：演示与常州住房APP</w:t>
      </w:r>
      <w:r>
        <w:rPr>
          <w:rFonts w:hint="eastAsia" w:ascii="宋体" w:hAnsi="宋体" w:cs="宋体"/>
          <w:color w:val="auto"/>
          <w:kern w:val="0"/>
          <w:sz w:val="24"/>
          <w:szCs w:val="24"/>
          <w:highlight w:val="none"/>
          <w:lang w:val="en-US" w:eastAsia="zh-CN"/>
        </w:rPr>
        <w:t>或其他类似APP</w:t>
      </w:r>
      <w:r>
        <w:rPr>
          <w:rFonts w:hint="eastAsia" w:ascii="宋体" w:hAnsi="宋体" w:eastAsia="宋体" w:cs="宋体"/>
          <w:color w:val="auto"/>
          <w:sz w:val="24"/>
          <w:szCs w:val="24"/>
          <w:highlight w:val="none"/>
        </w:rPr>
        <w:t>移动端工作台对接能力，反映经纪人实勘照片上传、房源核验申请提交及移动端业务办理闭环；展示官方核验房源在APP端专区的统一标签化展示；演示PC端多维度信息编辑维护界面与房源状态管理功能；反映租客端地图找房、列表展示、多条件组合筛选及关键词搜索等多模式房源查找功能。</w:t>
      </w:r>
    </w:p>
    <w:p w14:paraId="0C38C0C6">
      <w:pPr>
        <w:snapToGrid/>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标准化接口与外部平台协同能力：演示系统API开放能力与集成能力，反映与第三方网络房源平台的数据协同发布；展示房源状态变更（签约、解约、到期）时的信息交互与双向同步机制，体现双向数据交互与状态一致性管理。</w:t>
      </w:r>
    </w:p>
    <w:p w14:paraId="78483402">
      <w:pPr>
        <w:snapToGrid/>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合同网签与履约服务演示视频。</w:t>
      </w:r>
    </w:p>
    <w:p w14:paraId="050026E4">
      <w:pPr>
        <w:snapToGrid/>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网签功能及全过程存证能力：演示内置标准化房屋租赁合同示范文本及动态配置管理；反映多角色在线协同起草、条款确认，并结合房源核验结果与电子签章状态进行逻辑校验，实现电子存证签署及防篡改锁定功能。</w:t>
      </w:r>
    </w:p>
    <w:p w14:paraId="71E0BD89">
      <w:pPr>
        <w:snapToGrid/>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备案功能与流转审批闭环能力：演示合同一键备案申请的标准化流转审批路径，以及符合规则条件时的系统辅助审核机制；反映审核通过后带有标准二维码的电子版房屋租赁登记备案凭证自动生成与下载功能。备案审核和备案结论由</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eastAsia="宋体" w:cs="宋体"/>
          <w:color w:val="auto"/>
          <w:sz w:val="24"/>
          <w:szCs w:val="24"/>
          <w:highlight w:val="none"/>
        </w:rPr>
        <w:t>或主管部门依法确认。</w:t>
      </w:r>
    </w:p>
    <w:p w14:paraId="55D42043">
      <w:pPr>
        <w:snapToGrid/>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合同档案与履约管理能力：反映完整的合同专属档案管理库视图，以及基于标准流程的合同到期续签、提前解约等操作。</w:t>
      </w:r>
    </w:p>
    <w:p w14:paraId="390797C3">
      <w:pPr>
        <w:snapToGrid/>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租后服务与即时沟通能力：反映基于工单引擎的租后投诉建议工单生成、流转、处理全跟踪过程，以及系统内置的各角色站内消息沟通功能。</w:t>
      </w:r>
    </w:p>
    <w:p w14:paraId="473F04AD">
      <w:pPr>
        <w:snapToGrid/>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需提供以上系统演示的视频录制文件，视频格式为*.mp4或*.avi，演示时间不超过15分钟。</w:t>
      </w:r>
      <w:r>
        <w:rPr>
          <w:rFonts w:hint="eastAsia" w:ascii="宋体" w:hAnsi="宋体" w:eastAsia="宋体" w:cs="宋体"/>
          <w:color w:val="auto"/>
          <w:sz w:val="24"/>
          <w:szCs w:val="24"/>
          <w:highlight w:val="none"/>
          <w:lang w:val="en-US" w:eastAsia="zh-CN"/>
        </w:rPr>
        <w:t xml:space="preserve"> </w:t>
      </w:r>
    </w:p>
    <w:p w14:paraId="4CE9287B">
      <w:pPr>
        <w:snapToGrid/>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十一、</w:t>
      </w:r>
      <w:r>
        <w:rPr>
          <w:rFonts w:hint="eastAsia" w:ascii="宋体" w:hAnsi="宋体" w:cs="宋体"/>
          <w:b/>
          <w:bCs/>
          <w:color w:val="auto"/>
          <w:sz w:val="24"/>
          <w:highlight w:val="none"/>
        </w:rPr>
        <w:t>采购标的对应的中小企业划分标准所属行业一览表</w:t>
      </w:r>
    </w:p>
    <w:tbl>
      <w:tblPr>
        <w:tblStyle w:val="37"/>
        <w:tblW w:w="456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74"/>
        <w:gridCol w:w="3997"/>
        <w:gridCol w:w="3724"/>
      </w:tblGrid>
      <w:tr w14:paraId="523F6C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60" w:type="pct"/>
            <w:vAlign w:val="center"/>
          </w:tcPr>
          <w:p w14:paraId="7B86FD61">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序号</w:t>
            </w:r>
          </w:p>
        </w:tc>
        <w:tc>
          <w:tcPr>
            <w:tcW w:w="2247" w:type="pct"/>
            <w:vAlign w:val="center"/>
          </w:tcPr>
          <w:p w14:paraId="38B56F5A">
            <w:pPr>
              <w:spacing w:line="360" w:lineRule="auto"/>
              <w:jc w:val="center"/>
              <w:rPr>
                <w:rFonts w:ascii="宋体" w:hAnsi="宋体" w:cs="宋体"/>
                <w:color w:val="auto"/>
                <w:sz w:val="24"/>
                <w:highlight w:val="none"/>
              </w:rPr>
            </w:pPr>
            <w:r>
              <w:rPr>
                <w:rFonts w:hint="eastAsia" w:ascii="宋体" w:hAnsi="宋体" w:cs="宋体"/>
                <w:color w:val="auto"/>
                <w:sz w:val="24"/>
                <w:highlight w:val="none"/>
              </w:rPr>
              <w:t>采购标的</w:t>
            </w:r>
          </w:p>
        </w:tc>
        <w:tc>
          <w:tcPr>
            <w:tcW w:w="2093" w:type="pct"/>
            <w:vAlign w:val="center"/>
          </w:tcPr>
          <w:p w14:paraId="43C7C041">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对应中小企业划分标准所属行业</w:t>
            </w:r>
          </w:p>
        </w:tc>
      </w:tr>
      <w:tr w14:paraId="6438BF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1" w:hRule="atLeast"/>
          <w:jc w:val="center"/>
        </w:trPr>
        <w:tc>
          <w:tcPr>
            <w:tcW w:w="660" w:type="pct"/>
            <w:vAlign w:val="center"/>
          </w:tcPr>
          <w:p w14:paraId="2E5E3D63">
            <w:pPr>
              <w:spacing w:line="360" w:lineRule="auto"/>
              <w:jc w:val="center"/>
              <w:rPr>
                <w:rFonts w:ascii="宋体" w:hAnsi="宋体" w:cs="宋体"/>
                <w:color w:val="auto"/>
                <w:sz w:val="24"/>
                <w:highlight w:val="none"/>
              </w:rPr>
            </w:pPr>
            <w:r>
              <w:rPr>
                <w:rFonts w:hint="eastAsia" w:ascii="宋体" w:hAnsi="宋体" w:cs="宋体"/>
                <w:color w:val="auto"/>
                <w:sz w:val="24"/>
                <w:highlight w:val="none"/>
              </w:rPr>
              <w:t>1</w:t>
            </w:r>
          </w:p>
        </w:tc>
        <w:tc>
          <w:tcPr>
            <w:tcW w:w="2247" w:type="pct"/>
            <w:vAlign w:val="center"/>
          </w:tcPr>
          <w:p w14:paraId="7A6AB149">
            <w:pPr>
              <w:spacing w:line="360" w:lineRule="auto"/>
              <w:jc w:val="center"/>
              <w:rPr>
                <w:rFonts w:hint="eastAsia" w:ascii="宋体" w:hAnsi="宋体" w:eastAsia="宋体" w:cs="宋体"/>
                <w:color w:val="auto"/>
                <w:sz w:val="24"/>
                <w:highlight w:val="none"/>
                <w:lang w:eastAsia="zh-CN"/>
              </w:rPr>
            </w:pPr>
            <w:r>
              <w:rPr>
                <w:rFonts w:hint="eastAsia" w:asciiTheme="minorEastAsia" w:hAnsiTheme="minorEastAsia" w:eastAsiaTheme="minorEastAsia"/>
                <w:color w:val="auto"/>
                <w:sz w:val="24"/>
                <w:highlight w:val="none"/>
                <w:lang w:eastAsia="zh-CN"/>
              </w:rPr>
              <w:t>常州市住房租赁监管运营支撑服务项目</w:t>
            </w:r>
          </w:p>
        </w:tc>
        <w:tc>
          <w:tcPr>
            <w:tcW w:w="2093" w:type="pct"/>
            <w:vAlign w:val="center"/>
          </w:tcPr>
          <w:p w14:paraId="1B9B7C00">
            <w:pPr>
              <w:spacing w:line="360" w:lineRule="auto"/>
              <w:jc w:val="center"/>
              <w:rPr>
                <w:rFonts w:ascii="宋体" w:hAnsi="宋体" w:cs="宋体"/>
                <w:color w:val="auto"/>
                <w:sz w:val="24"/>
                <w:highlight w:val="none"/>
              </w:rPr>
            </w:pPr>
            <w:r>
              <w:rPr>
                <w:rFonts w:hint="eastAsia" w:ascii="宋体" w:hAnsi="宋体" w:cs="宋体"/>
                <w:color w:val="auto"/>
                <w:sz w:val="24"/>
                <w:highlight w:val="none"/>
              </w:rPr>
              <w:t>软</w:t>
            </w:r>
            <w:r>
              <w:rPr>
                <w:rFonts w:hint="eastAsia" w:ascii="宋体" w:hAnsi="宋体" w:cs="宋体"/>
                <w:color w:val="auto"/>
                <w:sz w:val="24"/>
                <w:highlight w:val="none"/>
              </w:rPr>
              <w:t>件和</w:t>
            </w:r>
            <w:r>
              <w:rPr>
                <w:rFonts w:hint="eastAsia" w:ascii="宋体" w:hAnsi="宋体" w:cs="宋体"/>
                <w:color w:val="auto"/>
                <w:sz w:val="24"/>
                <w:highlight w:val="none"/>
              </w:rPr>
              <w:t>信息技术服务业</w:t>
            </w:r>
          </w:p>
        </w:tc>
      </w:tr>
    </w:tbl>
    <w:p w14:paraId="30C06F2C">
      <w:pPr>
        <w:widowControl/>
        <w:jc w:val="left"/>
        <w:rPr>
          <w:rFonts w:ascii="宋体" w:hAnsi="宋体"/>
          <w:color w:val="auto"/>
          <w:sz w:val="24"/>
          <w:highlight w:val="none"/>
        </w:rPr>
      </w:pPr>
    </w:p>
    <w:p w14:paraId="532A2544">
      <w:pPr>
        <w:keepNext w:val="0"/>
        <w:keepLines w:val="0"/>
        <w:pageBreakBefore/>
        <w:widowControl w:val="0"/>
        <w:kinsoku/>
        <w:wordWrap/>
        <w:overflowPunct/>
        <w:topLinePunct w:val="0"/>
        <w:autoSpaceDE/>
        <w:autoSpaceDN/>
        <w:bidi w:val="0"/>
        <w:adjustRightInd/>
        <w:snapToGrid/>
        <w:spacing w:line="360" w:lineRule="auto"/>
        <w:jc w:val="center"/>
        <w:textAlignment w:val="auto"/>
        <w:outlineLvl w:val="0"/>
        <w:rPr>
          <w:b/>
          <w:color w:val="auto"/>
          <w:sz w:val="36"/>
          <w:szCs w:val="36"/>
          <w:highlight w:val="none"/>
        </w:rPr>
      </w:pPr>
      <w:r>
        <w:rPr>
          <w:b/>
          <w:color w:val="auto"/>
          <w:sz w:val="36"/>
          <w:szCs w:val="36"/>
          <w:highlight w:val="none"/>
        </w:rPr>
        <w:t>第六章   合同文本</w:t>
      </w:r>
      <w:bookmarkEnd w:id="829"/>
    </w:p>
    <w:p w14:paraId="1C5AF526">
      <w:pPr>
        <w:spacing w:line="480" w:lineRule="auto"/>
        <w:rPr>
          <w:rFonts w:ascii="黑体" w:hAnsi="黑体" w:eastAsia="黑体"/>
          <w:color w:val="auto"/>
          <w:sz w:val="28"/>
          <w:szCs w:val="28"/>
          <w:highlight w:val="none"/>
          <w:u w:val="single"/>
        </w:rPr>
      </w:pPr>
      <w:r>
        <w:rPr>
          <w:rFonts w:hint="eastAsia" w:ascii="黑体" w:hAnsi="黑体" w:eastAsia="黑体"/>
          <w:color w:val="auto"/>
          <w:sz w:val="28"/>
          <w:szCs w:val="28"/>
          <w:highlight w:val="none"/>
        </w:rPr>
        <w:t>合同编号：</w:t>
      </w:r>
    </w:p>
    <w:p w14:paraId="571879F2">
      <w:pPr>
        <w:jc w:val="right"/>
        <w:rPr>
          <w:rFonts w:ascii="仿宋" w:hAnsi="仿宋" w:eastAsia="仿宋"/>
          <w:color w:val="auto"/>
          <w:sz w:val="30"/>
          <w:szCs w:val="30"/>
          <w:highlight w:val="none"/>
        </w:rPr>
      </w:pPr>
      <w:r>
        <w:rPr>
          <w:rFonts w:hint="eastAsia" w:ascii="仿宋" w:hAnsi="仿宋" w:eastAsia="仿宋"/>
          <w:color w:val="auto"/>
          <w:sz w:val="30"/>
          <w:szCs w:val="30"/>
          <w:highlight w:val="none"/>
        </w:rPr>
        <w:t>参考格式</w:t>
      </w:r>
    </w:p>
    <w:p w14:paraId="53D87C39">
      <w:pPr>
        <w:jc w:val="right"/>
        <w:rPr>
          <w:rFonts w:ascii="仿宋" w:hAnsi="仿宋" w:eastAsia="仿宋"/>
          <w:color w:val="auto"/>
          <w:sz w:val="30"/>
          <w:szCs w:val="30"/>
          <w:highlight w:val="none"/>
        </w:rPr>
      </w:pPr>
    </w:p>
    <w:p w14:paraId="0070DFFE">
      <w:pPr>
        <w:spacing w:line="480" w:lineRule="auto"/>
        <w:jc w:val="center"/>
        <w:rPr>
          <w:rFonts w:ascii="华文中宋" w:hAnsi="华文中宋" w:eastAsia="华文中宋"/>
          <w:color w:val="auto"/>
          <w:sz w:val="48"/>
          <w:szCs w:val="28"/>
          <w:highlight w:val="none"/>
        </w:rPr>
      </w:pPr>
    </w:p>
    <w:p w14:paraId="60F0D1C9">
      <w:pPr>
        <w:spacing w:line="480" w:lineRule="auto"/>
        <w:jc w:val="center"/>
        <w:rPr>
          <w:rFonts w:ascii="华文中宋" w:hAnsi="华文中宋" w:eastAsia="华文中宋"/>
          <w:color w:val="auto"/>
          <w:sz w:val="48"/>
          <w:szCs w:val="28"/>
          <w:highlight w:val="none"/>
        </w:rPr>
      </w:pPr>
    </w:p>
    <w:p w14:paraId="05BAB419">
      <w:pPr>
        <w:spacing w:line="480" w:lineRule="auto"/>
        <w:jc w:val="center"/>
        <w:rPr>
          <w:rFonts w:hint="eastAsia" w:ascii="华文中宋" w:hAnsi="华文中宋" w:eastAsia="华文中宋"/>
          <w:color w:val="auto"/>
          <w:sz w:val="48"/>
          <w:szCs w:val="28"/>
          <w:highlight w:val="none"/>
          <w:lang w:eastAsia="zh-CN"/>
        </w:rPr>
      </w:pPr>
      <w:r>
        <w:rPr>
          <w:rFonts w:hint="eastAsia" w:ascii="华文中宋" w:hAnsi="华文中宋" w:eastAsia="华文中宋"/>
          <w:color w:val="auto"/>
          <w:sz w:val="48"/>
          <w:szCs w:val="28"/>
          <w:highlight w:val="none"/>
          <w:lang w:eastAsia="zh-CN"/>
        </w:rPr>
        <w:t>常州市住房租赁监管运营支撑服务项目</w:t>
      </w:r>
    </w:p>
    <w:p w14:paraId="47BB7B77">
      <w:pPr>
        <w:spacing w:line="480" w:lineRule="auto"/>
        <w:jc w:val="center"/>
        <w:rPr>
          <w:rFonts w:ascii="华文中宋" w:hAnsi="华文中宋" w:eastAsia="华文中宋"/>
          <w:color w:val="auto"/>
          <w:sz w:val="48"/>
          <w:szCs w:val="28"/>
          <w:highlight w:val="none"/>
        </w:rPr>
      </w:pPr>
      <w:r>
        <w:rPr>
          <w:rFonts w:hint="eastAsia" w:ascii="华文中宋" w:hAnsi="华文中宋" w:eastAsia="华文中宋"/>
          <w:color w:val="auto"/>
          <w:sz w:val="48"/>
          <w:szCs w:val="28"/>
          <w:highlight w:val="none"/>
        </w:rPr>
        <w:t xml:space="preserve">政府采购合同 </w:t>
      </w:r>
    </w:p>
    <w:p w14:paraId="4D099021">
      <w:pPr>
        <w:jc w:val="left"/>
        <w:rPr>
          <w:rFonts w:ascii="楷体" w:hAnsi="楷体" w:eastAsia="楷体"/>
          <w:color w:val="auto"/>
          <w:sz w:val="24"/>
          <w:highlight w:val="none"/>
        </w:rPr>
      </w:pPr>
    </w:p>
    <w:p w14:paraId="4C7D44E8">
      <w:pPr>
        <w:jc w:val="left"/>
        <w:rPr>
          <w:rFonts w:ascii="楷体" w:hAnsi="楷体" w:eastAsia="楷体"/>
          <w:color w:val="auto"/>
          <w:sz w:val="24"/>
          <w:highlight w:val="none"/>
        </w:rPr>
      </w:pPr>
      <w:r>
        <w:rPr>
          <w:rFonts w:hint="eastAsia" w:ascii="楷体" w:hAnsi="楷体" w:eastAsia="楷体"/>
          <w:color w:val="auto"/>
          <w:sz w:val="24"/>
          <w:highlight w:val="none"/>
        </w:rPr>
        <w:t xml:space="preserve"> </w:t>
      </w:r>
    </w:p>
    <w:p w14:paraId="53723584">
      <w:pPr>
        <w:jc w:val="left"/>
        <w:rPr>
          <w:rFonts w:ascii="楷体" w:hAnsi="楷体" w:eastAsia="楷体"/>
          <w:color w:val="auto"/>
          <w:sz w:val="24"/>
          <w:highlight w:val="none"/>
        </w:rPr>
      </w:pPr>
      <w:r>
        <w:rPr>
          <w:rFonts w:hint="eastAsia" w:ascii="楷体" w:hAnsi="楷体" w:eastAsia="楷体"/>
          <w:color w:val="auto"/>
          <w:sz w:val="24"/>
          <w:highlight w:val="none"/>
        </w:rPr>
        <w:t xml:space="preserve"> </w:t>
      </w:r>
    </w:p>
    <w:p w14:paraId="58472640">
      <w:pPr>
        <w:jc w:val="left"/>
        <w:rPr>
          <w:rFonts w:ascii="楷体" w:hAnsi="楷体" w:eastAsia="楷体"/>
          <w:color w:val="auto"/>
          <w:sz w:val="24"/>
          <w:highlight w:val="none"/>
        </w:rPr>
      </w:pPr>
    </w:p>
    <w:p w14:paraId="234E4115">
      <w:pPr>
        <w:jc w:val="left"/>
        <w:rPr>
          <w:rFonts w:ascii="楷体" w:hAnsi="楷体" w:eastAsia="楷体"/>
          <w:color w:val="auto"/>
          <w:sz w:val="24"/>
          <w:highlight w:val="none"/>
        </w:rPr>
      </w:pPr>
    </w:p>
    <w:p w14:paraId="1BE80842">
      <w:pPr>
        <w:spacing w:before="120" w:line="240" w:lineRule="atLeast"/>
        <w:ind w:firstLine="1606"/>
        <w:rPr>
          <w:rFonts w:hint="eastAsia" w:ascii="楷体" w:hAnsi="楷体" w:eastAsia="楷体"/>
          <w:b/>
          <w:bCs/>
          <w:color w:val="auto"/>
          <w:sz w:val="32"/>
          <w:szCs w:val="32"/>
          <w:highlight w:val="none"/>
          <w:lang w:eastAsia="zh-CN"/>
        </w:rPr>
      </w:pPr>
      <w:r>
        <w:rPr>
          <w:rFonts w:hint="eastAsia" w:ascii="楷体" w:hAnsi="楷体" w:eastAsia="楷体"/>
          <w:b/>
          <w:bCs/>
          <w:color w:val="auto"/>
          <w:sz w:val="32"/>
          <w:szCs w:val="32"/>
          <w:highlight w:val="none"/>
        </w:rPr>
        <w:t>甲方：</w:t>
      </w:r>
      <w:r>
        <w:rPr>
          <w:rFonts w:hint="eastAsia" w:ascii="楷体" w:hAnsi="楷体" w:eastAsia="楷体"/>
          <w:b/>
          <w:bCs/>
          <w:color w:val="auto"/>
          <w:sz w:val="32"/>
          <w:szCs w:val="32"/>
          <w:highlight w:val="none"/>
          <w:lang w:eastAsia="zh-CN"/>
        </w:rPr>
        <w:t>常州市住房保障中心</w:t>
      </w:r>
    </w:p>
    <w:p w14:paraId="59A20FD8">
      <w:pPr>
        <w:spacing w:before="120" w:line="240" w:lineRule="atLeast"/>
        <w:ind w:firstLine="1606"/>
        <w:rPr>
          <w:rFonts w:ascii="楷体" w:hAnsi="楷体" w:eastAsia="楷体"/>
          <w:b/>
          <w:bCs/>
          <w:color w:val="auto"/>
          <w:sz w:val="32"/>
          <w:szCs w:val="32"/>
          <w:highlight w:val="none"/>
        </w:rPr>
      </w:pPr>
      <w:r>
        <w:rPr>
          <w:rFonts w:hint="eastAsia" w:ascii="楷体" w:hAnsi="楷体" w:eastAsia="楷体"/>
          <w:b/>
          <w:bCs/>
          <w:color w:val="auto"/>
          <w:sz w:val="32"/>
          <w:szCs w:val="32"/>
          <w:highlight w:val="none"/>
        </w:rPr>
        <w:t>乙方：</w:t>
      </w:r>
    </w:p>
    <w:p w14:paraId="3A1FF6E3">
      <w:pPr>
        <w:spacing w:before="120" w:line="240" w:lineRule="atLeast"/>
        <w:ind w:firstLine="1280"/>
        <w:rPr>
          <w:rFonts w:ascii="黑体" w:hAnsi="黑体" w:eastAsia="黑体"/>
          <w:color w:val="auto"/>
          <w:sz w:val="32"/>
          <w:szCs w:val="28"/>
          <w:highlight w:val="none"/>
        </w:rPr>
      </w:pPr>
    </w:p>
    <w:p w14:paraId="129A7D33">
      <w:pPr>
        <w:spacing w:before="120" w:line="240" w:lineRule="atLeast"/>
        <w:ind w:firstLine="1280"/>
        <w:rPr>
          <w:rFonts w:ascii="黑体" w:hAnsi="黑体" w:eastAsia="黑体"/>
          <w:color w:val="auto"/>
          <w:sz w:val="32"/>
          <w:szCs w:val="28"/>
          <w:highlight w:val="none"/>
        </w:rPr>
      </w:pPr>
    </w:p>
    <w:p w14:paraId="05E9E6F4">
      <w:pPr>
        <w:spacing w:before="120" w:line="240" w:lineRule="atLeast"/>
        <w:ind w:firstLine="1280"/>
        <w:rPr>
          <w:rFonts w:ascii="黑体" w:hAnsi="黑体" w:eastAsia="黑体"/>
          <w:color w:val="auto"/>
          <w:sz w:val="32"/>
          <w:szCs w:val="28"/>
          <w:highlight w:val="none"/>
        </w:rPr>
      </w:pPr>
    </w:p>
    <w:p w14:paraId="16B43CAE">
      <w:pPr>
        <w:spacing w:before="120" w:line="240" w:lineRule="atLeast"/>
        <w:jc w:val="center"/>
        <w:rPr>
          <w:rFonts w:ascii="仿宋" w:hAnsi="仿宋" w:eastAsia="仿宋"/>
          <w:color w:val="auto"/>
          <w:sz w:val="32"/>
          <w:szCs w:val="32"/>
          <w:highlight w:val="none"/>
        </w:rPr>
        <w:sectPr>
          <w:pgSz w:w="11906" w:h="16838"/>
          <w:pgMar w:top="1111" w:right="1191" w:bottom="1111" w:left="1191" w:header="851" w:footer="705" w:gutter="0"/>
          <w:pgNumType w:fmt="decimal"/>
          <w:cols w:space="1701" w:num="1"/>
          <w:docGrid w:linePitch="360" w:charSpace="0"/>
        </w:sectPr>
      </w:pPr>
      <w:r>
        <w:rPr>
          <w:rFonts w:hint="eastAsia" w:ascii="黑体" w:hAnsi="黑体" w:eastAsia="黑体"/>
          <w:color w:val="auto"/>
          <w:sz w:val="28"/>
          <w:szCs w:val="28"/>
          <w:highlight w:val="none"/>
        </w:rPr>
        <w:t>签订日期：   年   月   日</w:t>
      </w:r>
    </w:p>
    <w:p w14:paraId="3CD3150C">
      <w:pPr>
        <w:adjustRightInd w:val="0"/>
        <w:snapToGrid w:val="0"/>
        <w:spacing w:line="360" w:lineRule="auto"/>
        <w:ind w:firstLine="480" w:firstLineChars="200"/>
        <w:jc w:val="left"/>
        <w:rPr>
          <w:rFonts w:ascii="宋体" w:hAnsi="宋体" w:cs="宋体"/>
          <w:bCs/>
          <w:color w:val="auto"/>
          <w:sz w:val="24"/>
          <w:highlight w:val="none"/>
          <w:u w:val="single"/>
        </w:rPr>
      </w:pPr>
      <w:r>
        <w:rPr>
          <w:rFonts w:hint="eastAsia" w:ascii="宋体" w:hAnsi="宋体" w:cs="宋体"/>
          <w:color w:val="auto"/>
          <w:sz w:val="24"/>
          <w:highlight w:val="none"/>
          <w:u w:val="single"/>
        </w:rPr>
        <w:t>202</w:t>
      </w:r>
      <w:r>
        <w:rPr>
          <w:rFonts w:hint="eastAsia" w:ascii="宋体" w:hAnsi="宋体" w:cs="宋体"/>
          <w:color w:val="auto"/>
          <w:sz w:val="24"/>
          <w:highlight w:val="none"/>
          <w:u w:val="singl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r>
        <w:rPr>
          <w:rFonts w:hint="eastAsia" w:ascii="宋体" w:hAnsi="宋体"/>
          <w:color w:val="auto"/>
          <w:sz w:val="24"/>
          <w:highlight w:val="none"/>
          <w:u w:val="single"/>
          <w:lang w:eastAsia="zh-CN"/>
        </w:rPr>
        <w:t>常州市住房保障中心</w:t>
      </w:r>
      <w:r>
        <w:rPr>
          <w:rFonts w:hint="eastAsia" w:ascii="宋体" w:hAnsi="宋体" w:cs="宋体"/>
          <w:color w:val="auto"/>
          <w:sz w:val="24"/>
          <w:highlight w:val="none"/>
        </w:rPr>
        <w:t>以</w:t>
      </w:r>
      <w:r>
        <w:rPr>
          <w:rFonts w:hint="eastAsia" w:ascii="宋体" w:hAnsi="宋体" w:cs="宋体"/>
          <w:color w:val="auto"/>
          <w:sz w:val="24"/>
          <w:highlight w:val="none"/>
          <w:u w:val="single"/>
          <w:lang w:val="en-US" w:eastAsia="zh-CN"/>
        </w:rPr>
        <w:t>公开招标</w:t>
      </w:r>
      <w:r>
        <w:rPr>
          <w:rFonts w:hint="eastAsia" w:ascii="宋体" w:hAnsi="宋体" w:cs="宋体"/>
          <w:color w:val="auto"/>
          <w:sz w:val="24"/>
          <w:highlight w:val="none"/>
        </w:rPr>
        <w:t>对</w:t>
      </w:r>
      <w:r>
        <w:rPr>
          <w:rFonts w:hint="eastAsia" w:ascii="宋体" w:hAnsi="宋体"/>
          <w:color w:val="auto"/>
          <w:sz w:val="24"/>
          <w:highlight w:val="none"/>
          <w:u w:val="single"/>
          <w:lang w:eastAsia="zh-CN"/>
        </w:rPr>
        <w:t>常州市住房租赁监管运营支撑服务项目</w:t>
      </w:r>
      <w:r>
        <w:rPr>
          <w:rFonts w:hint="eastAsia" w:ascii="宋体" w:hAnsi="宋体" w:cs="宋体"/>
          <w:color w:val="auto"/>
          <w:sz w:val="24"/>
          <w:highlight w:val="none"/>
        </w:rPr>
        <w:t>进行了采购。经评定，</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中标人</w:t>
      </w:r>
      <w:r>
        <w:rPr>
          <w:rFonts w:hint="eastAsia" w:ascii="宋体" w:hAnsi="宋体" w:cs="宋体"/>
          <w:color w:val="auto"/>
          <w:sz w:val="24"/>
          <w:highlight w:val="none"/>
          <w:u w:val="single"/>
        </w:rPr>
        <w:t xml:space="preserve">名称） </w:t>
      </w:r>
      <w:r>
        <w:rPr>
          <w:rFonts w:hint="eastAsia" w:ascii="宋体" w:hAnsi="宋体" w:cs="宋体"/>
          <w:color w:val="auto"/>
          <w:sz w:val="24"/>
          <w:highlight w:val="none"/>
        </w:rPr>
        <w:t>为该项目</w:t>
      </w:r>
      <w:r>
        <w:rPr>
          <w:rFonts w:hint="eastAsia" w:ascii="宋体" w:hAnsi="宋体" w:cs="宋体"/>
          <w:color w:val="auto"/>
          <w:sz w:val="24"/>
          <w:highlight w:val="none"/>
          <w:lang w:val="en-US" w:eastAsia="zh-CN"/>
        </w:rPr>
        <w:t>中标人</w:t>
      </w:r>
      <w:r>
        <w:rPr>
          <w:rFonts w:hint="eastAsia" w:ascii="宋体" w:hAnsi="宋体" w:cs="宋体"/>
          <w:color w:val="auto"/>
          <w:sz w:val="24"/>
          <w:highlight w:val="none"/>
        </w:rPr>
        <w:t>。现于中标通知书发出之日起三十日内，按照</w:t>
      </w:r>
      <w:r>
        <w:rPr>
          <w:rFonts w:hint="eastAsia"/>
          <w:color w:val="auto"/>
          <w:sz w:val="24"/>
          <w:highlight w:val="none"/>
          <w:lang w:val="en-US" w:eastAsia="zh-CN"/>
        </w:rPr>
        <w:t>招标</w:t>
      </w:r>
      <w:r>
        <w:rPr>
          <w:rFonts w:hint="eastAsia" w:ascii="宋体" w:hAnsi="宋体" w:cs="宋体"/>
          <w:color w:val="auto"/>
          <w:sz w:val="24"/>
          <w:highlight w:val="none"/>
        </w:rPr>
        <w:t>文件确定的事项签订本合同。</w:t>
      </w:r>
    </w:p>
    <w:p w14:paraId="08DB37EB">
      <w:pPr>
        <w:adjustRightInd w:val="0"/>
        <w:snapToGrid w:val="0"/>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根据《中华人民共和国民法典》、《中华人民共和国政府采购法》等相关法律法规之规定，按照平等、自愿、公平和诚实信用的原则，经</w:t>
      </w:r>
      <w:r>
        <w:rPr>
          <w:rFonts w:hint="eastAsia" w:ascii="宋体" w:hAnsi="宋体"/>
          <w:color w:val="auto"/>
          <w:sz w:val="24"/>
          <w:highlight w:val="none"/>
          <w:u w:val="single"/>
          <w:lang w:eastAsia="zh-CN"/>
        </w:rPr>
        <w:t>常州市住房保障中心</w:t>
      </w:r>
      <w:r>
        <w:rPr>
          <w:rFonts w:hint="eastAsia" w:ascii="宋体" w:hAnsi="宋体" w:cs="宋体"/>
          <w:color w:val="auto"/>
          <w:sz w:val="24"/>
          <w:highlight w:val="none"/>
        </w:rPr>
        <w:t>以下简称：甲方)和</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中标人</w:t>
      </w:r>
      <w:r>
        <w:rPr>
          <w:rFonts w:hint="eastAsia" w:ascii="宋体" w:hAnsi="宋体" w:cs="宋体"/>
          <w:color w:val="auto"/>
          <w:sz w:val="24"/>
          <w:highlight w:val="none"/>
          <w:u w:val="single"/>
        </w:rPr>
        <w:t xml:space="preserve">名称）   </w:t>
      </w:r>
      <w:r>
        <w:rPr>
          <w:rFonts w:hint="eastAsia" w:ascii="宋体" w:hAnsi="宋体" w:cs="宋体"/>
          <w:color w:val="auto"/>
          <w:sz w:val="24"/>
          <w:highlight w:val="none"/>
        </w:rPr>
        <w:t>(以下简称：乙方)协商一致，约定以下合同条款，以兹共同遵守、全面履行。</w:t>
      </w:r>
    </w:p>
    <w:p w14:paraId="5CFCDB95">
      <w:pPr>
        <w:spacing w:line="360" w:lineRule="auto"/>
        <w:rPr>
          <w:b/>
          <w:color w:val="auto"/>
          <w:sz w:val="24"/>
          <w:highlight w:val="none"/>
        </w:rPr>
      </w:pPr>
      <w:r>
        <w:rPr>
          <w:rFonts w:hint="eastAsia"/>
          <w:b/>
          <w:color w:val="auto"/>
          <w:sz w:val="24"/>
          <w:highlight w:val="none"/>
        </w:rPr>
        <w:t>一、合同组成部分</w:t>
      </w:r>
    </w:p>
    <w:p w14:paraId="6B80B938">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下列文件为本合同的组成部分，并构成一个整体，需综合解释、相互补充。如果下列文件内容出现不一致的情形，那么在保证按照</w:t>
      </w:r>
      <w:r>
        <w:rPr>
          <w:rFonts w:hint="eastAsia" w:ascii="宋体" w:hAnsi="宋体"/>
          <w:color w:val="auto"/>
          <w:sz w:val="24"/>
          <w:highlight w:val="none"/>
          <w:lang w:val="en-US" w:eastAsia="zh-CN"/>
        </w:rPr>
        <w:t>招标</w:t>
      </w:r>
      <w:r>
        <w:rPr>
          <w:rFonts w:hint="eastAsia" w:ascii="宋体" w:hAnsi="宋体"/>
          <w:color w:val="auto"/>
          <w:sz w:val="24"/>
          <w:highlight w:val="none"/>
        </w:rPr>
        <w:t>文件确定的事项的前提下，组成本合同的多个文件的优先适用顺序如下：</w:t>
      </w:r>
    </w:p>
    <w:p w14:paraId="444E8E3B">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1.本合同及其补充合同、变更协议。</w:t>
      </w:r>
    </w:p>
    <w:p w14:paraId="14B35510">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2.中标通知书。</w:t>
      </w:r>
    </w:p>
    <w:p w14:paraId="3ED3024E">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3.投标文件（含澄清或者说明文件）。</w:t>
      </w:r>
    </w:p>
    <w:p w14:paraId="400C4CB8">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4.</w:t>
      </w:r>
      <w:r>
        <w:rPr>
          <w:rFonts w:hint="eastAsia"/>
          <w:color w:val="auto"/>
          <w:sz w:val="24"/>
          <w:highlight w:val="none"/>
          <w:lang w:val="en-US" w:eastAsia="zh-CN"/>
        </w:rPr>
        <w:t>招标</w:t>
      </w:r>
      <w:r>
        <w:rPr>
          <w:rFonts w:hint="eastAsia" w:ascii="宋体" w:hAnsi="宋体"/>
          <w:color w:val="auto"/>
          <w:sz w:val="24"/>
          <w:highlight w:val="none"/>
        </w:rPr>
        <w:t>文件（含澄清或者修改文件）。</w:t>
      </w:r>
    </w:p>
    <w:p w14:paraId="32E7F547">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5.其他相关</w:t>
      </w:r>
      <w:r>
        <w:rPr>
          <w:rFonts w:hint="eastAsia"/>
          <w:color w:val="auto"/>
          <w:sz w:val="24"/>
          <w:highlight w:val="none"/>
          <w:lang w:val="en-US" w:eastAsia="zh-CN"/>
        </w:rPr>
        <w:t>招标</w:t>
      </w:r>
      <w:r>
        <w:rPr>
          <w:rFonts w:hint="eastAsia" w:ascii="宋体" w:hAnsi="宋体"/>
          <w:color w:val="auto"/>
          <w:sz w:val="24"/>
          <w:highlight w:val="none"/>
        </w:rPr>
        <w:t>文件。</w:t>
      </w:r>
    </w:p>
    <w:p w14:paraId="07B974BF">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双方有关项目的洽商、变更等书面协议或文件视为本合同的组成部分。</w:t>
      </w:r>
    </w:p>
    <w:p w14:paraId="70C06F97">
      <w:pPr>
        <w:spacing w:line="360" w:lineRule="auto"/>
        <w:rPr>
          <w:b/>
          <w:color w:val="auto"/>
          <w:sz w:val="24"/>
          <w:highlight w:val="none"/>
        </w:rPr>
      </w:pPr>
      <w:r>
        <w:rPr>
          <w:rFonts w:hint="eastAsia"/>
          <w:b/>
          <w:color w:val="auto"/>
          <w:sz w:val="24"/>
          <w:highlight w:val="none"/>
        </w:rPr>
        <w:t>二、合同标的内容</w:t>
      </w:r>
    </w:p>
    <w:p w14:paraId="24FA117A">
      <w:pPr>
        <w:adjustRightInd w:val="0"/>
        <w:snapToGrid w:val="0"/>
        <w:spacing w:line="360" w:lineRule="auto"/>
        <w:ind w:firstLine="480" w:firstLineChars="200"/>
        <w:jc w:val="left"/>
        <w:rPr>
          <w:rFonts w:ascii="宋体" w:hAnsi="宋体"/>
          <w:color w:val="auto"/>
          <w:sz w:val="24"/>
          <w:highlight w:val="none"/>
          <w:u w:val="none"/>
        </w:rPr>
      </w:pPr>
      <w:r>
        <w:rPr>
          <w:rFonts w:hint="eastAsia" w:ascii="宋体" w:hAnsi="宋体"/>
          <w:color w:val="auto"/>
          <w:sz w:val="24"/>
          <w:highlight w:val="none"/>
        </w:rPr>
        <w:t>1.</w:t>
      </w:r>
      <w:r>
        <w:rPr>
          <w:rFonts w:ascii="宋体" w:hAnsi="宋体"/>
          <w:color w:val="auto"/>
          <w:sz w:val="24"/>
          <w:highlight w:val="none"/>
        </w:rPr>
        <w:t>项目名称</w:t>
      </w:r>
      <w:r>
        <w:rPr>
          <w:rFonts w:hint="eastAsia" w:ascii="宋体" w:hAnsi="宋体"/>
          <w:color w:val="auto"/>
          <w:sz w:val="24"/>
          <w:highlight w:val="none"/>
          <w:lang w:eastAsia="zh-CN"/>
        </w:rPr>
        <w:t>：</w:t>
      </w:r>
      <w:r>
        <w:rPr>
          <w:rFonts w:hint="eastAsia" w:ascii="宋体" w:hAnsi="宋体"/>
          <w:color w:val="auto"/>
          <w:sz w:val="24"/>
          <w:highlight w:val="none"/>
          <w:u w:val="none"/>
          <w:lang w:eastAsia="zh-CN"/>
        </w:rPr>
        <w:t>常州市住房租赁监管运营支撑服务项目</w:t>
      </w:r>
      <w:r>
        <w:rPr>
          <w:rFonts w:hint="eastAsia" w:ascii="宋体" w:hAnsi="宋体"/>
          <w:color w:val="auto"/>
          <w:sz w:val="24"/>
          <w:highlight w:val="none"/>
          <w:u w:val="none"/>
        </w:rPr>
        <w:t>；</w:t>
      </w:r>
    </w:p>
    <w:p w14:paraId="2BE7EA13">
      <w:pPr>
        <w:adjustRightInd w:val="0"/>
        <w:snapToGrid w:val="0"/>
        <w:spacing w:line="360" w:lineRule="auto"/>
        <w:ind w:firstLine="480" w:firstLineChars="200"/>
        <w:jc w:val="left"/>
        <w:rPr>
          <w:rFonts w:ascii="宋体" w:hAnsi="宋体" w:cs="宋体"/>
          <w:color w:val="auto"/>
          <w:sz w:val="24"/>
          <w:highlight w:val="none"/>
          <w:u w:val="none"/>
        </w:rPr>
      </w:pPr>
      <w:r>
        <w:rPr>
          <w:rFonts w:hint="eastAsia" w:ascii="宋体" w:hAnsi="宋体"/>
          <w:color w:val="auto"/>
          <w:sz w:val="24"/>
          <w:highlight w:val="none"/>
          <w:u w:val="none"/>
        </w:rPr>
        <w:t>2.项目内容：</w:t>
      </w:r>
      <w:r>
        <w:rPr>
          <w:rFonts w:hint="eastAsia" w:ascii="宋体" w:hAnsi="宋体"/>
          <w:color w:val="auto"/>
          <w:sz w:val="24"/>
          <w:highlight w:val="none"/>
          <w:u w:val="none"/>
          <w:lang w:val="en-US" w:eastAsia="zh-CN"/>
        </w:rPr>
        <w:t>根据</w:t>
      </w:r>
      <w:r>
        <w:rPr>
          <w:rFonts w:hint="eastAsia" w:ascii="宋体" w:hAnsi="宋体"/>
          <w:bCs/>
          <w:color w:val="auto"/>
          <w:sz w:val="24"/>
          <w:highlight w:val="none"/>
          <w:lang w:val="en-US" w:eastAsia="zh-CN"/>
        </w:rPr>
        <w:t>甲方</w:t>
      </w:r>
      <w:r>
        <w:rPr>
          <w:rFonts w:hint="eastAsia" w:ascii="宋体" w:hAnsi="宋体"/>
          <w:bCs/>
          <w:color w:val="auto"/>
          <w:sz w:val="24"/>
          <w:highlight w:val="none"/>
          <w:lang w:eastAsia="zh-CN"/>
        </w:rPr>
        <w:t>住房租赁监管和便民服务工作需要，提供全周期运营支撑服务。</w:t>
      </w:r>
      <w:r>
        <w:rPr>
          <w:rFonts w:hint="eastAsia" w:ascii="宋体" w:hAnsi="宋体" w:eastAsia="宋体" w:cs="宋体"/>
          <w:bCs/>
          <w:color w:val="auto"/>
          <w:sz w:val="24"/>
          <w:szCs w:val="24"/>
          <w:highlight w:val="none"/>
        </w:rPr>
        <w:t>采购内容</w:t>
      </w:r>
      <w:r>
        <w:rPr>
          <w:rFonts w:hint="eastAsia" w:ascii="宋体" w:hAnsi="宋体" w:cs="宋体"/>
          <w:bCs/>
          <w:color w:val="auto"/>
          <w:sz w:val="24"/>
          <w:szCs w:val="24"/>
          <w:highlight w:val="none"/>
          <w:lang w:val="en-US" w:eastAsia="zh-CN"/>
        </w:rPr>
        <w:t>包括</w:t>
      </w:r>
      <w:r>
        <w:rPr>
          <w:rFonts w:hint="eastAsia" w:ascii="宋体" w:hAnsi="宋体" w:eastAsia="宋体" w:cs="宋体"/>
          <w:b w:val="0"/>
          <w:bCs/>
          <w:color w:val="auto"/>
          <w:sz w:val="24"/>
          <w:szCs w:val="24"/>
          <w:highlight w:val="none"/>
        </w:rPr>
        <w:t>日常运营支撑服务、业务资料整理与数据治理服务、业务协同和统计报送服务、技术运维与安全保障服务、培训咨询服务、服务过程资料整理及期满交接等。</w:t>
      </w:r>
    </w:p>
    <w:p w14:paraId="6E649EA8">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3.服务期限：</w:t>
      </w:r>
      <w:r>
        <w:rPr>
          <w:rFonts w:hint="eastAsia" w:asciiTheme="minorEastAsia" w:hAnsiTheme="minorEastAsia" w:eastAsiaTheme="minorEastAsia"/>
          <w:color w:val="auto"/>
          <w:sz w:val="24"/>
          <w:highlight w:val="none"/>
          <w:lang w:eastAsia="zh-CN"/>
        </w:rPr>
        <w:t>合同签订生效之日起3年。</w:t>
      </w:r>
    </w:p>
    <w:p w14:paraId="0ABD133A">
      <w:pPr>
        <w:adjustRightInd w:val="0"/>
        <w:snapToGrid w:val="0"/>
        <w:spacing w:line="360" w:lineRule="auto"/>
        <w:jc w:val="left"/>
        <w:rPr>
          <w:rFonts w:hint="eastAsia"/>
          <w:b/>
          <w:color w:val="auto"/>
          <w:sz w:val="24"/>
          <w:highlight w:val="none"/>
        </w:rPr>
      </w:pPr>
      <w:r>
        <w:rPr>
          <w:rFonts w:hint="eastAsia"/>
          <w:b/>
          <w:color w:val="auto"/>
          <w:sz w:val="24"/>
          <w:highlight w:val="none"/>
        </w:rPr>
        <w:t>三、合同价款</w:t>
      </w:r>
    </w:p>
    <w:p w14:paraId="72422C16">
      <w:pPr>
        <w:adjustRightInd w:val="0"/>
        <w:snapToGrid w:val="0"/>
        <w:spacing w:line="360" w:lineRule="auto"/>
        <w:jc w:val="left"/>
        <w:rPr>
          <w:rFonts w:hint="eastAsia"/>
          <w:b/>
          <w:color w:val="auto"/>
          <w:sz w:val="24"/>
          <w:highlight w:val="none"/>
        </w:rPr>
      </w:pPr>
    </w:p>
    <w:p w14:paraId="33ABE97C">
      <w:pPr>
        <w:pStyle w:val="15"/>
        <w:numPr>
          <w:ilvl w:val="0"/>
          <w:numId w:val="0"/>
        </w:numPr>
        <w:tabs>
          <w:tab w:val="left" w:pos="0"/>
        </w:tabs>
        <w:spacing w:line="360" w:lineRule="auto"/>
        <w:rPr>
          <w:rFonts w:hint="eastAsia" w:ascii="Times New Roman" w:hAnsi="Times New Roman"/>
          <w:b/>
          <w:color w:val="auto"/>
          <w:sz w:val="24"/>
          <w:highlight w:val="none"/>
        </w:rPr>
      </w:pPr>
      <w:bookmarkStart w:id="830" w:name="_Toc60748168"/>
      <w:r>
        <w:rPr>
          <w:rFonts w:hint="eastAsia" w:ascii="Times New Roman" w:hAnsi="Times New Roman"/>
          <w:b/>
          <w:bCs w:val="0"/>
          <w:color w:val="auto"/>
          <w:sz w:val="24"/>
          <w:highlight w:val="none"/>
        </w:rPr>
        <w:t>四、</w:t>
      </w:r>
      <w:r>
        <w:rPr>
          <w:rFonts w:hint="eastAsia" w:ascii="Times New Roman" w:hAnsi="Times New Roman"/>
          <w:b/>
          <w:color w:val="auto"/>
          <w:sz w:val="24"/>
          <w:highlight w:val="none"/>
        </w:rPr>
        <w:t>合同履行期限</w:t>
      </w:r>
    </w:p>
    <w:p w14:paraId="46FA14E6">
      <w:pPr>
        <w:pStyle w:val="15"/>
        <w:tabs>
          <w:tab w:val="left" w:pos="0"/>
        </w:tabs>
        <w:spacing w:line="360" w:lineRule="auto"/>
        <w:ind w:firstLine="480" w:firstLineChars="200"/>
        <w:rPr>
          <w:color w:val="auto"/>
          <w:highlight w:val="none"/>
        </w:rPr>
      </w:pPr>
      <w:r>
        <w:rPr>
          <w:rFonts w:hint="eastAsia" w:ascii="宋体" w:hAnsi="宋体"/>
          <w:color w:val="auto"/>
          <w:sz w:val="24"/>
          <w:szCs w:val="24"/>
          <w:highlight w:val="none"/>
          <w:lang w:eastAsia="zh-CN"/>
        </w:rPr>
        <w:t>合同签订生效之日起3年。</w:t>
      </w:r>
      <w:r>
        <w:rPr>
          <w:rFonts w:hint="eastAsia"/>
          <w:color w:val="auto"/>
          <w:sz w:val="24"/>
          <w:szCs w:val="24"/>
          <w:highlight w:val="none"/>
        </w:rPr>
        <w:t>本合同服务期限自</w:t>
      </w:r>
      <w:r>
        <w:rPr>
          <w:rFonts w:hint="eastAsia"/>
          <w:color w:val="auto"/>
          <w:sz w:val="24"/>
          <w:szCs w:val="24"/>
          <w:highlight w:val="none"/>
          <w:u w:val="single"/>
        </w:rPr>
        <w:t xml:space="preserve">   </w:t>
      </w:r>
      <w:r>
        <w:rPr>
          <w:rFonts w:hint="eastAsia"/>
          <w:color w:val="auto"/>
          <w:sz w:val="24"/>
          <w:szCs w:val="24"/>
          <w:highlight w:val="none"/>
        </w:rPr>
        <w:t>年</w:t>
      </w:r>
      <w:r>
        <w:rPr>
          <w:rFonts w:hint="eastAsia"/>
          <w:color w:val="auto"/>
          <w:sz w:val="24"/>
          <w:szCs w:val="24"/>
          <w:highlight w:val="none"/>
          <w:u w:val="single"/>
        </w:rPr>
        <w:t xml:space="preserve">   </w:t>
      </w:r>
      <w:r>
        <w:rPr>
          <w:rFonts w:hint="eastAsia"/>
          <w:color w:val="auto"/>
          <w:sz w:val="24"/>
          <w:szCs w:val="24"/>
          <w:highlight w:val="none"/>
        </w:rPr>
        <w:t>月</w:t>
      </w:r>
      <w:r>
        <w:rPr>
          <w:rFonts w:hint="eastAsia"/>
          <w:color w:val="auto"/>
          <w:sz w:val="24"/>
          <w:szCs w:val="24"/>
          <w:highlight w:val="none"/>
          <w:u w:val="single"/>
        </w:rPr>
        <w:t xml:space="preserve">   </w:t>
      </w:r>
      <w:r>
        <w:rPr>
          <w:rFonts w:hint="eastAsia"/>
          <w:color w:val="auto"/>
          <w:sz w:val="24"/>
          <w:szCs w:val="24"/>
          <w:highlight w:val="none"/>
        </w:rPr>
        <w:t>日起至</w:t>
      </w:r>
      <w:r>
        <w:rPr>
          <w:rFonts w:hint="eastAsia"/>
          <w:color w:val="auto"/>
          <w:sz w:val="24"/>
          <w:szCs w:val="24"/>
          <w:highlight w:val="none"/>
          <w:u w:val="single"/>
        </w:rPr>
        <w:t xml:space="preserve">   </w:t>
      </w:r>
      <w:r>
        <w:rPr>
          <w:rFonts w:hint="eastAsia"/>
          <w:color w:val="auto"/>
          <w:sz w:val="24"/>
          <w:szCs w:val="24"/>
          <w:highlight w:val="none"/>
        </w:rPr>
        <w:t>年</w:t>
      </w:r>
      <w:r>
        <w:rPr>
          <w:rFonts w:hint="eastAsia"/>
          <w:color w:val="auto"/>
          <w:sz w:val="24"/>
          <w:szCs w:val="24"/>
          <w:highlight w:val="none"/>
          <w:u w:val="single"/>
        </w:rPr>
        <w:t xml:space="preserve">   </w:t>
      </w:r>
      <w:r>
        <w:rPr>
          <w:rFonts w:hint="eastAsia"/>
          <w:color w:val="auto"/>
          <w:sz w:val="24"/>
          <w:szCs w:val="24"/>
          <w:highlight w:val="none"/>
        </w:rPr>
        <w:t>月</w:t>
      </w:r>
      <w:r>
        <w:rPr>
          <w:rFonts w:hint="eastAsia"/>
          <w:color w:val="auto"/>
          <w:sz w:val="24"/>
          <w:szCs w:val="24"/>
          <w:highlight w:val="none"/>
          <w:u w:val="single"/>
        </w:rPr>
        <w:t xml:space="preserve">   </w:t>
      </w:r>
      <w:r>
        <w:rPr>
          <w:rFonts w:hint="eastAsia"/>
          <w:color w:val="auto"/>
          <w:sz w:val="24"/>
          <w:szCs w:val="24"/>
          <w:highlight w:val="none"/>
        </w:rPr>
        <w:t>日止。</w:t>
      </w:r>
    </w:p>
    <w:p w14:paraId="5AEA8636">
      <w:pPr>
        <w:pStyle w:val="15"/>
        <w:tabs>
          <w:tab w:val="left" w:pos="0"/>
        </w:tabs>
        <w:spacing w:line="360" w:lineRule="auto"/>
        <w:rPr>
          <w:rFonts w:hint="eastAsia"/>
          <w:b/>
          <w:color w:val="auto"/>
          <w:sz w:val="24"/>
          <w:highlight w:val="none"/>
        </w:rPr>
      </w:pPr>
      <w:r>
        <w:rPr>
          <w:rFonts w:hint="eastAsia"/>
          <w:b/>
          <w:color w:val="auto"/>
          <w:sz w:val="24"/>
          <w:highlight w:val="none"/>
        </w:rPr>
        <w:t>五、</w:t>
      </w:r>
      <w:r>
        <w:rPr>
          <w:rFonts w:hint="eastAsia" w:ascii="Times New Roman" w:hAnsi="Times New Roman"/>
          <w:b/>
          <w:bCs w:val="0"/>
          <w:color w:val="auto"/>
          <w:sz w:val="24"/>
          <w:highlight w:val="none"/>
        </w:rPr>
        <w:t>付款方式和发票开具方式</w:t>
      </w:r>
      <w:bookmarkEnd w:id="830"/>
    </w:p>
    <w:p w14:paraId="7748C76D">
      <w:pPr>
        <w:adjustRightInd w:val="0"/>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1.本合同项下所有款项均以人民币支付。</w:t>
      </w:r>
    </w:p>
    <w:p w14:paraId="701BE7F7">
      <w:pPr>
        <w:adjustRightInd w:val="0"/>
        <w:snapToGrid w:val="0"/>
        <w:spacing w:line="360" w:lineRule="auto"/>
        <w:ind w:firstLine="480" w:firstLineChars="20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2.结算原则：</w:t>
      </w:r>
      <w:r>
        <w:rPr>
          <w:rFonts w:hint="eastAsia" w:ascii="宋体" w:hAnsi="宋体" w:cs="宋体"/>
          <w:color w:val="auto"/>
          <w:sz w:val="24"/>
          <w:highlight w:val="none"/>
          <w:lang w:val="en-US" w:eastAsia="zh-CN"/>
        </w:rPr>
        <w:t>固定总价结算。</w:t>
      </w:r>
    </w:p>
    <w:p w14:paraId="4D41AE12">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lang w:val="en-US" w:eastAsia="zh-CN"/>
        </w:rPr>
        <w:t>3</w:t>
      </w:r>
      <w:r>
        <w:rPr>
          <w:rFonts w:hint="eastAsia" w:ascii="宋体" w:hAnsi="宋体"/>
          <w:color w:val="auto"/>
          <w:sz w:val="24"/>
          <w:highlight w:val="none"/>
        </w:rPr>
        <w:t>.结算方式：</w:t>
      </w:r>
    </w:p>
    <w:p w14:paraId="2224367D">
      <w:pPr>
        <w:spacing w:line="360" w:lineRule="auto"/>
        <w:ind w:firstLine="480" w:firstLineChars="200"/>
        <w:rPr>
          <w:rFonts w:hint="eastAsia" w:ascii="宋体" w:hAnsi="宋体" w:cs="宋体"/>
          <w:color w:val="auto"/>
          <w:sz w:val="24"/>
          <w:highlight w:val="none"/>
        </w:rPr>
      </w:pPr>
      <w:r>
        <w:rPr>
          <w:rFonts w:hint="eastAsia"/>
          <w:color w:val="auto"/>
          <w:sz w:val="24"/>
          <w:highlight w:val="none"/>
        </w:rPr>
        <w:t>分三阶段支付，</w:t>
      </w:r>
      <w:r>
        <w:rPr>
          <w:rFonts w:hint="eastAsia" w:ascii="宋体" w:hAnsi="宋体" w:cs="宋体"/>
          <w:color w:val="auto"/>
          <w:sz w:val="24"/>
          <w:highlight w:val="none"/>
          <w:lang w:val="en-US" w:eastAsia="zh-CN"/>
        </w:rPr>
        <w:t>甲方</w:t>
      </w:r>
      <w:r>
        <w:rPr>
          <w:rFonts w:hint="eastAsia" w:ascii="宋体" w:hAnsi="宋体" w:cs="宋体"/>
          <w:color w:val="auto"/>
          <w:sz w:val="24"/>
          <w:highlight w:val="none"/>
        </w:rPr>
        <w:t>收到</w:t>
      </w:r>
      <w:r>
        <w:rPr>
          <w:rFonts w:hint="eastAsia" w:ascii="宋体" w:hAnsi="宋体" w:cs="宋体"/>
          <w:color w:val="auto"/>
          <w:sz w:val="24"/>
          <w:highlight w:val="none"/>
          <w:lang w:val="en-US" w:eastAsia="zh-CN"/>
        </w:rPr>
        <w:t>乙方</w:t>
      </w:r>
      <w:r>
        <w:rPr>
          <w:rFonts w:hint="eastAsia" w:ascii="宋体" w:hAnsi="宋体" w:cs="宋体"/>
          <w:color w:val="auto"/>
          <w:sz w:val="24"/>
          <w:highlight w:val="none"/>
        </w:rPr>
        <w:t>开具的对应金额发票后，10个工作日内完成付款：</w:t>
      </w:r>
    </w:p>
    <w:p w14:paraId="3AE4DCC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第一阶段：合同生效，</w:t>
      </w:r>
      <w:r>
        <w:rPr>
          <w:rFonts w:hint="eastAsia" w:ascii="宋体" w:hAnsi="宋体" w:cs="宋体"/>
          <w:color w:val="auto"/>
          <w:sz w:val="24"/>
          <w:highlight w:val="none"/>
          <w:lang w:val="en-US" w:eastAsia="zh-CN"/>
        </w:rPr>
        <w:t>乙方</w:t>
      </w:r>
      <w:r>
        <w:rPr>
          <w:rFonts w:hint="eastAsia" w:ascii="宋体" w:hAnsi="宋体" w:cs="宋体"/>
          <w:color w:val="auto"/>
          <w:sz w:val="24"/>
          <w:highlight w:val="none"/>
        </w:rPr>
        <w:t>完成进场准备、提交实施计划并经</w:t>
      </w:r>
      <w:r>
        <w:rPr>
          <w:rFonts w:hint="eastAsia" w:ascii="宋体" w:hAnsi="宋体" w:cs="宋体"/>
          <w:color w:val="auto"/>
          <w:sz w:val="24"/>
          <w:highlight w:val="none"/>
          <w:lang w:val="en-US" w:eastAsia="zh-CN"/>
        </w:rPr>
        <w:t>甲方</w:t>
      </w:r>
      <w:r>
        <w:rPr>
          <w:rFonts w:hint="eastAsia" w:ascii="宋体" w:hAnsi="宋体" w:cs="宋体"/>
          <w:color w:val="auto"/>
          <w:sz w:val="24"/>
          <w:highlight w:val="none"/>
        </w:rPr>
        <w:t>确认后，支付</w:t>
      </w:r>
      <w:r>
        <w:rPr>
          <w:rFonts w:hint="eastAsia" w:ascii="宋体" w:hAnsi="宋体" w:cs="宋体"/>
          <w:color w:val="auto"/>
          <w:sz w:val="24"/>
          <w:highlight w:val="none"/>
          <w:lang w:val="en-US" w:eastAsia="zh-CN"/>
        </w:rPr>
        <w:t>第1年度</w:t>
      </w:r>
      <w:r>
        <w:rPr>
          <w:rFonts w:hint="eastAsia" w:ascii="宋体" w:hAnsi="宋体" w:cs="宋体"/>
          <w:color w:val="auto"/>
          <w:sz w:val="24"/>
          <w:highlight w:val="none"/>
        </w:rPr>
        <w:t>合同</w:t>
      </w:r>
      <w:r>
        <w:rPr>
          <w:rFonts w:hint="eastAsia" w:ascii="宋体" w:hAnsi="宋体" w:cs="宋体"/>
          <w:color w:val="auto"/>
          <w:sz w:val="24"/>
          <w:highlight w:val="none"/>
          <w:lang w:val="en-US" w:eastAsia="zh-CN"/>
        </w:rPr>
        <w:t>金额</w:t>
      </w:r>
      <w:r>
        <w:rPr>
          <w:rFonts w:hint="eastAsia" w:ascii="宋体" w:hAnsi="宋体" w:cs="宋体"/>
          <w:color w:val="auto"/>
          <w:sz w:val="24"/>
          <w:highlight w:val="none"/>
        </w:rPr>
        <w:t>的30%。</w:t>
      </w:r>
    </w:p>
    <w:p w14:paraId="62C58962">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第二阶段：服务满1年，经阶段考核或年度验收合格后，支付</w:t>
      </w:r>
      <w:r>
        <w:rPr>
          <w:rFonts w:hint="eastAsia" w:ascii="宋体" w:hAnsi="宋体" w:cs="宋体"/>
          <w:color w:val="auto"/>
          <w:sz w:val="24"/>
          <w:highlight w:val="none"/>
          <w:lang w:val="en-US" w:eastAsia="zh-CN"/>
        </w:rPr>
        <w:t>第1年度</w:t>
      </w:r>
      <w:r>
        <w:rPr>
          <w:rFonts w:hint="eastAsia" w:ascii="宋体" w:hAnsi="宋体" w:cs="宋体"/>
          <w:color w:val="auto"/>
          <w:sz w:val="24"/>
          <w:highlight w:val="none"/>
        </w:rPr>
        <w:t>合同</w:t>
      </w:r>
      <w:r>
        <w:rPr>
          <w:rFonts w:hint="eastAsia" w:ascii="宋体" w:hAnsi="宋体" w:cs="宋体"/>
          <w:color w:val="auto"/>
          <w:sz w:val="24"/>
          <w:highlight w:val="none"/>
          <w:lang w:val="en-US" w:eastAsia="zh-CN"/>
        </w:rPr>
        <w:t>金额</w:t>
      </w:r>
      <w:r>
        <w:rPr>
          <w:rFonts w:hint="eastAsia" w:ascii="宋体" w:hAnsi="宋体" w:cs="宋体"/>
          <w:color w:val="auto"/>
          <w:sz w:val="24"/>
          <w:highlight w:val="none"/>
        </w:rPr>
        <w:t>的</w:t>
      </w:r>
      <w:r>
        <w:rPr>
          <w:rFonts w:hint="eastAsia" w:ascii="宋体" w:hAnsi="宋体" w:cs="宋体"/>
          <w:color w:val="auto"/>
          <w:sz w:val="24"/>
          <w:highlight w:val="none"/>
          <w:lang w:val="en-US" w:eastAsia="zh-CN"/>
        </w:rPr>
        <w:t>70</w:t>
      </w:r>
      <w:r>
        <w:rPr>
          <w:rFonts w:hint="eastAsia" w:ascii="宋体" w:hAnsi="宋体" w:cs="宋体"/>
          <w:color w:val="auto"/>
          <w:sz w:val="24"/>
          <w:highlight w:val="none"/>
        </w:rPr>
        <w:t>%。</w:t>
      </w:r>
    </w:p>
    <w:p w14:paraId="3706B86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第三阶段：服务满2年，经第二年度阶段考核或年度验收合格，一次性支付第</w:t>
      </w:r>
      <w:r>
        <w:rPr>
          <w:rFonts w:hint="eastAsia" w:ascii="宋体" w:hAnsi="宋体" w:cs="宋体"/>
          <w:color w:val="auto"/>
          <w:sz w:val="24"/>
          <w:highlight w:val="none"/>
          <w:lang w:eastAsia="zh-CN"/>
        </w:rPr>
        <w:t>2</w:t>
      </w:r>
      <w:r>
        <w:rPr>
          <w:rFonts w:hint="eastAsia" w:ascii="宋体" w:hAnsi="宋体" w:cs="宋体"/>
          <w:color w:val="auto"/>
          <w:sz w:val="24"/>
          <w:highlight w:val="none"/>
        </w:rPr>
        <w:t>年度全额合同价款。</w:t>
      </w:r>
    </w:p>
    <w:p w14:paraId="45A800F8">
      <w:pPr>
        <w:spacing w:line="360" w:lineRule="auto"/>
        <w:ind w:firstLine="480" w:firstLineChars="200"/>
        <w:rPr>
          <w:rFonts w:ascii="宋体" w:hAnsi="宋体"/>
          <w:color w:val="auto"/>
          <w:sz w:val="24"/>
          <w:highlight w:val="none"/>
        </w:rPr>
      </w:pPr>
      <w:r>
        <w:rPr>
          <w:rFonts w:hint="eastAsia" w:ascii="宋体" w:hAnsi="宋体" w:cs="宋体"/>
          <w:color w:val="auto"/>
          <w:sz w:val="24"/>
          <w:highlight w:val="none"/>
        </w:rPr>
        <w:t>第</w:t>
      </w:r>
      <w:r>
        <w:rPr>
          <w:rFonts w:hint="eastAsia" w:ascii="宋体" w:hAnsi="宋体" w:cs="宋体"/>
          <w:color w:val="auto"/>
          <w:sz w:val="24"/>
          <w:highlight w:val="none"/>
          <w:lang w:val="en-US" w:eastAsia="zh-CN"/>
        </w:rPr>
        <w:t>四</w:t>
      </w:r>
      <w:r>
        <w:rPr>
          <w:rFonts w:hint="eastAsia" w:ascii="宋体" w:hAnsi="宋体" w:cs="宋体"/>
          <w:color w:val="auto"/>
          <w:sz w:val="24"/>
          <w:highlight w:val="none"/>
        </w:rPr>
        <w:t>阶段：服务满</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年，经第</w:t>
      </w:r>
      <w:r>
        <w:rPr>
          <w:rFonts w:hint="eastAsia" w:ascii="宋体" w:hAnsi="宋体" w:cs="宋体"/>
          <w:color w:val="auto"/>
          <w:sz w:val="24"/>
          <w:highlight w:val="none"/>
          <w:lang w:val="en-US" w:eastAsia="zh-CN"/>
        </w:rPr>
        <w:t>三</w:t>
      </w:r>
      <w:r>
        <w:rPr>
          <w:rFonts w:hint="eastAsia" w:ascii="宋体" w:hAnsi="宋体" w:cs="宋体"/>
          <w:color w:val="auto"/>
          <w:sz w:val="24"/>
          <w:highlight w:val="none"/>
        </w:rPr>
        <w:t>年度阶段考核或年度验收合格，一次性支付第</w:t>
      </w:r>
      <w:r>
        <w:rPr>
          <w:rFonts w:hint="eastAsia" w:ascii="宋体" w:hAnsi="宋体" w:cs="宋体"/>
          <w:color w:val="auto"/>
          <w:sz w:val="24"/>
          <w:highlight w:val="none"/>
          <w:lang w:eastAsia="zh-CN"/>
        </w:rPr>
        <w:t>3</w:t>
      </w:r>
      <w:r>
        <w:rPr>
          <w:rFonts w:hint="eastAsia" w:ascii="宋体" w:hAnsi="宋体" w:cs="宋体"/>
          <w:color w:val="auto"/>
          <w:sz w:val="24"/>
          <w:highlight w:val="none"/>
        </w:rPr>
        <w:t>年度全额合同价款。</w:t>
      </w:r>
    </w:p>
    <w:p w14:paraId="3D4D6037">
      <w:pPr>
        <w:adjustRightInd/>
        <w:snapToGrid/>
        <w:spacing w:line="360" w:lineRule="auto"/>
        <w:ind w:firstLine="480" w:firstLineChars="200"/>
        <w:jc w:val="left"/>
        <w:rPr>
          <w:rFonts w:hint="eastAsia" w:ascii="宋体" w:hAnsi="宋体"/>
          <w:b/>
          <w:color w:val="auto"/>
          <w:sz w:val="24"/>
          <w:highlight w:val="none"/>
        </w:rPr>
      </w:pPr>
      <w:r>
        <w:rPr>
          <w:rFonts w:hint="eastAsia" w:ascii="宋体" w:hAnsi="宋体"/>
          <w:color w:val="auto"/>
          <w:sz w:val="24"/>
          <w:highlight w:val="none"/>
          <w:lang w:val="en-US" w:eastAsia="zh-CN"/>
        </w:rPr>
        <w:t>4</w:t>
      </w:r>
      <w:r>
        <w:rPr>
          <w:rFonts w:hint="eastAsia" w:ascii="宋体" w:hAnsi="宋体"/>
          <w:color w:val="auto"/>
          <w:sz w:val="24"/>
          <w:highlight w:val="none"/>
        </w:rPr>
        <w:t>.发票开具方式：</w:t>
      </w:r>
      <w:r>
        <w:rPr>
          <w:rFonts w:hint="eastAsia" w:ascii="宋体" w:hAnsi="宋体"/>
          <w:color w:val="auto"/>
          <w:sz w:val="24"/>
          <w:highlight w:val="none"/>
          <w:u w:val="none"/>
        </w:rPr>
        <w:t>乙方须提供与款项相对应的税务正式发票。</w:t>
      </w:r>
    </w:p>
    <w:p w14:paraId="1C41F4CD">
      <w:pPr>
        <w:adjustRightInd w:val="0"/>
        <w:snapToGrid w:val="0"/>
        <w:spacing w:line="360" w:lineRule="auto"/>
        <w:jc w:val="left"/>
        <w:rPr>
          <w:rFonts w:ascii="宋体" w:hAnsi="宋体"/>
          <w:color w:val="auto"/>
          <w:sz w:val="24"/>
          <w:highlight w:val="none"/>
        </w:rPr>
      </w:pPr>
      <w:r>
        <w:rPr>
          <w:rFonts w:hint="eastAsia" w:ascii="宋体" w:hAnsi="宋体"/>
          <w:b/>
          <w:color w:val="auto"/>
          <w:sz w:val="24"/>
          <w:highlight w:val="none"/>
        </w:rPr>
        <w:t>六、履约保证和违约责任</w:t>
      </w:r>
    </w:p>
    <w:p w14:paraId="29591B57">
      <w:pPr>
        <w:adjustRightInd w:val="0"/>
        <w:snapToGri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1.乙方应按照</w:t>
      </w:r>
      <w:r>
        <w:rPr>
          <w:rFonts w:hint="eastAsia" w:ascii="宋体" w:hAnsi="宋体"/>
          <w:color w:val="auto"/>
          <w:sz w:val="24"/>
          <w:highlight w:val="none"/>
          <w:lang w:val="en-US" w:eastAsia="zh-CN"/>
        </w:rPr>
        <w:t>招标</w:t>
      </w:r>
      <w:r>
        <w:rPr>
          <w:rFonts w:hint="eastAsia" w:ascii="宋体" w:hAnsi="宋体"/>
          <w:color w:val="auto"/>
          <w:sz w:val="24"/>
          <w:highlight w:val="none"/>
        </w:rPr>
        <w:t>文件规定的服务要求、质量标准向甲方提供服务。</w:t>
      </w:r>
    </w:p>
    <w:p w14:paraId="5A7A9B4A">
      <w:pPr>
        <w:adjustRightInd w:val="0"/>
        <w:snapToGri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2.合同履行过程中，如发现乙方为虚假应标者，甲方有权终止合同，给甲方造成的相应损失由乙方承担。</w:t>
      </w:r>
    </w:p>
    <w:p w14:paraId="2CA4590D">
      <w:pPr>
        <w:spacing w:line="360" w:lineRule="auto"/>
        <w:rPr>
          <w:rFonts w:ascii="宋体" w:hAnsi="宋体"/>
          <w:b/>
          <w:bCs/>
          <w:color w:val="auto"/>
          <w:sz w:val="24"/>
          <w:highlight w:val="none"/>
        </w:rPr>
      </w:pPr>
      <w:r>
        <w:rPr>
          <w:rFonts w:hint="eastAsia" w:ascii="宋体" w:hAnsi="宋体"/>
          <w:b/>
          <w:bCs/>
          <w:color w:val="auto"/>
          <w:sz w:val="24"/>
          <w:highlight w:val="none"/>
        </w:rPr>
        <w:t>七、甲方权利与义务</w:t>
      </w:r>
    </w:p>
    <w:p w14:paraId="37F9022B">
      <w:pPr>
        <w:snapToGrid w:val="0"/>
        <w:spacing w:line="360" w:lineRule="auto"/>
        <w:ind w:firstLine="480" w:firstLineChars="200"/>
        <w:rPr>
          <w:rFonts w:ascii="宋体" w:hAnsi="宋体" w:cs="仿宋"/>
          <w:color w:val="auto"/>
          <w:sz w:val="24"/>
          <w:highlight w:val="none"/>
        </w:rPr>
      </w:pPr>
      <w:r>
        <w:rPr>
          <w:rFonts w:hint="eastAsia" w:ascii="宋体" w:hAnsi="宋体" w:cs="仿宋"/>
          <w:color w:val="auto"/>
          <w:sz w:val="24"/>
          <w:highlight w:val="none"/>
        </w:rPr>
        <w:t xml:space="preserve">（一）甲方权利： </w:t>
      </w:r>
    </w:p>
    <w:p w14:paraId="66D4F92B">
      <w:pPr>
        <w:snapToGrid w:val="0"/>
        <w:spacing w:line="360" w:lineRule="auto"/>
        <w:ind w:firstLine="480" w:firstLineChars="200"/>
        <w:rPr>
          <w:rFonts w:ascii="宋体" w:hAnsi="宋体" w:cs="仿宋"/>
          <w:color w:val="auto"/>
          <w:sz w:val="24"/>
          <w:highlight w:val="none"/>
        </w:rPr>
      </w:pPr>
      <w:r>
        <w:rPr>
          <w:rFonts w:hint="eastAsia" w:ascii="宋体" w:hAnsi="宋体" w:cs="仿宋"/>
          <w:color w:val="auto"/>
          <w:sz w:val="24"/>
          <w:highlight w:val="none"/>
        </w:rPr>
        <w:t>1.有权向乙方询问服务进展情况及相关的内容。</w:t>
      </w:r>
    </w:p>
    <w:p w14:paraId="1367E6C0">
      <w:pPr>
        <w:snapToGrid w:val="0"/>
        <w:spacing w:line="360" w:lineRule="auto"/>
        <w:ind w:firstLine="480" w:firstLineChars="200"/>
        <w:rPr>
          <w:rFonts w:ascii="宋体" w:hAnsi="宋体" w:cs="仿宋"/>
          <w:color w:val="auto"/>
          <w:sz w:val="24"/>
          <w:highlight w:val="none"/>
        </w:rPr>
      </w:pPr>
      <w:r>
        <w:rPr>
          <w:rFonts w:hint="eastAsia" w:ascii="宋体" w:hAnsi="宋体" w:cs="仿宋"/>
          <w:color w:val="auto"/>
          <w:sz w:val="24"/>
          <w:highlight w:val="none"/>
        </w:rPr>
        <w:t>2.有权阐述对具体问题的意见和建议。</w:t>
      </w:r>
    </w:p>
    <w:p w14:paraId="140C1E75">
      <w:pPr>
        <w:snapToGrid w:val="0"/>
        <w:spacing w:line="360" w:lineRule="auto"/>
        <w:ind w:firstLine="480" w:firstLineChars="200"/>
        <w:rPr>
          <w:rFonts w:ascii="宋体" w:hAnsi="宋体" w:cs="仿宋"/>
          <w:color w:val="auto"/>
          <w:sz w:val="24"/>
          <w:highlight w:val="none"/>
        </w:rPr>
      </w:pPr>
      <w:r>
        <w:rPr>
          <w:rFonts w:hint="eastAsia" w:ascii="宋体" w:hAnsi="宋体" w:cs="仿宋"/>
          <w:color w:val="auto"/>
          <w:sz w:val="24"/>
          <w:highlight w:val="none"/>
        </w:rPr>
        <w:t>3.当甲方认定乙方人员不按合同履行其职责，或与第三人串通给甲方造成经济损失的，甲方有权要求更换人员，直至终止合同并要求乙方承担相应的赔偿责任。</w:t>
      </w:r>
    </w:p>
    <w:p w14:paraId="2FF925A7">
      <w:pPr>
        <w:spacing w:line="360" w:lineRule="auto"/>
        <w:ind w:firstLine="480" w:firstLineChars="200"/>
        <w:rPr>
          <w:rFonts w:ascii="宋体" w:hAnsi="宋体"/>
          <w:color w:val="auto"/>
          <w:sz w:val="24"/>
          <w:highlight w:val="none"/>
        </w:rPr>
      </w:pPr>
      <w:r>
        <w:rPr>
          <w:rFonts w:hint="eastAsia" w:ascii="宋体" w:hAnsi="宋体" w:cs="仿宋"/>
          <w:bCs/>
          <w:color w:val="auto"/>
          <w:sz w:val="24"/>
          <w:highlight w:val="none"/>
        </w:rPr>
        <w:t>4.</w:t>
      </w:r>
      <w:r>
        <w:rPr>
          <w:rFonts w:hint="eastAsia" w:ascii="宋体" w:hAnsi="宋体"/>
          <w:color w:val="auto"/>
          <w:sz w:val="24"/>
          <w:highlight w:val="none"/>
        </w:rPr>
        <w:t>在合同期内，若不能达到采购要求，甲方可单方面终止合同且不承担经济赔偿责任。</w:t>
      </w:r>
    </w:p>
    <w:p w14:paraId="04264586">
      <w:pPr>
        <w:spacing w:line="360" w:lineRule="auto"/>
        <w:ind w:firstLine="480" w:firstLineChars="200"/>
        <w:rPr>
          <w:rFonts w:ascii="宋体" w:hAnsi="宋体" w:cs="仿宋"/>
          <w:bCs/>
          <w:color w:val="auto"/>
          <w:sz w:val="24"/>
          <w:highlight w:val="none"/>
        </w:rPr>
      </w:pPr>
      <w:r>
        <w:rPr>
          <w:rFonts w:hint="eastAsia" w:ascii="宋体" w:hAnsi="宋体" w:cs="仿宋"/>
          <w:bCs/>
          <w:color w:val="auto"/>
          <w:sz w:val="24"/>
          <w:highlight w:val="none"/>
        </w:rPr>
        <w:t>5.</w:t>
      </w:r>
      <w:r>
        <w:rPr>
          <w:rFonts w:hint="eastAsia" w:ascii="宋体" w:hAnsi="宋体"/>
          <w:color w:val="auto"/>
          <w:sz w:val="24"/>
          <w:highlight w:val="none"/>
        </w:rPr>
        <w:t>在合同期限内，如遇政策性变化或重大调整，甲方有权提前终止合同，但须提前一个月书面通知乙方，乙方应无条件予以配合。</w:t>
      </w:r>
    </w:p>
    <w:p w14:paraId="4B45CE97">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（二）甲方义务</w:t>
      </w:r>
    </w:p>
    <w:p w14:paraId="50135770">
      <w:pPr>
        <w:snapToGrid w:val="0"/>
        <w:spacing w:line="360" w:lineRule="auto"/>
        <w:ind w:firstLine="480" w:firstLineChars="200"/>
        <w:rPr>
          <w:rFonts w:ascii="宋体" w:hAnsi="宋体" w:cs="仿宋"/>
          <w:color w:val="auto"/>
          <w:sz w:val="24"/>
          <w:highlight w:val="none"/>
        </w:rPr>
      </w:pPr>
      <w:r>
        <w:rPr>
          <w:rFonts w:hint="eastAsia" w:ascii="宋体" w:hAnsi="宋体" w:cs="仿宋"/>
          <w:color w:val="auto"/>
          <w:sz w:val="24"/>
          <w:highlight w:val="none"/>
        </w:rPr>
        <w:t>1.负责与本项目有关的第三方的协调，提供开展服务工作的外部条件。</w:t>
      </w:r>
    </w:p>
    <w:p w14:paraId="110E42B3">
      <w:pPr>
        <w:snapToGrid w:val="0"/>
        <w:spacing w:line="360" w:lineRule="auto"/>
        <w:ind w:firstLine="480" w:firstLineChars="200"/>
        <w:rPr>
          <w:rFonts w:ascii="宋体" w:hAnsi="宋体" w:cs="仿宋"/>
          <w:color w:val="auto"/>
          <w:sz w:val="24"/>
          <w:highlight w:val="none"/>
        </w:rPr>
      </w:pPr>
      <w:r>
        <w:rPr>
          <w:rFonts w:hint="eastAsia" w:ascii="宋体" w:hAnsi="宋体" w:cs="仿宋"/>
          <w:color w:val="auto"/>
          <w:sz w:val="24"/>
          <w:highlight w:val="none"/>
        </w:rPr>
        <w:t>2.向乙方提供与本项目有关的资料。</w:t>
      </w:r>
    </w:p>
    <w:p w14:paraId="6B218CCA">
      <w:pPr>
        <w:spacing w:line="360" w:lineRule="auto"/>
        <w:rPr>
          <w:rFonts w:ascii="宋体" w:hAnsi="宋体"/>
          <w:b/>
          <w:bCs/>
          <w:color w:val="auto"/>
          <w:sz w:val="24"/>
          <w:highlight w:val="none"/>
        </w:rPr>
      </w:pPr>
      <w:r>
        <w:rPr>
          <w:rFonts w:hint="eastAsia" w:ascii="宋体" w:hAnsi="宋体"/>
          <w:b/>
          <w:bCs/>
          <w:color w:val="auto"/>
          <w:sz w:val="24"/>
          <w:highlight w:val="none"/>
        </w:rPr>
        <w:t>八、乙方权利与义务</w:t>
      </w:r>
    </w:p>
    <w:p w14:paraId="01231154">
      <w:pPr>
        <w:snapToGrid w:val="0"/>
        <w:spacing w:line="360" w:lineRule="auto"/>
        <w:ind w:firstLine="480" w:firstLineChars="200"/>
        <w:rPr>
          <w:rFonts w:ascii="宋体" w:hAnsi="宋体" w:cs="仿宋"/>
          <w:color w:val="auto"/>
          <w:sz w:val="24"/>
          <w:highlight w:val="none"/>
        </w:rPr>
      </w:pPr>
      <w:r>
        <w:rPr>
          <w:rFonts w:hint="eastAsia" w:ascii="宋体" w:hAnsi="宋体" w:cs="仿宋"/>
          <w:color w:val="auto"/>
          <w:sz w:val="24"/>
          <w:highlight w:val="none"/>
        </w:rPr>
        <w:t>（一）乙方权利：</w:t>
      </w:r>
    </w:p>
    <w:p w14:paraId="395C853A">
      <w:pPr>
        <w:snapToGrid w:val="0"/>
        <w:spacing w:line="360" w:lineRule="auto"/>
        <w:ind w:firstLine="480" w:firstLineChars="200"/>
        <w:rPr>
          <w:rFonts w:ascii="宋体" w:hAnsi="宋体" w:cs="仿宋"/>
          <w:color w:val="auto"/>
          <w:sz w:val="24"/>
          <w:highlight w:val="none"/>
        </w:rPr>
      </w:pPr>
      <w:r>
        <w:rPr>
          <w:rFonts w:hint="eastAsia" w:ascii="宋体" w:hAnsi="宋体" w:cs="仿宋"/>
          <w:color w:val="auto"/>
          <w:sz w:val="24"/>
          <w:highlight w:val="none"/>
        </w:rPr>
        <w:t>乙方在本项目服务过程中，如甲方提供的资料不明确时可向甲方提出书面报告。</w:t>
      </w:r>
    </w:p>
    <w:p w14:paraId="2D6FE760">
      <w:pPr>
        <w:snapToGrid w:val="0"/>
        <w:spacing w:line="360" w:lineRule="auto"/>
        <w:ind w:firstLine="480" w:firstLineChars="200"/>
        <w:rPr>
          <w:rFonts w:ascii="宋体" w:hAnsi="宋体" w:cs="仿宋"/>
          <w:color w:val="auto"/>
          <w:sz w:val="24"/>
          <w:highlight w:val="none"/>
        </w:rPr>
      </w:pPr>
      <w:r>
        <w:rPr>
          <w:rFonts w:hint="eastAsia" w:ascii="宋体" w:hAnsi="宋体" w:cs="仿宋"/>
          <w:color w:val="auto"/>
          <w:sz w:val="24"/>
          <w:highlight w:val="none"/>
        </w:rPr>
        <w:t>（二）乙方义务：</w:t>
      </w:r>
    </w:p>
    <w:p w14:paraId="390C22FF">
      <w:pPr>
        <w:snapToGrid w:val="0"/>
        <w:spacing w:line="360" w:lineRule="auto"/>
        <w:ind w:firstLine="480" w:firstLineChars="200"/>
        <w:rPr>
          <w:rFonts w:ascii="宋体" w:hAnsi="宋体" w:cs="仿宋"/>
          <w:color w:val="auto"/>
          <w:sz w:val="24"/>
          <w:highlight w:val="none"/>
        </w:rPr>
      </w:pPr>
      <w:r>
        <w:rPr>
          <w:rFonts w:hint="eastAsia" w:ascii="宋体" w:hAnsi="宋体" w:cs="仿宋"/>
          <w:color w:val="auto"/>
          <w:sz w:val="24"/>
          <w:highlight w:val="none"/>
        </w:rPr>
        <w:t>1.应按照</w:t>
      </w:r>
      <w:r>
        <w:rPr>
          <w:rFonts w:hint="eastAsia" w:ascii="宋体" w:hAnsi="宋体" w:cs="仿宋"/>
          <w:color w:val="auto"/>
          <w:sz w:val="24"/>
          <w:highlight w:val="none"/>
        </w:rPr>
        <w:softHyphen/>
      </w:r>
      <w:r>
        <w:rPr>
          <w:rFonts w:hint="eastAsia" w:ascii="宋体" w:hAnsi="宋体" w:cs="仿宋"/>
          <w:color w:val="auto"/>
          <w:sz w:val="24"/>
          <w:highlight w:val="none"/>
        </w:rPr>
        <w:t>本项目</w:t>
      </w:r>
      <w:r>
        <w:rPr>
          <w:rFonts w:hint="eastAsia" w:ascii="宋体" w:hAnsi="宋体"/>
          <w:color w:val="auto"/>
          <w:sz w:val="24"/>
          <w:highlight w:val="none"/>
          <w:lang w:val="en-US" w:eastAsia="zh-CN"/>
        </w:rPr>
        <w:t>招标</w:t>
      </w:r>
      <w:r>
        <w:rPr>
          <w:rFonts w:hint="eastAsia" w:ascii="宋体" w:hAnsi="宋体" w:cs="仿宋"/>
          <w:color w:val="auto"/>
          <w:sz w:val="24"/>
          <w:highlight w:val="none"/>
        </w:rPr>
        <w:t>文件、乙方</w:t>
      </w:r>
      <w:r>
        <w:rPr>
          <w:rFonts w:hint="eastAsia" w:ascii="宋体" w:hAnsi="宋体" w:cs="仿宋"/>
          <w:color w:val="auto"/>
          <w:sz w:val="24"/>
          <w:highlight w:val="none"/>
          <w:lang w:val="en-US" w:eastAsia="zh-CN"/>
        </w:rPr>
        <w:t>投标</w:t>
      </w:r>
      <w:r>
        <w:rPr>
          <w:rFonts w:hint="eastAsia" w:ascii="宋体" w:hAnsi="宋体" w:cs="仿宋"/>
          <w:color w:val="auto"/>
          <w:sz w:val="24"/>
          <w:highlight w:val="none"/>
        </w:rPr>
        <w:t>文件要求按时完成服务范围内的工作。</w:t>
      </w:r>
    </w:p>
    <w:p w14:paraId="21A7514D">
      <w:pPr>
        <w:snapToGrid w:val="0"/>
        <w:spacing w:line="360" w:lineRule="auto"/>
        <w:ind w:firstLine="480" w:firstLineChars="200"/>
        <w:rPr>
          <w:rFonts w:ascii="宋体" w:hAnsi="宋体" w:cs="仿宋"/>
          <w:color w:val="auto"/>
          <w:sz w:val="24"/>
          <w:highlight w:val="none"/>
        </w:rPr>
      </w:pPr>
      <w:r>
        <w:rPr>
          <w:rFonts w:hint="eastAsia" w:ascii="宋体" w:hAnsi="宋体" w:cs="仿宋"/>
          <w:color w:val="auto"/>
          <w:sz w:val="24"/>
          <w:highlight w:val="none"/>
        </w:rPr>
        <w:t>2.负责组织活动的开展，保证工作质量满足甲方相关验收标准。</w:t>
      </w:r>
    </w:p>
    <w:p w14:paraId="2AE6C772">
      <w:pPr>
        <w:adjustRightInd w:val="0"/>
        <w:snapToGrid w:val="0"/>
        <w:spacing w:line="360" w:lineRule="auto"/>
        <w:ind w:firstLine="480" w:firstLineChars="200"/>
        <w:jc w:val="left"/>
        <w:rPr>
          <w:rFonts w:ascii="宋体" w:hAnsi="宋体" w:cs="仿宋"/>
          <w:color w:val="auto"/>
          <w:sz w:val="24"/>
          <w:highlight w:val="none"/>
        </w:rPr>
      </w:pPr>
      <w:r>
        <w:rPr>
          <w:rFonts w:hint="eastAsia" w:ascii="宋体" w:hAnsi="宋体" w:cs="仿宋"/>
          <w:color w:val="auto"/>
          <w:sz w:val="24"/>
          <w:highlight w:val="none"/>
        </w:rPr>
        <w:t>3.乙方不得擅自部分或全部转让其应履行的合同义务，否则甲方有权终止合同。转包或分包造成甲方损失的，乙方应承担由此造成的全部法律责任及相应经济赔偿责任。</w:t>
      </w:r>
      <w:r>
        <w:rPr>
          <w:rFonts w:ascii="宋体" w:hAnsi="宋体" w:cs="宋体"/>
          <w:color w:val="auto"/>
          <w:sz w:val="24"/>
          <w:highlight w:val="none"/>
        </w:rPr>
        <w:t xml:space="preserve"> </w:t>
      </w:r>
    </w:p>
    <w:p w14:paraId="727E3D66">
      <w:pPr>
        <w:tabs>
          <w:tab w:val="left" w:pos="567"/>
        </w:tabs>
        <w:spacing w:line="360" w:lineRule="auto"/>
        <w:ind w:firstLine="480" w:firstLineChars="200"/>
        <w:contextualSpacing/>
        <w:rPr>
          <w:rFonts w:ascii="宋体" w:hAnsi="宋体"/>
          <w:b/>
          <w:color w:val="auto"/>
          <w:sz w:val="24"/>
          <w:highlight w:val="none"/>
        </w:rPr>
      </w:pPr>
      <w:r>
        <w:rPr>
          <w:rFonts w:hint="eastAsia" w:ascii="宋体" w:hAnsi="宋体" w:cs="宋体"/>
          <w:color w:val="auto"/>
          <w:sz w:val="24"/>
          <w:highlight w:val="none"/>
        </w:rPr>
        <w:t>4.按</w:t>
      </w:r>
      <w:r>
        <w:rPr>
          <w:rFonts w:hint="eastAsia" w:ascii="宋体" w:hAnsi="宋体"/>
          <w:color w:val="auto"/>
          <w:sz w:val="24"/>
          <w:highlight w:val="none"/>
          <w:lang w:val="en-US" w:eastAsia="zh-CN"/>
        </w:rPr>
        <w:t>招标</w:t>
      </w:r>
      <w:r>
        <w:rPr>
          <w:rFonts w:hint="eastAsia" w:ascii="宋体" w:hAnsi="宋体" w:cs="宋体"/>
          <w:color w:val="auto"/>
          <w:sz w:val="24"/>
          <w:highlight w:val="none"/>
        </w:rPr>
        <w:t>文件要求完成所涉及的其他服务事项和工作内容。</w:t>
      </w:r>
    </w:p>
    <w:p w14:paraId="70065BDA">
      <w:pPr>
        <w:tabs>
          <w:tab w:val="center" w:pos="4422"/>
        </w:tabs>
        <w:spacing w:line="360" w:lineRule="auto"/>
        <w:rPr>
          <w:rFonts w:ascii="宋体" w:hAnsi="宋体"/>
          <w:b/>
          <w:bCs/>
          <w:color w:val="auto"/>
          <w:sz w:val="24"/>
          <w:highlight w:val="none"/>
        </w:rPr>
      </w:pPr>
      <w:r>
        <w:rPr>
          <w:rFonts w:hint="eastAsia" w:ascii="宋体" w:hAnsi="宋体"/>
          <w:b/>
          <w:bCs/>
          <w:color w:val="auto"/>
          <w:sz w:val="24"/>
          <w:highlight w:val="none"/>
        </w:rPr>
        <w:t>九、保密要求</w:t>
      </w:r>
      <w:r>
        <w:rPr>
          <w:rFonts w:ascii="宋体" w:hAnsi="宋体"/>
          <w:b/>
          <w:bCs/>
          <w:color w:val="auto"/>
          <w:sz w:val="24"/>
          <w:highlight w:val="none"/>
        </w:rPr>
        <w:tab/>
      </w:r>
    </w:p>
    <w:p w14:paraId="3EFEA651">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由甲方收集的、整理的、复制的、研究的和准备的与本合同项下工作有关的所有资料在提供给乙方时，均被视为保密的，不得泄漏给除甲方或其指定的代表之外的任何人，不管本合同因何种原因终止，本条款一直约束乙方。</w:t>
      </w:r>
    </w:p>
    <w:p w14:paraId="4A3F4F76">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乙方在履行合同过程中所获得或接触到的任何</w:t>
      </w:r>
      <w:r>
        <w:rPr>
          <w:rFonts w:hint="eastAsia" w:ascii="宋体" w:hAnsi="宋体"/>
          <w:color w:val="auto"/>
          <w:sz w:val="24"/>
          <w:highlight w:val="none"/>
        </w:rPr>
        <w:t>内部数据资料，未经甲方同意，不得向第三方透露。</w:t>
      </w:r>
    </w:p>
    <w:p w14:paraId="79D83A21">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乙方</w:t>
      </w:r>
      <w:r>
        <w:rPr>
          <w:rFonts w:hint="eastAsia" w:ascii="宋体" w:hAnsi="宋体"/>
          <w:color w:val="auto"/>
          <w:sz w:val="24"/>
          <w:highlight w:val="none"/>
        </w:rPr>
        <w:t>服务过程中的一切程序都应符合国家安全、保密的有关规定和标准。</w:t>
      </w:r>
    </w:p>
    <w:p w14:paraId="773B0323">
      <w:pPr>
        <w:adjustRightInd w:val="0"/>
        <w:snapToGrid w:val="0"/>
        <w:spacing w:line="360" w:lineRule="auto"/>
        <w:jc w:val="left"/>
        <w:rPr>
          <w:rFonts w:ascii="宋体" w:hAnsi="宋体"/>
          <w:color w:val="auto"/>
          <w:sz w:val="24"/>
          <w:highlight w:val="none"/>
        </w:rPr>
      </w:pPr>
      <w:r>
        <w:rPr>
          <w:rFonts w:hint="eastAsia" w:ascii="宋体" w:hAnsi="宋体"/>
          <w:b/>
          <w:color w:val="auto"/>
          <w:sz w:val="24"/>
          <w:highlight w:val="none"/>
        </w:rPr>
        <w:t>十、合同的变更和解除</w:t>
      </w:r>
    </w:p>
    <w:p w14:paraId="2DF45F5C">
      <w:pPr>
        <w:adjustRightInd w:val="0"/>
        <w:snapToGri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1.本合同一经签订，双方不得擅自变更、中止或者终止合同。</w:t>
      </w:r>
    </w:p>
    <w:p w14:paraId="12FB19D3">
      <w:pPr>
        <w:adjustRightInd w:val="0"/>
        <w:snapToGri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2.在合同期限内，如遇政策性变化或重大调整，甲方有权提前终止合同。</w:t>
      </w:r>
    </w:p>
    <w:p w14:paraId="6B32F1E0">
      <w:pPr>
        <w:adjustRightInd w:val="0"/>
        <w:snapToGri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3.除发生法律规定的不能预见、不能避免且不能克服的客观情况外，双方不得放弃或拒绝履行合同。乙方放弃或拒绝履行合同，履约保证金不予退还。</w:t>
      </w:r>
    </w:p>
    <w:p w14:paraId="7813AB3E">
      <w:pPr>
        <w:adjustRightInd w:val="0"/>
        <w:snapToGrid w:val="0"/>
        <w:spacing w:line="360" w:lineRule="auto"/>
        <w:ind w:firstLine="420" w:firstLineChars="200"/>
        <w:jc w:val="left"/>
        <w:rPr>
          <w:rFonts w:ascii="宋体" w:hAnsi="宋体"/>
          <w:color w:val="auto"/>
          <w:sz w:val="24"/>
          <w:highlight w:val="none"/>
        </w:rPr>
      </w:pPr>
      <w:r>
        <w:rPr>
          <w:rFonts w:hint="eastAsia" w:ascii="宋体" w:hAnsi="宋体" w:cs="宋体"/>
          <w:color w:val="auto"/>
          <w:highlight w:val="none"/>
        </w:rPr>
        <w:t>4.</w:t>
      </w:r>
      <w:r>
        <w:rPr>
          <w:rFonts w:hint="eastAsia" w:ascii="宋体" w:hAnsi="宋体" w:cs="宋体"/>
          <w:color w:val="auto"/>
          <w:sz w:val="24"/>
          <w:highlight w:val="none"/>
        </w:rPr>
        <w:t>合同履行期间，若乙方经营场地承接人发生变更，则由新的承接人续签合同，在满足采购需求和技术要求的前提下以合同价继续为甲方提供培训活动保障服务。</w:t>
      </w:r>
    </w:p>
    <w:p w14:paraId="019964A2">
      <w:pPr>
        <w:adjustRightInd w:val="0"/>
        <w:snapToGri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4.合同的解除：</w:t>
      </w:r>
    </w:p>
    <w:p w14:paraId="74B6513F">
      <w:pPr>
        <w:adjustRightInd w:val="0"/>
        <w:snapToGri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如遇下列任意一种情况，本合同可解除：</w:t>
      </w:r>
    </w:p>
    <w:p w14:paraId="1157D926">
      <w:pPr>
        <w:adjustRightInd w:val="0"/>
        <w:snapToGri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（1）因不可抗力导致本合同无法履行；</w:t>
      </w:r>
    </w:p>
    <w:p w14:paraId="72323E06">
      <w:pPr>
        <w:adjustRightInd w:val="0"/>
        <w:snapToGri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（2）合同的继续履行将损害国家利益和社会公共利益；</w:t>
      </w:r>
    </w:p>
    <w:p w14:paraId="0C82675E">
      <w:pPr>
        <w:adjustRightInd w:val="0"/>
        <w:snapToGri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（3）乙方不履行</w:t>
      </w:r>
      <w:r>
        <w:rPr>
          <w:rFonts w:hint="eastAsia" w:ascii="宋体" w:hAnsi="宋体"/>
          <w:color w:val="auto"/>
          <w:sz w:val="24"/>
          <w:highlight w:val="none"/>
          <w:lang w:val="en-US" w:eastAsia="zh-CN"/>
        </w:rPr>
        <w:t>招标</w:t>
      </w:r>
      <w:r>
        <w:rPr>
          <w:rFonts w:hint="eastAsia" w:ascii="宋体" w:hAnsi="宋体"/>
          <w:color w:val="auto"/>
          <w:sz w:val="24"/>
          <w:highlight w:val="none"/>
        </w:rPr>
        <w:t>文件和本合同，经甲方两次书面整改通知仍不改正的；</w:t>
      </w:r>
    </w:p>
    <w:p w14:paraId="01C425F1">
      <w:pPr>
        <w:adjustRightInd w:val="0"/>
        <w:snapToGri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（4）服务期间发生重大安全事故且产生恶劣社会影响。</w:t>
      </w:r>
    </w:p>
    <w:p w14:paraId="5CF04925">
      <w:pPr>
        <w:adjustRightInd w:val="0"/>
        <w:snapToGrid w:val="0"/>
        <w:spacing w:line="360" w:lineRule="auto"/>
        <w:rPr>
          <w:rFonts w:ascii="宋体" w:hAnsi="宋体"/>
          <w:b/>
          <w:color w:val="auto"/>
          <w:sz w:val="24"/>
          <w:highlight w:val="none"/>
        </w:rPr>
      </w:pPr>
      <w:r>
        <w:rPr>
          <w:rFonts w:hint="eastAsia" w:ascii="宋体" w:hAnsi="宋体"/>
          <w:b/>
          <w:color w:val="auto"/>
          <w:sz w:val="24"/>
          <w:highlight w:val="none"/>
        </w:rPr>
        <w:t>十一、争端的解决</w:t>
      </w:r>
    </w:p>
    <w:p w14:paraId="0932EBEF">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合同实施或与合同有关的一切争端应依据《中华人民共和国民法典》并通过双方协商解决。如无法协商的，则采取以下第</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1</w:t>
      </w:r>
      <w:r>
        <w:rPr>
          <w:rFonts w:hint="eastAsia" w:ascii="宋体" w:hAnsi="宋体"/>
          <w:color w:val="auto"/>
          <w:sz w:val="24"/>
          <w:highlight w:val="none"/>
          <w:u w:val="single"/>
        </w:rPr>
        <w:t xml:space="preserve">  </w:t>
      </w:r>
      <w:r>
        <w:rPr>
          <w:rFonts w:hint="eastAsia" w:ascii="宋体" w:hAnsi="宋体"/>
          <w:color w:val="auto"/>
          <w:sz w:val="24"/>
          <w:highlight w:val="none"/>
        </w:rPr>
        <w:t>种方式解决争议：</w:t>
      </w:r>
    </w:p>
    <w:p w14:paraId="0191F1FD">
      <w:pPr>
        <w:adjustRightInd w:val="0"/>
        <w:snapToGrid w:val="0"/>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1.向甲方所在地有管辖权的人民法院提起诉讼；</w:t>
      </w:r>
    </w:p>
    <w:p w14:paraId="56FD394C">
      <w:pPr>
        <w:adjustRightInd w:val="0"/>
        <w:snapToGrid w:val="0"/>
        <w:spacing w:line="360" w:lineRule="auto"/>
        <w:ind w:firstLine="480" w:firstLineChars="200"/>
        <w:jc w:val="left"/>
        <w:rPr>
          <w:rFonts w:ascii="宋体" w:hAnsi="宋体"/>
          <w:color w:val="auto"/>
          <w:highlight w:val="none"/>
        </w:rPr>
      </w:pPr>
      <w:r>
        <w:rPr>
          <w:rFonts w:hint="eastAsia" w:ascii="宋体" w:hAnsi="宋体" w:cs="宋体"/>
          <w:color w:val="auto"/>
          <w:sz w:val="24"/>
          <w:highlight w:val="none"/>
        </w:rPr>
        <w:t>2.向甲方所在地仲裁委员会按其仲裁规则申请仲裁。</w:t>
      </w:r>
    </w:p>
    <w:p w14:paraId="4B8BEFE7">
      <w:pPr>
        <w:adjustRightInd w:val="0"/>
        <w:snapToGrid w:val="0"/>
        <w:spacing w:line="360" w:lineRule="auto"/>
        <w:rPr>
          <w:rFonts w:ascii="宋体" w:hAnsi="宋体"/>
          <w:b/>
          <w:color w:val="auto"/>
          <w:sz w:val="24"/>
          <w:highlight w:val="none"/>
        </w:rPr>
      </w:pPr>
      <w:r>
        <w:rPr>
          <w:rFonts w:hint="eastAsia" w:ascii="宋体" w:hAnsi="宋体"/>
          <w:b/>
          <w:color w:val="auto"/>
          <w:sz w:val="24"/>
          <w:highlight w:val="none"/>
        </w:rPr>
        <w:t>十二 、合同生效及其他</w:t>
      </w:r>
    </w:p>
    <w:p w14:paraId="527F474F">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1.本合同未尽事宜，遵照《中华人民共和国民法典》有关条文执行。</w:t>
      </w:r>
    </w:p>
    <w:p w14:paraId="77DF8C18">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2.合同经甲方乙方双方签字或者盖章后生效。</w:t>
      </w:r>
    </w:p>
    <w:p w14:paraId="560E7239">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3.本合同一式</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伍</w:t>
      </w:r>
      <w:r>
        <w:rPr>
          <w:rFonts w:hint="eastAsia" w:ascii="宋体" w:hAnsi="宋体"/>
          <w:color w:val="auto"/>
          <w:sz w:val="24"/>
          <w:highlight w:val="none"/>
          <w:u w:val="single"/>
        </w:rPr>
        <w:t xml:space="preserve"> </w:t>
      </w:r>
      <w:r>
        <w:rPr>
          <w:rFonts w:hint="eastAsia" w:ascii="宋体" w:hAnsi="宋体"/>
          <w:color w:val="auto"/>
          <w:sz w:val="24"/>
          <w:highlight w:val="none"/>
        </w:rPr>
        <w:t>份，具有同等法律效力，甲方执</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贰</w:t>
      </w:r>
      <w:r>
        <w:rPr>
          <w:rFonts w:hint="eastAsia" w:ascii="宋体" w:hAnsi="宋体"/>
          <w:color w:val="auto"/>
          <w:sz w:val="24"/>
          <w:highlight w:val="none"/>
          <w:u w:val="single"/>
        </w:rPr>
        <w:t xml:space="preserve"> </w:t>
      </w:r>
      <w:r>
        <w:rPr>
          <w:rFonts w:hint="eastAsia" w:ascii="宋体" w:hAnsi="宋体"/>
          <w:color w:val="auto"/>
          <w:sz w:val="24"/>
          <w:highlight w:val="none"/>
        </w:rPr>
        <w:t>份，乙方执</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贰</w:t>
      </w:r>
      <w:r>
        <w:rPr>
          <w:rFonts w:hint="eastAsia" w:ascii="宋体" w:hAnsi="宋体"/>
          <w:color w:val="auto"/>
          <w:sz w:val="24"/>
          <w:highlight w:val="none"/>
          <w:u w:val="single"/>
        </w:rPr>
        <w:t xml:space="preserve"> </w:t>
      </w:r>
      <w:r>
        <w:rPr>
          <w:rFonts w:hint="eastAsia" w:ascii="宋体" w:hAnsi="宋体"/>
          <w:color w:val="auto"/>
          <w:sz w:val="24"/>
          <w:highlight w:val="none"/>
        </w:rPr>
        <w:t>份，代理采购机构执</w:t>
      </w:r>
      <w:r>
        <w:rPr>
          <w:rFonts w:hint="eastAsia" w:ascii="宋体" w:hAnsi="宋体"/>
          <w:color w:val="auto"/>
          <w:sz w:val="24"/>
          <w:highlight w:val="none"/>
          <w:u w:val="single"/>
        </w:rPr>
        <w:t>壹</w:t>
      </w:r>
      <w:r>
        <w:rPr>
          <w:rFonts w:hint="eastAsia" w:ascii="宋体" w:hAnsi="宋体"/>
          <w:color w:val="auto"/>
          <w:sz w:val="24"/>
          <w:highlight w:val="none"/>
        </w:rPr>
        <w:t>份。</w:t>
      </w:r>
    </w:p>
    <w:p w14:paraId="0340D824">
      <w:pPr>
        <w:pStyle w:val="36"/>
        <w:adjustRightInd w:val="0"/>
        <w:snapToGrid w:val="0"/>
        <w:spacing w:after="0" w:line="360" w:lineRule="auto"/>
        <w:ind w:left="0" w:leftChars="0" w:firstLine="480"/>
        <w:rPr>
          <w:rFonts w:ascii="宋体" w:hAnsi="宋体"/>
          <w:color w:val="auto"/>
          <w:highlight w:val="none"/>
        </w:rPr>
      </w:pPr>
    </w:p>
    <w:tbl>
      <w:tblPr>
        <w:tblStyle w:val="37"/>
        <w:tblW w:w="0" w:type="auto"/>
        <w:tblInd w:w="0" w:type="dxa"/>
        <w:tblLayout w:type="autofit"/>
        <w:tblCellMar>
          <w:top w:w="0" w:type="dxa"/>
          <w:left w:w="108" w:type="dxa"/>
          <w:bottom w:w="0" w:type="dxa"/>
          <w:right w:w="108" w:type="dxa"/>
        </w:tblCellMar>
      </w:tblPr>
      <w:tblGrid>
        <w:gridCol w:w="9288"/>
      </w:tblGrid>
      <w:tr w14:paraId="0E523EBD">
        <w:tc>
          <w:tcPr>
            <w:tcW w:w="9400" w:type="dxa"/>
            <w:shd w:val="clear" w:color="auto" w:fill="auto"/>
          </w:tcPr>
          <w:p w14:paraId="69B091FA">
            <w:pPr>
              <w:widowControl/>
              <w:spacing w:line="360" w:lineRule="auto"/>
              <w:jc w:val="left"/>
              <w:rPr>
                <w:rFonts w:ascii="宋体" w:hAnsi="宋体"/>
                <w:color w:val="auto"/>
                <w:sz w:val="24"/>
                <w:highlight w:val="none"/>
              </w:rPr>
            </w:pPr>
            <w:r>
              <w:rPr>
                <w:rFonts w:hint="eastAsia" w:ascii="宋体" w:hAnsi="宋体"/>
                <w:color w:val="auto"/>
                <w:sz w:val="24"/>
                <w:highlight w:val="none"/>
              </w:rPr>
              <w:t>甲方（采购人）（盖章）：                  乙方（中标人）（盖章）：</w:t>
            </w:r>
          </w:p>
          <w:p w14:paraId="35DD06CE">
            <w:pPr>
              <w:widowControl/>
              <w:spacing w:line="360" w:lineRule="auto"/>
              <w:jc w:val="left"/>
              <w:rPr>
                <w:rFonts w:ascii="宋体" w:hAnsi="宋体"/>
                <w:color w:val="auto"/>
                <w:sz w:val="24"/>
                <w:highlight w:val="none"/>
              </w:rPr>
            </w:pPr>
            <w:r>
              <w:rPr>
                <w:rFonts w:hint="eastAsia" w:ascii="宋体" w:hAnsi="宋体"/>
                <w:color w:val="auto"/>
                <w:sz w:val="24"/>
                <w:highlight w:val="none"/>
              </w:rPr>
              <w:t>法定代表人：                              法定代表人：</w:t>
            </w:r>
          </w:p>
          <w:p w14:paraId="7B5AD54A">
            <w:pPr>
              <w:widowControl/>
              <w:spacing w:line="360" w:lineRule="auto"/>
              <w:jc w:val="left"/>
              <w:rPr>
                <w:rFonts w:ascii="宋体" w:hAnsi="宋体"/>
                <w:color w:val="auto"/>
                <w:sz w:val="24"/>
                <w:highlight w:val="none"/>
              </w:rPr>
            </w:pPr>
            <w:r>
              <w:rPr>
                <w:rFonts w:hint="eastAsia" w:ascii="宋体" w:hAnsi="宋体"/>
                <w:color w:val="auto"/>
                <w:sz w:val="24"/>
                <w:highlight w:val="none"/>
              </w:rPr>
              <w:t>代理人：                                  代理人：</w:t>
            </w:r>
          </w:p>
          <w:p w14:paraId="66B56A85">
            <w:pPr>
              <w:widowControl/>
              <w:spacing w:line="360" w:lineRule="auto"/>
              <w:jc w:val="left"/>
              <w:rPr>
                <w:rFonts w:ascii="宋体" w:hAnsi="宋体"/>
                <w:color w:val="auto"/>
                <w:sz w:val="24"/>
                <w:highlight w:val="none"/>
              </w:rPr>
            </w:pPr>
            <w:r>
              <w:rPr>
                <w:rFonts w:hint="eastAsia" w:ascii="宋体" w:hAnsi="宋体"/>
                <w:color w:val="auto"/>
                <w:sz w:val="24"/>
                <w:highlight w:val="none"/>
              </w:rPr>
              <w:t>电  话：                                  电  话：</w:t>
            </w:r>
          </w:p>
          <w:p w14:paraId="58C46D12">
            <w:pPr>
              <w:widowControl/>
              <w:spacing w:line="360" w:lineRule="auto"/>
              <w:jc w:val="left"/>
              <w:rPr>
                <w:rFonts w:ascii="宋体" w:hAnsi="宋体"/>
                <w:color w:val="auto"/>
                <w:sz w:val="24"/>
                <w:highlight w:val="none"/>
              </w:rPr>
            </w:pPr>
            <w:r>
              <w:rPr>
                <w:rFonts w:hint="eastAsia" w:ascii="宋体" w:hAnsi="宋体"/>
                <w:color w:val="auto"/>
                <w:sz w:val="24"/>
                <w:highlight w:val="none"/>
              </w:rPr>
              <w:t>开户银行：                                开户银行：</w:t>
            </w:r>
          </w:p>
          <w:p w14:paraId="029935F1">
            <w:pPr>
              <w:widowControl/>
              <w:spacing w:line="360" w:lineRule="auto"/>
              <w:jc w:val="left"/>
              <w:rPr>
                <w:rFonts w:ascii="宋体" w:hAnsi="宋体"/>
                <w:color w:val="auto"/>
                <w:sz w:val="24"/>
                <w:highlight w:val="none"/>
              </w:rPr>
            </w:pPr>
            <w:r>
              <w:rPr>
                <w:rFonts w:hint="eastAsia" w:ascii="宋体" w:hAnsi="宋体"/>
                <w:color w:val="auto"/>
                <w:sz w:val="24"/>
                <w:highlight w:val="none"/>
              </w:rPr>
              <w:t>账  号：                                   账  号：</w:t>
            </w:r>
          </w:p>
          <w:p w14:paraId="4AB70F54">
            <w:pPr>
              <w:widowControl/>
              <w:spacing w:line="360" w:lineRule="auto"/>
              <w:jc w:val="left"/>
              <w:rPr>
                <w:rFonts w:ascii="宋体" w:hAnsi="宋体"/>
                <w:color w:val="auto"/>
                <w:sz w:val="24"/>
                <w:highlight w:val="none"/>
              </w:rPr>
            </w:pPr>
            <w:r>
              <w:rPr>
                <w:rFonts w:hint="eastAsia" w:ascii="宋体" w:hAnsi="宋体"/>
                <w:color w:val="auto"/>
                <w:sz w:val="24"/>
                <w:highlight w:val="none"/>
              </w:rPr>
              <w:t>单位地址：                                 单位地址：</w:t>
            </w:r>
          </w:p>
          <w:p w14:paraId="6BD3ECDF">
            <w:pPr>
              <w:widowControl/>
              <w:spacing w:line="360" w:lineRule="auto"/>
              <w:jc w:val="left"/>
              <w:rPr>
                <w:rFonts w:ascii="宋体" w:hAnsi="宋体"/>
                <w:color w:val="auto"/>
                <w:sz w:val="24"/>
                <w:highlight w:val="none"/>
              </w:rPr>
            </w:pPr>
            <w:r>
              <w:rPr>
                <w:rFonts w:hint="eastAsia" w:ascii="宋体" w:hAnsi="宋体"/>
                <w:color w:val="auto"/>
                <w:sz w:val="24"/>
                <w:highlight w:val="none"/>
              </w:rPr>
              <w:t>日  期：                                   日  期：</w:t>
            </w:r>
          </w:p>
          <w:p w14:paraId="3C33124F">
            <w:pPr>
              <w:snapToGrid w:val="0"/>
              <w:spacing w:line="560" w:lineRule="exact"/>
              <w:jc w:val="left"/>
              <w:rPr>
                <w:rFonts w:ascii="宋体" w:hAnsi="宋体"/>
                <w:color w:val="auto"/>
                <w:sz w:val="24"/>
                <w:highlight w:val="none"/>
              </w:rPr>
            </w:pPr>
          </w:p>
        </w:tc>
      </w:tr>
    </w:tbl>
    <w:p w14:paraId="043D8A91">
      <w:pPr>
        <w:snapToGrid w:val="0"/>
        <w:spacing w:line="560" w:lineRule="exact"/>
        <w:rPr>
          <w:rFonts w:ascii="宋体" w:hAnsi="宋体" w:cs="仿宋"/>
          <w:b/>
          <w:color w:val="auto"/>
          <w:sz w:val="24"/>
          <w:highlight w:val="none"/>
        </w:rPr>
      </w:pPr>
      <w:r>
        <w:rPr>
          <w:rFonts w:hint="eastAsia" w:ascii="宋体" w:hAnsi="宋体" w:cs="仿宋"/>
          <w:b/>
          <w:color w:val="auto"/>
          <w:sz w:val="24"/>
          <w:highlight w:val="none"/>
        </w:rPr>
        <w:t>合同备案</w:t>
      </w:r>
    </w:p>
    <w:p w14:paraId="47F98F1A">
      <w:pPr>
        <w:snapToGrid w:val="0"/>
        <w:spacing w:line="560" w:lineRule="exact"/>
        <w:rPr>
          <w:rFonts w:ascii="宋体" w:hAnsi="宋体" w:cs="仿宋"/>
          <w:color w:val="auto"/>
          <w:sz w:val="24"/>
          <w:highlight w:val="none"/>
        </w:rPr>
      </w:pPr>
      <w:r>
        <w:rPr>
          <w:rFonts w:hint="eastAsia" w:ascii="宋体" w:hAnsi="宋体" w:cs="仿宋"/>
          <w:color w:val="auto"/>
          <w:sz w:val="24"/>
          <w:highlight w:val="none"/>
        </w:rPr>
        <w:t>代理机构（盖章）：常州中采招投标有限公司</w:t>
      </w:r>
    </w:p>
    <w:p w14:paraId="01F76367">
      <w:pPr>
        <w:spacing w:line="360" w:lineRule="auto"/>
        <w:rPr>
          <w:rFonts w:ascii="宋体" w:hAnsi="宋体" w:cs="仿宋"/>
          <w:color w:val="auto"/>
          <w:sz w:val="24"/>
          <w:highlight w:val="none"/>
        </w:rPr>
      </w:pPr>
      <w:r>
        <w:rPr>
          <w:rFonts w:hint="eastAsia" w:ascii="宋体" w:hAnsi="宋体"/>
          <w:color w:val="auto"/>
          <w:sz w:val="24"/>
          <w:highlight w:val="none"/>
        </w:rPr>
        <w:t>日  期：</w:t>
      </w:r>
    </w:p>
    <w:p w14:paraId="53C9CC9B">
      <w:pPr>
        <w:pStyle w:val="15"/>
        <w:tabs>
          <w:tab w:val="left" w:pos="0"/>
        </w:tabs>
        <w:rPr>
          <w:color w:val="auto"/>
          <w:highlight w:val="none"/>
        </w:rPr>
      </w:pPr>
    </w:p>
    <w:p w14:paraId="1B911AD9">
      <w:pPr>
        <w:rPr>
          <w:color w:val="auto"/>
          <w:highlight w:val="none"/>
        </w:rPr>
      </w:pPr>
    </w:p>
    <w:p w14:paraId="49DBE866">
      <w:pPr>
        <w:keepNext w:val="0"/>
        <w:keepLines w:val="0"/>
        <w:pageBreakBefore/>
        <w:widowControl w:val="0"/>
        <w:kinsoku/>
        <w:wordWrap/>
        <w:overflowPunct/>
        <w:topLinePunct w:val="0"/>
        <w:autoSpaceDE/>
        <w:autoSpaceDN/>
        <w:bidi w:val="0"/>
        <w:adjustRightInd/>
        <w:snapToGrid/>
        <w:spacing w:line="720" w:lineRule="exact"/>
        <w:jc w:val="center"/>
        <w:textAlignment w:val="auto"/>
        <w:rPr>
          <w:rFonts w:ascii="方正小标宋简体" w:hAnsi="方正小标宋简体" w:eastAsia="方正小标宋简体" w:cs="黑体"/>
          <w:color w:val="auto"/>
          <w:sz w:val="40"/>
          <w:szCs w:val="22"/>
          <w:highlight w:val="none"/>
        </w:rPr>
      </w:pPr>
      <w:r>
        <w:rPr>
          <w:rFonts w:hint="eastAsia" w:ascii="华文中宋" w:hAnsi="华文中宋" w:eastAsia="华文中宋"/>
          <w:color w:val="auto"/>
          <w:sz w:val="44"/>
          <w:szCs w:val="24"/>
          <w:highlight w:val="none"/>
          <w:lang w:eastAsia="zh-CN"/>
        </w:rPr>
        <w:t>网络数据安全保密协议</w:t>
      </w:r>
    </w:p>
    <w:p w14:paraId="3FF19FF3">
      <w:pPr>
        <w:spacing w:line="720" w:lineRule="exact"/>
        <w:jc w:val="center"/>
        <w:rPr>
          <w:color w:val="auto"/>
          <w:highlight w:val="none"/>
        </w:rPr>
      </w:pPr>
    </w:p>
    <w:p w14:paraId="0FCB6598">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甲方（委托方）：</w:t>
      </w:r>
      <w:r>
        <w:rPr>
          <w:rFonts w:hint="eastAsia" w:ascii="宋体" w:hAnsi="宋体" w:eastAsia="宋体" w:cs="宋体"/>
          <w:color w:val="auto"/>
          <w:sz w:val="24"/>
          <w:szCs w:val="24"/>
          <w:highlight w:val="none"/>
          <w:u w:val="single"/>
        </w:rPr>
        <w:t>常州市住房保障中心</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106A851E">
      <w:pPr>
        <w:spacing w:line="56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统一社会信用代码：</w:t>
      </w:r>
      <w:r>
        <w:rPr>
          <w:rFonts w:hint="eastAsia" w:ascii="宋体" w:hAnsi="宋体" w:eastAsia="宋体" w:cs="宋体"/>
          <w:color w:val="auto"/>
          <w:sz w:val="24"/>
          <w:szCs w:val="24"/>
          <w:highlight w:val="none"/>
          <w:u w:val="single"/>
        </w:rPr>
        <w:t xml:space="preserve">                                  </w:t>
      </w:r>
    </w:p>
    <w:p w14:paraId="28616267">
      <w:pPr>
        <w:spacing w:line="56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住所地：</w:t>
      </w:r>
      <w:r>
        <w:rPr>
          <w:rFonts w:hint="eastAsia" w:ascii="宋体" w:hAnsi="宋体" w:eastAsia="宋体" w:cs="宋体"/>
          <w:color w:val="auto"/>
          <w:sz w:val="24"/>
          <w:szCs w:val="24"/>
          <w:highlight w:val="none"/>
          <w:u w:val="single"/>
        </w:rPr>
        <w:t xml:space="preserve">                                            </w:t>
      </w:r>
    </w:p>
    <w:p w14:paraId="021C26CB">
      <w:pPr>
        <w:spacing w:line="560" w:lineRule="exact"/>
        <w:rPr>
          <w:rFonts w:hint="eastAsia" w:ascii="宋体" w:hAnsi="宋体" w:eastAsia="宋体" w:cs="宋体"/>
          <w:color w:val="auto"/>
          <w:sz w:val="24"/>
          <w:szCs w:val="24"/>
          <w:highlight w:val="none"/>
        </w:rPr>
      </w:pPr>
    </w:p>
    <w:p w14:paraId="04D10BE9">
      <w:pPr>
        <w:spacing w:line="56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乙方（受托方）：</w:t>
      </w:r>
      <w:r>
        <w:rPr>
          <w:rFonts w:hint="eastAsia" w:ascii="宋体" w:hAnsi="宋体" w:eastAsia="宋体" w:cs="宋体"/>
          <w:color w:val="auto"/>
          <w:sz w:val="24"/>
          <w:szCs w:val="24"/>
          <w:highlight w:val="none"/>
          <w:u w:val="single"/>
        </w:rPr>
        <w:t xml:space="preserve">                                     </w:t>
      </w:r>
    </w:p>
    <w:p w14:paraId="755651A0">
      <w:pPr>
        <w:spacing w:line="56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统一社会信用代码：</w:t>
      </w:r>
      <w:r>
        <w:rPr>
          <w:rFonts w:hint="eastAsia" w:ascii="宋体" w:hAnsi="宋体" w:eastAsia="宋体" w:cs="宋体"/>
          <w:color w:val="auto"/>
          <w:sz w:val="24"/>
          <w:szCs w:val="24"/>
          <w:highlight w:val="none"/>
          <w:u w:val="single"/>
        </w:rPr>
        <w:t xml:space="preserve">                                  </w:t>
      </w:r>
    </w:p>
    <w:p w14:paraId="4BD4DE8A">
      <w:pPr>
        <w:spacing w:line="56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住所地：</w:t>
      </w:r>
      <w:r>
        <w:rPr>
          <w:rFonts w:hint="eastAsia" w:ascii="宋体" w:hAnsi="宋体" w:eastAsia="宋体" w:cs="宋体"/>
          <w:color w:val="auto"/>
          <w:sz w:val="24"/>
          <w:szCs w:val="24"/>
          <w:highlight w:val="none"/>
          <w:u w:val="single"/>
        </w:rPr>
        <w:t xml:space="preserve">                                            </w:t>
      </w:r>
    </w:p>
    <w:p w14:paraId="62B98AFB">
      <w:pPr>
        <w:spacing w:line="560" w:lineRule="exact"/>
        <w:rPr>
          <w:rFonts w:hint="eastAsia" w:ascii="宋体" w:hAnsi="宋体" w:eastAsia="宋体" w:cs="宋体"/>
          <w:color w:val="auto"/>
          <w:sz w:val="24"/>
          <w:szCs w:val="24"/>
          <w:highlight w:val="none"/>
        </w:rPr>
      </w:pPr>
    </w:p>
    <w:p w14:paraId="3B587CB1">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切实履行网络数据安全保密义务和责任，根据《中华人民共和国民法典》《中华人民共和国网络安全法》《中华人民共和国数据安全法》《中华人民共和国个人信息保护法》等有关法律法规及规范性文件的规定，甲乙双方本着平等自愿、诚实信用的原则，经协商一致，就本项目网络数据安全保密事宜达成如下协议。</w:t>
      </w:r>
    </w:p>
    <w:p w14:paraId="423688F6">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一、协议范围 </w:t>
      </w:r>
    </w:p>
    <w:p w14:paraId="38D917FD">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1.甲方拟将</w:t>
      </w:r>
      <w:r>
        <w:rPr>
          <w:rFonts w:hint="eastAsia" w:ascii="宋体" w:hAnsi="宋体" w:eastAsia="宋体" w:cs="宋体"/>
          <w:color w:val="auto"/>
          <w:sz w:val="24"/>
          <w:szCs w:val="24"/>
          <w:highlight w:val="none"/>
          <w:u w:val="single"/>
        </w:rPr>
        <w:t>常州市住房租赁监管运营支撑服务</w:t>
      </w:r>
      <w:r>
        <w:rPr>
          <w:rFonts w:hint="eastAsia" w:ascii="宋体" w:hAnsi="宋体" w:eastAsia="宋体" w:cs="宋体"/>
          <w:color w:val="auto"/>
          <w:sz w:val="24"/>
          <w:szCs w:val="24"/>
          <w:highlight w:val="none"/>
        </w:rPr>
        <w:t>项目（以下简称“本项目”）委托乙方实施，双方另行签订政府采购服务合同（以下简称“服务合同”）；</w:t>
      </w:r>
    </w:p>
    <w:p w14:paraId="530E743D">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2.乙方在本项目实施及服务过程中，接触、知悉甲方的政务数据、系统运行数据、收集的个人信息等数据资产，以及相关的技术秘密、商业秘密等保密信息。</w:t>
      </w:r>
    </w:p>
    <w:p w14:paraId="4C02439C">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二、数据资产归属与甲方权利</w:t>
      </w:r>
    </w:p>
    <w:p w14:paraId="3BD30261">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1.本项目产生的政务数据、系统运行数据及收集的个人信息等数据资产归甲方所有，甲方可以随时在相关法律法规规定的范围内访问、利用、支配；在服务项目终止时，乙方配合甲方销毁或转移相关数据资产。</w:t>
      </w:r>
    </w:p>
    <w:p w14:paraId="4EE48E05">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2.甲方有权采取随机抽查、派驻人员或委托第三方机构等方式，对本项目的网络安全管理情况开展常态化检查评估，通报问题隐患；乙方配合检查并及时整改。</w:t>
      </w:r>
    </w:p>
    <w:p w14:paraId="253C7D82">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3.在实施服务过程中，乙方如发生以下情形之一，导致合同继续履行将损害国家利益和社会公共利益的，甲方有权单方终止合同，且仅支付乙方相应服务期限内合理费用的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；乙方应及时返还多收取的合同价款：</w:t>
      </w:r>
    </w:p>
    <w:p w14:paraId="1FBAA0E9">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（1）乙方规模能力、经营范围、资本构成、高管背景、技术水平、安全团队以及企业信用等方面发生重大变化，可能造成项目存在重大网络和数据安全风险的；</w:t>
      </w:r>
    </w:p>
    <w:p w14:paraId="70D092A0">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含相关工作人员及委托服务的第三方）因涉嫌违反网络安全、数据安全和个人信息保护相关法律法规，正接受有关主管部门立案调查（乙方应主动告知甲方该情况），甲方经评估后认为，乙方继续本服务项目可能存在重大网络和数据安全风险的；</w:t>
      </w:r>
    </w:p>
    <w:p w14:paraId="5EB124B8">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（3）因乙方对服务合同中约定的网络和数据安全保护措施建设、使用不到位等，导致发生网络和数据安全事件，造成重大影响，或者产生网络和数据安全风险隐患被省级以上有关主管部门通报的；</w:t>
      </w:r>
    </w:p>
    <w:p w14:paraId="00CDD110">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（4）乙方违反本协议的约定或保证，尚未造成严重后果，甲方责令限期整改，乙方拒不整改或者整改不到位的。</w:t>
      </w:r>
    </w:p>
    <w:p w14:paraId="6CF45DEA">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4.在实施服务过程中，乙方如发生以下情形之一，导致合同履行将损害国家利益和社会公共利益的，甲方有权单方终止合同，乙方应及时返还已收取的合同价款，同时承担相应的法律责任：</w:t>
      </w:r>
    </w:p>
    <w:p w14:paraId="353C8332">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服务合同签订前的三年内，乙方因违反网络安全、数据安全和个人信息保护相关法律法规，受到过行政处罚、刑事处罚，或者仍在接受有关主管部门立案调查，但未主动告知甲方该信息的，被甲方通过其他方式获知的；</w:t>
      </w:r>
    </w:p>
    <w:p w14:paraId="184ABF88">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（2）乙方在项目中的相关管理人员、操作运维人员经公安或国安部门背景审查存在问题，甲方要求乙方更换相关人员，乙方拒不更换的；</w:t>
      </w:r>
    </w:p>
    <w:p w14:paraId="502F8F1C">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（3）违反网络安全、数据安全和个人信息保护等相关法律法规，拒不按照甲方要求改正、补救的；</w:t>
      </w:r>
    </w:p>
    <w:p w14:paraId="70E708BA">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（4）违反网络安全、数据安全和个人信息保护相关法律法规的规定，或者违反本协议的约定或保证，导致项目发生重大网络和数据安全事件，或造成其他严重后果的。</w:t>
      </w:r>
    </w:p>
    <w:p w14:paraId="69BF65DF">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5.项目产生的政务数据、系统运行数据、收集的个人信息等数据资产，以及活动（服务）成果、知识产权和收益，均归甲方所有。</w:t>
      </w:r>
    </w:p>
    <w:p w14:paraId="29DCE37F">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三、乙方的保密义务</w:t>
      </w:r>
    </w:p>
    <w:p w14:paraId="2C4A9084">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签订服务合同前，乙方向甲方如实、完整提供自身规模能力、经营范围、资本构成、高管背景、技术水平、安全团队、信用等级等经营管理信息，以及近三年因违反网络安全、数据安全和个人信息保护有关法律法规而受到约谈、行政处罚或刑事处罚等信息。</w:t>
      </w:r>
    </w:p>
    <w:p w14:paraId="5500AF0C">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严格按照网络安全、数据安全和个人信息保护相关法律法规、国家标准及政策文件的规定提供安全可靠的产品、平台或服务，确保网络系统运行安全及相关数据资产的保密性、完整性、可用性；对在服务过程中接触到的甲方工作信息及相关文件，予以严格保护，不得对外提供、公开、泄露或利用。保密内容包括但不限于：</w:t>
      </w:r>
    </w:p>
    <w:p w14:paraId="7C2EF783">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（1）文件资料（文档、流程图）、数据结构、应用程序、政务数据、系统运行数据、业务管理信息、个人信息、系统账号和密码等（已经公开的信息不包含在内）；</w:t>
      </w:r>
    </w:p>
    <w:p w14:paraId="3F88344D">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（2）甲方已有的技术秘密、商业秘密、专利等；</w:t>
      </w:r>
    </w:p>
    <w:p w14:paraId="0C2D999D">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（3）甲方认为并告知需要保护的其他内容。</w:t>
      </w:r>
    </w:p>
    <w:p w14:paraId="46E66F75">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3.除非甲方以书面形式明确说明某些保密信息失去保密性，否则乙方必须按照本协议承担保密责任，保密期限不受合同（服务）期限的限制，保密期限为永久。</w:t>
      </w:r>
    </w:p>
    <w:p w14:paraId="458C8DB1">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4.乙方不依据获知的工作内容向任何第三方作出相关建议。</w:t>
      </w:r>
    </w:p>
    <w:p w14:paraId="05E685F8">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5.数据的使用和处理均在境内完成。</w:t>
      </w:r>
    </w:p>
    <w:p w14:paraId="4915BB32">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6.乙方应重视和加强党组织建设，根据项目需求建立相对独立的管理技术团队，具体提供服务的相关人员应为乙方正式员工，并指定网络安全负责人。</w:t>
      </w:r>
    </w:p>
    <w:p w14:paraId="4230DF5B">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7.乙方不转包合同任务；确需分包的，应报经甲方同意，并在分包合同中明确相应的网络安全义务和责任，但不对合同任务主体和关键部分进行分包。</w:t>
      </w:r>
    </w:p>
    <w:p w14:paraId="0771C79A">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8.乙方严格按照法律法规规定及服务合同约定，收集、使用、存储、处理数据和个人信息。</w:t>
      </w:r>
    </w:p>
    <w:p w14:paraId="4DAD585E">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9.乙方按照最小必要原则向甲方申请服务所需的相应权限，授权期满后及时归还相关权限，不设置后门程序或者恶意程序。</w:t>
      </w:r>
    </w:p>
    <w:p w14:paraId="6F19A31B">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10.乙方采取必要技术措施防范甲方所属数据资产的泄露、流失和违规操作。</w:t>
      </w:r>
    </w:p>
    <w:p w14:paraId="1B0B1E76">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11.乙方将政务数据与其他数据分开存储、处理，未经甲方同意，不变更用途、用法，不访问、修改、公开、披露、利用、转让、销毁、私自留存或向第三方提供。</w:t>
      </w:r>
    </w:p>
    <w:p w14:paraId="1745ACA3">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12.乙方在项目中涉及采购相关产品和服务的，严格遵守如下规定要求：</w:t>
      </w:r>
    </w:p>
    <w:p w14:paraId="67C4CC95">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建设政务信息平台的，系统建设方案充分考虑并全方位实现完善的网络数据安全设计，优先采用安全可信的软硬件产品，并采取必要的物理隔离和逻辑隔离手段确保政务信息平台使用、运行和维护相对独立；确无相关安全可信产品的，研究制定针对性措施防范安全风险；</w:t>
      </w:r>
    </w:p>
    <w:p w14:paraId="5DC45276">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（2）建设云平台的，选择供应链来源可靠的云平台管理软件、业务系统以及服务器CPU、操作系统、数据库等；</w:t>
      </w:r>
    </w:p>
    <w:p w14:paraId="2A3CD901">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（3）使用云计算服务（含PaaS、IaaS、SaaS等）的，按要求采用安全可信的云计算服务，并明确云服务商的网络和数据安全责任；</w:t>
      </w:r>
    </w:p>
    <w:p w14:paraId="179C8E23">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（4）使用商用密码的，符合国家密码管理规定。</w:t>
      </w:r>
    </w:p>
    <w:p w14:paraId="290702CB">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13.乙方发现项目中存在网络安全漏洞、缺陷或其他严重网络安全风险，及时向甲方报告，或者直接向同级网信、公安部门报告；未经网信或公安部门同意，不公开或向第三方提供。</w:t>
      </w:r>
    </w:p>
    <w:p w14:paraId="62DDFBEF">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14.乙方严格落实相关开放性、兼容性标准和规范要求，优先采用通用系统解决方案，避免采用特定的技术架构、应用接口、数据格式等，确保系统的开放性和可移植性。</w:t>
      </w:r>
    </w:p>
    <w:p w14:paraId="16680146">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15.乙方发生业务转型、合并重组、投资并购等重大事项，或者管理技术团队人员发生重大变更，提前向甲方报告。</w:t>
      </w:r>
    </w:p>
    <w:p w14:paraId="105EFDC2">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乙方建设、运维的政务信息平台如果注册用户超过100万人，或者涉及人民群众出行、教育、求职、医疗、缴费等重要业务，每年向甲方提交网络安全报告，报告至少包括网络安全管理、数据安全管理、平台关键软硬件安全、管理技术团队变化等情况。</w:t>
      </w:r>
    </w:p>
    <w:p w14:paraId="3EC8DA9C">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17.乙方建立服务项目安全管理工作规范，明确本单位及相关工作人员的网络安全责任，不断提升网络安全防护能力水平；定期组织本服务项目相关人员开展网络安全培训，规范安全操作规程，增强安全风险意识。</w:t>
      </w:r>
    </w:p>
    <w:p w14:paraId="5B0B695A">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乙方建立健全网络和数据安全保护机制，及时更换存在安全隐患的软硬件，升级加固系统，修复安全漏洞，不断优化网络安全架构设计；建立长期的网络安全监测、分析、防御制度和技术体系，发现网络安全漏洞、缺陷或其他网络安全风险，及时向甲方报告，或者按规定向同级网信、公安部门报告；未经甲方或者网信、公安部门同意，不擅自公开或向第三方透露任何相关信息。</w:t>
      </w:r>
    </w:p>
    <w:p w14:paraId="4D591D34">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19.做好网络安全应急保障，指派专人担任网络安全应急联络员，联络员保持7×24小时通讯畅通，30分钟内响应甲方或网信、公安部门派发的应急事件处置通知，12小时内完成应急事件处置并按规定反馈处置报告。</w:t>
      </w:r>
    </w:p>
    <w:p w14:paraId="30E21020">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项目终止时，乙方配合甲方销毁或转移相关数据，但并不免除保密义务，并向甲方提供《网络安全承诺书》，承诺采取必要措施保证相关数据不可恢复，不私自留存、非法买卖或提供给第三方，不公开、披露、利用服务中知悉的各类信息，否则乙方承担一切法律责任。</w:t>
      </w:r>
    </w:p>
    <w:p w14:paraId="7C585E7F">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21.因乙方提供服务导致甲方产品或服务存在安全隐患，乙方应采取有效措施予以补救，最大限度地降低影响范围，并按照有管辖权的人民法院认定的赔偿金额赔偿甲方遭到的相应损失。</w:t>
      </w:r>
    </w:p>
    <w:p w14:paraId="31C053D4">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22.乙方积极配合网信、公安、审计、保密、密码管理等部门开展网络安全检查、测评、审计等监督管理工作，如实、完整提供相关网络安全管理情况，不拒绝、隐匿、瞒报。</w:t>
      </w:r>
    </w:p>
    <w:p w14:paraId="742A8508">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23.法律、法规和政策明确的其他要求。</w:t>
      </w:r>
    </w:p>
    <w:p w14:paraId="2B7A4234">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四、违约责任</w:t>
      </w:r>
    </w:p>
    <w:p w14:paraId="1745C44C">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乙方如果违反网络安全、数据安全和个人信息保护相关法律法规，或者违反本协议的约定或保证的，甲方有权追究乙方责任，乙方按服务合同总价款的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向甲方支付违约金；如造成甲方损失的，乙方全额赔偿。</w:t>
      </w:r>
    </w:p>
    <w:p w14:paraId="113BB4D5">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五、争议解决</w:t>
      </w:r>
    </w:p>
    <w:p w14:paraId="3109B181">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向甲方提供服务期间存在争议的，双方协商解决；无法协商的，双方均有权向甲方所在地人民法院起诉。守约方为解决争议所产生的各项费用（包括但不限于诉讼费、公证费、律师费、鉴定费、差旅费、保全费、担保费等）均由违约方承担。</w:t>
      </w:r>
    </w:p>
    <w:p w14:paraId="5FC6B290">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六、协议期限</w:t>
      </w:r>
    </w:p>
    <w:p w14:paraId="0640446F">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本协议期限与服务合同起止期限相同，但相关法律法规规定的网络和数据安全责任义务不受该期限的限制，保密期限为永久。</w:t>
      </w:r>
    </w:p>
    <w:p w14:paraId="3B3DF872">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七、其他约定</w:t>
      </w:r>
    </w:p>
    <w:p w14:paraId="0B575026">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1.本协议作为服务合同的组成部分，与服务合同具有同等法律效力；本协议未尽事宜，按照有关法律法规的规定及双方签订的服务合同执行。</w:t>
      </w:r>
    </w:p>
    <w:p w14:paraId="25C3C977">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2.本协议一式贰份，甲乙双方各持壹份，具有同等法律效力。</w:t>
      </w:r>
    </w:p>
    <w:p w14:paraId="76CE062C">
      <w:pPr>
        <w:spacing w:line="560" w:lineRule="exact"/>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3.本协议自甲乙双方签字（盖章）之日起生效。</w:t>
      </w:r>
    </w:p>
    <w:p w14:paraId="59239D02">
      <w:pPr>
        <w:spacing w:line="560" w:lineRule="exact"/>
        <w:rPr>
          <w:rFonts w:hint="eastAsia" w:ascii="宋体" w:hAnsi="宋体" w:eastAsia="宋体" w:cs="宋体"/>
          <w:color w:val="auto"/>
          <w:sz w:val="24"/>
          <w:szCs w:val="24"/>
          <w:highlight w:val="none"/>
        </w:rPr>
      </w:pPr>
    </w:p>
    <w:p w14:paraId="6BC0225E">
      <w:pPr>
        <w:spacing w:line="560" w:lineRule="exact"/>
        <w:rPr>
          <w:rFonts w:hint="eastAsia" w:ascii="宋体" w:hAnsi="宋体" w:eastAsia="宋体" w:cs="宋体"/>
          <w:color w:val="auto"/>
          <w:sz w:val="24"/>
          <w:szCs w:val="24"/>
          <w:highlight w:val="none"/>
        </w:rPr>
      </w:pPr>
    </w:p>
    <w:tbl>
      <w:tblPr>
        <w:tblStyle w:val="37"/>
        <w:tblW w:w="0" w:type="auto"/>
        <w:jc w:val="center"/>
        <w:tblBorders>
          <w:top w:val="none" w:color="CBCDD1" w:sz="6" w:space="0"/>
          <w:left w:val="none" w:color="CBCDD1" w:sz="6" w:space="0"/>
          <w:bottom w:val="none" w:color="CBCDD1" w:sz="6" w:space="0"/>
          <w:right w:val="none" w:color="CBCDD1" w:sz="6" w:space="0"/>
          <w:insideH w:val="none" w:color="CBCDD1" w:sz="6" w:space="0"/>
          <w:insideV w:val="none" w:color="CBCDD1" w:sz="6" w:space="0"/>
        </w:tblBorders>
        <w:tblLayout w:type="autofit"/>
        <w:tblCellMar>
          <w:top w:w="15" w:type="dxa"/>
          <w:left w:w="15" w:type="dxa"/>
          <w:bottom w:w="15" w:type="dxa"/>
          <w:right w:w="15" w:type="dxa"/>
        </w:tblCellMar>
      </w:tblPr>
      <w:tblGrid>
        <w:gridCol w:w="4422"/>
        <w:gridCol w:w="4422"/>
      </w:tblGrid>
      <w:tr w14:paraId="71D537FF">
        <w:tblPrEx>
          <w:tblBorders>
            <w:top w:val="none" w:color="CBCDD1" w:sz="6" w:space="0"/>
            <w:left w:val="none" w:color="CBCDD1" w:sz="6" w:space="0"/>
            <w:bottom w:val="none" w:color="CBCDD1" w:sz="6" w:space="0"/>
            <w:right w:val="none" w:color="CBCDD1" w:sz="6" w:space="0"/>
            <w:insideH w:val="none" w:color="CBCDD1" w:sz="6" w:space="0"/>
            <w:insideV w:val="none" w:color="CBCDD1" w:sz="6" w:space="0"/>
          </w:tblBorders>
          <w:tblCellMar>
            <w:top w:w="15" w:type="dxa"/>
            <w:left w:w="15" w:type="dxa"/>
            <w:bottom w:w="15" w:type="dxa"/>
            <w:right w:w="15" w:type="dxa"/>
          </w:tblCellMar>
        </w:tblPrEx>
        <w:trPr>
          <w:jc w:val="center"/>
        </w:trPr>
        <w:tc>
          <w:tcPr>
            <w:tcW w:w="4422" w:type="dxa"/>
            <w:tcMar>
              <w:top w:w="120" w:type="dxa"/>
              <w:left w:w="160" w:type="dxa"/>
              <w:bottom w:w="120" w:type="dxa"/>
              <w:right w:w="160" w:type="dxa"/>
            </w:tcMar>
          </w:tcPr>
          <w:p w14:paraId="0D4C3DCF">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甲方（盖章）：</w:t>
            </w:r>
          </w:p>
        </w:tc>
        <w:tc>
          <w:tcPr>
            <w:tcW w:w="4422" w:type="dxa"/>
            <w:tcMar>
              <w:top w:w="120" w:type="dxa"/>
              <w:left w:w="160" w:type="dxa"/>
              <w:bottom w:w="120" w:type="dxa"/>
              <w:right w:w="160" w:type="dxa"/>
            </w:tcMar>
          </w:tcPr>
          <w:p w14:paraId="09AB8747">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乙方（盖章）：</w:t>
            </w:r>
          </w:p>
        </w:tc>
      </w:tr>
      <w:tr w14:paraId="318BC67C">
        <w:tblPrEx>
          <w:tblBorders>
            <w:top w:val="none" w:color="CBCDD1" w:sz="6" w:space="0"/>
            <w:left w:val="none" w:color="CBCDD1" w:sz="6" w:space="0"/>
            <w:bottom w:val="none" w:color="CBCDD1" w:sz="6" w:space="0"/>
            <w:right w:val="none" w:color="CBCDD1" w:sz="6" w:space="0"/>
            <w:insideH w:val="none" w:color="CBCDD1" w:sz="6" w:space="0"/>
            <w:insideV w:val="none" w:color="CBCDD1" w:sz="6" w:space="0"/>
          </w:tblBorders>
          <w:tblCellMar>
            <w:top w:w="15" w:type="dxa"/>
            <w:left w:w="15" w:type="dxa"/>
            <w:bottom w:w="15" w:type="dxa"/>
            <w:right w:w="15" w:type="dxa"/>
          </w:tblCellMar>
        </w:tblPrEx>
        <w:trPr>
          <w:jc w:val="center"/>
        </w:trPr>
        <w:tc>
          <w:tcPr>
            <w:tcW w:w="4422" w:type="dxa"/>
            <w:tcMar>
              <w:top w:w="120" w:type="dxa"/>
              <w:left w:w="160" w:type="dxa"/>
              <w:bottom w:w="120" w:type="dxa"/>
              <w:right w:w="160" w:type="dxa"/>
            </w:tcMar>
          </w:tcPr>
          <w:p w14:paraId="3ED29574">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法定代表人/负责人</w:t>
            </w:r>
          </w:p>
        </w:tc>
        <w:tc>
          <w:tcPr>
            <w:tcW w:w="4422" w:type="dxa"/>
            <w:tcMar>
              <w:top w:w="120" w:type="dxa"/>
              <w:left w:w="160" w:type="dxa"/>
              <w:bottom w:w="120" w:type="dxa"/>
              <w:right w:w="160" w:type="dxa"/>
            </w:tcMar>
          </w:tcPr>
          <w:p w14:paraId="388D967B">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法定代表人/负责人</w:t>
            </w:r>
          </w:p>
        </w:tc>
      </w:tr>
      <w:tr w14:paraId="56FFAE7B">
        <w:tblPrEx>
          <w:tblBorders>
            <w:top w:val="none" w:color="CBCDD1" w:sz="6" w:space="0"/>
            <w:left w:val="none" w:color="CBCDD1" w:sz="6" w:space="0"/>
            <w:bottom w:val="none" w:color="CBCDD1" w:sz="6" w:space="0"/>
            <w:right w:val="none" w:color="CBCDD1" w:sz="6" w:space="0"/>
            <w:insideH w:val="none" w:color="CBCDD1" w:sz="6" w:space="0"/>
            <w:insideV w:val="none" w:color="CBCDD1" w:sz="6" w:space="0"/>
          </w:tblBorders>
          <w:tblCellMar>
            <w:top w:w="15" w:type="dxa"/>
            <w:left w:w="15" w:type="dxa"/>
            <w:bottom w:w="15" w:type="dxa"/>
            <w:right w:w="15" w:type="dxa"/>
          </w:tblCellMar>
        </w:tblPrEx>
        <w:trPr>
          <w:jc w:val="center"/>
        </w:trPr>
        <w:tc>
          <w:tcPr>
            <w:tcW w:w="4422" w:type="dxa"/>
            <w:tcMar>
              <w:top w:w="120" w:type="dxa"/>
              <w:left w:w="160" w:type="dxa"/>
              <w:bottom w:w="120" w:type="dxa"/>
              <w:right w:w="160" w:type="dxa"/>
            </w:tcMar>
          </w:tcPr>
          <w:p w14:paraId="05204C3C">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或授权代表（签名）：</w:t>
            </w:r>
          </w:p>
        </w:tc>
        <w:tc>
          <w:tcPr>
            <w:tcW w:w="4422" w:type="dxa"/>
            <w:tcMar>
              <w:top w:w="120" w:type="dxa"/>
              <w:left w:w="160" w:type="dxa"/>
              <w:bottom w:w="120" w:type="dxa"/>
              <w:right w:w="160" w:type="dxa"/>
            </w:tcMar>
          </w:tcPr>
          <w:p w14:paraId="6BFE2A8C">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或授权代表（签名）：</w:t>
            </w:r>
          </w:p>
        </w:tc>
      </w:tr>
      <w:tr w14:paraId="6031E738">
        <w:tblPrEx>
          <w:tblBorders>
            <w:top w:val="none" w:color="CBCDD1" w:sz="6" w:space="0"/>
            <w:left w:val="none" w:color="CBCDD1" w:sz="6" w:space="0"/>
            <w:bottom w:val="none" w:color="CBCDD1" w:sz="6" w:space="0"/>
            <w:right w:val="none" w:color="CBCDD1" w:sz="6" w:space="0"/>
            <w:insideH w:val="none" w:color="CBCDD1" w:sz="6" w:space="0"/>
            <w:insideV w:val="none" w:color="CBCDD1" w:sz="6" w:space="0"/>
          </w:tblBorders>
          <w:tblCellMar>
            <w:top w:w="15" w:type="dxa"/>
            <w:left w:w="15" w:type="dxa"/>
            <w:bottom w:w="15" w:type="dxa"/>
            <w:right w:w="15" w:type="dxa"/>
          </w:tblCellMar>
        </w:tblPrEx>
        <w:trPr>
          <w:jc w:val="center"/>
        </w:trPr>
        <w:tc>
          <w:tcPr>
            <w:tcW w:w="4422" w:type="dxa"/>
            <w:tcMar>
              <w:top w:w="120" w:type="dxa"/>
              <w:left w:w="160" w:type="dxa"/>
              <w:bottom w:w="120" w:type="dxa"/>
              <w:right w:w="160" w:type="dxa"/>
            </w:tcMar>
          </w:tcPr>
          <w:p w14:paraId="1B046D9F">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年　　月　　日</w:t>
            </w:r>
          </w:p>
        </w:tc>
        <w:tc>
          <w:tcPr>
            <w:tcW w:w="4422" w:type="dxa"/>
            <w:tcMar>
              <w:top w:w="120" w:type="dxa"/>
              <w:left w:w="160" w:type="dxa"/>
              <w:bottom w:w="120" w:type="dxa"/>
              <w:right w:w="160" w:type="dxa"/>
            </w:tcMar>
          </w:tcPr>
          <w:p w14:paraId="63CD07D2">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年　　月　　日</w:t>
            </w:r>
          </w:p>
        </w:tc>
      </w:tr>
    </w:tbl>
    <w:p w14:paraId="2A9FE4CC">
      <w:pPr>
        <w:rPr>
          <w:color w:val="auto"/>
          <w:highlight w:val="none"/>
        </w:rPr>
        <w:sectPr>
          <w:footerReference r:id="rId7" w:type="even"/>
          <w:pgSz w:w="11906" w:h="16838"/>
          <w:pgMar w:top="1440" w:right="1416" w:bottom="1440" w:left="1418" w:header="851" w:footer="992" w:gutter="0"/>
          <w:cols w:space="720" w:num="1"/>
          <w:docGrid w:type="lines" w:linePitch="312" w:charSpace="0"/>
        </w:sectPr>
      </w:pPr>
    </w:p>
    <w:p w14:paraId="2E8DE1C6">
      <w:pPr>
        <w:spacing w:line="360" w:lineRule="auto"/>
        <w:jc w:val="center"/>
        <w:outlineLvl w:val="0"/>
        <w:rPr>
          <w:b/>
          <w:color w:val="auto"/>
          <w:sz w:val="36"/>
          <w:szCs w:val="36"/>
          <w:highlight w:val="none"/>
        </w:rPr>
      </w:pPr>
      <w:bookmarkStart w:id="831" w:name="_Toc157413252"/>
      <w:r>
        <w:rPr>
          <w:b/>
          <w:color w:val="auto"/>
          <w:sz w:val="36"/>
          <w:szCs w:val="36"/>
          <w:highlight w:val="none"/>
        </w:rPr>
        <w:t>第七章   投标文件格式</w:t>
      </w:r>
      <w:bookmarkEnd w:id="831"/>
    </w:p>
    <w:p w14:paraId="4F915DCA">
      <w:pPr>
        <w:tabs>
          <w:tab w:val="left" w:pos="900"/>
          <w:tab w:val="left" w:pos="1980"/>
        </w:tabs>
        <w:spacing w:line="360" w:lineRule="auto"/>
        <w:ind w:left="142"/>
        <w:rPr>
          <w:b/>
          <w:color w:val="auto"/>
          <w:sz w:val="24"/>
          <w:highlight w:val="none"/>
        </w:rPr>
      </w:pPr>
    </w:p>
    <w:p w14:paraId="4705F919">
      <w:pPr>
        <w:tabs>
          <w:tab w:val="left" w:pos="900"/>
          <w:tab w:val="left" w:pos="1980"/>
        </w:tabs>
        <w:spacing w:line="360" w:lineRule="auto"/>
        <w:ind w:left="142"/>
        <w:rPr>
          <w:b/>
          <w:color w:val="auto"/>
          <w:sz w:val="24"/>
          <w:highlight w:val="none"/>
        </w:rPr>
      </w:pPr>
    </w:p>
    <w:p w14:paraId="445A18C9">
      <w:pPr>
        <w:tabs>
          <w:tab w:val="left" w:pos="900"/>
          <w:tab w:val="left" w:pos="1980"/>
        </w:tabs>
        <w:spacing w:line="360" w:lineRule="auto"/>
        <w:ind w:left="142"/>
        <w:rPr>
          <w:color w:val="auto"/>
          <w:sz w:val="24"/>
          <w:highlight w:val="none"/>
        </w:rPr>
      </w:pPr>
      <w:r>
        <w:rPr>
          <w:b/>
          <w:color w:val="auto"/>
          <w:sz w:val="24"/>
          <w:highlight w:val="none"/>
        </w:rPr>
        <w:t>投标人编制文件须知</w:t>
      </w:r>
    </w:p>
    <w:p w14:paraId="27F179C0">
      <w:pPr>
        <w:tabs>
          <w:tab w:val="left" w:pos="900"/>
          <w:tab w:val="left" w:pos="1980"/>
        </w:tabs>
        <w:spacing w:line="360" w:lineRule="auto"/>
        <w:ind w:left="142"/>
        <w:rPr>
          <w:color w:val="auto"/>
          <w:sz w:val="24"/>
          <w:highlight w:val="none"/>
        </w:rPr>
      </w:pPr>
      <w:r>
        <w:rPr>
          <w:color w:val="auto"/>
          <w:sz w:val="24"/>
          <w:highlight w:val="none"/>
        </w:rPr>
        <w:t>1、投标人按照本部分的顺序编制投标文件（资格证明文件）、投标文件（商务技术文件），编制中涉及格式资料的，应按照本部分提供的内容和格式（所有表格的格式可扩展）填写提交。</w:t>
      </w:r>
    </w:p>
    <w:p w14:paraId="3EFC4077">
      <w:pPr>
        <w:tabs>
          <w:tab w:val="left" w:pos="900"/>
          <w:tab w:val="left" w:pos="1980"/>
        </w:tabs>
        <w:spacing w:line="360" w:lineRule="auto"/>
        <w:ind w:left="142"/>
        <w:rPr>
          <w:color w:val="auto"/>
          <w:sz w:val="24"/>
          <w:highlight w:val="none"/>
        </w:rPr>
      </w:pPr>
      <w:r>
        <w:rPr>
          <w:color w:val="auto"/>
          <w:sz w:val="24"/>
          <w:highlight w:val="none"/>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auto"/>
          <w:sz w:val="24"/>
          <w:highlight w:val="none"/>
        </w:rPr>
        <w:t>投标无效</w:t>
      </w:r>
      <w:r>
        <w:rPr>
          <w:color w:val="auto"/>
          <w:sz w:val="24"/>
          <w:highlight w:val="none"/>
        </w:rPr>
        <w:t>。未标记“实质性格式”的文件和招标文件未提供格式的内容，可由投标人自行编写。</w:t>
      </w:r>
    </w:p>
    <w:p w14:paraId="310089E6">
      <w:pPr>
        <w:tabs>
          <w:tab w:val="left" w:pos="900"/>
          <w:tab w:val="left" w:pos="1980"/>
        </w:tabs>
        <w:spacing w:line="360" w:lineRule="auto"/>
        <w:ind w:left="142"/>
        <w:rPr>
          <w:color w:val="auto"/>
          <w:sz w:val="24"/>
          <w:highlight w:val="none"/>
        </w:rPr>
      </w:pPr>
      <w:r>
        <w:rPr>
          <w:color w:val="auto"/>
          <w:sz w:val="24"/>
          <w:highlight w:val="none"/>
        </w:rPr>
        <w:t>3、全部声明和问题的回答及所附材料必须是真实的、准确的和完整的。</w:t>
      </w:r>
    </w:p>
    <w:p w14:paraId="04E8842F">
      <w:pPr>
        <w:tabs>
          <w:tab w:val="left" w:pos="900"/>
          <w:tab w:val="left" w:pos="1980"/>
        </w:tabs>
        <w:spacing w:line="360" w:lineRule="auto"/>
        <w:ind w:left="142"/>
        <w:rPr>
          <w:color w:val="auto"/>
          <w:sz w:val="24"/>
          <w:highlight w:val="none"/>
        </w:rPr>
        <w:sectPr>
          <w:footerReference r:id="rId8" w:type="default"/>
          <w:pgSz w:w="11906" w:h="16838"/>
          <w:pgMar w:top="1440" w:right="1800" w:bottom="1440" w:left="1800" w:header="851" w:footer="992" w:gutter="0"/>
          <w:pgNumType w:fmt="decimal"/>
          <w:cols w:space="720" w:num="1"/>
          <w:docGrid w:type="lines" w:linePitch="312" w:charSpace="0"/>
        </w:sectPr>
      </w:pPr>
      <w:r>
        <w:rPr>
          <w:rFonts w:hint="eastAsia"/>
          <w:color w:val="auto"/>
          <w:sz w:val="24"/>
          <w:highlight w:val="none"/>
        </w:rPr>
        <w:t>4、实行电子化不见面交易方式的，加盖公章、签名等均通过投标文件编制工具加盖电子公章、签字、签章或印鉴。</w:t>
      </w:r>
    </w:p>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p w14:paraId="5E032EA1">
      <w:pPr>
        <w:keepNext/>
        <w:keepLines/>
        <w:spacing w:before="120" w:line="300" w:lineRule="auto"/>
        <w:jc w:val="left"/>
        <w:outlineLvl w:val="1"/>
        <w:rPr>
          <w:b/>
          <w:color w:val="auto"/>
          <w:spacing w:val="20"/>
          <w:sz w:val="24"/>
          <w:highlight w:val="none"/>
        </w:rPr>
      </w:pPr>
      <w:r>
        <w:rPr>
          <w:b/>
          <w:color w:val="auto"/>
          <w:spacing w:val="20"/>
          <w:sz w:val="24"/>
          <w:highlight w:val="none"/>
        </w:rPr>
        <w:t>一、资格证明文件格式</w:t>
      </w:r>
    </w:p>
    <w:p w14:paraId="5C96A7CE">
      <w:pPr>
        <w:rPr>
          <w:b/>
          <w:color w:val="auto"/>
          <w:spacing w:val="20"/>
          <w:szCs w:val="21"/>
          <w:highlight w:val="none"/>
        </w:rPr>
      </w:pPr>
    </w:p>
    <w:p w14:paraId="0D55AB50">
      <w:pPr>
        <w:rPr>
          <w:b/>
          <w:color w:val="auto"/>
          <w:sz w:val="24"/>
          <w:highlight w:val="none"/>
        </w:rPr>
      </w:pPr>
      <w:r>
        <w:rPr>
          <w:b/>
          <w:color w:val="auto"/>
          <w:spacing w:val="20"/>
          <w:sz w:val="24"/>
          <w:highlight w:val="none"/>
        </w:rPr>
        <w:t>投标文件</w:t>
      </w:r>
      <w:r>
        <w:rPr>
          <w:b/>
          <w:color w:val="auto"/>
          <w:sz w:val="24"/>
          <w:highlight w:val="none"/>
        </w:rPr>
        <w:t>封面（非实质性格式）</w:t>
      </w:r>
    </w:p>
    <w:p w14:paraId="1184F891">
      <w:pPr>
        <w:pStyle w:val="205"/>
        <w:rPr>
          <w:color w:val="auto"/>
          <w:highlight w:val="none"/>
        </w:rPr>
      </w:pPr>
    </w:p>
    <w:p w14:paraId="3D2DDED7">
      <w:pPr>
        <w:rPr>
          <w:color w:val="auto"/>
          <w:highlight w:val="none"/>
        </w:rPr>
      </w:pPr>
    </w:p>
    <w:p w14:paraId="684971EF">
      <w:pPr>
        <w:pStyle w:val="205"/>
        <w:rPr>
          <w:color w:val="auto"/>
          <w:highlight w:val="none"/>
        </w:rPr>
      </w:pPr>
    </w:p>
    <w:p w14:paraId="51A912EA">
      <w:pPr>
        <w:jc w:val="center"/>
        <w:rPr>
          <w:color w:val="auto"/>
          <w:szCs w:val="21"/>
          <w:highlight w:val="none"/>
        </w:rPr>
      </w:pPr>
    </w:p>
    <w:p w14:paraId="139F99F8">
      <w:pPr>
        <w:jc w:val="center"/>
        <w:rPr>
          <w:b/>
          <w:color w:val="auto"/>
          <w:spacing w:val="60"/>
          <w:sz w:val="84"/>
          <w:szCs w:val="84"/>
          <w:highlight w:val="none"/>
        </w:rPr>
      </w:pPr>
      <w:r>
        <w:rPr>
          <w:b/>
          <w:color w:val="auto"/>
          <w:spacing w:val="60"/>
          <w:sz w:val="84"/>
          <w:szCs w:val="84"/>
          <w:highlight w:val="none"/>
        </w:rPr>
        <w:t>投 标 文 件</w:t>
      </w:r>
    </w:p>
    <w:p w14:paraId="4C3ED221">
      <w:pPr>
        <w:ind w:firstLine="963"/>
        <w:rPr>
          <w:b/>
          <w:color w:val="auto"/>
          <w:spacing w:val="60"/>
          <w:sz w:val="52"/>
          <w:szCs w:val="52"/>
          <w:highlight w:val="none"/>
        </w:rPr>
      </w:pPr>
    </w:p>
    <w:p w14:paraId="1F1B34B5">
      <w:pPr>
        <w:ind w:firstLine="963"/>
        <w:rPr>
          <w:b/>
          <w:color w:val="auto"/>
          <w:spacing w:val="60"/>
          <w:sz w:val="52"/>
          <w:szCs w:val="52"/>
          <w:highlight w:val="none"/>
        </w:rPr>
      </w:pPr>
    </w:p>
    <w:p w14:paraId="22BAA183">
      <w:pPr>
        <w:ind w:firstLine="542"/>
        <w:rPr>
          <w:b/>
          <w:color w:val="auto"/>
          <w:spacing w:val="20"/>
          <w:sz w:val="32"/>
          <w:szCs w:val="32"/>
          <w:highlight w:val="none"/>
        </w:rPr>
      </w:pPr>
    </w:p>
    <w:p w14:paraId="0D334E1F">
      <w:pPr>
        <w:ind w:firstLine="542"/>
        <w:rPr>
          <w:b/>
          <w:color w:val="auto"/>
          <w:spacing w:val="20"/>
          <w:sz w:val="32"/>
          <w:szCs w:val="32"/>
          <w:highlight w:val="none"/>
        </w:rPr>
      </w:pPr>
    </w:p>
    <w:p w14:paraId="0035C62B">
      <w:pPr>
        <w:ind w:firstLine="1084"/>
        <w:rPr>
          <w:rFonts w:ascii="宋体" w:hAnsi="宋体"/>
          <w:b/>
          <w:color w:val="auto"/>
          <w:sz w:val="36"/>
          <w:highlight w:val="none"/>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w:t>
      </w:r>
    </w:p>
    <w:p w14:paraId="49855012">
      <w:pPr>
        <w:ind w:firstLine="1084"/>
        <w:rPr>
          <w:rFonts w:ascii="宋体" w:hAnsi="宋体"/>
          <w:b/>
          <w:color w:val="auto"/>
          <w:sz w:val="36"/>
          <w:highlight w:val="none"/>
          <w:u w:val="single"/>
        </w:rPr>
      </w:pPr>
      <w:r>
        <w:rPr>
          <w:rFonts w:hint="eastAsia" w:ascii="宋体" w:hAnsi="宋体"/>
          <w:b/>
          <w:color w:val="auto"/>
          <w:sz w:val="36"/>
          <w:highlight w:val="none"/>
        </w:rPr>
        <w:t>项 目 编 号：</w:t>
      </w:r>
      <w:r>
        <w:rPr>
          <w:rFonts w:hint="eastAsia" w:ascii="宋体" w:hAnsi="宋体"/>
          <w:b/>
          <w:color w:val="auto"/>
          <w:sz w:val="36"/>
          <w:highlight w:val="none"/>
          <w:u w:val="single"/>
        </w:rPr>
        <w:t xml:space="preserve">               </w:t>
      </w:r>
    </w:p>
    <w:p w14:paraId="1D1C18A6">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p>
    <w:p w14:paraId="49FF50D8">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p>
    <w:p w14:paraId="6B30C662">
      <w:pPr>
        <w:jc w:val="center"/>
        <w:rPr>
          <w:b/>
          <w:color w:val="auto"/>
          <w:sz w:val="32"/>
          <w:szCs w:val="32"/>
          <w:highlight w:val="none"/>
        </w:rPr>
      </w:pPr>
    </w:p>
    <w:p w14:paraId="62AC3136">
      <w:pPr>
        <w:jc w:val="center"/>
        <w:rPr>
          <w:rFonts w:ascii="宋体" w:hAnsi="宋体"/>
          <w:b/>
          <w:color w:val="auto"/>
          <w:sz w:val="32"/>
          <w:szCs w:val="32"/>
          <w:highlight w:val="none"/>
        </w:rPr>
      </w:pPr>
      <w:r>
        <w:rPr>
          <w:b/>
          <w:color w:val="auto"/>
          <w:spacing w:val="20"/>
          <w:sz w:val="32"/>
          <w:szCs w:val="32"/>
          <w:highlight w:val="none"/>
        </w:rPr>
        <w:br w:type="page" w:clear="all"/>
      </w:r>
      <w:r>
        <w:rPr>
          <w:rFonts w:hint="eastAsia" w:ascii="宋体" w:hAnsi="宋体"/>
          <w:b/>
          <w:color w:val="auto"/>
          <w:sz w:val="32"/>
          <w:szCs w:val="32"/>
          <w:highlight w:val="none"/>
        </w:rPr>
        <w:t>一、资格证明文件</w:t>
      </w:r>
    </w:p>
    <w:p w14:paraId="32EA684D">
      <w:pPr>
        <w:rPr>
          <w:b/>
          <w:color w:val="auto"/>
          <w:highlight w:val="none"/>
        </w:rPr>
      </w:pPr>
    </w:p>
    <w:p w14:paraId="087AEA83">
      <w:pPr>
        <w:spacing w:line="360" w:lineRule="auto"/>
        <w:outlineLvl w:val="2"/>
        <w:rPr>
          <w:color w:val="auto"/>
          <w:sz w:val="24"/>
          <w:szCs w:val="20"/>
          <w:highlight w:val="none"/>
        </w:rPr>
      </w:pPr>
      <w:r>
        <w:rPr>
          <w:color w:val="auto"/>
          <w:sz w:val="24"/>
          <w:szCs w:val="20"/>
          <w:highlight w:val="none"/>
        </w:rPr>
        <w:t xml:space="preserve">1 </w:t>
      </w:r>
      <w:r>
        <w:rPr>
          <w:color w:val="auto"/>
          <w:sz w:val="24"/>
          <w:highlight w:val="none"/>
        </w:rPr>
        <w:t>满足《中华人民共和国政府采购法》第二十二条规定及法律法规的其他规定</w:t>
      </w:r>
    </w:p>
    <w:p w14:paraId="10B04B6C">
      <w:pPr>
        <w:pStyle w:val="196"/>
        <w:rPr>
          <w:rFonts w:ascii="Times New Roman"/>
          <w:b w:val="0"/>
          <w:bCs/>
          <w:color w:val="auto"/>
          <w:highlight w:val="none"/>
          <w:u w:val="none"/>
        </w:rPr>
      </w:pPr>
      <w:r>
        <w:rPr>
          <w:rFonts w:ascii="Times New Roman"/>
          <w:b w:val="0"/>
          <w:color w:val="auto"/>
          <w:highlight w:val="none"/>
          <w:u w:val="none"/>
        </w:rPr>
        <w:t>1-</w:t>
      </w:r>
      <w:r>
        <w:rPr>
          <w:rFonts w:hint="eastAsia" w:ascii="Times New Roman"/>
          <w:b w:val="0"/>
          <w:color w:val="auto"/>
          <w:highlight w:val="none"/>
          <w:u w:val="none"/>
        </w:rPr>
        <w:t>1</w:t>
      </w:r>
      <w:r>
        <w:rPr>
          <w:rFonts w:ascii="Times New Roman"/>
          <w:b w:val="0"/>
          <w:color w:val="auto"/>
          <w:highlight w:val="none"/>
          <w:u w:val="none"/>
        </w:rPr>
        <w:t xml:space="preserve"> 投标人资格声明</w:t>
      </w:r>
      <w:r>
        <w:rPr>
          <w:rFonts w:hint="eastAsia" w:ascii="Times New Roman"/>
          <w:b w:val="0"/>
          <w:color w:val="auto"/>
          <w:highlight w:val="none"/>
          <w:u w:val="none"/>
        </w:rPr>
        <w:t>函</w:t>
      </w:r>
      <w:r>
        <w:rPr>
          <w:rFonts w:ascii="Times New Roman"/>
          <w:b w:val="0"/>
          <w:color w:val="auto"/>
          <w:highlight w:val="none"/>
          <w:u w:val="none"/>
        </w:rPr>
        <w:t>（实质性格式）</w:t>
      </w:r>
    </w:p>
    <w:p w14:paraId="01F9BBBC">
      <w:pPr>
        <w:widowControl/>
        <w:spacing w:before="120" w:line="360" w:lineRule="auto"/>
        <w:jc w:val="center"/>
        <w:rPr>
          <w:rFonts w:ascii="宋体" w:hAnsi="宋体" w:cs="宋体"/>
          <w:b/>
          <w:color w:val="auto"/>
          <w:sz w:val="28"/>
          <w:szCs w:val="28"/>
          <w:highlight w:val="none"/>
        </w:rPr>
      </w:pPr>
    </w:p>
    <w:p w14:paraId="6C9A11B0">
      <w:pPr>
        <w:widowControl/>
        <w:spacing w:before="120" w:line="360" w:lineRule="auto"/>
        <w:jc w:val="center"/>
        <w:rPr>
          <w:rFonts w:ascii="宋体" w:hAnsi="宋体" w:cs="宋体"/>
          <w:color w:val="auto"/>
          <w:szCs w:val="21"/>
          <w:highlight w:val="none"/>
        </w:rPr>
      </w:pPr>
      <w:r>
        <w:rPr>
          <w:rFonts w:hint="eastAsia" w:ascii="宋体" w:hAnsi="宋体" w:cs="宋体"/>
          <w:b/>
          <w:color w:val="auto"/>
          <w:sz w:val="28"/>
          <w:szCs w:val="28"/>
          <w:highlight w:val="none"/>
        </w:rPr>
        <w:t>投标人资格声明函</w:t>
      </w:r>
    </w:p>
    <w:p w14:paraId="0A95A2EF">
      <w:pPr>
        <w:pStyle w:val="195"/>
        <w:spacing w:line="460" w:lineRule="exact"/>
        <w:ind w:firstLine="480"/>
        <w:rPr>
          <w:color w:val="auto"/>
          <w:highlight w:val="none"/>
        </w:rPr>
      </w:pPr>
    </w:p>
    <w:p w14:paraId="421DB328">
      <w:pPr>
        <w:pStyle w:val="195"/>
        <w:spacing w:line="460" w:lineRule="exact"/>
        <w:ind w:firstLine="480"/>
        <w:rPr>
          <w:color w:val="auto"/>
          <w:highlight w:val="none"/>
        </w:rPr>
      </w:pPr>
      <w:r>
        <w:rPr>
          <w:rFonts w:hint="eastAsia"/>
          <w:color w:val="auto"/>
          <w:highlight w:val="none"/>
        </w:rPr>
        <w:t>致：常州中采招投标有限公司</w:t>
      </w:r>
    </w:p>
    <w:p w14:paraId="6B37B602">
      <w:pPr>
        <w:pStyle w:val="195"/>
        <w:spacing w:line="460" w:lineRule="exact"/>
        <w:ind w:firstLine="960"/>
        <w:rPr>
          <w:color w:val="auto"/>
          <w:highlight w:val="none"/>
          <w:u w:val="single"/>
        </w:rPr>
      </w:pPr>
      <w:r>
        <w:rPr>
          <w:rFonts w:hint="eastAsia"/>
          <w:color w:val="auto"/>
          <w:highlight w:val="none"/>
          <w:u w:val="single"/>
        </w:rPr>
        <w:t>（招标人名称）</w:t>
      </w:r>
    </w:p>
    <w:p w14:paraId="1B961083">
      <w:pPr>
        <w:pStyle w:val="195"/>
        <w:spacing w:line="460" w:lineRule="exact"/>
        <w:ind w:firstLine="480"/>
        <w:rPr>
          <w:color w:val="auto"/>
          <w:highlight w:val="none"/>
        </w:rPr>
      </w:pPr>
    </w:p>
    <w:p w14:paraId="29273751">
      <w:pPr>
        <w:pStyle w:val="195"/>
        <w:spacing w:line="460" w:lineRule="exact"/>
        <w:ind w:firstLine="480"/>
        <w:rPr>
          <w:color w:val="auto"/>
          <w:highlight w:val="none"/>
        </w:rPr>
      </w:pPr>
      <w:r>
        <w:rPr>
          <w:rFonts w:hint="eastAsia"/>
          <w:color w:val="auto"/>
          <w:highlight w:val="none"/>
        </w:rPr>
        <w:t>按照《中华人民共和国政府采购法》第二十二条和招标文件的规定，我单位郑重声明如下：</w:t>
      </w:r>
    </w:p>
    <w:p w14:paraId="39D4BC51">
      <w:pPr>
        <w:pStyle w:val="195"/>
        <w:spacing w:line="460" w:lineRule="exact"/>
        <w:ind w:firstLine="480"/>
        <w:rPr>
          <w:color w:val="auto"/>
          <w:highlight w:val="none"/>
        </w:rPr>
      </w:pPr>
      <w:r>
        <w:rPr>
          <w:rFonts w:hint="eastAsia"/>
          <w:color w:val="auto"/>
          <w:highlight w:val="none"/>
        </w:rPr>
        <w:t>一、我单位是按照中华人民共和国法律规定登记注册的，注册地点为</w:t>
      </w:r>
      <w:r>
        <w:rPr>
          <w:rFonts w:hint="eastAsia"/>
          <w:color w:val="auto"/>
          <w:highlight w:val="none"/>
          <w:u w:val="single"/>
        </w:rPr>
        <w:t xml:space="preserve">         </w:t>
      </w:r>
      <w:r>
        <w:rPr>
          <w:rFonts w:hint="eastAsia"/>
          <w:color w:val="auto"/>
          <w:highlight w:val="none"/>
        </w:rPr>
        <w:t>，全称为</w:t>
      </w:r>
      <w:r>
        <w:rPr>
          <w:rFonts w:hint="eastAsia"/>
          <w:color w:val="auto"/>
          <w:highlight w:val="none"/>
          <w:u w:val="single"/>
        </w:rPr>
        <w:t xml:space="preserve">        </w:t>
      </w:r>
      <w:r>
        <w:rPr>
          <w:rFonts w:hint="eastAsia"/>
          <w:color w:val="auto"/>
          <w:highlight w:val="none"/>
        </w:rPr>
        <w:t>，统一社会信用代码为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，具有独立承担民事责任的能力</w:t>
      </w:r>
      <w:r>
        <w:rPr>
          <w:rFonts w:hint="eastAsia"/>
          <w:b/>
          <w:color w:val="auto"/>
          <w:highlight w:val="none"/>
        </w:rPr>
        <w:t>（如属于分公司经总公司授权参与项目，由总公司承担民事责任的，需提供总公司项目授权书）</w:t>
      </w:r>
      <w:r>
        <w:rPr>
          <w:rFonts w:hint="eastAsia"/>
          <w:color w:val="auto"/>
          <w:highlight w:val="none"/>
        </w:rPr>
        <w:t>。</w:t>
      </w:r>
    </w:p>
    <w:p w14:paraId="233D1B58">
      <w:pPr>
        <w:pStyle w:val="195"/>
        <w:spacing w:line="460" w:lineRule="exact"/>
        <w:ind w:firstLine="480"/>
        <w:rPr>
          <w:color w:val="auto"/>
          <w:highlight w:val="none"/>
        </w:rPr>
      </w:pPr>
      <w:r>
        <w:rPr>
          <w:rFonts w:hint="eastAsia"/>
          <w:color w:val="auto"/>
          <w:highlight w:val="none"/>
        </w:rPr>
        <w:t>二、我单位具有良好的商业信誉（指投标人经营状况良好，无本资格声明第十条情形）和健全的财务会计制度。</w:t>
      </w:r>
    </w:p>
    <w:p w14:paraId="72DE836A">
      <w:pPr>
        <w:pStyle w:val="195"/>
        <w:spacing w:line="460" w:lineRule="exact"/>
        <w:ind w:firstLine="480"/>
        <w:rPr>
          <w:color w:val="auto"/>
          <w:highlight w:val="none"/>
        </w:rPr>
      </w:pPr>
      <w:r>
        <w:rPr>
          <w:rFonts w:hint="eastAsia"/>
          <w:color w:val="auto"/>
          <w:highlight w:val="none"/>
        </w:rPr>
        <w:t>三、我单位依法进行纳税和社会保险申报并实际履行了义务。</w:t>
      </w:r>
    </w:p>
    <w:p w14:paraId="618B1E51">
      <w:pPr>
        <w:pStyle w:val="195"/>
        <w:spacing w:line="460" w:lineRule="exact"/>
        <w:ind w:firstLine="480"/>
        <w:rPr>
          <w:color w:val="auto"/>
          <w:highlight w:val="none"/>
        </w:rPr>
      </w:pPr>
      <w:r>
        <w:rPr>
          <w:rFonts w:hint="eastAsia"/>
          <w:color w:val="auto"/>
          <w:highlight w:val="none"/>
        </w:rPr>
        <w:t>四、我单位具有履行本项目采购合同所必需的设备和专业技术能力，并具有履行合同的良好</w:t>
      </w:r>
      <w:r>
        <w:rPr>
          <w:color w:val="auto"/>
          <w:highlight w:val="none"/>
        </w:rPr>
        <w:t>记录</w:t>
      </w:r>
      <w:r>
        <w:rPr>
          <w:rFonts w:hint="eastAsia"/>
          <w:color w:val="auto"/>
          <w:highlight w:val="none"/>
        </w:rPr>
        <w:t>。为履行本项采购合同我单位具备如下主要设备和主要专业技术能力:</w:t>
      </w:r>
    </w:p>
    <w:p w14:paraId="487CEC53">
      <w:pPr>
        <w:pStyle w:val="195"/>
        <w:spacing w:line="460" w:lineRule="exact"/>
        <w:ind w:firstLine="480"/>
        <w:rPr>
          <w:color w:val="auto"/>
          <w:highlight w:val="none"/>
        </w:rPr>
      </w:pPr>
      <w:r>
        <w:rPr>
          <w:rFonts w:hint="eastAsia"/>
          <w:color w:val="auto"/>
          <w:highlight w:val="none"/>
        </w:rPr>
        <w:t>主要设备有：</w:t>
      </w:r>
      <w:r>
        <w:rPr>
          <w:color w:val="auto"/>
          <w:highlight w:val="none"/>
          <w:u w:val="single"/>
        </w:rPr>
        <w:t xml:space="preserve">            </w:t>
      </w:r>
    </w:p>
    <w:p w14:paraId="15E8C91B">
      <w:pPr>
        <w:pStyle w:val="195"/>
        <w:spacing w:line="460" w:lineRule="exact"/>
        <w:ind w:firstLine="480"/>
        <w:rPr>
          <w:color w:val="auto"/>
          <w:highlight w:val="none"/>
        </w:rPr>
      </w:pPr>
      <w:r>
        <w:rPr>
          <w:rFonts w:hint="eastAsia"/>
          <w:color w:val="auto"/>
          <w:highlight w:val="none"/>
        </w:rPr>
        <w:t>主要专业技术能力有</w:t>
      </w:r>
      <w:r>
        <w:rPr>
          <w:rFonts w:hint="eastAsia"/>
          <w:color w:val="auto"/>
          <w:highlight w:val="none"/>
          <w:u w:val="single"/>
        </w:rPr>
        <w:t xml:space="preserve">                 </w:t>
      </w:r>
    </w:p>
    <w:p w14:paraId="251446F2">
      <w:pPr>
        <w:pStyle w:val="195"/>
        <w:spacing w:line="460" w:lineRule="exact"/>
        <w:ind w:firstLine="480"/>
        <w:rPr>
          <w:color w:val="auto"/>
          <w:highlight w:val="none"/>
        </w:rPr>
      </w:pPr>
      <w:r>
        <w:rPr>
          <w:rFonts w:hint="eastAsia"/>
          <w:color w:val="auto"/>
          <w:highlight w:val="none"/>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3F68BB95">
      <w:pPr>
        <w:pStyle w:val="195"/>
        <w:spacing w:line="460" w:lineRule="exact"/>
        <w:ind w:firstLine="480"/>
        <w:rPr>
          <w:color w:val="auto"/>
          <w:highlight w:val="none"/>
        </w:rPr>
      </w:pPr>
      <w:r>
        <w:rPr>
          <w:rFonts w:hint="eastAsia"/>
          <w:color w:val="auto"/>
          <w:highlight w:val="none"/>
        </w:rPr>
        <w:t>六、我单位具备法律、行政法规规定的其他条件。</w:t>
      </w:r>
    </w:p>
    <w:p w14:paraId="5447132B">
      <w:pPr>
        <w:pStyle w:val="195"/>
        <w:spacing w:line="460" w:lineRule="exact"/>
        <w:ind w:firstLine="480"/>
        <w:rPr>
          <w:color w:val="auto"/>
          <w:highlight w:val="none"/>
        </w:rPr>
      </w:pPr>
      <w:r>
        <w:rPr>
          <w:rFonts w:hint="eastAsia"/>
          <w:color w:val="auto"/>
          <w:highlight w:val="none"/>
        </w:rPr>
        <w:t>七、与我单位存在“单位负责人为同一人或者存在直接控股、管理关系”的其他单位信息如下（如无此情形的，填写“无”）：</w:t>
      </w:r>
    </w:p>
    <w:p w14:paraId="1FA8FA5B">
      <w:pPr>
        <w:pStyle w:val="195"/>
        <w:spacing w:line="460" w:lineRule="exact"/>
        <w:ind w:firstLine="480"/>
        <w:rPr>
          <w:color w:val="auto"/>
          <w:highlight w:val="none"/>
        </w:rPr>
      </w:pPr>
      <w:r>
        <w:rPr>
          <w:rFonts w:hint="eastAsia"/>
          <w:color w:val="auto"/>
          <w:highlight w:val="none"/>
        </w:rPr>
        <w:t>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p>
    <w:p w14:paraId="4F1DB040">
      <w:pPr>
        <w:pStyle w:val="195"/>
        <w:spacing w:line="460" w:lineRule="exact"/>
        <w:ind w:firstLine="480"/>
        <w:rPr>
          <w:color w:val="auto"/>
          <w:highlight w:val="none"/>
        </w:rPr>
      </w:pPr>
      <w:r>
        <w:rPr>
          <w:rFonts w:hint="eastAsia"/>
          <w:color w:val="auto"/>
          <w:highlight w:val="none"/>
        </w:rPr>
        <w:t>2、我单位直接控股的其他单位如下：</w:t>
      </w:r>
      <w:r>
        <w:rPr>
          <w:rFonts w:hint="eastAsia"/>
          <w:color w:val="auto"/>
          <w:highlight w:val="none"/>
          <w:u w:val="single"/>
        </w:rPr>
        <w:t xml:space="preserve">                    </w:t>
      </w:r>
      <w:r>
        <w:rPr>
          <w:rFonts w:hint="eastAsia"/>
          <w:color w:val="auto"/>
          <w:highlight w:val="none"/>
        </w:rPr>
        <w:t xml:space="preserve"> </w:t>
      </w:r>
    </w:p>
    <w:p w14:paraId="40332742">
      <w:pPr>
        <w:pStyle w:val="195"/>
        <w:spacing w:line="460" w:lineRule="exact"/>
        <w:ind w:firstLine="480"/>
        <w:rPr>
          <w:color w:val="auto"/>
          <w:highlight w:val="none"/>
        </w:rPr>
      </w:pPr>
      <w:r>
        <w:rPr>
          <w:rFonts w:hint="eastAsia"/>
          <w:color w:val="auto"/>
          <w:highlight w:val="none"/>
        </w:rPr>
        <w:t>3、与我单位存在管理关系的其他单位如下：</w:t>
      </w:r>
      <w:r>
        <w:rPr>
          <w:rFonts w:hint="eastAsia"/>
          <w:color w:val="auto"/>
          <w:highlight w:val="none"/>
          <w:u w:val="single"/>
        </w:rPr>
        <w:t xml:space="preserve">              </w:t>
      </w:r>
      <w:r>
        <w:rPr>
          <w:rFonts w:hint="eastAsia"/>
          <w:color w:val="auto"/>
          <w:highlight w:val="none"/>
        </w:rPr>
        <w:t xml:space="preserve"> </w:t>
      </w:r>
    </w:p>
    <w:p w14:paraId="126B68C4">
      <w:pPr>
        <w:pStyle w:val="195"/>
        <w:spacing w:line="460" w:lineRule="exact"/>
        <w:ind w:firstLine="480"/>
        <w:rPr>
          <w:color w:val="auto"/>
          <w:highlight w:val="none"/>
        </w:rPr>
      </w:pPr>
      <w:r>
        <w:rPr>
          <w:rFonts w:hint="eastAsia"/>
          <w:color w:val="auto"/>
          <w:highlight w:val="none"/>
        </w:rPr>
        <w:t>八、</w:t>
      </w:r>
      <w:r>
        <w:rPr>
          <w:color w:val="auto"/>
          <w:highlight w:val="none"/>
        </w:rPr>
        <w:t>我</w:t>
      </w:r>
      <w:r>
        <w:rPr>
          <w:rFonts w:hint="eastAsia"/>
          <w:color w:val="auto"/>
          <w:highlight w:val="none"/>
        </w:rPr>
        <w:t>单位</w:t>
      </w:r>
      <w:r>
        <w:rPr>
          <w:color w:val="auto"/>
          <w:highlight w:val="none"/>
        </w:rPr>
        <w:t>不属于为本项目提供整体设计、规范编制或者项目管理、监理、检测等服务的投标人。</w:t>
      </w:r>
    </w:p>
    <w:p w14:paraId="5C31B551">
      <w:pPr>
        <w:pStyle w:val="195"/>
        <w:spacing w:line="460" w:lineRule="exact"/>
        <w:ind w:firstLine="480"/>
        <w:rPr>
          <w:color w:val="auto"/>
          <w:highlight w:val="none"/>
        </w:rPr>
      </w:pPr>
      <w:r>
        <w:rPr>
          <w:rFonts w:hint="eastAsia"/>
          <w:color w:val="auto"/>
          <w:highlight w:val="none"/>
        </w:rPr>
        <w:t>九、</w:t>
      </w:r>
      <w:r>
        <w:rPr>
          <w:color w:val="auto"/>
          <w:highlight w:val="none"/>
        </w:rPr>
        <w:t>我单位无以下不良信用记录情形：</w:t>
      </w:r>
    </w:p>
    <w:p w14:paraId="111E192F">
      <w:pPr>
        <w:pStyle w:val="195"/>
        <w:spacing w:line="460" w:lineRule="exact"/>
        <w:ind w:firstLine="480"/>
        <w:rPr>
          <w:color w:val="auto"/>
          <w:highlight w:val="none"/>
        </w:rPr>
      </w:pPr>
      <w:r>
        <w:rPr>
          <w:color w:val="auto"/>
          <w:highlight w:val="none"/>
        </w:rPr>
        <w:t>1</w:t>
      </w:r>
      <w:r>
        <w:rPr>
          <w:rFonts w:hint="eastAsia"/>
          <w:color w:val="auto"/>
          <w:highlight w:val="none"/>
        </w:rPr>
        <w:t>、在“信用中国”网站被列入失信被执行人和重大税收违法案件当事人名单；</w:t>
      </w:r>
    </w:p>
    <w:p w14:paraId="03AE1049">
      <w:pPr>
        <w:pStyle w:val="195"/>
        <w:spacing w:line="460" w:lineRule="exact"/>
        <w:ind w:firstLine="480"/>
        <w:rPr>
          <w:color w:val="auto"/>
          <w:highlight w:val="none"/>
        </w:rPr>
      </w:pPr>
      <w:r>
        <w:rPr>
          <w:color w:val="auto"/>
          <w:highlight w:val="none"/>
        </w:rPr>
        <w:t>2</w:t>
      </w:r>
      <w:r>
        <w:rPr>
          <w:rFonts w:hint="eastAsia"/>
          <w:color w:val="auto"/>
          <w:highlight w:val="none"/>
        </w:rPr>
        <w:t>、在“中国政府采购网”网站被列入政府采购严重违法失信行为记录名单；</w:t>
      </w:r>
    </w:p>
    <w:p w14:paraId="1D9DA1AE">
      <w:pPr>
        <w:pStyle w:val="195"/>
        <w:spacing w:line="460" w:lineRule="exact"/>
        <w:ind w:firstLine="480"/>
        <w:rPr>
          <w:color w:val="auto"/>
          <w:highlight w:val="none"/>
        </w:rPr>
      </w:pPr>
      <w:r>
        <w:rPr>
          <w:color w:val="auto"/>
          <w:highlight w:val="none"/>
        </w:rPr>
        <w:t>3</w:t>
      </w:r>
      <w:r>
        <w:rPr>
          <w:rFonts w:hint="eastAsia"/>
          <w:color w:val="auto"/>
          <w:highlight w:val="none"/>
        </w:rPr>
        <w:t>、</w:t>
      </w:r>
      <w:r>
        <w:rPr>
          <w:color w:val="auto"/>
          <w:highlight w:val="none"/>
        </w:rPr>
        <w:t>不符合《政府采购法》第二十二条规定的条件。</w:t>
      </w:r>
    </w:p>
    <w:p w14:paraId="76351981">
      <w:pPr>
        <w:pStyle w:val="195"/>
        <w:spacing w:line="460" w:lineRule="exact"/>
        <w:ind w:firstLine="480"/>
        <w:rPr>
          <w:color w:val="auto"/>
          <w:highlight w:val="none"/>
        </w:rPr>
      </w:pPr>
    </w:p>
    <w:p w14:paraId="70DFDCDD">
      <w:pPr>
        <w:pStyle w:val="195"/>
        <w:spacing w:line="460" w:lineRule="exact"/>
        <w:ind w:firstLine="480"/>
        <w:rPr>
          <w:color w:val="auto"/>
          <w:highlight w:val="none"/>
        </w:rPr>
      </w:pPr>
      <w:r>
        <w:rPr>
          <w:rFonts w:hint="eastAsia"/>
          <w:color w:val="auto"/>
          <w:highlight w:val="none"/>
        </w:rPr>
        <w:t>我单位保证上述声明的事项都是真实的，如有虚假，我单位愿意承担相应的法律责任，并承担因此所造成的一切损失。</w:t>
      </w:r>
    </w:p>
    <w:p w14:paraId="0663CC5F">
      <w:pPr>
        <w:pStyle w:val="195"/>
        <w:spacing w:line="460" w:lineRule="exact"/>
        <w:ind w:firstLine="480"/>
        <w:rPr>
          <w:color w:val="auto"/>
          <w:highlight w:val="none"/>
        </w:rPr>
      </w:pPr>
    </w:p>
    <w:p w14:paraId="3447DB4F">
      <w:pPr>
        <w:pStyle w:val="195"/>
        <w:spacing w:line="460" w:lineRule="exact"/>
        <w:ind w:firstLine="480"/>
        <w:rPr>
          <w:color w:val="auto"/>
          <w:highlight w:val="none"/>
        </w:rPr>
      </w:pPr>
    </w:p>
    <w:p w14:paraId="2D79FF68">
      <w:pPr>
        <w:pStyle w:val="195"/>
        <w:spacing w:line="460" w:lineRule="exact"/>
        <w:ind w:firstLine="480"/>
        <w:rPr>
          <w:color w:val="auto"/>
          <w:highlight w:val="none"/>
        </w:rPr>
      </w:pPr>
      <w:r>
        <w:rPr>
          <w:rFonts w:hint="eastAsia"/>
          <w:color w:val="auto"/>
          <w:highlight w:val="none"/>
        </w:rPr>
        <w:t>                                         投标人：（加盖公章）</w:t>
      </w:r>
    </w:p>
    <w:p w14:paraId="79BBFE82">
      <w:pPr>
        <w:pStyle w:val="195"/>
        <w:spacing w:line="460" w:lineRule="exact"/>
        <w:ind w:firstLine="480"/>
        <w:rPr>
          <w:color w:val="auto"/>
          <w:highlight w:val="none"/>
        </w:rPr>
      </w:pPr>
      <w:r>
        <w:rPr>
          <w:rFonts w:hint="eastAsia"/>
          <w:color w:val="auto"/>
          <w:highlight w:val="none"/>
        </w:rPr>
        <w:t>                                        法定代表人（或单位负责人）签字或盖章：</w:t>
      </w:r>
    </w:p>
    <w:p w14:paraId="32526D6F">
      <w:pPr>
        <w:pStyle w:val="195"/>
        <w:spacing w:line="460" w:lineRule="exact"/>
        <w:ind w:firstLine="4560" w:firstLineChars="1900"/>
        <w:rPr>
          <w:color w:val="auto"/>
          <w:highlight w:val="none"/>
        </w:rPr>
      </w:pPr>
      <w:r>
        <w:rPr>
          <w:rFonts w:hint="eastAsia"/>
          <w:color w:val="auto"/>
          <w:highlight w:val="none"/>
        </w:rPr>
        <w:t>日期：    年    月    日</w:t>
      </w:r>
    </w:p>
    <w:p w14:paraId="3883E968">
      <w:pPr>
        <w:spacing w:line="360" w:lineRule="auto"/>
        <w:rPr>
          <w:color w:val="auto"/>
          <w:sz w:val="24"/>
          <w:highlight w:val="none"/>
        </w:rPr>
      </w:pPr>
    </w:p>
    <w:p w14:paraId="1E92ED29">
      <w:pPr>
        <w:spacing w:line="360" w:lineRule="auto"/>
        <w:rPr>
          <w:color w:val="auto"/>
          <w:sz w:val="24"/>
          <w:highlight w:val="none"/>
        </w:rPr>
      </w:pPr>
    </w:p>
    <w:p w14:paraId="6D058183">
      <w:pPr>
        <w:spacing w:line="360" w:lineRule="auto"/>
        <w:rPr>
          <w:color w:val="auto"/>
          <w:sz w:val="24"/>
          <w:highlight w:val="none"/>
        </w:rPr>
      </w:pPr>
    </w:p>
    <w:p w14:paraId="3283093F">
      <w:pPr>
        <w:spacing w:line="360" w:lineRule="auto"/>
        <w:rPr>
          <w:color w:val="auto"/>
          <w:sz w:val="24"/>
          <w:highlight w:val="none"/>
        </w:rPr>
      </w:pPr>
      <w:r>
        <w:rPr>
          <w:color w:val="auto"/>
          <w:sz w:val="24"/>
          <w:highlight w:val="none"/>
        </w:rPr>
        <w:t>说明：</w:t>
      </w:r>
      <w:r>
        <w:rPr>
          <w:rFonts w:hint="eastAsia"/>
          <w:color w:val="auto"/>
          <w:sz w:val="24"/>
          <w:highlight w:val="none"/>
        </w:rPr>
        <w:t>供应商承诺不实的，依据《政府采购法》第七十七条“提供虚假材料谋取中标、成交的”有关规定予以处理</w:t>
      </w:r>
      <w:r>
        <w:rPr>
          <w:color w:val="auto"/>
          <w:sz w:val="24"/>
          <w:highlight w:val="none"/>
        </w:rPr>
        <w:t>。</w:t>
      </w:r>
    </w:p>
    <w:p w14:paraId="7DAA6EEC">
      <w:pPr>
        <w:tabs>
          <w:tab w:val="left" w:pos="5580"/>
        </w:tabs>
        <w:spacing w:line="360" w:lineRule="auto"/>
        <w:rPr>
          <w:color w:val="auto"/>
          <w:sz w:val="24"/>
          <w:highlight w:val="none"/>
        </w:rPr>
      </w:pPr>
    </w:p>
    <w:p w14:paraId="620301B7">
      <w:pPr>
        <w:tabs>
          <w:tab w:val="left" w:pos="5580"/>
        </w:tabs>
        <w:spacing w:line="360" w:lineRule="auto"/>
        <w:rPr>
          <w:color w:val="auto"/>
          <w:sz w:val="24"/>
          <w:highlight w:val="none"/>
        </w:rPr>
      </w:pPr>
    </w:p>
    <w:p w14:paraId="7CCC5DD2">
      <w:pPr>
        <w:tabs>
          <w:tab w:val="left" w:pos="5580"/>
        </w:tabs>
        <w:spacing w:line="360" w:lineRule="auto"/>
        <w:rPr>
          <w:color w:val="auto"/>
          <w:sz w:val="24"/>
          <w:highlight w:val="none"/>
        </w:rPr>
      </w:pPr>
    </w:p>
    <w:p w14:paraId="63728C66">
      <w:pPr>
        <w:tabs>
          <w:tab w:val="left" w:pos="5580"/>
        </w:tabs>
        <w:spacing w:line="360" w:lineRule="auto"/>
        <w:rPr>
          <w:color w:val="auto"/>
          <w:sz w:val="24"/>
          <w:highlight w:val="none"/>
        </w:rPr>
      </w:pPr>
    </w:p>
    <w:p w14:paraId="7B85714C">
      <w:pPr>
        <w:tabs>
          <w:tab w:val="left" w:pos="5580"/>
        </w:tabs>
        <w:spacing w:line="360" w:lineRule="auto"/>
        <w:rPr>
          <w:color w:val="auto"/>
          <w:sz w:val="24"/>
          <w:highlight w:val="none"/>
        </w:rPr>
      </w:pPr>
    </w:p>
    <w:p w14:paraId="3CBF6B54">
      <w:pPr>
        <w:tabs>
          <w:tab w:val="left" w:pos="5580"/>
        </w:tabs>
        <w:spacing w:line="360" w:lineRule="auto"/>
        <w:rPr>
          <w:color w:val="auto"/>
          <w:sz w:val="24"/>
          <w:highlight w:val="none"/>
        </w:rPr>
      </w:pPr>
    </w:p>
    <w:p w14:paraId="75A03150">
      <w:pPr>
        <w:pStyle w:val="196"/>
        <w:pageBreakBefore/>
        <w:rPr>
          <w:rFonts w:hAnsi="宋体"/>
          <w:color w:val="auto"/>
          <w:szCs w:val="24"/>
          <w:highlight w:val="none"/>
          <w:u w:val="none"/>
        </w:rPr>
      </w:pPr>
      <w:r>
        <w:rPr>
          <w:rFonts w:hint="eastAsia" w:hAnsi="宋体"/>
          <w:color w:val="auto"/>
          <w:szCs w:val="24"/>
          <w:highlight w:val="none"/>
          <w:u w:val="none"/>
        </w:rPr>
        <w:t>1-2  企业营业执照或事业单位法人证书或自然人身份证明文件（实质性格式）</w:t>
      </w:r>
    </w:p>
    <w:p w14:paraId="1E0EBBE4">
      <w:pPr>
        <w:pStyle w:val="196"/>
        <w:rPr>
          <w:color w:val="auto"/>
          <w:highlight w:val="none"/>
        </w:rPr>
        <w:sectPr>
          <w:headerReference r:id="rId10" w:type="first"/>
          <w:footerReference r:id="rId13" w:type="first"/>
          <w:footerReference r:id="rId11" w:type="default"/>
          <w:headerReference r:id="rId9" w:type="even"/>
          <w:footerReference r:id="rId12" w:type="even"/>
          <w:pgSz w:w="11906" w:h="16838"/>
          <w:pgMar w:top="1276" w:right="1474" w:bottom="1276" w:left="1276" w:header="851" w:footer="463" w:gutter="0"/>
          <w:pgNumType w:fmt="decimal"/>
          <w:cols w:space="720" w:num="1"/>
          <w:docGrid w:linePitch="360" w:charSpace="0"/>
        </w:sectPr>
      </w:pPr>
    </w:p>
    <w:p w14:paraId="38DFA3D7">
      <w:pPr>
        <w:spacing w:line="360" w:lineRule="auto"/>
        <w:outlineLvl w:val="2"/>
        <w:rPr>
          <w:color w:val="auto"/>
          <w:sz w:val="24"/>
          <w:szCs w:val="20"/>
          <w:highlight w:val="none"/>
        </w:rPr>
      </w:pPr>
      <w:r>
        <w:rPr>
          <w:color w:val="auto"/>
          <w:sz w:val="24"/>
          <w:szCs w:val="20"/>
          <w:highlight w:val="none"/>
        </w:rPr>
        <w:t>2 落实政府采购政策需满足的资格要求：</w:t>
      </w:r>
    </w:p>
    <w:p w14:paraId="1BD83E6C">
      <w:pPr>
        <w:spacing w:line="360" w:lineRule="auto"/>
        <w:outlineLvl w:val="2"/>
        <w:rPr>
          <w:rFonts w:hint="eastAsia"/>
          <w:color w:val="auto"/>
          <w:sz w:val="24"/>
          <w:szCs w:val="20"/>
          <w:highlight w:val="none"/>
        </w:rPr>
      </w:pPr>
      <w:r>
        <w:rPr>
          <w:rFonts w:hint="eastAsia"/>
          <w:color w:val="auto"/>
          <w:sz w:val="24"/>
          <w:szCs w:val="20"/>
          <w:highlight w:val="none"/>
        </w:rPr>
        <w:t>2-1</w:t>
      </w:r>
      <w:r>
        <w:rPr>
          <w:color w:val="auto"/>
          <w:sz w:val="24"/>
          <w:szCs w:val="20"/>
          <w:highlight w:val="none"/>
        </w:rPr>
        <w:t>本项目专门面向中小企业。</w:t>
      </w:r>
      <w:r>
        <w:rPr>
          <w:rFonts w:hint="eastAsia"/>
          <w:color w:val="auto"/>
          <w:sz w:val="24"/>
          <w:szCs w:val="20"/>
          <w:highlight w:val="none"/>
        </w:rPr>
        <w:t xml:space="preserve"> </w:t>
      </w:r>
    </w:p>
    <w:p w14:paraId="38B9AE61">
      <w:pPr>
        <w:tabs>
          <w:tab w:val="left" w:pos="5580"/>
        </w:tabs>
        <w:spacing w:line="360" w:lineRule="auto"/>
        <w:rPr>
          <w:color w:val="auto"/>
          <w:sz w:val="24"/>
          <w:highlight w:val="none"/>
        </w:rPr>
      </w:pPr>
      <w:r>
        <w:rPr>
          <w:rFonts w:hint="eastAsia"/>
          <w:color w:val="auto"/>
          <w:sz w:val="24"/>
          <w:highlight w:val="none"/>
        </w:rPr>
        <w:t>说明：</w:t>
      </w:r>
    </w:p>
    <w:p w14:paraId="56687968">
      <w:pPr>
        <w:tabs>
          <w:tab w:val="left" w:pos="5580"/>
        </w:tabs>
        <w:spacing w:line="360" w:lineRule="auto"/>
        <w:rPr>
          <w:color w:val="auto"/>
          <w:sz w:val="24"/>
          <w:highlight w:val="none"/>
        </w:rPr>
      </w:pPr>
      <w:r>
        <w:rPr>
          <w:rFonts w:hint="eastAsia"/>
          <w:color w:val="auto"/>
          <w:sz w:val="24"/>
          <w:highlight w:val="none"/>
        </w:rPr>
        <w:t>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p>
    <w:p w14:paraId="29F364DA">
      <w:pPr>
        <w:tabs>
          <w:tab w:val="left" w:pos="5580"/>
        </w:tabs>
        <w:spacing w:line="360" w:lineRule="auto"/>
        <w:rPr>
          <w:color w:val="auto"/>
          <w:sz w:val="24"/>
          <w:highlight w:val="none"/>
        </w:rPr>
      </w:pPr>
      <w:r>
        <w:rPr>
          <w:rFonts w:hint="eastAsia"/>
          <w:color w:val="auto"/>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6724DDDF">
      <w:pPr>
        <w:tabs>
          <w:tab w:val="left" w:pos="5580"/>
        </w:tabs>
        <w:spacing w:line="360" w:lineRule="auto"/>
        <w:rPr>
          <w:color w:val="auto"/>
          <w:sz w:val="24"/>
          <w:highlight w:val="none"/>
        </w:rPr>
      </w:pPr>
      <w:r>
        <w:rPr>
          <w:rFonts w:hint="eastAsia"/>
          <w:color w:val="auto"/>
          <w:sz w:val="24"/>
          <w:highlight w:val="none"/>
        </w:rPr>
        <w:t>3）对于多标的的采购项目，投标人应充分、准确地了解所投产品制造企业信息。对相关情况了解不清楚的，不建议填报本声明函。</w:t>
      </w:r>
    </w:p>
    <w:p w14:paraId="6855961C">
      <w:pPr>
        <w:tabs>
          <w:tab w:val="left" w:pos="5580"/>
        </w:tabs>
        <w:spacing w:line="360" w:lineRule="auto"/>
        <w:rPr>
          <w:color w:val="auto"/>
          <w:sz w:val="24"/>
          <w:highlight w:val="none"/>
        </w:rPr>
      </w:pPr>
      <w:r>
        <w:rPr>
          <w:rFonts w:hint="eastAsia"/>
          <w:color w:val="auto"/>
          <w:sz w:val="24"/>
          <w:highlight w:val="none"/>
        </w:rPr>
        <w:t>4）中小企业认定标准以《关于印发中小企业划型标准规定的通知》（工信部联企业〔2011〕300号）文件规定为准。</w:t>
      </w:r>
    </w:p>
    <w:p w14:paraId="6A5E93F0">
      <w:pPr>
        <w:tabs>
          <w:tab w:val="left" w:pos="5580"/>
        </w:tabs>
        <w:spacing w:line="360" w:lineRule="auto"/>
        <w:rPr>
          <w:color w:val="auto"/>
          <w:sz w:val="24"/>
          <w:highlight w:val="none"/>
        </w:rPr>
      </w:pPr>
      <w:r>
        <w:rPr>
          <w:rFonts w:hint="eastAsia"/>
          <w:color w:val="auto"/>
          <w:sz w:val="24"/>
          <w:highlight w:val="none"/>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auto"/>
          <w:highlight w:val="none"/>
        </w:rPr>
        <w:fldChar w:fldCharType="begin"/>
      </w:r>
      <w:r>
        <w:rPr>
          <w:color w:val="auto"/>
          <w:highlight w:val="none"/>
        </w:rPr>
        <w:instrText xml:space="preserve"> HYPERLINK "http://202.106.120.146/baosong/appweb/orgScale.html" </w:instrText>
      </w:r>
      <w:r>
        <w:rPr>
          <w:color w:val="auto"/>
          <w:highlight w:val="none"/>
        </w:rPr>
        <w:fldChar w:fldCharType="separate"/>
      </w:r>
      <w:r>
        <w:rPr>
          <w:rStyle w:val="42"/>
          <w:color w:val="auto"/>
          <w:sz w:val="24"/>
          <w:highlight w:val="none"/>
        </w:rPr>
        <w:t>http://202.106.120.146/baosong/appweb/orgScale.html</w:t>
      </w:r>
      <w:r>
        <w:rPr>
          <w:rStyle w:val="42"/>
          <w:color w:val="auto"/>
          <w:sz w:val="24"/>
          <w:highlight w:val="none"/>
        </w:rPr>
        <w:fldChar w:fldCharType="end"/>
      </w:r>
      <w:r>
        <w:rPr>
          <w:rFonts w:hint="eastAsia"/>
          <w:color w:val="auto"/>
          <w:sz w:val="24"/>
          <w:highlight w:val="none"/>
        </w:rPr>
        <w:t>）</w:t>
      </w:r>
    </w:p>
    <w:p w14:paraId="5CB02E51">
      <w:pPr>
        <w:tabs>
          <w:tab w:val="left" w:pos="5580"/>
        </w:tabs>
        <w:spacing w:line="360" w:lineRule="auto"/>
        <w:rPr>
          <w:rFonts w:ascii="宋体" w:hAnsi="宋体"/>
          <w:b/>
          <w:color w:val="auto"/>
          <w:sz w:val="24"/>
          <w:highlight w:val="none"/>
        </w:rPr>
      </w:pPr>
      <w:r>
        <w:rPr>
          <w:rFonts w:hint="eastAsia"/>
          <w:color w:val="auto"/>
          <w:sz w:val="24"/>
          <w:highlight w:val="none"/>
        </w:rPr>
        <w:t>6）</w:t>
      </w:r>
      <w:r>
        <w:rPr>
          <w:rFonts w:ascii="宋体" w:hAnsi="宋体"/>
          <w:b/>
          <w:color w:val="auto"/>
          <w:sz w:val="24"/>
          <w:highlight w:val="none"/>
        </w:rPr>
        <w:t>在货物采购项目中，供应商提供的货物既有中</w:t>
      </w:r>
      <w:r>
        <w:rPr>
          <w:rFonts w:hint="eastAsia" w:ascii="宋体" w:hAnsi="宋体"/>
          <w:b/>
          <w:color w:val="auto"/>
          <w:sz w:val="24"/>
          <w:highlight w:val="none"/>
        </w:rPr>
        <w:t>型</w:t>
      </w:r>
      <w:r>
        <w:rPr>
          <w:rFonts w:ascii="宋体" w:hAnsi="宋体"/>
          <w:b/>
          <w:color w:val="auto"/>
          <w:sz w:val="24"/>
          <w:highlight w:val="none"/>
        </w:rPr>
        <w:t>企业制造货物，也有</w:t>
      </w:r>
      <w:r>
        <w:rPr>
          <w:rFonts w:hint="eastAsia" w:ascii="宋体" w:hAnsi="宋体"/>
          <w:b/>
          <w:color w:val="auto"/>
          <w:sz w:val="24"/>
          <w:highlight w:val="none"/>
        </w:rPr>
        <w:t>小微</w:t>
      </w:r>
      <w:r>
        <w:rPr>
          <w:rFonts w:ascii="宋体" w:hAnsi="宋体"/>
          <w:b/>
          <w:color w:val="auto"/>
          <w:sz w:val="24"/>
          <w:highlight w:val="none"/>
        </w:rPr>
        <w:t>企业制造货物的，不享受</w:t>
      </w:r>
      <w:r>
        <w:rPr>
          <w:rFonts w:hint="eastAsia" w:ascii="宋体" w:hAnsi="宋体"/>
          <w:b/>
          <w:color w:val="auto"/>
          <w:sz w:val="24"/>
          <w:highlight w:val="none"/>
        </w:rPr>
        <w:t>小微</w:t>
      </w:r>
      <w:r>
        <w:rPr>
          <w:rFonts w:ascii="宋体" w:hAnsi="宋体"/>
          <w:b/>
          <w:color w:val="auto"/>
          <w:sz w:val="24"/>
          <w:highlight w:val="none"/>
        </w:rPr>
        <w:t>企业扶持政策</w:t>
      </w:r>
      <w:r>
        <w:rPr>
          <w:rFonts w:hint="eastAsia" w:ascii="宋体" w:hAnsi="宋体"/>
          <w:b/>
          <w:color w:val="auto"/>
          <w:sz w:val="24"/>
          <w:highlight w:val="none"/>
        </w:rPr>
        <w:t>，不予价格扣除</w:t>
      </w:r>
      <w:r>
        <w:rPr>
          <w:rFonts w:ascii="宋体" w:hAnsi="宋体"/>
          <w:b/>
          <w:color w:val="auto"/>
          <w:sz w:val="24"/>
          <w:highlight w:val="none"/>
        </w:rPr>
        <w:t>。</w:t>
      </w:r>
    </w:p>
    <w:p w14:paraId="0B3594FD">
      <w:pPr>
        <w:tabs>
          <w:tab w:val="left" w:pos="5580"/>
        </w:tabs>
        <w:spacing w:line="360" w:lineRule="auto"/>
        <w:rPr>
          <w:rFonts w:ascii="宋体" w:hAnsi="宋体"/>
          <w:b/>
          <w:color w:val="auto"/>
          <w:sz w:val="24"/>
          <w:highlight w:val="none"/>
        </w:rPr>
      </w:pPr>
      <w:r>
        <w:rPr>
          <w:rFonts w:hint="eastAsia" w:ascii="宋体" w:hAnsi="宋体"/>
          <w:b/>
          <w:color w:val="auto"/>
          <w:sz w:val="24"/>
          <w:highlight w:val="none"/>
        </w:rPr>
        <w:t>7）小微企业未提供声明函的，价格分评审将不予价格扣除。</w:t>
      </w:r>
    </w:p>
    <w:p w14:paraId="311A3D6A">
      <w:pPr>
        <w:widowControl/>
        <w:jc w:val="left"/>
        <w:rPr>
          <w:color w:val="auto"/>
          <w:sz w:val="24"/>
          <w:highlight w:val="none"/>
        </w:rPr>
      </w:pPr>
      <w:r>
        <w:rPr>
          <w:b/>
          <w:bCs/>
          <w:color w:val="auto"/>
          <w:sz w:val="24"/>
          <w:highlight w:val="none"/>
        </w:rPr>
        <w:br w:type="page"/>
      </w:r>
    </w:p>
    <w:p w14:paraId="0099C1A8">
      <w:pPr>
        <w:spacing w:line="360" w:lineRule="auto"/>
        <w:jc w:val="center"/>
        <w:rPr>
          <w:b/>
          <w:bCs/>
          <w:color w:val="auto"/>
          <w:sz w:val="24"/>
          <w:highlight w:val="none"/>
        </w:rPr>
      </w:pPr>
      <w:r>
        <w:rPr>
          <w:rFonts w:hint="eastAsia"/>
          <w:b/>
          <w:color w:val="auto"/>
          <w:sz w:val="36"/>
          <w:szCs w:val="36"/>
          <w:highlight w:val="none"/>
        </w:rPr>
        <w:t>中小企业声明函（服务）格式</w:t>
      </w:r>
    </w:p>
    <w:p w14:paraId="231DD382">
      <w:pPr>
        <w:spacing w:line="360" w:lineRule="auto"/>
        <w:ind w:firstLine="504"/>
        <w:rPr>
          <w:color w:val="auto"/>
          <w:spacing w:val="6"/>
          <w:sz w:val="24"/>
          <w:highlight w:val="none"/>
        </w:rPr>
      </w:pPr>
      <w:r>
        <w:rPr>
          <w:rFonts w:hint="eastAsia"/>
          <w:color w:val="auto"/>
          <w:spacing w:val="6"/>
          <w:sz w:val="24"/>
          <w:highlight w:val="none"/>
        </w:rPr>
        <w:t>本公司（联合体）郑重声明，根据《政府采购促进中小企业发展管理办法》（财库﹝</w:t>
      </w:r>
      <w:r>
        <w:rPr>
          <w:color w:val="auto"/>
          <w:spacing w:val="6"/>
          <w:sz w:val="24"/>
          <w:highlight w:val="none"/>
        </w:rPr>
        <w:t>2020</w:t>
      </w:r>
      <w:r>
        <w:rPr>
          <w:rFonts w:hint="eastAsia"/>
          <w:color w:val="auto"/>
          <w:spacing w:val="6"/>
          <w:sz w:val="24"/>
          <w:highlight w:val="none"/>
        </w:rPr>
        <w:t>﹞</w:t>
      </w:r>
      <w:r>
        <w:rPr>
          <w:color w:val="auto"/>
          <w:spacing w:val="6"/>
          <w:sz w:val="24"/>
          <w:highlight w:val="none"/>
        </w:rPr>
        <w:t xml:space="preserve">46 </w:t>
      </w:r>
      <w:r>
        <w:rPr>
          <w:rFonts w:hint="eastAsia"/>
          <w:color w:val="auto"/>
          <w:spacing w:val="6"/>
          <w:sz w:val="24"/>
          <w:highlight w:val="none"/>
        </w:rPr>
        <w:t>号）的规定，本公司（联合体）参加常州中采招投标有限公司组织的（采购单位名称</w:t>
      </w:r>
      <w:r>
        <w:rPr>
          <w:rFonts w:hint="eastAsia"/>
          <w:color w:val="auto"/>
          <w:spacing w:val="6"/>
          <w:sz w:val="24"/>
          <w:highlight w:val="none"/>
          <w:u w:val="single"/>
        </w:rPr>
        <w:t>①</w:t>
      </w:r>
      <w:r>
        <w:rPr>
          <w:rFonts w:hint="eastAsia"/>
          <w:color w:val="auto"/>
          <w:spacing w:val="6"/>
          <w:sz w:val="24"/>
          <w:highlight w:val="none"/>
        </w:rPr>
        <w:t>）采购编号为</w:t>
      </w:r>
      <w:r>
        <w:rPr>
          <w:rFonts w:hint="eastAsia"/>
          <w:color w:val="auto"/>
          <w:spacing w:val="6"/>
          <w:sz w:val="24"/>
          <w:highlight w:val="none"/>
          <w:u w:val="single"/>
        </w:rPr>
        <w:t xml:space="preserve">②  </w:t>
      </w:r>
      <w:r>
        <w:rPr>
          <w:rFonts w:hint="eastAsia"/>
          <w:color w:val="auto"/>
          <w:spacing w:val="6"/>
          <w:sz w:val="24"/>
          <w:highlight w:val="none"/>
        </w:rPr>
        <w:t>（项目名称</w:t>
      </w:r>
      <w:r>
        <w:rPr>
          <w:rFonts w:hint="eastAsia"/>
          <w:color w:val="auto"/>
          <w:spacing w:val="6"/>
          <w:sz w:val="24"/>
          <w:highlight w:val="none"/>
          <w:u w:val="single"/>
        </w:rPr>
        <w:t>③</w:t>
      </w:r>
      <w:r>
        <w:rPr>
          <w:rFonts w:hint="eastAsia"/>
          <w:color w:val="auto"/>
          <w:spacing w:val="6"/>
          <w:sz w:val="24"/>
          <w:highlight w:val="none"/>
        </w:rPr>
        <w:t>）（分包号</w:t>
      </w:r>
      <w:r>
        <w:rPr>
          <w:rFonts w:hint="eastAsia"/>
          <w:color w:val="auto"/>
          <w:spacing w:val="6"/>
          <w:sz w:val="24"/>
          <w:highlight w:val="none"/>
          <w:u w:val="single"/>
        </w:rPr>
        <w:t>④</w:t>
      </w:r>
      <w:r>
        <w:rPr>
          <w:rFonts w:hint="eastAsia"/>
          <w:color w:val="auto"/>
          <w:spacing w:val="6"/>
          <w:sz w:val="24"/>
          <w:highlight w:val="none"/>
        </w:rPr>
        <w:t>）的采购活动，服务全部由符合政策要求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14:paraId="08127E91">
      <w:pPr>
        <w:spacing w:line="360" w:lineRule="auto"/>
        <w:ind w:firstLine="504"/>
        <w:rPr>
          <w:color w:val="auto"/>
          <w:spacing w:val="6"/>
          <w:sz w:val="24"/>
          <w:highlight w:val="none"/>
        </w:rPr>
      </w:pPr>
      <w:r>
        <w:rPr>
          <w:color w:val="auto"/>
          <w:spacing w:val="6"/>
          <w:sz w:val="24"/>
          <w:highlight w:val="none"/>
        </w:rPr>
        <w:t>1.</w:t>
      </w:r>
      <w:r>
        <w:rPr>
          <w:rFonts w:hint="eastAsia"/>
          <w:color w:val="auto"/>
          <w:spacing w:val="6"/>
          <w:sz w:val="24"/>
          <w:highlight w:val="none"/>
          <w:u w:val="single"/>
        </w:rPr>
        <w:t>（标的名称⑤）</w:t>
      </w:r>
      <w:r>
        <w:rPr>
          <w:rFonts w:hint="eastAsia"/>
          <w:color w:val="auto"/>
          <w:spacing w:val="6"/>
          <w:sz w:val="24"/>
          <w:highlight w:val="none"/>
        </w:rPr>
        <w:t>，属于</w:t>
      </w:r>
      <w:r>
        <w:rPr>
          <w:rFonts w:hint="eastAsia"/>
          <w:color w:val="auto"/>
          <w:spacing w:val="6"/>
          <w:sz w:val="24"/>
          <w:highlight w:val="none"/>
          <w:u w:val="single"/>
        </w:rPr>
        <w:t>（采购文件中明确的所属行业⑥）</w:t>
      </w:r>
      <w:r>
        <w:rPr>
          <w:rFonts w:hint="eastAsia"/>
          <w:color w:val="auto"/>
          <w:spacing w:val="6"/>
          <w:sz w:val="24"/>
          <w:highlight w:val="none"/>
        </w:rPr>
        <w:t>行业；承接企业为</w:t>
      </w:r>
      <w:r>
        <w:rPr>
          <w:rFonts w:hint="eastAsia"/>
          <w:color w:val="auto"/>
          <w:spacing w:val="6"/>
          <w:sz w:val="24"/>
          <w:highlight w:val="none"/>
          <w:u w:val="single"/>
        </w:rPr>
        <w:t>（企业名称⑦）</w:t>
      </w:r>
      <w:r>
        <w:rPr>
          <w:rFonts w:hint="eastAsia"/>
          <w:color w:val="auto"/>
          <w:spacing w:val="6"/>
          <w:sz w:val="24"/>
          <w:highlight w:val="none"/>
        </w:rPr>
        <w:t>，从业人员</w:t>
      </w:r>
      <w:r>
        <w:rPr>
          <w:color w:val="auto"/>
          <w:spacing w:val="6"/>
          <w:sz w:val="24"/>
          <w:highlight w:val="none"/>
        </w:rPr>
        <w:t>__</w:t>
      </w:r>
      <w:r>
        <w:rPr>
          <w:rFonts w:hint="eastAsia"/>
          <w:color w:val="auto"/>
          <w:spacing w:val="6"/>
          <w:sz w:val="24"/>
          <w:highlight w:val="none"/>
          <w:u w:val="single"/>
        </w:rPr>
        <w:t>⑧</w:t>
      </w:r>
      <w:r>
        <w:rPr>
          <w:color w:val="auto"/>
          <w:spacing w:val="6"/>
          <w:sz w:val="24"/>
          <w:highlight w:val="none"/>
        </w:rPr>
        <w:t>__</w:t>
      </w:r>
      <w:r>
        <w:rPr>
          <w:rFonts w:hint="eastAsia"/>
          <w:color w:val="auto"/>
          <w:spacing w:val="6"/>
          <w:sz w:val="24"/>
          <w:highlight w:val="none"/>
        </w:rPr>
        <w:t>人，营业收入为</w:t>
      </w:r>
      <w:r>
        <w:rPr>
          <w:color w:val="auto"/>
          <w:spacing w:val="6"/>
          <w:sz w:val="24"/>
          <w:highlight w:val="none"/>
        </w:rPr>
        <w:t>_</w:t>
      </w:r>
      <w:r>
        <w:rPr>
          <w:rFonts w:hint="eastAsia"/>
          <w:color w:val="auto"/>
          <w:spacing w:val="6"/>
          <w:sz w:val="24"/>
          <w:highlight w:val="none"/>
          <w:u w:val="single"/>
        </w:rPr>
        <w:t>⑨</w:t>
      </w:r>
      <w:r>
        <w:rPr>
          <w:color w:val="auto"/>
          <w:spacing w:val="6"/>
          <w:sz w:val="24"/>
          <w:highlight w:val="none"/>
        </w:rPr>
        <w:t>_</w:t>
      </w:r>
      <w:r>
        <w:rPr>
          <w:rFonts w:hint="eastAsia"/>
          <w:color w:val="auto"/>
          <w:spacing w:val="6"/>
          <w:sz w:val="24"/>
          <w:highlight w:val="none"/>
        </w:rPr>
        <w:t>万元，资产总额为</w:t>
      </w:r>
      <w:r>
        <w:rPr>
          <w:color w:val="auto"/>
          <w:spacing w:val="6"/>
          <w:sz w:val="24"/>
          <w:highlight w:val="none"/>
        </w:rPr>
        <w:t>_</w:t>
      </w:r>
      <w:r>
        <w:rPr>
          <w:rFonts w:hint="eastAsia"/>
          <w:color w:val="auto"/>
          <w:spacing w:val="6"/>
          <w:sz w:val="24"/>
          <w:highlight w:val="none"/>
          <w:u w:val="single"/>
        </w:rPr>
        <w:t>⑩</w:t>
      </w:r>
      <w:r>
        <w:rPr>
          <w:color w:val="auto"/>
          <w:spacing w:val="6"/>
          <w:sz w:val="24"/>
          <w:highlight w:val="none"/>
        </w:rPr>
        <w:t>__</w:t>
      </w:r>
      <w:r>
        <w:rPr>
          <w:rFonts w:hint="eastAsia"/>
          <w:color w:val="auto"/>
          <w:spacing w:val="6"/>
          <w:sz w:val="24"/>
          <w:highlight w:val="none"/>
        </w:rPr>
        <w:t>万元</w:t>
      </w:r>
      <w:r>
        <w:rPr>
          <w:color w:val="auto"/>
          <w:spacing w:val="6"/>
          <w:sz w:val="24"/>
          <w:highlight w:val="none"/>
          <w:vertAlign w:val="superscript"/>
        </w:rPr>
        <w:t>1</w:t>
      </w:r>
      <w:r>
        <w:rPr>
          <w:rFonts w:hint="eastAsia"/>
          <w:color w:val="auto"/>
          <w:spacing w:val="6"/>
          <w:sz w:val="24"/>
          <w:highlight w:val="none"/>
        </w:rPr>
        <w:t>，属于（中型企业、小型企业、微型企业</w:t>
      </w:r>
      <w:r>
        <w:rPr>
          <w:rFonts w:ascii="Cambria Math" w:hAnsi="Cambria Math" w:eastAsia="仿宋_GB2312" w:cs="Cambria Math"/>
          <w:color w:val="auto"/>
          <w:sz w:val="24"/>
          <w:szCs w:val="28"/>
          <w:highlight w:val="none"/>
          <w:u w:val="single"/>
        </w:rPr>
        <w:t>⑪</w:t>
      </w:r>
      <w:r>
        <w:rPr>
          <w:rFonts w:hint="eastAsia"/>
          <w:color w:val="auto"/>
          <w:spacing w:val="6"/>
          <w:sz w:val="24"/>
          <w:highlight w:val="none"/>
        </w:rPr>
        <w:t>）；</w:t>
      </w:r>
    </w:p>
    <w:p w14:paraId="31B1AA7B">
      <w:pPr>
        <w:spacing w:line="360" w:lineRule="auto"/>
        <w:ind w:firstLine="504"/>
        <w:rPr>
          <w:color w:val="auto"/>
          <w:spacing w:val="6"/>
          <w:sz w:val="24"/>
          <w:highlight w:val="none"/>
        </w:rPr>
      </w:pPr>
      <w:r>
        <w:rPr>
          <w:color w:val="auto"/>
          <w:spacing w:val="6"/>
          <w:sz w:val="24"/>
          <w:highlight w:val="none"/>
        </w:rPr>
        <w:t>2.</w:t>
      </w:r>
      <w:r>
        <w:rPr>
          <w:rFonts w:hint="eastAsia"/>
          <w:color w:val="auto"/>
          <w:spacing w:val="6"/>
          <w:sz w:val="24"/>
          <w:highlight w:val="none"/>
          <w:u w:val="single"/>
        </w:rPr>
        <w:t>（标的名称）</w:t>
      </w:r>
      <w:r>
        <w:rPr>
          <w:rFonts w:hint="eastAsia"/>
          <w:color w:val="auto"/>
          <w:spacing w:val="6"/>
          <w:sz w:val="24"/>
          <w:highlight w:val="none"/>
        </w:rPr>
        <w:t>，属于</w:t>
      </w:r>
      <w:r>
        <w:rPr>
          <w:rFonts w:hint="eastAsia"/>
          <w:color w:val="auto"/>
          <w:spacing w:val="6"/>
          <w:sz w:val="24"/>
          <w:highlight w:val="none"/>
          <w:u w:val="single"/>
        </w:rPr>
        <w:t>（采购文件中明确的所属行业）</w:t>
      </w:r>
      <w:r>
        <w:rPr>
          <w:rFonts w:hint="eastAsia"/>
          <w:color w:val="auto"/>
          <w:spacing w:val="6"/>
          <w:sz w:val="24"/>
          <w:highlight w:val="none"/>
        </w:rPr>
        <w:t>行业；承接企业为</w:t>
      </w:r>
      <w:r>
        <w:rPr>
          <w:rFonts w:hint="eastAsia"/>
          <w:color w:val="auto"/>
          <w:spacing w:val="6"/>
          <w:sz w:val="24"/>
          <w:highlight w:val="none"/>
          <w:u w:val="single"/>
        </w:rPr>
        <w:t>（企业名称）</w:t>
      </w:r>
      <w:r>
        <w:rPr>
          <w:rFonts w:hint="eastAsia"/>
          <w:color w:val="auto"/>
          <w:spacing w:val="6"/>
          <w:sz w:val="24"/>
          <w:highlight w:val="none"/>
        </w:rPr>
        <w:t>，从业人员</w:t>
      </w:r>
      <w:r>
        <w:rPr>
          <w:color w:val="auto"/>
          <w:spacing w:val="6"/>
          <w:sz w:val="24"/>
          <w:highlight w:val="none"/>
        </w:rPr>
        <w:t>______</w:t>
      </w:r>
      <w:r>
        <w:rPr>
          <w:rFonts w:hint="eastAsia"/>
          <w:color w:val="auto"/>
          <w:spacing w:val="6"/>
          <w:sz w:val="24"/>
          <w:highlight w:val="none"/>
        </w:rPr>
        <w:t>人，营业收入为</w:t>
      </w:r>
      <w:r>
        <w:rPr>
          <w:color w:val="auto"/>
          <w:spacing w:val="6"/>
          <w:sz w:val="24"/>
          <w:highlight w:val="none"/>
        </w:rPr>
        <w:t>______</w:t>
      </w:r>
      <w:r>
        <w:rPr>
          <w:rFonts w:hint="eastAsia"/>
          <w:color w:val="auto"/>
          <w:spacing w:val="6"/>
          <w:sz w:val="24"/>
          <w:highlight w:val="none"/>
        </w:rPr>
        <w:t>万元，资产总额为</w:t>
      </w:r>
      <w:r>
        <w:rPr>
          <w:color w:val="auto"/>
          <w:spacing w:val="6"/>
          <w:sz w:val="24"/>
          <w:highlight w:val="none"/>
        </w:rPr>
        <w:t>______</w:t>
      </w:r>
      <w:r>
        <w:rPr>
          <w:rFonts w:hint="eastAsia"/>
          <w:color w:val="auto"/>
          <w:spacing w:val="6"/>
          <w:sz w:val="24"/>
          <w:highlight w:val="none"/>
        </w:rPr>
        <w:t>万元，属于</w:t>
      </w:r>
      <w:r>
        <w:rPr>
          <w:rFonts w:hint="eastAsia"/>
          <w:color w:val="auto"/>
          <w:spacing w:val="6"/>
          <w:sz w:val="24"/>
          <w:highlight w:val="none"/>
          <w:u w:val="single"/>
        </w:rPr>
        <w:t>（中型企业、小型企业、微型企业）</w:t>
      </w:r>
      <w:r>
        <w:rPr>
          <w:rFonts w:hint="eastAsia"/>
          <w:color w:val="auto"/>
          <w:spacing w:val="6"/>
          <w:sz w:val="24"/>
          <w:highlight w:val="none"/>
        </w:rPr>
        <w:t>；</w:t>
      </w:r>
    </w:p>
    <w:p w14:paraId="762EEE4E">
      <w:pPr>
        <w:spacing w:line="360" w:lineRule="auto"/>
        <w:ind w:firstLine="504"/>
        <w:rPr>
          <w:color w:val="auto"/>
          <w:spacing w:val="6"/>
          <w:sz w:val="24"/>
          <w:highlight w:val="none"/>
        </w:rPr>
      </w:pPr>
    </w:p>
    <w:p w14:paraId="63B4CE00">
      <w:pPr>
        <w:spacing w:line="360" w:lineRule="auto"/>
        <w:ind w:firstLine="504"/>
        <w:rPr>
          <w:color w:val="auto"/>
          <w:spacing w:val="6"/>
          <w:sz w:val="24"/>
          <w:highlight w:val="none"/>
        </w:rPr>
      </w:pPr>
      <w:r>
        <w:rPr>
          <w:color w:val="auto"/>
          <w:spacing w:val="6"/>
          <w:sz w:val="24"/>
          <w:highlight w:val="none"/>
        </w:rPr>
        <w:t>……</w:t>
      </w:r>
    </w:p>
    <w:p w14:paraId="743FCB97">
      <w:pPr>
        <w:spacing w:line="360" w:lineRule="auto"/>
        <w:ind w:firstLine="504"/>
        <w:rPr>
          <w:color w:val="auto"/>
          <w:spacing w:val="6"/>
          <w:sz w:val="24"/>
          <w:highlight w:val="none"/>
        </w:rPr>
      </w:pPr>
      <w:r>
        <w:rPr>
          <w:rFonts w:hint="eastAsia"/>
          <w:color w:val="auto"/>
          <w:spacing w:val="6"/>
          <w:sz w:val="24"/>
          <w:highlight w:val="none"/>
        </w:rPr>
        <w:t>以上企业，不属于大企业的分支机构，不存在控股股东为大企业的情形，也不存在与大企业的负责人为同一人的情形。</w:t>
      </w:r>
    </w:p>
    <w:p w14:paraId="6A1E9C86">
      <w:pPr>
        <w:spacing w:line="360" w:lineRule="auto"/>
        <w:ind w:firstLine="504"/>
        <w:rPr>
          <w:color w:val="auto"/>
          <w:spacing w:val="6"/>
          <w:sz w:val="24"/>
          <w:highlight w:val="none"/>
        </w:rPr>
      </w:pPr>
      <w:r>
        <w:rPr>
          <w:rFonts w:hint="eastAsia"/>
          <w:color w:val="auto"/>
          <w:spacing w:val="6"/>
          <w:sz w:val="24"/>
          <w:highlight w:val="none"/>
        </w:rPr>
        <w:t>本企业对上述声明内容的真实性负责。如有虚假，将依法承担相应责任。</w:t>
      </w:r>
    </w:p>
    <w:p w14:paraId="3F95AB27">
      <w:pPr>
        <w:spacing w:line="360" w:lineRule="auto"/>
        <w:ind w:right="360" w:firstLine="480"/>
        <w:jc w:val="right"/>
        <w:rPr>
          <w:color w:val="auto"/>
          <w:sz w:val="24"/>
          <w:highlight w:val="none"/>
        </w:rPr>
      </w:pPr>
    </w:p>
    <w:p w14:paraId="651E368F">
      <w:pPr>
        <w:spacing w:line="360" w:lineRule="auto"/>
        <w:ind w:right="360" w:firstLine="480"/>
        <w:jc w:val="right"/>
        <w:rPr>
          <w:color w:val="auto"/>
          <w:sz w:val="24"/>
          <w:highlight w:val="none"/>
        </w:rPr>
      </w:pPr>
      <w:r>
        <w:rPr>
          <w:rFonts w:hint="eastAsia"/>
          <w:color w:val="auto"/>
          <w:sz w:val="24"/>
          <w:highlight w:val="none"/>
        </w:rPr>
        <w:t>企业名称（盖章）：</w:t>
      </w:r>
      <w:r>
        <w:rPr>
          <w:color w:val="auto"/>
          <w:sz w:val="24"/>
          <w:highlight w:val="none"/>
        </w:rPr>
        <w:t>__</w:t>
      </w:r>
      <w:r>
        <w:rPr>
          <w:rFonts w:ascii="Cambria Math" w:hAnsi="Cambria Math" w:cs="Cambria Math"/>
          <w:color w:val="auto"/>
          <w:spacing w:val="6"/>
          <w:sz w:val="28"/>
          <w:szCs w:val="21"/>
          <w:highlight w:val="none"/>
          <w:u w:val="single"/>
        </w:rPr>
        <w:t>⑫</w:t>
      </w:r>
      <w:r>
        <w:rPr>
          <w:color w:val="auto"/>
          <w:sz w:val="24"/>
          <w:highlight w:val="none"/>
        </w:rPr>
        <w:t>______</w:t>
      </w:r>
    </w:p>
    <w:p w14:paraId="3764C938">
      <w:pPr>
        <w:spacing w:line="360" w:lineRule="auto"/>
        <w:ind w:right="360" w:firstLine="480"/>
        <w:jc w:val="right"/>
        <w:rPr>
          <w:color w:val="auto"/>
          <w:sz w:val="24"/>
          <w:highlight w:val="none"/>
        </w:rPr>
      </w:pPr>
      <w:r>
        <w:rPr>
          <w:rFonts w:hint="eastAsia"/>
          <w:color w:val="auto"/>
          <w:sz w:val="24"/>
          <w:highlight w:val="none"/>
        </w:rPr>
        <w:t>日</w:t>
      </w:r>
      <w:r>
        <w:rPr>
          <w:color w:val="auto"/>
          <w:sz w:val="24"/>
          <w:highlight w:val="none"/>
        </w:rPr>
        <w:t xml:space="preserve"> </w:t>
      </w:r>
      <w:r>
        <w:rPr>
          <w:rFonts w:hint="eastAsia"/>
          <w:color w:val="auto"/>
          <w:sz w:val="24"/>
          <w:highlight w:val="none"/>
        </w:rPr>
        <w:t>期：</w:t>
      </w:r>
      <w:r>
        <w:rPr>
          <w:color w:val="auto"/>
          <w:sz w:val="24"/>
          <w:highlight w:val="none"/>
        </w:rPr>
        <w:t>________</w:t>
      </w:r>
    </w:p>
    <w:p w14:paraId="14BD2F92">
      <w:pPr>
        <w:adjustRightInd w:val="0"/>
        <w:snapToGrid w:val="0"/>
        <w:jc w:val="left"/>
        <w:rPr>
          <w:color w:val="auto"/>
          <w:sz w:val="24"/>
          <w:szCs w:val="21"/>
          <w:highlight w:val="none"/>
        </w:rPr>
      </w:pPr>
    </w:p>
    <w:p w14:paraId="53DC46F6">
      <w:pPr>
        <w:adjustRightInd w:val="0"/>
        <w:snapToGrid w:val="0"/>
        <w:jc w:val="left"/>
        <w:rPr>
          <w:color w:val="auto"/>
          <w:sz w:val="24"/>
          <w:szCs w:val="21"/>
          <w:highlight w:val="none"/>
        </w:rPr>
      </w:pPr>
    </w:p>
    <w:tbl>
      <w:tblPr>
        <w:tblStyle w:val="37"/>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761EE4EC">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Borders>
              <w:top w:val="single" w:color="auto" w:sz="4" w:space="0"/>
              <w:left w:val="nil"/>
              <w:bottom w:val="nil"/>
              <w:right w:val="nil"/>
            </w:tcBorders>
            <w:noWrap w:val="0"/>
            <w:vAlign w:val="top"/>
          </w:tcPr>
          <w:p w14:paraId="195988BA">
            <w:pPr>
              <w:adjustRightInd w:val="0"/>
              <w:snapToGrid w:val="0"/>
              <w:jc w:val="left"/>
              <w:rPr>
                <w:color w:val="auto"/>
                <w:szCs w:val="21"/>
                <w:highlight w:val="none"/>
              </w:rPr>
            </w:pPr>
            <w:r>
              <w:rPr>
                <w:color w:val="auto"/>
                <w:szCs w:val="21"/>
                <w:highlight w:val="none"/>
                <w:vertAlign w:val="superscript"/>
              </w:rPr>
              <w:t>1</w:t>
            </w:r>
            <w:r>
              <w:rPr>
                <w:rFonts w:hint="eastAsia"/>
                <w:color w:val="auto"/>
                <w:szCs w:val="21"/>
                <w:highlight w:val="none"/>
              </w:rPr>
              <w:t>从业人员、营业收入、资产总额填报上一年度数据，无上一年度数据的新成立企业可不填报。</w:t>
            </w:r>
          </w:p>
        </w:tc>
      </w:tr>
    </w:tbl>
    <w:p w14:paraId="57C61BDC">
      <w:pPr>
        <w:adjustRightInd w:val="0"/>
        <w:snapToGrid w:val="0"/>
        <w:jc w:val="left"/>
        <w:rPr>
          <w:color w:val="auto"/>
          <w:szCs w:val="21"/>
          <w:highlight w:val="none"/>
          <w:vertAlign w:val="superscript"/>
        </w:rPr>
      </w:pPr>
    </w:p>
    <w:p w14:paraId="580EABEA">
      <w:pPr>
        <w:spacing w:line="360" w:lineRule="auto"/>
        <w:ind w:right="360" w:firstLine="480"/>
        <w:jc w:val="right"/>
        <w:rPr>
          <w:color w:val="auto"/>
          <w:sz w:val="24"/>
          <w:highlight w:val="none"/>
        </w:rPr>
      </w:pPr>
    </w:p>
    <w:p w14:paraId="6A421F5A">
      <w:pPr>
        <w:adjustRightInd w:val="0"/>
        <w:snapToGrid w:val="0"/>
        <w:spacing w:line="570" w:lineRule="exact"/>
        <w:rPr>
          <w:rFonts w:hint="eastAsia" w:ascii="黑体" w:hAnsi="黑体" w:eastAsia="黑体" w:cs="黑体"/>
          <w:color w:val="auto"/>
          <w:sz w:val="32"/>
          <w:szCs w:val="32"/>
          <w:highlight w:val="none"/>
        </w:rPr>
      </w:pPr>
    </w:p>
    <w:p w14:paraId="563F983C">
      <w:pPr>
        <w:keepNext w:val="0"/>
        <w:keepLines w:val="0"/>
        <w:pageBreakBefore/>
        <w:widowControl w:val="0"/>
        <w:kinsoku/>
        <w:wordWrap/>
        <w:overflowPunct/>
        <w:topLinePunct w:val="0"/>
        <w:autoSpaceDE/>
        <w:autoSpaceDN/>
        <w:bidi w:val="0"/>
        <w:adjustRightInd w:val="0"/>
        <w:snapToGrid w:val="0"/>
        <w:spacing w:line="570" w:lineRule="exact"/>
        <w:textAlignment w:val="auto"/>
        <w:rPr>
          <w:rFonts w:ascii="黑体" w:hAnsi="黑体" w:eastAsia="黑体" w:cs="黑体"/>
          <w:color w:val="auto"/>
          <w:sz w:val="32"/>
          <w:szCs w:val="32"/>
          <w:highlight w:val="none"/>
        </w:rPr>
      </w:pPr>
      <w:r>
        <w:rPr>
          <w:rFonts w:hint="eastAsia" w:ascii="黑体" w:hAnsi="黑体" w:eastAsia="黑体" w:cs="黑体"/>
          <w:color w:val="auto"/>
          <w:sz w:val="32"/>
          <w:szCs w:val="32"/>
          <w:highlight w:val="none"/>
        </w:rPr>
        <w:t>填写说明：</w:t>
      </w:r>
    </w:p>
    <w:p w14:paraId="2D07DAEF">
      <w:pPr>
        <w:adjustRightInd w:val="0"/>
        <w:snapToGrid w:val="0"/>
        <w:spacing w:line="360" w:lineRule="auto"/>
        <w:ind w:firstLine="504" w:firstLineChars="200"/>
        <w:jc w:val="left"/>
        <w:rPr>
          <w:rFonts w:ascii="宋体" w:hAnsi="宋体"/>
          <w:color w:val="auto"/>
          <w:spacing w:val="6"/>
          <w:sz w:val="24"/>
          <w:highlight w:val="none"/>
        </w:rPr>
      </w:pPr>
      <w:r>
        <w:rPr>
          <w:rFonts w:hint="eastAsia" w:ascii="宋体" w:hAnsi="宋体"/>
          <w:color w:val="auto"/>
          <w:spacing w:val="6"/>
          <w:sz w:val="24"/>
          <w:highlight w:val="none"/>
        </w:rPr>
        <w:t>1.（采购单位名称①）：填写本项目采购人单位名称，如常州市XXX局。</w:t>
      </w:r>
    </w:p>
    <w:p w14:paraId="302CAD29">
      <w:pPr>
        <w:adjustRightInd w:val="0"/>
        <w:snapToGrid w:val="0"/>
        <w:spacing w:line="360" w:lineRule="auto"/>
        <w:ind w:firstLine="504" w:firstLineChars="200"/>
        <w:jc w:val="left"/>
        <w:rPr>
          <w:rFonts w:ascii="宋体" w:hAnsi="宋体"/>
          <w:color w:val="auto"/>
          <w:spacing w:val="6"/>
          <w:sz w:val="24"/>
          <w:highlight w:val="none"/>
        </w:rPr>
      </w:pPr>
      <w:r>
        <w:rPr>
          <w:rFonts w:hint="eastAsia" w:ascii="宋体" w:hAnsi="宋体"/>
          <w:color w:val="auto"/>
          <w:spacing w:val="6"/>
          <w:sz w:val="24"/>
          <w:highlight w:val="none"/>
        </w:rPr>
        <w:t>2.采购编号为②：填写本项目编号，如JSZC-3204XX-JZCG-G20XX-XX。</w:t>
      </w:r>
    </w:p>
    <w:p w14:paraId="6C29F78C">
      <w:pPr>
        <w:adjustRightInd w:val="0"/>
        <w:snapToGrid w:val="0"/>
        <w:spacing w:line="360" w:lineRule="auto"/>
        <w:ind w:firstLine="504" w:firstLineChars="200"/>
        <w:jc w:val="left"/>
        <w:rPr>
          <w:rFonts w:ascii="宋体" w:hAnsi="宋体"/>
          <w:color w:val="auto"/>
          <w:spacing w:val="6"/>
          <w:sz w:val="24"/>
          <w:highlight w:val="none"/>
        </w:rPr>
      </w:pPr>
      <w:r>
        <w:rPr>
          <w:rFonts w:hint="eastAsia" w:ascii="宋体" w:hAnsi="宋体"/>
          <w:color w:val="auto"/>
          <w:spacing w:val="6"/>
          <w:sz w:val="24"/>
          <w:highlight w:val="none"/>
        </w:rPr>
        <w:t>3.（项目名称③）：填写本项目名称，如常州市XXX项目。</w:t>
      </w:r>
    </w:p>
    <w:p w14:paraId="270BEF6F">
      <w:pPr>
        <w:adjustRightInd w:val="0"/>
        <w:snapToGrid w:val="0"/>
        <w:spacing w:line="360" w:lineRule="auto"/>
        <w:ind w:firstLine="504" w:firstLineChars="200"/>
        <w:jc w:val="left"/>
        <w:rPr>
          <w:rFonts w:ascii="宋体" w:hAnsi="宋体"/>
          <w:color w:val="auto"/>
          <w:spacing w:val="6"/>
          <w:sz w:val="24"/>
          <w:highlight w:val="none"/>
        </w:rPr>
      </w:pPr>
      <w:r>
        <w:rPr>
          <w:rFonts w:hint="eastAsia" w:ascii="宋体" w:hAnsi="宋体"/>
          <w:color w:val="auto"/>
          <w:spacing w:val="6"/>
          <w:sz w:val="24"/>
          <w:highlight w:val="none"/>
        </w:rPr>
        <w:t>4.（分包号：④）：填写分包编号，如有分包的，分别填写分包号，没有的填“无”。</w:t>
      </w:r>
    </w:p>
    <w:p w14:paraId="254F125E">
      <w:pPr>
        <w:adjustRightInd w:val="0"/>
        <w:snapToGrid w:val="0"/>
        <w:spacing w:line="360" w:lineRule="auto"/>
        <w:ind w:firstLine="504" w:firstLineChars="200"/>
        <w:jc w:val="left"/>
        <w:rPr>
          <w:rFonts w:ascii="宋体" w:hAnsi="宋体"/>
          <w:color w:val="auto"/>
          <w:spacing w:val="6"/>
          <w:sz w:val="24"/>
          <w:highlight w:val="none"/>
        </w:rPr>
      </w:pPr>
      <w:r>
        <w:rPr>
          <w:rFonts w:hint="eastAsia" w:ascii="宋体" w:hAnsi="宋体"/>
          <w:color w:val="auto"/>
          <w:spacing w:val="6"/>
          <w:sz w:val="24"/>
          <w:highlight w:val="none"/>
        </w:rPr>
        <w:t>5.（标的名称⑤）：填写本项目标的名称，如有产品清单的请根据采购文件“第四章采购需求”-“服务内容及要求/货物技术要求”-“产品清单”中列出的名称进行填写，如：物业服务、保安服务、审计服务等；如没有产品清单的可以填项目名称。</w:t>
      </w:r>
    </w:p>
    <w:p w14:paraId="7A94F39D">
      <w:pPr>
        <w:adjustRightInd w:val="0"/>
        <w:snapToGrid w:val="0"/>
        <w:spacing w:line="360" w:lineRule="auto"/>
        <w:ind w:firstLine="504" w:firstLineChars="200"/>
        <w:jc w:val="left"/>
        <w:rPr>
          <w:rFonts w:ascii="宋体" w:hAnsi="宋体"/>
          <w:color w:val="auto"/>
          <w:spacing w:val="6"/>
          <w:sz w:val="24"/>
          <w:highlight w:val="none"/>
        </w:rPr>
      </w:pPr>
      <w:r>
        <w:rPr>
          <w:rFonts w:hint="eastAsia" w:ascii="宋体" w:hAnsi="宋体"/>
          <w:color w:val="auto"/>
          <w:spacing w:val="6"/>
          <w:sz w:val="24"/>
          <w:highlight w:val="none"/>
        </w:rPr>
        <w:t>6.（采购文件中明确的所属行业⑥）：填写本项目采购标的所属行业。须根据采购文件“第二章供应商须知料表”表格中列明的所属行业进行填写。如：软件和信息技术服务业、租赁和商务服务业等。</w:t>
      </w:r>
    </w:p>
    <w:p w14:paraId="0966AF06">
      <w:pPr>
        <w:adjustRightInd w:val="0"/>
        <w:snapToGrid w:val="0"/>
        <w:spacing w:line="360" w:lineRule="auto"/>
        <w:ind w:firstLine="504" w:firstLineChars="200"/>
        <w:jc w:val="left"/>
        <w:rPr>
          <w:rFonts w:ascii="宋体" w:hAnsi="宋体"/>
          <w:color w:val="auto"/>
          <w:spacing w:val="6"/>
          <w:sz w:val="24"/>
          <w:highlight w:val="none"/>
        </w:rPr>
      </w:pPr>
      <w:r>
        <w:rPr>
          <w:rFonts w:hint="eastAsia" w:ascii="宋体" w:hAnsi="宋体"/>
          <w:color w:val="auto"/>
          <w:spacing w:val="6"/>
          <w:sz w:val="24"/>
          <w:highlight w:val="none"/>
        </w:rPr>
        <w:t>7.（企业名称⑦）：填写投标人或供应商的名称，如XXX公司。</w:t>
      </w:r>
    </w:p>
    <w:p w14:paraId="372838A4">
      <w:pPr>
        <w:adjustRightInd w:val="0"/>
        <w:snapToGrid w:val="0"/>
        <w:spacing w:line="360" w:lineRule="auto"/>
        <w:ind w:firstLine="504" w:firstLineChars="200"/>
        <w:jc w:val="left"/>
        <w:rPr>
          <w:rFonts w:ascii="宋体" w:hAnsi="宋体"/>
          <w:color w:val="auto"/>
          <w:spacing w:val="6"/>
          <w:sz w:val="24"/>
          <w:highlight w:val="none"/>
        </w:rPr>
      </w:pPr>
      <w:r>
        <w:rPr>
          <w:rFonts w:hint="eastAsia" w:ascii="宋体" w:hAnsi="宋体"/>
          <w:color w:val="auto"/>
          <w:spacing w:val="6"/>
          <w:sz w:val="24"/>
          <w:highlight w:val="none"/>
        </w:rPr>
        <w:t>8.从业人员⑧人，营业收入为⑨万元，资产总额为⑩万元：填报投标人或供应商的从业人员、营业收入、资产总额上一年度数据，无上一年度数据的新成立企业可不填报。</w:t>
      </w:r>
    </w:p>
    <w:p w14:paraId="14F5AF88">
      <w:pPr>
        <w:adjustRightInd w:val="0"/>
        <w:snapToGrid w:val="0"/>
        <w:spacing w:line="360" w:lineRule="auto"/>
        <w:ind w:firstLine="504" w:firstLineChars="200"/>
        <w:jc w:val="left"/>
        <w:rPr>
          <w:rFonts w:ascii="宋体" w:hAnsi="宋体"/>
          <w:color w:val="auto"/>
          <w:spacing w:val="6"/>
          <w:sz w:val="24"/>
          <w:highlight w:val="none"/>
        </w:rPr>
      </w:pPr>
      <w:r>
        <w:rPr>
          <w:rFonts w:hint="eastAsia" w:ascii="宋体" w:hAnsi="宋体"/>
          <w:color w:val="auto"/>
          <w:spacing w:val="6"/>
          <w:sz w:val="24"/>
          <w:highlight w:val="none"/>
        </w:rPr>
        <w:t>9.（中型企业、小型企业、微型企业</w:t>
      </w:r>
      <w:r>
        <w:rPr>
          <w:rFonts w:ascii="Cambria Math" w:hAnsi="Cambria Math" w:cs="Cambria Math"/>
          <w:color w:val="auto"/>
          <w:spacing w:val="6"/>
          <w:sz w:val="24"/>
          <w:highlight w:val="none"/>
        </w:rPr>
        <w:t>⑪</w:t>
      </w:r>
      <w:r>
        <w:rPr>
          <w:rFonts w:hint="eastAsia" w:ascii="宋体" w:hAnsi="宋体"/>
          <w:color w:val="auto"/>
          <w:spacing w:val="6"/>
          <w:sz w:val="24"/>
          <w:highlight w:val="none"/>
        </w:rPr>
        <w:t>）：根据投标人或供应商的企业规模情况填写中型企业、小型企业或微型企业（只能填写三种其中的一种）。中小企业划分见《关于印发中小企业划型标准规定的通知》（工信部联企业〔2011〕300号) 。</w:t>
      </w:r>
    </w:p>
    <w:p w14:paraId="2E47BE04">
      <w:pPr>
        <w:adjustRightInd w:val="0"/>
        <w:snapToGrid w:val="0"/>
        <w:spacing w:line="360" w:lineRule="auto"/>
        <w:ind w:firstLine="504" w:firstLineChars="200"/>
        <w:jc w:val="left"/>
        <w:rPr>
          <w:rFonts w:ascii="宋体" w:hAnsi="宋体"/>
          <w:color w:val="auto"/>
          <w:spacing w:val="6"/>
          <w:sz w:val="24"/>
          <w:highlight w:val="none"/>
        </w:rPr>
      </w:pPr>
      <w:r>
        <w:rPr>
          <w:rFonts w:hint="eastAsia" w:ascii="宋体" w:hAnsi="宋体"/>
          <w:color w:val="auto"/>
          <w:spacing w:val="6"/>
          <w:sz w:val="24"/>
          <w:highlight w:val="none"/>
        </w:rPr>
        <w:t>10.企业名称（盖章）</w:t>
      </w:r>
      <w:r>
        <w:rPr>
          <w:rFonts w:ascii="Cambria Math" w:hAnsi="Cambria Math" w:cs="Cambria Math"/>
          <w:color w:val="auto"/>
          <w:spacing w:val="6"/>
          <w:sz w:val="24"/>
          <w:highlight w:val="none"/>
        </w:rPr>
        <w:t>⑫</w:t>
      </w:r>
      <w:r>
        <w:rPr>
          <w:rFonts w:hint="eastAsia" w:ascii="宋体" w:hAnsi="宋体"/>
          <w:color w:val="auto"/>
          <w:spacing w:val="6"/>
          <w:sz w:val="24"/>
          <w:highlight w:val="none"/>
        </w:rPr>
        <w:t>：加盖投标人或供应商CA电子公章。</w:t>
      </w:r>
    </w:p>
    <w:p w14:paraId="45F363CE">
      <w:pPr>
        <w:adjustRightInd w:val="0"/>
        <w:snapToGrid w:val="0"/>
        <w:spacing w:line="360" w:lineRule="auto"/>
        <w:ind w:firstLine="504" w:firstLineChars="200"/>
        <w:jc w:val="left"/>
        <w:rPr>
          <w:rFonts w:ascii="宋体" w:hAnsi="宋体"/>
          <w:color w:val="auto"/>
          <w:spacing w:val="6"/>
          <w:sz w:val="24"/>
          <w:highlight w:val="none"/>
        </w:rPr>
      </w:pPr>
      <w:r>
        <w:rPr>
          <w:rFonts w:hint="eastAsia" w:ascii="宋体" w:hAnsi="宋体"/>
          <w:color w:val="auto"/>
          <w:spacing w:val="6"/>
          <w:sz w:val="24"/>
          <w:highlight w:val="none"/>
        </w:rPr>
        <w:t>11.如是专门面向中小企业预留份额的采购项目，供应商未提供此声明函的，资格审查不予通过，作为无效投标（响应）。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p>
    <w:p w14:paraId="7359DD9F">
      <w:pPr>
        <w:pStyle w:val="454"/>
        <w:adjustRightInd w:val="0"/>
        <w:snapToGrid w:val="0"/>
        <w:spacing w:line="360" w:lineRule="auto"/>
        <w:ind w:firstLine="480"/>
        <w:rPr>
          <w:rFonts w:ascii="宋体" w:hAnsi="宋体"/>
          <w:color w:val="auto"/>
          <w:spacing w:val="6"/>
          <w:kern w:val="2"/>
          <w:sz w:val="24"/>
          <w:szCs w:val="24"/>
          <w:highlight w:val="none"/>
        </w:rPr>
      </w:pPr>
      <w:r>
        <w:rPr>
          <w:rFonts w:hint="eastAsia" w:ascii="宋体" w:hAnsi="宋体"/>
          <w:color w:val="auto"/>
          <w:spacing w:val="6"/>
          <w:kern w:val="2"/>
          <w:sz w:val="24"/>
          <w:szCs w:val="24"/>
          <w:highlight w:val="none"/>
        </w:rPr>
        <w:t>12.温馨提示</w:t>
      </w:r>
    </w:p>
    <w:p w14:paraId="3F8934B0">
      <w:pPr>
        <w:pStyle w:val="454"/>
        <w:adjustRightInd w:val="0"/>
        <w:snapToGrid w:val="0"/>
        <w:spacing w:line="360" w:lineRule="auto"/>
        <w:ind w:firstLine="480"/>
        <w:rPr>
          <w:rFonts w:ascii="宋体" w:hAnsi="宋体"/>
          <w:color w:val="auto"/>
          <w:spacing w:val="6"/>
          <w:kern w:val="2"/>
          <w:sz w:val="24"/>
          <w:szCs w:val="24"/>
          <w:highlight w:val="none"/>
        </w:rPr>
      </w:pPr>
      <w:r>
        <w:rPr>
          <w:rFonts w:hint="eastAsia" w:ascii="宋体" w:hAnsi="宋体"/>
          <w:color w:val="auto"/>
          <w:spacing w:val="6"/>
          <w:kern w:val="2"/>
          <w:sz w:val="24"/>
          <w:szCs w:val="24"/>
          <w:highlight w:val="none"/>
        </w:rPr>
        <w:t>（1）对于已纳入统计部门统计范围的企业，所属行业、从业人员、营业收入、资产总额、规模类型应与统计部门报表保持一致。</w:t>
      </w:r>
    </w:p>
    <w:p w14:paraId="31107AC7">
      <w:pPr>
        <w:pStyle w:val="454"/>
        <w:adjustRightInd w:val="0"/>
        <w:snapToGrid w:val="0"/>
        <w:spacing w:line="360" w:lineRule="auto"/>
        <w:ind w:firstLine="480"/>
        <w:rPr>
          <w:rFonts w:ascii="宋体" w:hAnsi="宋体"/>
          <w:color w:val="auto"/>
          <w:spacing w:val="6"/>
          <w:kern w:val="2"/>
          <w:sz w:val="24"/>
          <w:szCs w:val="24"/>
          <w:highlight w:val="none"/>
        </w:rPr>
      </w:pPr>
      <w:r>
        <w:rPr>
          <w:rFonts w:hint="eastAsia" w:ascii="宋体" w:hAnsi="宋体"/>
          <w:color w:val="auto"/>
          <w:spacing w:val="6"/>
          <w:kern w:val="2"/>
          <w:sz w:val="24"/>
          <w:szCs w:val="24"/>
          <w:highlight w:val="none"/>
        </w:rPr>
        <w:t>（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p>
    <w:p w14:paraId="48B36C4E">
      <w:pPr>
        <w:pStyle w:val="454"/>
        <w:adjustRightInd w:val="0"/>
        <w:snapToGrid w:val="0"/>
        <w:spacing w:line="360" w:lineRule="auto"/>
        <w:ind w:firstLine="480"/>
        <w:rPr>
          <w:rFonts w:ascii="宋体" w:hAnsi="宋体"/>
          <w:color w:val="auto"/>
          <w:spacing w:val="6"/>
          <w:kern w:val="2"/>
          <w:sz w:val="24"/>
          <w:szCs w:val="24"/>
          <w:highlight w:val="none"/>
        </w:rPr>
      </w:pPr>
      <w:r>
        <w:rPr>
          <w:rFonts w:hint="eastAsia" w:ascii="宋体" w:hAnsi="宋体"/>
          <w:color w:val="auto"/>
          <w:spacing w:val="6"/>
          <w:kern w:val="2"/>
          <w:sz w:val="24"/>
          <w:szCs w:val="24"/>
          <w:highlight w:val="none"/>
        </w:rPr>
        <w:t>（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p>
    <w:p w14:paraId="7DDC5F3C">
      <w:pPr>
        <w:pStyle w:val="454"/>
        <w:adjustRightInd w:val="0"/>
        <w:snapToGrid w:val="0"/>
        <w:spacing w:line="360" w:lineRule="auto"/>
        <w:ind w:firstLine="480"/>
        <w:rPr>
          <w:rFonts w:ascii="宋体" w:hAnsi="宋体"/>
          <w:color w:val="auto"/>
          <w:spacing w:val="6"/>
          <w:kern w:val="2"/>
          <w:sz w:val="24"/>
          <w:szCs w:val="24"/>
          <w:highlight w:val="none"/>
        </w:rPr>
      </w:pPr>
      <w:r>
        <w:rPr>
          <w:rFonts w:hint="eastAsia" w:ascii="宋体" w:hAnsi="宋体"/>
          <w:color w:val="auto"/>
          <w:spacing w:val="6"/>
          <w:kern w:val="2"/>
          <w:sz w:val="24"/>
          <w:szCs w:val="24"/>
          <w:highlight w:val="none"/>
        </w:rPr>
        <w:t>（4）对于采购文件确实允许非独立法人参与采购活动的，应按其所属集团公司合并财务报表数据情况予以填报。以联合体形式参加或者合同分包的，需填写联合体中的中小企业或签订分包意向协议的中小企业相关信息。</w:t>
      </w:r>
    </w:p>
    <w:p w14:paraId="088D4EB0">
      <w:pPr>
        <w:pStyle w:val="454"/>
        <w:adjustRightInd w:val="0"/>
        <w:snapToGrid w:val="0"/>
        <w:spacing w:line="360" w:lineRule="auto"/>
        <w:ind w:firstLine="480"/>
        <w:rPr>
          <w:rFonts w:ascii="宋体" w:hAnsi="宋体"/>
          <w:color w:val="auto"/>
          <w:spacing w:val="6"/>
          <w:kern w:val="2"/>
          <w:sz w:val="24"/>
          <w:szCs w:val="24"/>
          <w:highlight w:val="none"/>
        </w:rPr>
      </w:pPr>
      <w:r>
        <w:rPr>
          <w:rFonts w:hint="eastAsia" w:ascii="宋体" w:hAnsi="宋体"/>
          <w:color w:val="auto"/>
          <w:spacing w:val="6"/>
          <w:kern w:val="2"/>
          <w:sz w:val="24"/>
          <w:szCs w:val="24"/>
          <w:highlight w:val="none"/>
        </w:rPr>
        <w:t>（5）《中小企业声明函》真实性由其出具的供应商负责。《中小企业声明函》中相关企业[制造商、承建（承接）企业]所属行业应当与采购标的的所属行业相一致。《中小企业声明函》应当充分、准确反映供应商的信息。</w:t>
      </w:r>
    </w:p>
    <w:p w14:paraId="770AC7B0">
      <w:pPr>
        <w:pStyle w:val="454"/>
        <w:adjustRightInd w:val="0"/>
        <w:snapToGrid w:val="0"/>
        <w:spacing w:line="360" w:lineRule="auto"/>
        <w:ind w:firstLine="480"/>
        <w:rPr>
          <w:rFonts w:ascii="宋体" w:hAnsi="宋体"/>
          <w:color w:val="auto"/>
          <w:spacing w:val="6"/>
          <w:kern w:val="2"/>
          <w:sz w:val="24"/>
          <w:szCs w:val="24"/>
          <w:highlight w:val="none"/>
        </w:rPr>
      </w:pPr>
      <w:r>
        <w:rPr>
          <w:rFonts w:hint="eastAsia" w:ascii="宋体" w:hAnsi="宋体"/>
          <w:color w:val="auto"/>
          <w:spacing w:val="6"/>
          <w:kern w:val="2"/>
          <w:sz w:val="24"/>
          <w:szCs w:val="24"/>
          <w:highlight w:val="none"/>
        </w:rPr>
        <w:t>（6）经调查发现供应商提供《中小企业声明函》内容与实际不符的，政府采购监管部门有权根据《中小企业声明函》与实际情况的差异视情形认定其是否属于虚假材料谋取中标。</w:t>
      </w:r>
    </w:p>
    <w:p w14:paraId="12B777EB">
      <w:pPr>
        <w:spacing w:line="360" w:lineRule="auto"/>
        <w:ind w:firstLine="504" w:firstLineChars="200"/>
        <w:rPr>
          <w:color w:val="auto"/>
          <w:szCs w:val="21"/>
          <w:highlight w:val="none"/>
          <w:vertAlign w:val="superscript"/>
        </w:rPr>
      </w:pPr>
      <w:r>
        <w:rPr>
          <w:rFonts w:hint="eastAsia" w:ascii="宋体" w:hAnsi="宋体"/>
          <w:color w:val="auto"/>
          <w:spacing w:val="6"/>
          <w:sz w:val="24"/>
          <w:highlight w:val="none"/>
        </w:rPr>
        <w:t>（7）根据《财政部关于规范政府采购行政处罚有关问题的通知》（财库〔2015〕150 号）规定，各级人民政府财政部门依法对供应商作出的禁止参加政府采购活动的行政处罚决定在全国范围内生效。</w:t>
      </w:r>
    </w:p>
    <w:p w14:paraId="0A9F2CE7">
      <w:pPr>
        <w:spacing w:line="360" w:lineRule="auto"/>
        <w:ind w:right="360" w:firstLine="480"/>
        <w:jc w:val="right"/>
        <w:rPr>
          <w:color w:val="auto"/>
          <w:sz w:val="24"/>
          <w:highlight w:val="none"/>
        </w:rPr>
      </w:pPr>
    </w:p>
    <w:p w14:paraId="202E7D24">
      <w:pPr>
        <w:spacing w:line="360" w:lineRule="auto"/>
        <w:ind w:right="360" w:firstLine="480"/>
        <w:jc w:val="right"/>
        <w:rPr>
          <w:color w:val="auto"/>
          <w:sz w:val="24"/>
          <w:highlight w:val="none"/>
        </w:rPr>
      </w:pPr>
    </w:p>
    <w:p w14:paraId="71592CE8">
      <w:pPr>
        <w:spacing w:line="360" w:lineRule="auto"/>
        <w:outlineLvl w:val="2"/>
        <w:rPr>
          <w:color w:val="auto"/>
          <w:sz w:val="24"/>
          <w:szCs w:val="20"/>
          <w:highlight w:val="none"/>
        </w:rPr>
      </w:pPr>
      <w:r>
        <w:rPr>
          <w:color w:val="auto"/>
          <w:sz w:val="24"/>
          <w:szCs w:val="20"/>
          <w:highlight w:val="none"/>
        </w:rPr>
        <w:br w:type="page"/>
      </w:r>
    </w:p>
    <w:p w14:paraId="2FDA6822">
      <w:pPr>
        <w:spacing w:before="240" w:beforeLines="100" w:after="240" w:afterLines="100" w:line="360" w:lineRule="auto"/>
        <w:jc w:val="center"/>
        <w:rPr>
          <w:color w:val="auto"/>
          <w:sz w:val="36"/>
          <w:szCs w:val="36"/>
          <w:highlight w:val="none"/>
        </w:rPr>
      </w:pPr>
      <w:r>
        <w:rPr>
          <w:b/>
          <w:bCs/>
          <w:color w:val="auto"/>
          <w:sz w:val="36"/>
          <w:szCs w:val="36"/>
          <w:highlight w:val="none"/>
        </w:rPr>
        <w:t>残疾人福利性单位声明函格式</w:t>
      </w:r>
      <w:r>
        <w:rPr>
          <w:color w:val="auto"/>
          <w:sz w:val="36"/>
          <w:szCs w:val="36"/>
          <w:highlight w:val="none"/>
        </w:rPr>
        <w:t xml:space="preserve"> </w:t>
      </w:r>
    </w:p>
    <w:p w14:paraId="3597E463">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〔2017〕141</w:t>
      </w:r>
      <w:r>
        <w:rPr>
          <w:color w:val="auto"/>
          <w:spacing w:val="6"/>
          <w:sz w:val="24"/>
          <w:highlight w:val="none"/>
        </w:rPr>
        <w:t>号）的规定，本单位</w:t>
      </w:r>
      <w:r>
        <w:rPr>
          <w:b/>
          <w:color w:val="auto"/>
          <w:sz w:val="24"/>
          <w:highlight w:val="none"/>
        </w:rPr>
        <w:t>（请进行勾选）</w:t>
      </w:r>
      <w:r>
        <w:rPr>
          <w:color w:val="auto"/>
          <w:spacing w:val="6"/>
          <w:sz w:val="24"/>
          <w:highlight w:val="none"/>
        </w:rPr>
        <w:t>：</w:t>
      </w:r>
    </w:p>
    <w:p w14:paraId="4092627B">
      <w:pPr>
        <w:spacing w:line="588" w:lineRule="exact"/>
        <w:ind w:firstLine="482"/>
        <w:rPr>
          <w:b/>
          <w:color w:val="auto"/>
          <w:spacing w:val="6"/>
          <w:sz w:val="24"/>
          <w:highlight w:val="none"/>
        </w:rPr>
      </w:pPr>
      <w:r>
        <w:rPr>
          <w:b/>
          <w:color w:val="auto"/>
          <w:sz w:val="24"/>
          <w:highlight w:val="none"/>
        </w:rPr>
        <w:t>□</w:t>
      </w:r>
      <w:r>
        <w:rPr>
          <w:b/>
          <w:color w:val="auto"/>
          <w:spacing w:val="6"/>
          <w:sz w:val="24"/>
          <w:highlight w:val="none"/>
        </w:rPr>
        <w:t>不属于符合条件的残疾人福利性单位。</w:t>
      </w:r>
    </w:p>
    <w:p w14:paraId="47AD2F0E">
      <w:pPr>
        <w:spacing w:line="588" w:lineRule="exact"/>
        <w:ind w:firstLine="482"/>
        <w:rPr>
          <w:color w:val="auto"/>
          <w:spacing w:val="6"/>
          <w:sz w:val="24"/>
          <w:highlight w:val="none"/>
        </w:rPr>
      </w:pPr>
      <w:r>
        <w:rPr>
          <w:b/>
          <w:color w:val="auto"/>
          <w:sz w:val="24"/>
          <w:highlight w:val="none"/>
        </w:rPr>
        <w:t>□</w:t>
      </w:r>
      <w:r>
        <w:rPr>
          <w:b/>
          <w:color w:val="auto"/>
          <w:spacing w:val="6"/>
          <w:sz w:val="24"/>
          <w:highlight w:val="none"/>
        </w:rPr>
        <w:t>属于符合条件的残疾人福利性单位，</w:t>
      </w:r>
      <w:r>
        <w:rPr>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14D15AC9">
      <w:pPr>
        <w:spacing w:line="588" w:lineRule="exact"/>
        <w:ind w:firstLine="506" w:firstLineChars="200"/>
        <w:rPr>
          <w:color w:val="auto"/>
          <w:spacing w:val="6"/>
          <w:sz w:val="24"/>
          <w:highlight w:val="none"/>
        </w:rPr>
      </w:pPr>
      <w:r>
        <w:rPr>
          <w:b/>
          <w:color w:val="auto"/>
          <w:spacing w:val="6"/>
          <w:sz w:val="24"/>
          <w:highlight w:val="none"/>
        </w:rPr>
        <w:t>本单位对上述声明的真实性负责。如有虚假，将依法承担相应责任。</w:t>
      </w:r>
    </w:p>
    <w:p w14:paraId="1869F8FC">
      <w:pPr>
        <w:spacing w:line="588" w:lineRule="exact"/>
        <w:ind w:firstLine="504" w:firstLineChars="200"/>
        <w:rPr>
          <w:color w:val="auto"/>
          <w:spacing w:val="6"/>
          <w:sz w:val="24"/>
          <w:highlight w:val="none"/>
        </w:rPr>
      </w:pPr>
    </w:p>
    <w:p w14:paraId="06FA613A">
      <w:pPr>
        <w:spacing w:line="588" w:lineRule="exact"/>
        <w:ind w:firstLine="504" w:firstLineChars="200"/>
        <w:rPr>
          <w:color w:val="auto"/>
          <w:spacing w:val="6"/>
          <w:sz w:val="24"/>
          <w:highlight w:val="none"/>
        </w:rPr>
      </w:pPr>
    </w:p>
    <w:p w14:paraId="47A91F6F">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单位名称（加盖公章）：</w:t>
      </w:r>
    </w:p>
    <w:p w14:paraId="305D4375">
      <w:pPr>
        <w:spacing w:line="360" w:lineRule="auto"/>
        <w:outlineLvl w:val="2"/>
        <w:rPr>
          <w:rFonts w:hint="eastAsia"/>
          <w:color w:val="auto"/>
          <w:sz w:val="24"/>
          <w:szCs w:val="20"/>
          <w:highlight w:val="none"/>
        </w:rPr>
      </w:pPr>
      <w:r>
        <w:rPr>
          <w:color w:val="auto"/>
          <w:spacing w:val="6"/>
          <w:sz w:val="24"/>
          <w:highlight w:val="none"/>
        </w:rPr>
        <w:t xml:space="preserve">       日  期：</w:t>
      </w:r>
    </w:p>
    <w:p w14:paraId="15E723F4">
      <w:pPr>
        <w:pageBreakBefore/>
        <w:spacing w:line="360" w:lineRule="auto"/>
        <w:outlineLvl w:val="2"/>
        <w:rPr>
          <w:color w:val="auto"/>
          <w:sz w:val="24"/>
          <w:szCs w:val="20"/>
          <w:highlight w:val="none"/>
        </w:rPr>
      </w:pPr>
      <w:r>
        <w:rPr>
          <w:color w:val="auto"/>
          <w:sz w:val="24"/>
          <w:szCs w:val="20"/>
          <w:highlight w:val="none"/>
        </w:rPr>
        <w:t>3 本项目的特定资格要求</w:t>
      </w:r>
      <w:r>
        <w:rPr>
          <w:rFonts w:hint="eastAsia"/>
          <w:color w:val="auto"/>
          <w:sz w:val="24"/>
          <w:szCs w:val="20"/>
          <w:highlight w:val="none"/>
        </w:rPr>
        <w:t>：</w:t>
      </w:r>
      <w:r>
        <w:rPr>
          <w:color w:val="auto"/>
          <w:sz w:val="24"/>
          <w:szCs w:val="20"/>
          <w:highlight w:val="none"/>
        </w:rPr>
        <w:t>无</w:t>
      </w:r>
      <w:r>
        <w:rPr>
          <w:rFonts w:hint="eastAsia"/>
          <w:color w:val="auto"/>
          <w:sz w:val="24"/>
          <w:szCs w:val="20"/>
          <w:highlight w:val="none"/>
        </w:rPr>
        <w:t>。</w:t>
      </w:r>
    </w:p>
    <w:p w14:paraId="47FEB66E">
      <w:pPr>
        <w:spacing w:line="360" w:lineRule="auto"/>
        <w:outlineLvl w:val="2"/>
        <w:rPr>
          <w:color w:val="auto"/>
          <w:sz w:val="24"/>
          <w:szCs w:val="20"/>
          <w:highlight w:val="none"/>
        </w:rPr>
      </w:pPr>
      <w:r>
        <w:rPr>
          <w:color w:val="auto"/>
          <w:sz w:val="24"/>
          <w:szCs w:val="20"/>
          <w:highlight w:val="none"/>
        </w:rPr>
        <w:t>3-1联合协议</w:t>
      </w:r>
      <w:r>
        <w:rPr>
          <w:rFonts w:hint="eastAsia"/>
          <w:color w:val="auto"/>
          <w:sz w:val="24"/>
          <w:szCs w:val="20"/>
          <w:highlight w:val="none"/>
        </w:rPr>
        <w:t>：</w:t>
      </w:r>
      <w:r>
        <w:rPr>
          <w:color w:val="auto"/>
          <w:sz w:val="24"/>
          <w:szCs w:val="20"/>
          <w:highlight w:val="none"/>
        </w:rPr>
        <w:t>本项目不接受联合体投标</w:t>
      </w:r>
      <w:r>
        <w:rPr>
          <w:rFonts w:hint="eastAsia"/>
          <w:color w:val="auto"/>
          <w:sz w:val="24"/>
          <w:szCs w:val="20"/>
          <w:highlight w:val="none"/>
        </w:rPr>
        <w:t>。</w:t>
      </w:r>
    </w:p>
    <w:p w14:paraId="2AE65619">
      <w:pPr>
        <w:spacing w:line="360" w:lineRule="auto"/>
        <w:rPr>
          <w:rFonts w:hint="eastAsia" w:eastAsia="宋体"/>
          <w:color w:val="auto"/>
          <w:sz w:val="24"/>
          <w:szCs w:val="20"/>
          <w:highlight w:val="none"/>
          <w:lang w:val="en-US" w:eastAsia="zh-CN"/>
        </w:rPr>
      </w:pPr>
      <w:r>
        <w:rPr>
          <w:color w:val="auto"/>
          <w:sz w:val="24"/>
          <w:szCs w:val="20"/>
          <w:highlight w:val="none"/>
        </w:rPr>
        <w:t>3-2其他特定资格要求</w:t>
      </w:r>
      <w:r>
        <w:rPr>
          <w:rFonts w:hint="eastAsia"/>
          <w:color w:val="auto"/>
          <w:sz w:val="24"/>
          <w:szCs w:val="20"/>
          <w:highlight w:val="none"/>
        </w:rPr>
        <w:t>：</w:t>
      </w:r>
      <w:r>
        <w:rPr>
          <w:rFonts w:hint="eastAsia"/>
          <w:color w:val="auto"/>
          <w:sz w:val="24"/>
          <w:szCs w:val="20"/>
          <w:highlight w:val="none"/>
          <w:lang w:val="en-US" w:eastAsia="zh-CN"/>
        </w:rPr>
        <w:t>无。</w:t>
      </w:r>
    </w:p>
    <w:p w14:paraId="268131FC">
      <w:pPr>
        <w:spacing w:line="360" w:lineRule="auto"/>
        <w:ind w:left="719" w:hanging="240"/>
        <w:rPr>
          <w:color w:val="auto"/>
          <w:sz w:val="24"/>
          <w:szCs w:val="20"/>
          <w:highlight w:val="none"/>
        </w:rPr>
      </w:pPr>
    </w:p>
    <w:p w14:paraId="77960EA5">
      <w:pPr>
        <w:spacing w:line="360" w:lineRule="auto"/>
        <w:ind w:left="719" w:hanging="240"/>
        <w:rPr>
          <w:color w:val="auto"/>
          <w:sz w:val="24"/>
          <w:szCs w:val="20"/>
          <w:highlight w:val="none"/>
        </w:rPr>
      </w:pPr>
    </w:p>
    <w:p w14:paraId="0190A6E2">
      <w:pPr>
        <w:spacing w:line="360" w:lineRule="auto"/>
        <w:ind w:left="719" w:hanging="240"/>
        <w:rPr>
          <w:color w:val="auto"/>
          <w:sz w:val="24"/>
          <w:szCs w:val="20"/>
          <w:highlight w:val="none"/>
        </w:rPr>
      </w:pPr>
    </w:p>
    <w:p w14:paraId="57F3E6A6">
      <w:pPr>
        <w:spacing w:line="360" w:lineRule="auto"/>
        <w:ind w:left="719" w:hanging="240"/>
        <w:rPr>
          <w:color w:val="auto"/>
          <w:sz w:val="24"/>
          <w:szCs w:val="20"/>
          <w:highlight w:val="none"/>
        </w:rPr>
      </w:pPr>
    </w:p>
    <w:p w14:paraId="13D55C02">
      <w:pPr>
        <w:spacing w:line="360" w:lineRule="auto"/>
        <w:ind w:left="719" w:hanging="240"/>
        <w:rPr>
          <w:color w:val="auto"/>
          <w:sz w:val="24"/>
          <w:szCs w:val="20"/>
          <w:highlight w:val="none"/>
        </w:rPr>
      </w:pPr>
    </w:p>
    <w:p w14:paraId="309274AA">
      <w:pPr>
        <w:spacing w:line="360" w:lineRule="auto"/>
        <w:ind w:left="719" w:hanging="240"/>
        <w:rPr>
          <w:color w:val="auto"/>
          <w:sz w:val="24"/>
          <w:szCs w:val="20"/>
          <w:highlight w:val="none"/>
        </w:rPr>
      </w:pPr>
    </w:p>
    <w:p w14:paraId="34A31D12">
      <w:pPr>
        <w:spacing w:line="360" w:lineRule="auto"/>
        <w:ind w:left="719" w:hanging="240"/>
        <w:rPr>
          <w:color w:val="auto"/>
          <w:sz w:val="24"/>
          <w:szCs w:val="20"/>
          <w:highlight w:val="none"/>
        </w:rPr>
      </w:pPr>
    </w:p>
    <w:p w14:paraId="32E6227B">
      <w:pPr>
        <w:spacing w:line="360" w:lineRule="auto"/>
        <w:ind w:left="719" w:hanging="240"/>
        <w:rPr>
          <w:color w:val="auto"/>
          <w:sz w:val="24"/>
          <w:szCs w:val="20"/>
          <w:highlight w:val="none"/>
        </w:rPr>
      </w:pPr>
    </w:p>
    <w:p w14:paraId="4F30969A">
      <w:pPr>
        <w:spacing w:line="360" w:lineRule="auto"/>
        <w:ind w:left="719" w:hanging="240"/>
        <w:rPr>
          <w:color w:val="auto"/>
          <w:sz w:val="24"/>
          <w:szCs w:val="20"/>
          <w:highlight w:val="none"/>
        </w:rPr>
      </w:pPr>
    </w:p>
    <w:p w14:paraId="761A6C5F">
      <w:pPr>
        <w:spacing w:line="360" w:lineRule="auto"/>
        <w:ind w:left="719" w:hanging="240"/>
        <w:rPr>
          <w:color w:val="auto"/>
          <w:sz w:val="24"/>
          <w:szCs w:val="20"/>
          <w:highlight w:val="none"/>
        </w:rPr>
      </w:pPr>
    </w:p>
    <w:p w14:paraId="1ACBF226">
      <w:pPr>
        <w:spacing w:line="360" w:lineRule="auto"/>
        <w:ind w:left="719" w:hanging="240"/>
        <w:rPr>
          <w:color w:val="auto"/>
          <w:sz w:val="24"/>
          <w:szCs w:val="20"/>
          <w:highlight w:val="none"/>
        </w:rPr>
      </w:pPr>
    </w:p>
    <w:p w14:paraId="72FFEED6">
      <w:pPr>
        <w:spacing w:line="360" w:lineRule="auto"/>
        <w:ind w:left="719" w:hanging="240"/>
        <w:rPr>
          <w:color w:val="auto"/>
          <w:sz w:val="24"/>
          <w:szCs w:val="20"/>
          <w:highlight w:val="none"/>
        </w:rPr>
      </w:pPr>
    </w:p>
    <w:p w14:paraId="2ACBCFD2">
      <w:pPr>
        <w:spacing w:line="360" w:lineRule="auto"/>
        <w:ind w:left="719" w:hanging="240"/>
        <w:rPr>
          <w:color w:val="auto"/>
          <w:sz w:val="24"/>
          <w:szCs w:val="20"/>
          <w:highlight w:val="none"/>
        </w:rPr>
      </w:pPr>
    </w:p>
    <w:p w14:paraId="148DED56">
      <w:pPr>
        <w:spacing w:line="360" w:lineRule="auto"/>
        <w:ind w:left="719" w:hanging="240"/>
        <w:rPr>
          <w:color w:val="auto"/>
          <w:sz w:val="24"/>
          <w:szCs w:val="20"/>
          <w:highlight w:val="none"/>
        </w:rPr>
      </w:pPr>
    </w:p>
    <w:p w14:paraId="36156B00">
      <w:pPr>
        <w:spacing w:line="360" w:lineRule="auto"/>
        <w:ind w:left="719" w:hanging="240"/>
        <w:rPr>
          <w:color w:val="auto"/>
          <w:sz w:val="24"/>
          <w:szCs w:val="20"/>
          <w:highlight w:val="none"/>
        </w:rPr>
      </w:pPr>
    </w:p>
    <w:p w14:paraId="2CC52EFA">
      <w:pPr>
        <w:spacing w:line="360" w:lineRule="auto"/>
        <w:ind w:left="719" w:hanging="240"/>
        <w:rPr>
          <w:color w:val="auto"/>
          <w:sz w:val="24"/>
          <w:szCs w:val="20"/>
          <w:highlight w:val="none"/>
        </w:rPr>
      </w:pPr>
    </w:p>
    <w:p w14:paraId="08A68FAE">
      <w:pPr>
        <w:spacing w:line="360" w:lineRule="auto"/>
        <w:ind w:left="719" w:hanging="240"/>
        <w:rPr>
          <w:color w:val="auto"/>
          <w:sz w:val="24"/>
          <w:szCs w:val="20"/>
          <w:highlight w:val="none"/>
        </w:rPr>
      </w:pPr>
    </w:p>
    <w:p w14:paraId="06AD99C9">
      <w:pPr>
        <w:spacing w:line="360" w:lineRule="auto"/>
        <w:ind w:left="719" w:hanging="240"/>
        <w:rPr>
          <w:color w:val="auto"/>
          <w:sz w:val="24"/>
          <w:szCs w:val="20"/>
          <w:highlight w:val="none"/>
        </w:rPr>
      </w:pPr>
    </w:p>
    <w:p w14:paraId="60AC4F93">
      <w:pPr>
        <w:spacing w:line="360" w:lineRule="auto"/>
        <w:ind w:left="719" w:hanging="240"/>
        <w:rPr>
          <w:color w:val="auto"/>
          <w:sz w:val="24"/>
          <w:szCs w:val="20"/>
          <w:highlight w:val="none"/>
        </w:rPr>
      </w:pPr>
    </w:p>
    <w:p w14:paraId="673C92C2">
      <w:pPr>
        <w:spacing w:line="360" w:lineRule="auto"/>
        <w:ind w:left="719" w:hanging="240"/>
        <w:rPr>
          <w:color w:val="auto"/>
          <w:sz w:val="24"/>
          <w:szCs w:val="20"/>
          <w:highlight w:val="none"/>
        </w:rPr>
      </w:pPr>
    </w:p>
    <w:p w14:paraId="3798F068">
      <w:pPr>
        <w:spacing w:line="360" w:lineRule="auto"/>
        <w:ind w:left="719" w:hanging="240"/>
        <w:rPr>
          <w:color w:val="auto"/>
          <w:sz w:val="24"/>
          <w:szCs w:val="20"/>
          <w:highlight w:val="none"/>
        </w:rPr>
      </w:pPr>
    </w:p>
    <w:p w14:paraId="7AA3F812">
      <w:pPr>
        <w:spacing w:line="360" w:lineRule="auto"/>
        <w:ind w:left="719" w:hanging="240"/>
        <w:rPr>
          <w:color w:val="auto"/>
          <w:sz w:val="24"/>
          <w:szCs w:val="20"/>
          <w:highlight w:val="none"/>
        </w:rPr>
      </w:pPr>
    </w:p>
    <w:p w14:paraId="0CE911A5">
      <w:pPr>
        <w:spacing w:line="360" w:lineRule="auto"/>
        <w:ind w:left="719" w:hanging="240"/>
        <w:rPr>
          <w:color w:val="auto"/>
          <w:sz w:val="24"/>
          <w:szCs w:val="20"/>
          <w:highlight w:val="none"/>
        </w:rPr>
      </w:pPr>
    </w:p>
    <w:p w14:paraId="186200B7">
      <w:pPr>
        <w:spacing w:line="360" w:lineRule="auto"/>
        <w:ind w:left="719" w:hanging="240"/>
        <w:rPr>
          <w:color w:val="auto"/>
          <w:sz w:val="24"/>
          <w:szCs w:val="20"/>
          <w:highlight w:val="none"/>
        </w:rPr>
      </w:pPr>
    </w:p>
    <w:p w14:paraId="14B1B104">
      <w:pPr>
        <w:keepNext/>
        <w:keepLines/>
        <w:spacing w:before="120" w:line="300" w:lineRule="auto"/>
        <w:jc w:val="left"/>
        <w:outlineLvl w:val="1"/>
        <w:rPr>
          <w:b/>
          <w:color w:val="auto"/>
          <w:spacing w:val="20"/>
          <w:sz w:val="24"/>
          <w:highlight w:val="none"/>
        </w:rPr>
      </w:pPr>
      <w:r>
        <w:rPr>
          <w:color w:val="auto"/>
          <w:sz w:val="24"/>
          <w:szCs w:val="20"/>
          <w:highlight w:val="none"/>
        </w:rPr>
        <w:br w:type="page" w:clear="all"/>
      </w:r>
      <w:r>
        <w:rPr>
          <w:b/>
          <w:color w:val="auto"/>
          <w:spacing w:val="20"/>
          <w:sz w:val="24"/>
          <w:highlight w:val="none"/>
        </w:rPr>
        <w:t>二、商务技术文件格式</w:t>
      </w:r>
      <w:bookmarkStart w:id="832" w:name="_Toc195842921"/>
      <w:bookmarkStart w:id="833" w:name="_Toc127151556"/>
      <w:bookmarkStart w:id="834" w:name="_Toc226965746"/>
      <w:bookmarkStart w:id="835" w:name="_Toc226309800"/>
      <w:bookmarkStart w:id="836" w:name="_Toc520356217"/>
      <w:bookmarkStart w:id="837" w:name="_Toc226337252"/>
      <w:bookmarkStart w:id="838" w:name="_Toc150480794"/>
      <w:bookmarkStart w:id="839" w:name="_Toc480942349"/>
      <w:bookmarkStart w:id="840" w:name="_Toc226965829"/>
      <w:bookmarkStart w:id="841" w:name="_Toc150774761"/>
      <w:bookmarkStart w:id="842" w:name="_Ref467988698"/>
      <w:bookmarkStart w:id="843" w:name="_Toc142311058"/>
    </w:p>
    <w:p w14:paraId="03261920">
      <w:pPr>
        <w:widowControl/>
        <w:jc w:val="center"/>
        <w:rPr>
          <w:rFonts w:ascii="宋体" w:hAnsi="宋体"/>
          <w:b/>
          <w:color w:val="auto"/>
          <w:sz w:val="32"/>
          <w:szCs w:val="32"/>
          <w:highlight w:val="none"/>
        </w:rPr>
      </w:pPr>
    </w:p>
    <w:p w14:paraId="4C3BCD0A">
      <w:pPr>
        <w:spacing w:line="360" w:lineRule="auto"/>
        <w:outlineLvl w:val="2"/>
        <w:rPr>
          <w:color w:val="auto"/>
          <w:sz w:val="24"/>
          <w:szCs w:val="20"/>
          <w:highlight w:val="none"/>
        </w:rPr>
      </w:pPr>
      <w:r>
        <w:rPr>
          <w:rFonts w:hint="eastAsia"/>
          <w:color w:val="auto"/>
          <w:sz w:val="24"/>
          <w:highlight w:val="none"/>
        </w:rPr>
        <w:t>1</w:t>
      </w:r>
      <w:r>
        <w:rPr>
          <w:color w:val="auto"/>
          <w:sz w:val="24"/>
          <w:szCs w:val="20"/>
          <w:highlight w:val="none"/>
        </w:rPr>
        <w:t xml:space="preserve">  </w:t>
      </w:r>
      <w:r>
        <w:rPr>
          <w:color w:val="auto"/>
          <w:sz w:val="24"/>
          <w:highlight w:val="none"/>
        </w:rPr>
        <w:t>投标</w:t>
      </w:r>
      <w:bookmarkEnd w:id="832"/>
      <w:bookmarkEnd w:id="833"/>
      <w:bookmarkEnd w:id="834"/>
      <w:bookmarkEnd w:id="835"/>
      <w:bookmarkEnd w:id="836"/>
      <w:bookmarkEnd w:id="837"/>
      <w:bookmarkEnd w:id="838"/>
      <w:bookmarkEnd w:id="839"/>
      <w:bookmarkEnd w:id="840"/>
      <w:bookmarkEnd w:id="841"/>
      <w:bookmarkEnd w:id="842"/>
      <w:bookmarkEnd w:id="843"/>
      <w:r>
        <w:rPr>
          <w:rFonts w:hint="eastAsia"/>
          <w:color w:val="auto"/>
          <w:sz w:val="24"/>
          <w:highlight w:val="none"/>
        </w:rPr>
        <w:t>函</w:t>
      </w:r>
      <w:r>
        <w:rPr>
          <w:color w:val="auto"/>
          <w:sz w:val="24"/>
          <w:szCs w:val="20"/>
          <w:highlight w:val="none"/>
        </w:rPr>
        <w:t>（实质性格式）</w:t>
      </w:r>
    </w:p>
    <w:p w14:paraId="453BA13D">
      <w:pPr>
        <w:tabs>
          <w:tab w:val="left" w:pos="5580"/>
        </w:tabs>
        <w:spacing w:line="360" w:lineRule="auto"/>
        <w:rPr>
          <w:color w:val="auto"/>
          <w:sz w:val="24"/>
          <w:highlight w:val="none"/>
        </w:rPr>
      </w:pPr>
    </w:p>
    <w:p w14:paraId="5A8D7C7E">
      <w:pPr>
        <w:spacing w:line="360" w:lineRule="auto"/>
        <w:jc w:val="center"/>
        <w:rPr>
          <w:b/>
          <w:color w:val="auto"/>
          <w:sz w:val="36"/>
          <w:szCs w:val="36"/>
          <w:highlight w:val="none"/>
        </w:rPr>
      </w:pPr>
      <w:r>
        <w:rPr>
          <w:rFonts w:hint="eastAsia"/>
          <w:b/>
          <w:color w:val="auto"/>
          <w:sz w:val="36"/>
          <w:szCs w:val="36"/>
          <w:highlight w:val="none"/>
        </w:rPr>
        <w:t>投标函</w:t>
      </w:r>
    </w:p>
    <w:p w14:paraId="144FF413">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w:t>
      </w:r>
      <w:r>
        <w:rPr>
          <w:rFonts w:hint="eastAsia"/>
          <w:color w:val="auto"/>
          <w:sz w:val="24"/>
          <w:highlight w:val="none"/>
          <w:u w:val="single"/>
        </w:rPr>
        <w:t>招标人</w:t>
      </w:r>
      <w:r>
        <w:rPr>
          <w:color w:val="auto"/>
          <w:sz w:val="24"/>
          <w:highlight w:val="none"/>
          <w:u w:val="single"/>
        </w:rPr>
        <w:t>或采购代理机构）</w:t>
      </w:r>
    </w:p>
    <w:p w14:paraId="398B275F">
      <w:pPr>
        <w:tabs>
          <w:tab w:val="left" w:pos="5580"/>
        </w:tabs>
        <w:spacing w:line="360" w:lineRule="auto"/>
        <w:rPr>
          <w:color w:val="auto"/>
          <w:sz w:val="24"/>
          <w:szCs w:val="20"/>
          <w:highlight w:val="none"/>
        </w:rPr>
      </w:pPr>
    </w:p>
    <w:p w14:paraId="0CB0993F">
      <w:pPr>
        <w:tabs>
          <w:tab w:val="left" w:pos="5580"/>
        </w:tabs>
        <w:spacing w:line="360" w:lineRule="auto"/>
        <w:ind w:firstLine="408"/>
        <w:rPr>
          <w:color w:val="auto"/>
          <w:sz w:val="24"/>
          <w:szCs w:val="20"/>
          <w:highlight w:val="none"/>
        </w:rPr>
      </w:pPr>
      <w:r>
        <w:rPr>
          <w:color w:val="auto"/>
          <w:sz w:val="24"/>
          <w:szCs w:val="20"/>
          <w:highlight w:val="none"/>
        </w:rPr>
        <w:t>我方参加你方就___________（项目名称，项目编号/包号）组织的招标活动，并对此项目进行投标。</w:t>
      </w:r>
    </w:p>
    <w:p w14:paraId="13147BE0">
      <w:pPr>
        <w:tabs>
          <w:tab w:val="left" w:pos="5580"/>
        </w:tabs>
        <w:spacing w:line="360" w:lineRule="auto"/>
        <w:ind w:firstLine="408"/>
        <w:rPr>
          <w:color w:val="auto"/>
          <w:sz w:val="24"/>
          <w:szCs w:val="20"/>
          <w:highlight w:val="none"/>
        </w:rPr>
      </w:pPr>
      <w:r>
        <w:rPr>
          <w:color w:val="auto"/>
          <w:sz w:val="24"/>
          <w:szCs w:val="20"/>
          <w:highlight w:val="none"/>
        </w:rPr>
        <w:t>1. 我方</w:t>
      </w:r>
      <w:r>
        <w:rPr>
          <w:color w:val="auto"/>
          <w:sz w:val="24"/>
          <w:highlight w:val="none"/>
        </w:rPr>
        <w:t>已详细审查全部招标文件</w:t>
      </w:r>
      <w:r>
        <w:rPr>
          <w:color w:val="auto"/>
          <w:sz w:val="24"/>
          <w:szCs w:val="20"/>
          <w:highlight w:val="none"/>
        </w:rPr>
        <w:t>，自愿参与投标并承诺如下：</w:t>
      </w:r>
    </w:p>
    <w:p w14:paraId="500F5601">
      <w:pPr>
        <w:tabs>
          <w:tab w:val="left" w:pos="720"/>
          <w:tab w:val="left" w:pos="900"/>
        </w:tabs>
        <w:spacing w:line="360" w:lineRule="auto"/>
        <w:ind w:left="360" w:firstLine="72"/>
        <w:rPr>
          <w:color w:val="auto"/>
          <w:sz w:val="24"/>
          <w:szCs w:val="20"/>
          <w:highlight w:val="none"/>
        </w:rPr>
      </w:pPr>
      <w:r>
        <w:rPr>
          <w:color w:val="auto"/>
          <w:sz w:val="24"/>
          <w:szCs w:val="20"/>
          <w:highlight w:val="none"/>
        </w:rPr>
        <w:t>（1）本投标有效期为自提交投标文件的截止之日起</w:t>
      </w:r>
      <w:r>
        <w:rPr>
          <w:rFonts w:hint="eastAsia"/>
          <w:color w:val="auto"/>
          <w:sz w:val="24"/>
          <w:highlight w:val="none"/>
        </w:rPr>
        <w:t>60</w:t>
      </w:r>
      <w:r>
        <w:rPr>
          <w:color w:val="auto"/>
          <w:sz w:val="24"/>
          <w:szCs w:val="20"/>
          <w:highlight w:val="none"/>
        </w:rPr>
        <w:t>个日历日。</w:t>
      </w:r>
    </w:p>
    <w:p w14:paraId="1A383D85">
      <w:pPr>
        <w:tabs>
          <w:tab w:val="left" w:pos="720"/>
          <w:tab w:val="left" w:pos="900"/>
        </w:tabs>
        <w:spacing w:line="360" w:lineRule="auto"/>
        <w:ind w:left="360" w:firstLine="72"/>
        <w:rPr>
          <w:color w:val="auto"/>
          <w:sz w:val="24"/>
          <w:szCs w:val="20"/>
          <w:highlight w:val="none"/>
        </w:rPr>
      </w:pPr>
      <w:r>
        <w:rPr>
          <w:color w:val="auto"/>
          <w:sz w:val="24"/>
          <w:szCs w:val="20"/>
          <w:highlight w:val="none"/>
        </w:rPr>
        <w:t>（2）除合同条款及采购需求偏离表列出的偏离外，我方响应招标文件的全部要求。</w:t>
      </w:r>
    </w:p>
    <w:p w14:paraId="7690BD4D">
      <w:pPr>
        <w:tabs>
          <w:tab w:val="left" w:pos="5580"/>
        </w:tabs>
        <w:spacing w:line="360" w:lineRule="auto"/>
        <w:ind w:firstLine="420"/>
        <w:rPr>
          <w:color w:val="auto"/>
          <w:sz w:val="24"/>
          <w:szCs w:val="20"/>
          <w:highlight w:val="none"/>
        </w:rPr>
      </w:pPr>
      <w:r>
        <w:rPr>
          <w:color w:val="auto"/>
          <w:sz w:val="24"/>
          <w:szCs w:val="20"/>
          <w:highlight w:val="none"/>
        </w:rPr>
        <w:t>（3）我方已提供的全部文件资料是真实、准确的，并对此承担一切法律后果。</w:t>
      </w:r>
    </w:p>
    <w:p w14:paraId="5F56EC77">
      <w:pPr>
        <w:tabs>
          <w:tab w:val="left" w:pos="5580"/>
        </w:tabs>
        <w:spacing w:line="360" w:lineRule="auto"/>
        <w:ind w:firstLine="420"/>
        <w:rPr>
          <w:color w:val="auto"/>
          <w:sz w:val="24"/>
          <w:highlight w:val="none"/>
        </w:rPr>
      </w:pPr>
      <w:r>
        <w:rPr>
          <w:color w:val="auto"/>
          <w:sz w:val="24"/>
          <w:szCs w:val="20"/>
          <w:highlight w:val="none"/>
        </w:rPr>
        <w:t>（4）如我方中标，我方将在法律规定的期限内与你方签订合同，按照招标文件要求提交履约保证金，并在合同约定的期限内完成合同规定的全部义务。</w:t>
      </w:r>
    </w:p>
    <w:p w14:paraId="4252B9D1">
      <w:pPr>
        <w:spacing w:line="360" w:lineRule="auto"/>
        <w:ind w:left="420"/>
        <w:rPr>
          <w:color w:val="auto"/>
          <w:sz w:val="24"/>
          <w:highlight w:val="none"/>
        </w:rPr>
      </w:pPr>
      <w:r>
        <w:rPr>
          <w:color w:val="auto"/>
          <w:sz w:val="24"/>
          <w:highlight w:val="none"/>
        </w:rPr>
        <w:t>2. 其他补充条款（如有）：</w:t>
      </w:r>
      <w:r>
        <w:rPr>
          <w:color w:val="auto"/>
          <w:sz w:val="24"/>
          <w:szCs w:val="20"/>
          <w:highlight w:val="none"/>
        </w:rPr>
        <w:t>___________</w:t>
      </w:r>
      <w:r>
        <w:rPr>
          <w:color w:val="auto"/>
          <w:sz w:val="24"/>
          <w:highlight w:val="none"/>
        </w:rPr>
        <w:t>。</w:t>
      </w:r>
    </w:p>
    <w:p w14:paraId="788607AB">
      <w:pPr>
        <w:spacing w:line="360" w:lineRule="auto"/>
        <w:ind w:firstLine="480"/>
        <w:rPr>
          <w:color w:val="auto"/>
          <w:sz w:val="24"/>
          <w:highlight w:val="none"/>
        </w:rPr>
      </w:pPr>
      <w:r>
        <w:rPr>
          <w:color w:val="auto"/>
          <w:sz w:val="24"/>
          <w:highlight w:val="none"/>
        </w:rPr>
        <w:t>与本投标有关的一切正式往来信函请寄：</w:t>
      </w:r>
    </w:p>
    <w:p w14:paraId="17C911D7">
      <w:pPr>
        <w:tabs>
          <w:tab w:val="left" w:pos="5580"/>
        </w:tabs>
        <w:spacing w:line="360" w:lineRule="auto"/>
        <w:ind w:left="420"/>
        <w:rPr>
          <w:color w:val="auto"/>
          <w:sz w:val="24"/>
          <w:szCs w:val="20"/>
          <w:highlight w:val="none"/>
        </w:rPr>
      </w:pPr>
    </w:p>
    <w:p w14:paraId="27A0117C">
      <w:pPr>
        <w:tabs>
          <w:tab w:val="left" w:pos="5580"/>
        </w:tabs>
        <w:spacing w:line="360" w:lineRule="auto"/>
        <w:ind w:left="420"/>
        <w:rPr>
          <w:color w:val="auto"/>
          <w:sz w:val="24"/>
          <w:szCs w:val="20"/>
          <w:highlight w:val="none"/>
        </w:rPr>
      </w:pPr>
      <w:r>
        <w:rPr>
          <w:color w:val="auto"/>
          <w:sz w:val="24"/>
          <w:szCs w:val="20"/>
          <w:highlight w:val="none"/>
        </w:rPr>
        <w:t>地址_________________________     传真____________________________</w:t>
      </w:r>
    </w:p>
    <w:p w14:paraId="4985565D">
      <w:pPr>
        <w:tabs>
          <w:tab w:val="left" w:pos="5580"/>
        </w:tabs>
        <w:spacing w:line="360" w:lineRule="auto"/>
        <w:ind w:left="420"/>
        <w:rPr>
          <w:color w:val="auto"/>
          <w:sz w:val="24"/>
          <w:szCs w:val="20"/>
          <w:highlight w:val="none"/>
        </w:rPr>
      </w:pPr>
      <w:r>
        <w:rPr>
          <w:color w:val="auto"/>
          <w:sz w:val="24"/>
          <w:szCs w:val="20"/>
          <w:highlight w:val="none"/>
        </w:rPr>
        <w:t>电话_________________________     电子函件________________________</w:t>
      </w:r>
    </w:p>
    <w:p w14:paraId="1B98A19B">
      <w:pPr>
        <w:tabs>
          <w:tab w:val="left" w:pos="5580"/>
        </w:tabs>
        <w:spacing w:line="360" w:lineRule="auto"/>
        <w:ind w:left="420"/>
        <w:rPr>
          <w:color w:val="auto"/>
          <w:sz w:val="24"/>
          <w:szCs w:val="20"/>
          <w:highlight w:val="none"/>
        </w:rPr>
      </w:pPr>
    </w:p>
    <w:p w14:paraId="23784736">
      <w:pPr>
        <w:tabs>
          <w:tab w:val="left" w:pos="5580"/>
        </w:tabs>
        <w:spacing w:line="360" w:lineRule="auto"/>
        <w:ind w:left="420"/>
        <w:rPr>
          <w:color w:val="auto"/>
          <w:sz w:val="24"/>
          <w:szCs w:val="20"/>
          <w:highlight w:val="none"/>
        </w:rPr>
      </w:pPr>
      <w:r>
        <w:rPr>
          <w:color w:val="auto"/>
          <w:sz w:val="24"/>
          <w:szCs w:val="20"/>
          <w:highlight w:val="none"/>
        </w:rPr>
        <w:t>投标人名称（加盖公章） ___________</w:t>
      </w:r>
    </w:p>
    <w:p w14:paraId="34F4AF7E">
      <w:pPr>
        <w:tabs>
          <w:tab w:val="left" w:pos="5580"/>
        </w:tabs>
        <w:spacing w:line="360" w:lineRule="auto"/>
        <w:ind w:left="420"/>
        <w:rPr>
          <w:color w:val="auto"/>
          <w:sz w:val="24"/>
          <w:szCs w:val="20"/>
          <w:highlight w:val="none"/>
        </w:rPr>
      </w:pPr>
      <w:r>
        <w:rPr>
          <w:color w:val="auto"/>
          <w:sz w:val="24"/>
          <w:szCs w:val="20"/>
          <w:highlight w:val="none"/>
        </w:rPr>
        <w:t xml:space="preserve">日期：_____年______月______日    </w:t>
      </w:r>
    </w:p>
    <w:p w14:paraId="216D9210">
      <w:pPr>
        <w:tabs>
          <w:tab w:val="left" w:pos="5580"/>
        </w:tabs>
        <w:spacing w:line="360" w:lineRule="auto"/>
        <w:ind w:left="420"/>
        <w:rPr>
          <w:color w:val="auto"/>
          <w:sz w:val="24"/>
          <w:szCs w:val="20"/>
          <w:highlight w:val="none"/>
          <w:u w:val="single"/>
        </w:rPr>
      </w:pPr>
    </w:p>
    <w:p w14:paraId="1A6B6184">
      <w:pPr>
        <w:widowControl/>
        <w:jc w:val="left"/>
        <w:rPr>
          <w:color w:val="auto"/>
          <w:sz w:val="24"/>
          <w:highlight w:val="none"/>
        </w:rPr>
      </w:pPr>
      <w:bookmarkStart w:id="844" w:name="_Hlt520355938"/>
      <w:bookmarkEnd w:id="844"/>
      <w:bookmarkStart w:id="845" w:name="_Hlt520356243"/>
      <w:bookmarkEnd w:id="845"/>
    </w:p>
    <w:p w14:paraId="01D1CAC3">
      <w:pPr>
        <w:pStyle w:val="205"/>
        <w:rPr>
          <w:color w:val="auto"/>
          <w:highlight w:val="none"/>
        </w:rPr>
      </w:pPr>
    </w:p>
    <w:p w14:paraId="4A38AE57">
      <w:pPr>
        <w:rPr>
          <w:color w:val="auto"/>
          <w:highlight w:val="none"/>
        </w:rPr>
      </w:pPr>
    </w:p>
    <w:p w14:paraId="63850C19">
      <w:pPr>
        <w:pStyle w:val="205"/>
        <w:rPr>
          <w:color w:val="auto"/>
          <w:highlight w:val="none"/>
        </w:rPr>
      </w:pPr>
    </w:p>
    <w:p w14:paraId="759647DC">
      <w:pPr>
        <w:rPr>
          <w:color w:val="auto"/>
          <w:highlight w:val="none"/>
        </w:rPr>
      </w:pPr>
    </w:p>
    <w:p w14:paraId="451B48C8">
      <w:pPr>
        <w:pStyle w:val="205"/>
        <w:rPr>
          <w:color w:val="auto"/>
          <w:highlight w:val="none"/>
        </w:rPr>
      </w:pPr>
    </w:p>
    <w:p w14:paraId="7E162C93">
      <w:pPr>
        <w:rPr>
          <w:color w:val="auto"/>
          <w:highlight w:val="none"/>
        </w:rPr>
      </w:pPr>
    </w:p>
    <w:p w14:paraId="70D34BBD">
      <w:pPr>
        <w:pStyle w:val="205"/>
        <w:rPr>
          <w:color w:val="auto"/>
          <w:highlight w:val="none"/>
        </w:rPr>
      </w:pPr>
    </w:p>
    <w:p w14:paraId="363B3694">
      <w:pPr>
        <w:rPr>
          <w:color w:val="auto"/>
          <w:highlight w:val="none"/>
        </w:rPr>
      </w:pPr>
    </w:p>
    <w:p w14:paraId="53FF6F81">
      <w:pPr>
        <w:spacing w:line="360" w:lineRule="auto"/>
        <w:outlineLvl w:val="2"/>
        <w:rPr>
          <w:rFonts w:hint="eastAsia"/>
          <w:color w:val="auto"/>
          <w:sz w:val="24"/>
          <w:highlight w:val="none"/>
        </w:rPr>
      </w:pPr>
      <w:r>
        <w:rPr>
          <w:rFonts w:hint="eastAsia"/>
          <w:color w:val="auto"/>
          <w:sz w:val="24"/>
          <w:highlight w:val="none"/>
        </w:rPr>
        <w:t>2</w:t>
      </w:r>
      <w:r>
        <w:rPr>
          <w:color w:val="auto"/>
          <w:sz w:val="24"/>
          <w:highlight w:val="none"/>
        </w:rPr>
        <w:t xml:space="preserve">  </w:t>
      </w:r>
      <w:r>
        <w:rPr>
          <w:rFonts w:hint="eastAsia"/>
          <w:color w:val="auto"/>
          <w:sz w:val="24"/>
          <w:highlight w:val="none"/>
        </w:rPr>
        <w:t>法人授权书</w:t>
      </w:r>
      <w:r>
        <w:rPr>
          <w:color w:val="auto"/>
          <w:sz w:val="24"/>
          <w:highlight w:val="none"/>
        </w:rPr>
        <w:t>（实质性格式）</w:t>
      </w:r>
    </w:p>
    <w:p w14:paraId="4ADFDCE2">
      <w:pPr>
        <w:spacing w:line="360" w:lineRule="auto"/>
        <w:jc w:val="center"/>
        <w:rPr>
          <w:rFonts w:hint="eastAsia" w:ascii="宋体" w:hAnsi="宋体"/>
          <w:b/>
          <w:color w:val="auto"/>
          <w:sz w:val="32"/>
          <w:szCs w:val="32"/>
          <w:highlight w:val="none"/>
        </w:rPr>
      </w:pPr>
    </w:p>
    <w:p w14:paraId="0D0BBA6B">
      <w:pPr>
        <w:spacing w:line="360" w:lineRule="auto"/>
        <w:jc w:val="center"/>
        <w:rPr>
          <w:rFonts w:hint="eastAsia" w:ascii="宋体" w:hAnsi="宋体"/>
          <w:b/>
          <w:color w:val="auto"/>
          <w:sz w:val="32"/>
          <w:szCs w:val="32"/>
          <w:highlight w:val="none"/>
        </w:rPr>
      </w:pPr>
      <w:r>
        <w:rPr>
          <w:rFonts w:hint="eastAsia" w:ascii="宋体" w:hAnsi="宋体"/>
          <w:b/>
          <w:color w:val="auto"/>
          <w:sz w:val="32"/>
          <w:szCs w:val="32"/>
          <w:highlight w:val="none"/>
        </w:rPr>
        <w:t>法人授权书</w:t>
      </w:r>
    </w:p>
    <w:p w14:paraId="1F0917BD">
      <w:pPr>
        <w:pStyle w:val="15"/>
        <w:tabs>
          <w:tab w:val="left" w:pos="567"/>
        </w:tabs>
        <w:rPr>
          <w:color w:val="auto"/>
          <w:highlight w:val="none"/>
        </w:rPr>
      </w:pPr>
    </w:p>
    <w:p w14:paraId="0980448E">
      <w:pPr>
        <w:pStyle w:val="319"/>
        <w:spacing w:line="360" w:lineRule="auto"/>
        <w:ind w:firstLine="480"/>
        <w:rPr>
          <w:color w:val="auto"/>
          <w:highlight w:val="none"/>
        </w:rPr>
      </w:pPr>
      <w:r>
        <w:rPr>
          <w:rFonts w:hint="eastAsia"/>
          <w:color w:val="auto"/>
          <w:highlight w:val="none"/>
        </w:rPr>
        <w:t>本授权书声明：____________（投标人名称）授权________________（被授权人的姓名）为我方就JSZC-</w:t>
      </w:r>
      <w:r>
        <w:rPr>
          <w:rFonts w:hint="eastAsia"/>
          <w:color w:val="auto"/>
          <w:highlight w:val="none"/>
          <w:u w:val="single"/>
        </w:rPr>
        <w:t xml:space="preserve">        </w:t>
      </w:r>
      <w:r>
        <w:rPr>
          <w:rFonts w:hint="eastAsia"/>
          <w:color w:val="auto"/>
          <w:highlight w:val="none"/>
        </w:rPr>
        <w:t>号项目采购活动的合法代理人，以本单位名义全权处理一切与该项目采购有关的事务。</w:t>
      </w:r>
    </w:p>
    <w:p w14:paraId="1D6AB904">
      <w:pPr>
        <w:pStyle w:val="319"/>
        <w:spacing w:line="360" w:lineRule="auto"/>
        <w:ind w:firstLine="480"/>
        <w:rPr>
          <w:color w:val="auto"/>
          <w:highlight w:val="none"/>
        </w:rPr>
      </w:pPr>
      <w:r>
        <w:rPr>
          <w:rFonts w:hint="eastAsia"/>
          <w:color w:val="auto"/>
          <w:highlight w:val="none"/>
        </w:rPr>
        <w:t>本授权书于______年____月____日起生效，特此声明。</w:t>
      </w:r>
    </w:p>
    <w:p w14:paraId="5DC174B4">
      <w:pPr>
        <w:pStyle w:val="319"/>
        <w:spacing w:line="360" w:lineRule="auto"/>
        <w:rPr>
          <w:color w:val="auto"/>
          <w:highlight w:val="none"/>
          <w:u w:val="single"/>
        </w:rPr>
      </w:pPr>
      <w:r>
        <w:rPr>
          <w:rFonts w:hint="eastAsia"/>
          <w:color w:val="auto"/>
          <w:highlight w:val="none"/>
        </w:rPr>
        <w:t xml:space="preserve">          被授权人身份证号码：</w:t>
      </w:r>
      <w:r>
        <w:rPr>
          <w:rFonts w:hint="eastAsia"/>
          <w:color w:val="auto"/>
          <w:highlight w:val="none"/>
          <w:u w:val="single"/>
        </w:rPr>
        <w:t xml:space="preserve">                              </w:t>
      </w:r>
    </w:p>
    <w:p w14:paraId="15B7DB8F">
      <w:pPr>
        <w:pStyle w:val="319"/>
        <w:spacing w:line="360" w:lineRule="auto"/>
        <w:rPr>
          <w:color w:val="auto"/>
          <w:highlight w:val="none"/>
          <w:u w:val="single"/>
        </w:rPr>
      </w:pPr>
      <w:r>
        <w:rPr>
          <w:rFonts w:hint="eastAsia"/>
          <w:color w:val="auto"/>
          <w:highlight w:val="none"/>
        </w:rPr>
        <w:t xml:space="preserve">          被授权人联系电话：（手机）</w:t>
      </w:r>
      <w:r>
        <w:rPr>
          <w:rFonts w:hint="eastAsia"/>
          <w:color w:val="auto"/>
          <w:highlight w:val="none"/>
          <w:u w:val="single"/>
        </w:rPr>
        <w:t xml:space="preserve">                          </w:t>
      </w:r>
    </w:p>
    <w:p w14:paraId="5305436E">
      <w:pPr>
        <w:pStyle w:val="319"/>
        <w:spacing w:line="360" w:lineRule="auto"/>
        <w:ind w:firstLine="1200"/>
        <w:rPr>
          <w:rFonts w:hint="eastAsia"/>
          <w:color w:val="auto"/>
          <w:highlight w:val="none"/>
        </w:rPr>
      </w:pPr>
    </w:p>
    <w:p w14:paraId="0A2B9335">
      <w:pPr>
        <w:pStyle w:val="319"/>
        <w:spacing w:line="360" w:lineRule="auto"/>
        <w:ind w:firstLine="1200"/>
        <w:rPr>
          <w:rFonts w:hint="eastAsia"/>
          <w:color w:val="auto"/>
          <w:highlight w:val="none"/>
        </w:rPr>
      </w:pPr>
    </w:p>
    <w:p w14:paraId="4308C3A7">
      <w:pPr>
        <w:autoSpaceDE w:val="0"/>
        <w:autoSpaceDN w:val="0"/>
        <w:adjustRightInd w:val="0"/>
        <w:spacing w:line="360" w:lineRule="auto"/>
        <w:ind w:firstLine="480" w:firstLineChars="200"/>
        <w:rPr>
          <w:rFonts w:ascii="宋体" w:hAnsi="宋体"/>
          <w:color w:val="auto"/>
          <w:sz w:val="24"/>
          <w:szCs w:val="22"/>
          <w:highlight w:val="none"/>
        </w:rPr>
      </w:pPr>
      <w:r>
        <w:rPr>
          <w:rFonts w:hint="eastAsia" w:ascii="宋体" w:hAnsi="宋体"/>
          <w:color w:val="auto"/>
          <w:sz w:val="24"/>
          <w:szCs w:val="22"/>
          <w:highlight w:val="none"/>
        </w:rPr>
        <w:t>代理人身份证：</w:t>
      </w:r>
    </w:p>
    <w:p w14:paraId="456BAEC6">
      <w:pPr>
        <w:autoSpaceDE w:val="0"/>
        <w:autoSpaceDN w:val="0"/>
        <w:adjustRightInd w:val="0"/>
        <w:spacing w:line="360" w:lineRule="auto"/>
        <w:ind w:firstLine="480" w:firstLineChars="200"/>
        <w:rPr>
          <w:rFonts w:ascii="宋体" w:hAnsi="宋体"/>
          <w:color w:val="auto"/>
          <w:sz w:val="24"/>
          <w:szCs w:val="22"/>
          <w:highlight w:val="none"/>
        </w:rPr>
      </w:pPr>
      <w:r>
        <w:rPr>
          <w:rFonts w:hint="eastAsia" w:ascii="宋体" w:hAnsi="宋体"/>
          <w:color w:val="auto"/>
          <w:sz w:val="24"/>
          <w:szCs w:val="22"/>
          <w:highlight w:val="none"/>
        </w:rPr>
        <w:t>（双面复印件）粘贴处</w:t>
      </w:r>
    </w:p>
    <w:p w14:paraId="793FE0E4">
      <w:pPr>
        <w:tabs>
          <w:tab w:val="left" w:pos="5580"/>
        </w:tabs>
        <w:spacing w:line="360" w:lineRule="auto"/>
        <w:jc w:val="left"/>
        <w:rPr>
          <w:rFonts w:ascii="宋体" w:hAnsi="宋体"/>
          <w:i/>
          <w:color w:val="auto"/>
          <w:sz w:val="24"/>
          <w:szCs w:val="20"/>
          <w:highlight w:val="none"/>
          <w:u w:val="single"/>
        </w:rPr>
      </w:pPr>
    </w:p>
    <w:p w14:paraId="337CADFE">
      <w:pPr>
        <w:widowControl/>
        <w:jc w:val="left"/>
        <w:rPr>
          <w:color w:val="auto"/>
          <w:sz w:val="24"/>
          <w:highlight w:val="none"/>
        </w:rPr>
      </w:pPr>
    </w:p>
    <w:p w14:paraId="4C26C410">
      <w:pPr>
        <w:widowControl/>
        <w:jc w:val="left"/>
        <w:rPr>
          <w:color w:val="auto"/>
          <w:sz w:val="24"/>
          <w:highlight w:val="none"/>
        </w:rPr>
      </w:pPr>
    </w:p>
    <w:p w14:paraId="6D9331A6">
      <w:pPr>
        <w:widowControl/>
        <w:jc w:val="left"/>
        <w:rPr>
          <w:color w:val="auto"/>
          <w:sz w:val="24"/>
          <w:highlight w:val="none"/>
        </w:rPr>
      </w:pPr>
    </w:p>
    <w:p w14:paraId="655CEB80">
      <w:pPr>
        <w:pStyle w:val="15"/>
        <w:rPr>
          <w:color w:val="auto"/>
          <w:sz w:val="24"/>
          <w:highlight w:val="none"/>
        </w:rPr>
      </w:pPr>
    </w:p>
    <w:p w14:paraId="5DE4C8B7">
      <w:pPr>
        <w:rPr>
          <w:color w:val="auto"/>
          <w:sz w:val="24"/>
          <w:highlight w:val="none"/>
        </w:rPr>
      </w:pPr>
    </w:p>
    <w:p w14:paraId="40D61093">
      <w:pPr>
        <w:pStyle w:val="15"/>
        <w:rPr>
          <w:color w:val="auto"/>
          <w:sz w:val="24"/>
          <w:highlight w:val="none"/>
        </w:rPr>
      </w:pPr>
    </w:p>
    <w:p w14:paraId="6CE37797">
      <w:pPr>
        <w:rPr>
          <w:color w:val="auto"/>
          <w:sz w:val="24"/>
          <w:highlight w:val="none"/>
        </w:rPr>
      </w:pPr>
    </w:p>
    <w:p w14:paraId="633A8088">
      <w:pPr>
        <w:pStyle w:val="15"/>
        <w:rPr>
          <w:color w:val="auto"/>
          <w:sz w:val="24"/>
          <w:highlight w:val="none"/>
        </w:rPr>
      </w:pPr>
    </w:p>
    <w:p w14:paraId="3106E9EA">
      <w:pPr>
        <w:rPr>
          <w:color w:val="auto"/>
          <w:sz w:val="24"/>
          <w:highlight w:val="none"/>
        </w:rPr>
      </w:pPr>
    </w:p>
    <w:p w14:paraId="35E39FCA">
      <w:pPr>
        <w:pStyle w:val="15"/>
        <w:rPr>
          <w:color w:val="auto"/>
          <w:sz w:val="24"/>
          <w:highlight w:val="none"/>
        </w:rPr>
      </w:pPr>
    </w:p>
    <w:p w14:paraId="00DFF3AB">
      <w:pPr>
        <w:rPr>
          <w:color w:val="auto"/>
          <w:highlight w:val="none"/>
        </w:rPr>
      </w:pPr>
    </w:p>
    <w:p w14:paraId="513D156B">
      <w:pPr>
        <w:widowControl/>
        <w:jc w:val="left"/>
        <w:rPr>
          <w:color w:val="auto"/>
          <w:sz w:val="24"/>
          <w:highlight w:val="none"/>
        </w:rPr>
      </w:pPr>
    </w:p>
    <w:p w14:paraId="5D391887">
      <w:pPr>
        <w:pStyle w:val="319"/>
        <w:spacing w:line="360" w:lineRule="auto"/>
        <w:ind w:firstLine="1200"/>
        <w:rPr>
          <w:color w:val="auto"/>
          <w:highlight w:val="none"/>
        </w:rPr>
      </w:pPr>
      <w:r>
        <w:rPr>
          <w:rFonts w:hint="eastAsia"/>
          <w:color w:val="auto"/>
          <w:highlight w:val="none"/>
        </w:rPr>
        <w:t>授权单位名称：</w:t>
      </w:r>
      <w:r>
        <w:rPr>
          <w:rFonts w:hint="eastAsia"/>
          <w:color w:val="auto"/>
          <w:highlight w:val="none"/>
          <w:u w:val="single"/>
        </w:rPr>
        <w:t>（加盖CA电子公章）</w:t>
      </w:r>
    </w:p>
    <w:p w14:paraId="7A6AB3C4">
      <w:pPr>
        <w:pStyle w:val="319"/>
        <w:spacing w:line="360" w:lineRule="auto"/>
        <w:ind w:firstLine="480"/>
        <w:rPr>
          <w:color w:val="auto"/>
          <w:highlight w:val="none"/>
          <w:u w:val="single"/>
        </w:rPr>
      </w:pPr>
      <w:r>
        <w:rPr>
          <w:rFonts w:hint="eastAsia"/>
          <w:color w:val="auto"/>
          <w:highlight w:val="none"/>
        </w:rPr>
        <w:t xml:space="preserve">      单位地址：</w:t>
      </w:r>
      <w:r>
        <w:rPr>
          <w:rFonts w:hint="eastAsia"/>
          <w:color w:val="auto"/>
          <w:highlight w:val="none"/>
          <w:u w:val="single"/>
        </w:rPr>
        <w:t xml:space="preserve">                                         </w:t>
      </w:r>
    </w:p>
    <w:p w14:paraId="4F7898C6">
      <w:pPr>
        <w:pStyle w:val="319"/>
        <w:spacing w:line="360" w:lineRule="auto"/>
        <w:ind w:firstLine="480"/>
        <w:rPr>
          <w:color w:val="auto"/>
          <w:highlight w:val="none"/>
        </w:rPr>
      </w:pPr>
      <w:r>
        <w:rPr>
          <w:rFonts w:hint="eastAsia"/>
          <w:color w:val="auto"/>
          <w:highlight w:val="none"/>
        </w:rPr>
        <w:t xml:space="preserve">      日期：</w:t>
      </w:r>
      <w:bookmarkStart w:id="846" w:name="_Hlt26671380"/>
      <w:bookmarkEnd w:id="846"/>
      <w:bookmarkStart w:id="847" w:name="_Hlt26955070"/>
      <w:bookmarkEnd w:id="847"/>
      <w:bookmarkStart w:id="848" w:name="_格式3__银行出具的资信证明"/>
      <w:bookmarkEnd w:id="848"/>
      <w:r>
        <w:rPr>
          <w:rFonts w:hint="eastAsia"/>
          <w:color w:val="auto"/>
          <w:highlight w:val="none"/>
          <w:u w:val="single"/>
        </w:rPr>
        <w:t xml:space="preserve">                                         </w:t>
      </w:r>
    </w:p>
    <w:p w14:paraId="4498B9E3">
      <w:pPr>
        <w:widowControl/>
        <w:jc w:val="left"/>
        <w:rPr>
          <w:color w:val="auto"/>
          <w:sz w:val="24"/>
          <w:highlight w:val="none"/>
        </w:rPr>
      </w:pPr>
    </w:p>
    <w:p w14:paraId="34A84B2C">
      <w:pPr>
        <w:keepNext w:val="0"/>
        <w:keepLines w:val="0"/>
        <w:pageBreakBefore/>
        <w:widowControl w:val="0"/>
        <w:kinsoku/>
        <w:wordWrap/>
        <w:overflowPunct/>
        <w:topLinePunct w:val="0"/>
        <w:autoSpaceDE/>
        <w:autoSpaceDN/>
        <w:bidi w:val="0"/>
        <w:adjustRightInd/>
        <w:snapToGrid/>
        <w:spacing w:line="360" w:lineRule="auto"/>
        <w:textAlignment w:val="auto"/>
        <w:outlineLvl w:val="2"/>
        <w:rPr>
          <w:color w:val="auto"/>
          <w:sz w:val="24"/>
          <w:highlight w:val="none"/>
        </w:rPr>
      </w:pPr>
      <w:r>
        <w:rPr>
          <w:rFonts w:hint="eastAsia"/>
          <w:color w:val="auto"/>
          <w:sz w:val="24"/>
          <w:highlight w:val="none"/>
        </w:rPr>
        <w:t>3  政府采购供应商信用承诺书</w:t>
      </w:r>
      <w:r>
        <w:rPr>
          <w:color w:val="auto"/>
          <w:sz w:val="24"/>
          <w:highlight w:val="none"/>
        </w:rPr>
        <w:t>（实质性格式）</w:t>
      </w:r>
    </w:p>
    <w:p w14:paraId="74AFBF36">
      <w:pPr>
        <w:spacing w:line="560" w:lineRule="exact"/>
        <w:ind w:firstLine="321"/>
        <w:jc w:val="center"/>
        <w:rPr>
          <w:rFonts w:ascii="黑体" w:hAnsi="黑体" w:eastAsia="黑体"/>
          <w:b/>
          <w:color w:val="auto"/>
          <w:sz w:val="32"/>
          <w:szCs w:val="32"/>
          <w:highlight w:val="none"/>
        </w:rPr>
      </w:pPr>
    </w:p>
    <w:p w14:paraId="379A8695">
      <w:pPr>
        <w:spacing w:line="560" w:lineRule="exact"/>
        <w:ind w:firstLine="321"/>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政府采购供应商信用承诺书</w:t>
      </w:r>
    </w:p>
    <w:p w14:paraId="11968C9A">
      <w:pPr>
        <w:ind w:firstLine="640"/>
        <w:rPr>
          <w:color w:val="auto"/>
          <w:highlight w:val="none"/>
        </w:rPr>
      </w:pPr>
    </w:p>
    <w:p w14:paraId="41ADCD77">
      <w:pPr>
        <w:spacing w:line="360" w:lineRule="auto"/>
        <w:ind w:firstLine="480"/>
        <w:rPr>
          <w:rFonts w:ascii="宋体" w:hAnsi="宋体"/>
          <w:color w:val="auto"/>
          <w:sz w:val="24"/>
          <w:highlight w:val="none"/>
        </w:rPr>
      </w:pPr>
      <w:r>
        <w:rPr>
          <w:rFonts w:hint="eastAsia" w:ascii="宋体" w:hAnsi="宋体"/>
          <w:color w:val="auto"/>
          <w:sz w:val="24"/>
          <w:highlight w:val="none"/>
        </w:rPr>
        <w:t>为维护公开、公平、公正的政府采购市场秩序，树立诚实守信的供应商形象，本单位在参与政府采购活动中,自愿作出以下承诺：</w:t>
      </w:r>
    </w:p>
    <w:p w14:paraId="53FF14DA">
      <w:pPr>
        <w:spacing w:line="360" w:lineRule="auto"/>
        <w:ind w:firstLine="480"/>
        <w:rPr>
          <w:rFonts w:ascii="宋体" w:hAnsi="宋体"/>
          <w:color w:val="auto"/>
          <w:sz w:val="24"/>
          <w:highlight w:val="none"/>
        </w:rPr>
      </w:pPr>
      <w:r>
        <w:rPr>
          <w:rFonts w:hint="eastAsia" w:ascii="宋体" w:hAnsi="宋体"/>
          <w:color w:val="auto"/>
          <w:sz w:val="24"/>
          <w:highlight w:val="none"/>
        </w:rPr>
        <w:t>一、严格遵守国家法律、法规和规章，全面履行应尽的责任和义务，全面做到履约守信，具备《政府采购法》第二十二条第一款规定的条件。</w:t>
      </w:r>
    </w:p>
    <w:p w14:paraId="21781F67">
      <w:pPr>
        <w:spacing w:line="360" w:lineRule="auto"/>
        <w:ind w:firstLine="480"/>
        <w:rPr>
          <w:rFonts w:ascii="宋体" w:hAnsi="宋体"/>
          <w:color w:val="auto"/>
          <w:sz w:val="24"/>
          <w:highlight w:val="none"/>
        </w:rPr>
      </w:pPr>
      <w:r>
        <w:rPr>
          <w:rFonts w:hint="eastAsia" w:ascii="宋体" w:hAnsi="宋体"/>
          <w:color w:val="auto"/>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478BE033">
      <w:pPr>
        <w:spacing w:line="360" w:lineRule="auto"/>
        <w:ind w:firstLine="480"/>
        <w:rPr>
          <w:rFonts w:ascii="宋体" w:hAnsi="宋体"/>
          <w:color w:val="auto"/>
          <w:sz w:val="24"/>
          <w:highlight w:val="none"/>
        </w:rPr>
      </w:pPr>
      <w:r>
        <w:rPr>
          <w:rFonts w:hint="eastAsia" w:ascii="宋体" w:hAnsi="宋体"/>
          <w:color w:val="auto"/>
          <w:sz w:val="24"/>
          <w:highlight w:val="none"/>
        </w:rPr>
        <w:t>三、本单位提供给注册登记部门、行业管理部门、司法部门、行业组织以及在政府采购活动中提交的所有资料均合法、真实、有效，无任何伪造、修改、虚假成份，并对所提供资料的真实性负责。</w:t>
      </w:r>
    </w:p>
    <w:p w14:paraId="71CC7060">
      <w:pPr>
        <w:spacing w:line="360" w:lineRule="auto"/>
        <w:ind w:firstLine="480"/>
        <w:rPr>
          <w:rFonts w:ascii="宋体" w:hAnsi="宋体"/>
          <w:color w:val="auto"/>
          <w:sz w:val="24"/>
          <w:highlight w:val="none"/>
        </w:rPr>
      </w:pPr>
      <w:r>
        <w:rPr>
          <w:rFonts w:hint="eastAsia" w:ascii="宋体" w:hAnsi="宋体"/>
          <w:color w:val="auto"/>
          <w:sz w:val="24"/>
          <w:highlight w:val="none"/>
        </w:rPr>
        <w:t>四、严格依法开展生产经营活动，主动接受行业监管，自愿接受依法开展的日常检查；违法失信经营后将自愿接受约束和惩戒，并依法承担相应责任。</w:t>
      </w:r>
    </w:p>
    <w:p w14:paraId="7D75D543">
      <w:pPr>
        <w:spacing w:line="360" w:lineRule="auto"/>
        <w:ind w:firstLine="480"/>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p>
    <w:p w14:paraId="380D5A68">
      <w:pPr>
        <w:spacing w:line="360" w:lineRule="auto"/>
        <w:ind w:firstLine="480"/>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595F8B4E">
      <w:pPr>
        <w:spacing w:line="360" w:lineRule="auto"/>
        <w:ind w:firstLine="480"/>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p>
    <w:p w14:paraId="31E081CB">
      <w:pPr>
        <w:spacing w:line="360" w:lineRule="auto"/>
        <w:ind w:firstLine="480"/>
        <w:rPr>
          <w:rFonts w:ascii="宋体" w:hAnsi="宋体"/>
          <w:color w:val="auto"/>
          <w:sz w:val="24"/>
          <w:highlight w:val="none"/>
        </w:rPr>
      </w:pPr>
      <w:r>
        <w:rPr>
          <w:rFonts w:hint="eastAsia" w:ascii="宋体" w:hAnsi="宋体"/>
          <w:color w:val="auto"/>
          <w:sz w:val="24"/>
          <w:highlight w:val="none"/>
        </w:rPr>
        <w:t>八、承诺本单位提出政府采购质疑和投诉坚持依法依规、诚实信用原则。</w:t>
      </w:r>
    </w:p>
    <w:p w14:paraId="2E94082B">
      <w:pPr>
        <w:spacing w:line="360" w:lineRule="auto"/>
        <w:ind w:firstLine="480"/>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p>
    <w:p w14:paraId="45AFD21E">
      <w:pPr>
        <w:spacing w:line="360" w:lineRule="auto"/>
        <w:ind w:firstLine="480"/>
        <w:rPr>
          <w:rFonts w:ascii="宋体" w:hAnsi="宋体"/>
          <w:color w:val="auto"/>
          <w:sz w:val="24"/>
          <w:highlight w:val="none"/>
        </w:rPr>
      </w:pPr>
      <w:r>
        <w:rPr>
          <w:rFonts w:hint="eastAsia" w:ascii="宋体" w:hAnsi="宋体"/>
          <w:color w:val="auto"/>
          <w:sz w:val="24"/>
          <w:highlight w:val="none"/>
        </w:rPr>
        <w:t>十、承诺本单位若违背承诺约定，经查实，愿意接受行业主管部门和信用管理部门相应的规定处罚，承担违约责任，并依法承担相应的法律责任。</w:t>
      </w:r>
    </w:p>
    <w:p w14:paraId="7BA4FDE5">
      <w:pPr>
        <w:spacing w:line="360" w:lineRule="auto"/>
        <w:ind w:firstLine="480"/>
        <w:rPr>
          <w:rFonts w:ascii="宋体" w:hAnsi="宋体"/>
          <w:color w:val="auto"/>
          <w:sz w:val="24"/>
          <w:highlight w:val="none"/>
        </w:rPr>
      </w:pPr>
      <w:r>
        <w:rPr>
          <w:rFonts w:hint="eastAsia" w:ascii="宋体" w:hAnsi="宋体"/>
          <w:color w:val="auto"/>
          <w:sz w:val="24"/>
          <w:highlight w:val="none"/>
        </w:rPr>
        <w:t>十一、承诺本单位同意将以上承诺事项上网公示，违背承诺约定行为将作为失信信息，记录到常州市公共信用信息系统，并予以公开。</w:t>
      </w:r>
    </w:p>
    <w:p w14:paraId="605B980A">
      <w:pPr>
        <w:pStyle w:val="439"/>
        <w:spacing w:line="276" w:lineRule="auto"/>
        <w:ind w:right="1050" w:firstLine="2880"/>
        <w:jc w:val="both"/>
        <w:rPr>
          <w:rFonts w:ascii="宋体" w:hAnsi="宋体" w:eastAsia="宋体"/>
          <w:color w:val="auto"/>
          <w:sz w:val="24"/>
          <w:szCs w:val="22"/>
          <w:highlight w:val="none"/>
        </w:rPr>
      </w:pPr>
    </w:p>
    <w:p w14:paraId="5B557E99">
      <w:pPr>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14DAE154">
      <w:pPr>
        <w:spacing w:before="25" w:after="25" w:line="360" w:lineRule="auto"/>
        <w:rPr>
          <w:color w:val="auto"/>
          <w:sz w:val="24"/>
          <w:highlight w:val="none"/>
          <w:lang w:val="zh-CN"/>
        </w:rPr>
      </w:pPr>
      <w:r>
        <w:rPr>
          <w:color w:val="auto"/>
          <w:sz w:val="24"/>
          <w:szCs w:val="20"/>
          <w:highlight w:val="none"/>
        </w:rPr>
        <w:t xml:space="preserve">日期：_____年______月______日   </w:t>
      </w:r>
      <w:bookmarkStart w:id="849" w:name="_Hlt520350918"/>
      <w:bookmarkEnd w:id="849"/>
      <w:bookmarkStart w:id="850" w:name="_Hlt520274121"/>
      <w:bookmarkEnd w:id="850"/>
      <w:bookmarkStart w:id="851" w:name="_Hlt520274407"/>
      <w:bookmarkEnd w:id="851"/>
      <w:bookmarkStart w:id="852" w:name="_Hlt520271212"/>
      <w:bookmarkEnd w:id="852"/>
      <w:bookmarkStart w:id="853" w:name="_Hlt520274393"/>
      <w:bookmarkEnd w:id="853"/>
      <w:bookmarkStart w:id="854" w:name="_Hlt520355504"/>
      <w:bookmarkEnd w:id="854"/>
      <w:bookmarkStart w:id="855" w:name="_Hlt520343392"/>
      <w:bookmarkEnd w:id="855"/>
      <w:bookmarkStart w:id="856" w:name="_Hlt520343000"/>
      <w:bookmarkEnd w:id="856"/>
      <w:bookmarkStart w:id="857" w:name="_Hlt520274065"/>
      <w:bookmarkEnd w:id="857"/>
      <w:bookmarkStart w:id="858" w:name="_Hlt520273711"/>
      <w:bookmarkEnd w:id="858"/>
      <w:bookmarkStart w:id="859" w:name="_Toc305158825"/>
      <w:bookmarkStart w:id="860" w:name="_Toc226965747"/>
      <w:bookmarkStart w:id="861" w:name="_Toc520356218"/>
      <w:bookmarkStart w:id="862" w:name="_Toc195842922"/>
      <w:bookmarkStart w:id="863" w:name="_Toc480942350"/>
      <w:bookmarkStart w:id="864" w:name="_Toc264969247"/>
      <w:bookmarkStart w:id="865" w:name="_Toc127151557"/>
      <w:bookmarkStart w:id="866" w:name="_Toc226337253"/>
      <w:bookmarkStart w:id="867" w:name="_Toc226965830"/>
      <w:bookmarkStart w:id="868" w:name="_Ref467988705"/>
      <w:bookmarkStart w:id="869" w:name="_Toc226309801"/>
      <w:bookmarkStart w:id="870" w:name="_Toc305158899"/>
      <w:bookmarkStart w:id="871" w:name="_Toc150480795"/>
      <w:bookmarkStart w:id="872" w:name="_Toc265228395"/>
      <w:bookmarkStart w:id="873" w:name="_Toc150774762"/>
      <w:bookmarkStart w:id="874" w:name="_Toc142311059"/>
    </w:p>
    <w:p w14:paraId="27C61C7A">
      <w:pPr>
        <w:jc w:val="left"/>
        <w:rPr>
          <w:rFonts w:ascii="宋体" w:hAnsi="宋体" w:cs="宋体"/>
          <w:color w:val="auto"/>
          <w:sz w:val="24"/>
          <w:highlight w:val="none"/>
        </w:rPr>
      </w:pPr>
    </w:p>
    <w:p w14:paraId="5ED2DB0F">
      <w:pPr>
        <w:spacing w:line="360" w:lineRule="auto"/>
        <w:outlineLvl w:val="2"/>
        <w:rPr>
          <w:color w:val="auto"/>
          <w:sz w:val="24"/>
          <w:szCs w:val="20"/>
          <w:highlight w:val="none"/>
        </w:rPr>
      </w:pPr>
      <w:r>
        <w:rPr>
          <w:rFonts w:hint="eastAsia"/>
          <w:color w:val="auto"/>
          <w:sz w:val="24"/>
          <w:szCs w:val="20"/>
          <w:highlight w:val="none"/>
        </w:rPr>
        <w:t>4</w:t>
      </w:r>
      <w:r>
        <w:rPr>
          <w:color w:val="auto"/>
          <w:sz w:val="24"/>
          <w:szCs w:val="20"/>
          <w:highlight w:val="none"/>
        </w:rPr>
        <w:t xml:space="preserve">  </w:t>
      </w:r>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r>
        <w:rPr>
          <w:rFonts w:hint="eastAsia"/>
          <w:color w:val="auto"/>
          <w:sz w:val="24"/>
          <w:szCs w:val="20"/>
          <w:highlight w:val="none"/>
        </w:rPr>
        <w:t>开标一览表</w:t>
      </w:r>
      <w:r>
        <w:rPr>
          <w:rFonts w:hint="eastAsia" w:ascii="宋体" w:hAnsi="宋体" w:cs="宋体"/>
          <w:color w:val="auto"/>
          <w:sz w:val="24"/>
          <w:szCs w:val="20"/>
          <w:highlight w:val="none"/>
        </w:rPr>
        <w:t>（实质性格式）</w:t>
      </w:r>
    </w:p>
    <w:p w14:paraId="4E75CF53">
      <w:pPr>
        <w:spacing w:line="360" w:lineRule="auto"/>
        <w:rPr>
          <w:rFonts w:ascii="宋体" w:hAnsi="宋体"/>
          <w:b/>
          <w:color w:val="auto"/>
          <w:sz w:val="24"/>
          <w:highlight w:val="none"/>
        </w:rPr>
      </w:pPr>
    </w:p>
    <w:p w14:paraId="21FEC541">
      <w:pPr>
        <w:spacing w:line="360" w:lineRule="exact"/>
        <w:jc w:val="center"/>
        <w:rPr>
          <w:rFonts w:ascii="宋体" w:hAnsi="宋体" w:cs="宋体"/>
          <w:b/>
          <w:color w:val="auto"/>
          <w:sz w:val="36"/>
          <w:szCs w:val="36"/>
          <w:highlight w:val="none"/>
        </w:rPr>
      </w:pPr>
      <w:bookmarkStart w:id="875" w:name="_Toc305158826"/>
      <w:bookmarkStart w:id="876" w:name="_Toc226965748"/>
      <w:bookmarkStart w:id="877" w:name="_Toc226337254"/>
      <w:bookmarkStart w:id="878" w:name="_Toc226309802"/>
      <w:bookmarkStart w:id="879" w:name="_Toc164608827"/>
      <w:bookmarkStart w:id="880" w:name="_Toc264969248"/>
      <w:bookmarkStart w:id="881" w:name="_Toc305158900"/>
      <w:bookmarkStart w:id="882" w:name="_Toc265228396"/>
      <w:bookmarkStart w:id="883" w:name="_Toc226965831"/>
      <w:bookmarkStart w:id="884" w:name="_Toc195842923"/>
      <w:bookmarkStart w:id="885" w:name="_Toc164608672"/>
      <w:bookmarkStart w:id="886" w:name="_Toc305158903"/>
      <w:bookmarkStart w:id="887" w:name="_Toc150774765"/>
      <w:bookmarkStart w:id="888" w:name="_Toc127151561"/>
      <w:bookmarkStart w:id="889" w:name="_Toc265228399"/>
      <w:bookmarkStart w:id="890" w:name="_Toc226965834"/>
      <w:bookmarkStart w:id="891" w:name="_Toc226337258"/>
      <w:bookmarkStart w:id="892" w:name="_Toc150480797"/>
      <w:bookmarkStart w:id="893" w:name="_Toc264969251"/>
      <w:bookmarkStart w:id="894" w:name="_Toc305158830"/>
      <w:bookmarkStart w:id="895" w:name="_Toc150480798"/>
      <w:bookmarkStart w:id="896" w:name="_Toc142311062"/>
      <w:bookmarkStart w:id="897" w:name="_Toc226965752"/>
      <w:bookmarkStart w:id="898" w:name="_Toc226309805"/>
      <w:bookmarkStart w:id="899" w:name="_Toc264969252"/>
      <w:bookmarkStart w:id="900" w:name="_Toc226965835"/>
      <w:bookmarkStart w:id="901" w:name="_Toc305158829"/>
      <w:bookmarkStart w:id="902" w:name="_Toc226965751"/>
      <w:bookmarkStart w:id="903" w:name="_Toc265228400"/>
      <w:bookmarkStart w:id="904" w:name="_Toc226309806"/>
      <w:bookmarkStart w:id="905" w:name="_Toc195842926"/>
      <w:bookmarkStart w:id="906" w:name="_Toc142311061"/>
      <w:bookmarkStart w:id="907" w:name="_Toc305158904"/>
      <w:bookmarkStart w:id="908" w:name="_Toc226337257"/>
      <w:bookmarkStart w:id="909" w:name="_Toc127151562"/>
      <w:bookmarkStart w:id="910" w:name="_Toc150774764"/>
      <w:bookmarkStart w:id="911" w:name="_Toc195842927"/>
    </w:p>
    <w:bookmarkEnd w:id="875"/>
    <w:bookmarkEnd w:id="876"/>
    <w:bookmarkEnd w:id="877"/>
    <w:bookmarkEnd w:id="878"/>
    <w:bookmarkEnd w:id="879"/>
    <w:bookmarkEnd w:id="880"/>
    <w:bookmarkEnd w:id="881"/>
    <w:bookmarkEnd w:id="882"/>
    <w:bookmarkEnd w:id="883"/>
    <w:bookmarkEnd w:id="884"/>
    <w:bookmarkEnd w:id="885"/>
    <w:p w14:paraId="7CD95AF9">
      <w:pPr>
        <w:tabs>
          <w:tab w:val="left" w:pos="1800"/>
          <w:tab w:val="left" w:pos="5580"/>
        </w:tabs>
        <w:spacing w:line="360" w:lineRule="auto"/>
        <w:jc w:val="center"/>
        <w:rPr>
          <w:rFonts w:ascii="宋体" w:hAnsi="宋体" w:cs="宋体"/>
          <w:color w:val="auto"/>
          <w:sz w:val="24"/>
          <w:highlight w:val="none"/>
        </w:rPr>
      </w:pPr>
      <w:r>
        <w:rPr>
          <w:rFonts w:hint="eastAsia" w:ascii="宋体" w:hAnsi="宋体" w:cs="宋体"/>
          <w:b/>
          <w:color w:val="auto"/>
          <w:sz w:val="36"/>
          <w:szCs w:val="36"/>
          <w:highlight w:val="none"/>
        </w:rPr>
        <w:t>开标一览表</w:t>
      </w:r>
    </w:p>
    <w:p w14:paraId="412AD532">
      <w:pPr>
        <w:tabs>
          <w:tab w:val="left" w:pos="1800"/>
          <w:tab w:val="left" w:pos="5580"/>
        </w:tabs>
        <w:spacing w:line="360" w:lineRule="auto"/>
        <w:ind w:firstLine="240"/>
        <w:jc w:val="left"/>
        <w:rPr>
          <w:rFonts w:ascii="宋体" w:hAnsi="宋体" w:cs="宋体"/>
          <w:color w:val="auto"/>
          <w:sz w:val="24"/>
          <w:highlight w:val="none"/>
        </w:rPr>
      </w:pPr>
    </w:p>
    <w:p w14:paraId="6C64C632">
      <w:pPr>
        <w:tabs>
          <w:tab w:val="left" w:pos="1800"/>
          <w:tab w:val="left" w:pos="5580"/>
        </w:tabs>
        <w:spacing w:line="360" w:lineRule="auto"/>
        <w:ind w:firstLine="240"/>
        <w:jc w:val="left"/>
        <w:rPr>
          <w:rFonts w:ascii="宋体" w:hAnsi="宋体" w:cs="宋体"/>
          <w:color w:val="auto"/>
          <w:sz w:val="24"/>
          <w:highlight w:val="none"/>
        </w:rPr>
      </w:pPr>
      <w:r>
        <w:rPr>
          <w:rFonts w:hint="eastAsia" w:ascii="宋体" w:hAnsi="宋体" w:cs="宋体"/>
          <w:color w:val="auto"/>
          <w:sz w:val="24"/>
          <w:highlight w:val="none"/>
        </w:rPr>
        <w:t>投标供应商全称（加盖CA电子签章）：</w:t>
      </w:r>
      <w:r>
        <w:rPr>
          <w:rFonts w:hint="eastAsia"/>
          <w:color w:val="auto"/>
          <w:highlight w:val="none"/>
          <w:u w:val="single"/>
        </w:rPr>
        <w:t xml:space="preserve">                      </w:t>
      </w:r>
    </w:p>
    <w:p w14:paraId="24B88EBA">
      <w:pPr>
        <w:tabs>
          <w:tab w:val="left" w:pos="1800"/>
          <w:tab w:val="left" w:pos="5580"/>
        </w:tabs>
        <w:spacing w:line="360" w:lineRule="auto"/>
        <w:ind w:firstLine="240"/>
        <w:jc w:val="left"/>
        <w:rPr>
          <w:color w:val="auto"/>
          <w:highlight w:val="none"/>
          <w:u w:val="single"/>
        </w:rPr>
      </w:pPr>
      <w:r>
        <w:rPr>
          <w:rFonts w:hint="eastAsia" w:ascii="宋体" w:hAnsi="宋体" w:cs="宋体"/>
          <w:color w:val="auto"/>
          <w:sz w:val="24"/>
          <w:highlight w:val="none"/>
        </w:rPr>
        <w:t>项目名称：</w:t>
      </w:r>
      <w:r>
        <w:rPr>
          <w:rFonts w:hint="eastAsia"/>
          <w:color w:val="auto"/>
          <w:highlight w:val="none"/>
          <w:u w:val="single"/>
        </w:rPr>
        <w:t xml:space="preserve">                                      </w:t>
      </w:r>
    </w:p>
    <w:p w14:paraId="4E09E6E9">
      <w:pPr>
        <w:tabs>
          <w:tab w:val="left" w:pos="1800"/>
          <w:tab w:val="left" w:pos="5580"/>
        </w:tabs>
        <w:spacing w:line="360" w:lineRule="auto"/>
        <w:ind w:firstLine="240"/>
        <w:jc w:val="left"/>
        <w:rPr>
          <w:rFonts w:ascii="宋体" w:hAnsi="宋体" w:cs="宋体"/>
          <w:color w:val="auto"/>
          <w:sz w:val="24"/>
          <w:highlight w:val="none"/>
        </w:rPr>
      </w:pPr>
      <w:r>
        <w:rPr>
          <w:rFonts w:hint="eastAsia" w:cs="宋体"/>
          <w:color w:val="auto"/>
          <w:sz w:val="24"/>
          <w:highlight w:val="none"/>
        </w:rPr>
        <w:t>项目编号：</w:t>
      </w:r>
      <w:r>
        <w:rPr>
          <w:rFonts w:hint="eastAsia"/>
          <w:color w:val="auto"/>
          <w:sz w:val="24"/>
          <w:highlight w:val="none"/>
          <w:u w:val="single"/>
        </w:rPr>
        <w:t xml:space="preserve">                                      </w:t>
      </w:r>
      <w:r>
        <w:rPr>
          <w:rFonts w:hint="eastAsia"/>
          <w:color w:val="auto"/>
          <w:sz w:val="24"/>
          <w:highlight w:val="none"/>
        </w:rPr>
        <w:t xml:space="preserve">                                      </w:t>
      </w:r>
    </w:p>
    <w:tbl>
      <w:tblPr>
        <w:tblStyle w:val="3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7"/>
        <w:gridCol w:w="8555"/>
      </w:tblGrid>
      <w:tr w14:paraId="60B407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8" w:hRule="atLeast"/>
        </w:trPr>
        <w:tc>
          <w:tcPr>
            <w:tcW w:w="817" w:type="dxa"/>
            <w:noWrap w:val="0"/>
            <w:vAlign w:val="top"/>
          </w:tcPr>
          <w:p w14:paraId="089CEE37">
            <w:pPr>
              <w:pStyle w:val="15"/>
              <w:tabs>
                <w:tab w:val="left" w:pos="567"/>
              </w:tabs>
              <w:rPr>
                <w:rFonts w:hint="eastAsia"/>
                <w:color w:val="auto"/>
                <w:highlight w:val="none"/>
              </w:rPr>
            </w:pPr>
          </w:p>
        </w:tc>
        <w:tc>
          <w:tcPr>
            <w:tcW w:w="8555" w:type="dxa"/>
            <w:noWrap w:val="0"/>
            <w:vAlign w:val="center"/>
          </w:tcPr>
          <w:p w14:paraId="77EF493A">
            <w:pPr>
              <w:pStyle w:val="15"/>
              <w:tabs>
                <w:tab w:val="left" w:pos="567"/>
              </w:tabs>
              <w:jc w:val="center"/>
              <w:rPr>
                <w:rFonts w:hint="eastAsia"/>
                <w:color w:val="auto"/>
                <w:highlight w:val="none"/>
              </w:rPr>
            </w:pPr>
            <w:r>
              <w:rPr>
                <w:rFonts w:hint="eastAsia"/>
                <w:color w:val="auto"/>
                <w:highlight w:val="none"/>
              </w:rPr>
              <w:t>投标</w:t>
            </w:r>
            <w:r>
              <w:rPr>
                <w:rFonts w:hint="eastAsia"/>
                <w:b/>
                <w:color w:val="auto"/>
                <w:highlight w:val="none"/>
              </w:rPr>
              <w:t>总价</w:t>
            </w:r>
          </w:p>
        </w:tc>
      </w:tr>
      <w:tr w14:paraId="58CF6A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4" w:hRule="atLeast"/>
        </w:trPr>
        <w:tc>
          <w:tcPr>
            <w:tcW w:w="817" w:type="dxa"/>
            <w:noWrap w:val="0"/>
            <w:vAlign w:val="top"/>
          </w:tcPr>
          <w:p w14:paraId="408D6F70">
            <w:pPr>
              <w:pStyle w:val="15"/>
              <w:tabs>
                <w:tab w:val="left" w:pos="567"/>
              </w:tabs>
              <w:rPr>
                <w:rFonts w:hint="eastAsia"/>
                <w:color w:val="auto"/>
                <w:highlight w:val="none"/>
              </w:rPr>
            </w:pPr>
          </w:p>
        </w:tc>
        <w:tc>
          <w:tcPr>
            <w:tcW w:w="8555" w:type="dxa"/>
            <w:noWrap w:val="0"/>
            <w:vAlign w:val="center"/>
          </w:tcPr>
          <w:p w14:paraId="443CBF5C">
            <w:pPr>
              <w:pStyle w:val="15"/>
              <w:tabs>
                <w:tab w:val="left" w:pos="567"/>
              </w:tabs>
              <w:rPr>
                <w:rFonts w:hint="eastAsia"/>
                <w:color w:val="auto"/>
                <w:highlight w:val="none"/>
                <w:u w:val="single"/>
              </w:rPr>
            </w:pPr>
            <w:r>
              <w:rPr>
                <w:rFonts w:hint="eastAsia"/>
                <w:color w:val="auto"/>
                <w:highlight w:val="none"/>
              </w:rPr>
              <w:t>小写：</w:t>
            </w:r>
            <w:r>
              <w:rPr>
                <w:rFonts w:hint="eastAsia"/>
                <w:color w:val="auto"/>
                <w:highlight w:val="none"/>
                <w:u w:val="single"/>
              </w:rPr>
              <w:t xml:space="preserve">         </w:t>
            </w:r>
            <w:r>
              <w:rPr>
                <w:rFonts w:hint="eastAsia"/>
                <w:color w:val="auto"/>
                <w:highlight w:val="none"/>
              </w:rPr>
              <w:t>（元人民币）</w:t>
            </w:r>
          </w:p>
        </w:tc>
      </w:tr>
    </w:tbl>
    <w:p w14:paraId="2EEF6B41">
      <w:pPr>
        <w:pStyle w:val="205"/>
        <w:rPr>
          <w:color w:val="auto"/>
          <w:highlight w:val="none"/>
        </w:rPr>
      </w:pPr>
    </w:p>
    <w:p w14:paraId="0812D219">
      <w:pPr>
        <w:ind w:left="4200" w:hanging="4200"/>
        <w:rPr>
          <w:color w:val="auto"/>
          <w:sz w:val="30"/>
          <w:szCs w:val="30"/>
          <w:highlight w:val="none"/>
        </w:rPr>
      </w:pPr>
      <w:r>
        <w:rPr>
          <w:rFonts w:hint="eastAsia"/>
          <w:color w:val="auto"/>
          <w:highlight w:val="none"/>
        </w:rPr>
        <w:t xml:space="preserve">                                                          </w:t>
      </w:r>
      <w:r>
        <w:rPr>
          <w:rFonts w:hint="eastAsia"/>
          <w:color w:val="auto"/>
          <w:sz w:val="30"/>
          <w:szCs w:val="30"/>
          <w:highlight w:val="none"/>
        </w:rPr>
        <w:t>年   月   日</w:t>
      </w:r>
    </w:p>
    <w:p w14:paraId="3AE1B34F">
      <w:pPr>
        <w:spacing w:before="25" w:after="25" w:line="360" w:lineRule="auto"/>
        <w:rPr>
          <w:rFonts w:ascii="宋体" w:hAnsi="宋体"/>
          <w:bCs/>
          <w:color w:val="auto"/>
          <w:sz w:val="24"/>
          <w:highlight w:val="none"/>
        </w:rPr>
      </w:pPr>
      <w:r>
        <w:rPr>
          <w:rFonts w:hint="eastAsia" w:ascii="宋体" w:hAnsi="宋体"/>
          <w:b/>
          <w:bCs/>
          <w:color w:val="auto"/>
          <w:sz w:val="24"/>
          <w:highlight w:val="none"/>
        </w:rPr>
        <w:t>注：</w:t>
      </w:r>
      <w:r>
        <w:rPr>
          <w:rFonts w:hint="eastAsia" w:ascii="宋体" w:hAnsi="宋体"/>
          <w:bCs/>
          <w:color w:val="auto"/>
          <w:sz w:val="24"/>
          <w:highlight w:val="none"/>
        </w:rPr>
        <w:t>1.此表中，投标总价报价应和《分项报价表》中的总价相一致。</w:t>
      </w:r>
    </w:p>
    <w:p w14:paraId="7139B95F">
      <w:pPr>
        <w:spacing w:before="25" w:after="25" w:line="360" w:lineRule="auto"/>
        <w:ind w:firstLine="480"/>
        <w:rPr>
          <w:rFonts w:ascii="宋体" w:hAnsi="宋体"/>
          <w:b/>
          <w:bCs/>
          <w:color w:val="auto"/>
          <w:sz w:val="24"/>
          <w:highlight w:val="none"/>
        </w:rPr>
      </w:pPr>
      <w:r>
        <w:rPr>
          <w:rFonts w:hint="eastAsia" w:ascii="宋体" w:hAnsi="宋体"/>
          <w:color w:val="auto"/>
          <w:sz w:val="24"/>
          <w:highlight w:val="none"/>
        </w:rPr>
        <w:t>2.报价不得超过</w:t>
      </w:r>
      <w:r>
        <w:rPr>
          <w:rFonts w:hint="eastAsia"/>
          <w:color w:val="auto"/>
          <w:sz w:val="24"/>
          <w:highlight w:val="none"/>
        </w:rPr>
        <w:t>最高限价，否则投标无效。</w:t>
      </w:r>
    </w:p>
    <w:p w14:paraId="6CDA74C5">
      <w:pPr>
        <w:jc w:val="left"/>
        <w:rPr>
          <w:rFonts w:ascii="宋体" w:hAnsi="宋体" w:cs="宋体"/>
          <w:color w:val="auto"/>
          <w:sz w:val="24"/>
          <w:highlight w:val="none"/>
        </w:rPr>
      </w:pPr>
    </w:p>
    <w:p w14:paraId="65844EC9">
      <w:pPr>
        <w:spacing w:line="360" w:lineRule="auto"/>
        <w:outlineLvl w:val="2"/>
        <w:rPr>
          <w:color w:val="auto"/>
          <w:sz w:val="24"/>
          <w:highlight w:val="none"/>
        </w:rPr>
      </w:pPr>
      <w:r>
        <w:rPr>
          <w:rFonts w:hint="eastAsia" w:ascii="宋体" w:hAnsi="宋体" w:cs="宋体"/>
          <w:color w:val="auto"/>
          <w:sz w:val="24"/>
          <w:szCs w:val="20"/>
          <w:highlight w:val="none"/>
        </w:rPr>
        <w:br w:type="page" w:clear="all"/>
      </w:r>
      <w:r>
        <w:rPr>
          <w:rFonts w:hint="eastAsia"/>
          <w:color w:val="auto"/>
          <w:sz w:val="24"/>
          <w:highlight w:val="none"/>
        </w:rPr>
        <w:t>5  分项报价表</w:t>
      </w:r>
      <w:r>
        <w:rPr>
          <w:rFonts w:hint="eastAsia" w:ascii="宋体" w:hAnsi="宋体" w:cs="宋体"/>
          <w:color w:val="auto"/>
          <w:sz w:val="24"/>
          <w:szCs w:val="20"/>
          <w:highlight w:val="none"/>
        </w:rPr>
        <w:t>（实质性格式）</w:t>
      </w:r>
    </w:p>
    <w:p w14:paraId="2B1B6046">
      <w:pPr>
        <w:spacing w:line="360" w:lineRule="exact"/>
        <w:jc w:val="center"/>
        <w:rPr>
          <w:b/>
          <w:color w:val="auto"/>
          <w:sz w:val="36"/>
          <w:szCs w:val="36"/>
          <w:highlight w:val="none"/>
        </w:rPr>
      </w:pPr>
      <w:r>
        <w:rPr>
          <w:b/>
          <w:color w:val="auto"/>
          <w:sz w:val="36"/>
          <w:szCs w:val="36"/>
          <w:highlight w:val="none"/>
        </w:rPr>
        <w:t>分项报价表</w:t>
      </w:r>
    </w:p>
    <w:p w14:paraId="11036C37">
      <w:pPr>
        <w:pStyle w:val="205"/>
        <w:tabs>
          <w:tab w:val="clear" w:pos="567"/>
        </w:tabs>
        <w:rPr>
          <w:color w:val="auto"/>
          <w:highlight w:val="none"/>
        </w:rPr>
      </w:pPr>
    </w:p>
    <w:p w14:paraId="46D36910">
      <w:pPr>
        <w:tabs>
          <w:tab w:val="left" w:pos="1800"/>
          <w:tab w:val="left" w:pos="5580"/>
        </w:tabs>
        <w:rPr>
          <w:rFonts w:ascii="宋体" w:hAnsi="宋体" w:cs="宋体"/>
          <w:color w:val="auto"/>
          <w:sz w:val="24"/>
          <w:highlight w:val="none"/>
        </w:rPr>
      </w:pPr>
      <w:r>
        <w:rPr>
          <w:rFonts w:hint="eastAsia" w:ascii="宋体" w:hAnsi="宋体" w:cs="宋体"/>
          <w:color w:val="auto"/>
          <w:sz w:val="24"/>
          <w:highlight w:val="none"/>
        </w:rPr>
        <w:t>项目编号：___________ 项目名称：__________报价单位：人民币元</w:t>
      </w:r>
    </w:p>
    <w:tbl>
      <w:tblPr>
        <w:tblStyle w:val="37"/>
        <w:tblW w:w="8852" w:type="dxa"/>
        <w:tblInd w:w="0" w:type="dxa"/>
        <w:tblLayout w:type="fixed"/>
        <w:tblCellMar>
          <w:top w:w="0" w:type="dxa"/>
          <w:left w:w="108" w:type="dxa"/>
          <w:bottom w:w="0" w:type="dxa"/>
          <w:right w:w="108" w:type="dxa"/>
        </w:tblCellMar>
      </w:tblPr>
      <w:tblGrid>
        <w:gridCol w:w="948"/>
        <w:gridCol w:w="1274"/>
        <w:gridCol w:w="2139"/>
        <w:gridCol w:w="924"/>
        <w:gridCol w:w="777"/>
        <w:gridCol w:w="992"/>
        <w:gridCol w:w="1798"/>
      </w:tblGrid>
      <w:tr w14:paraId="30B42555">
        <w:tblPrEx>
          <w:tblCellMar>
            <w:top w:w="0" w:type="dxa"/>
            <w:left w:w="108" w:type="dxa"/>
            <w:bottom w:w="0" w:type="dxa"/>
            <w:right w:w="108" w:type="dxa"/>
          </w:tblCellMar>
        </w:tblPrEx>
        <w:trPr>
          <w:cantSplit/>
          <w:trHeight w:val="659" w:hRule="atLeast"/>
        </w:trPr>
        <w:tc>
          <w:tcPr>
            <w:tcW w:w="948" w:type="dxa"/>
            <w:tcBorders>
              <w:top w:val="single" w:color="000000" w:sz="4" w:space="0"/>
              <w:left w:val="single" w:color="000000" w:sz="4" w:space="0"/>
              <w:bottom w:val="single" w:color="000000" w:sz="4" w:space="0"/>
              <w:right w:val="single" w:color="000000" w:sz="4" w:space="0"/>
            </w:tcBorders>
            <w:vAlign w:val="center"/>
          </w:tcPr>
          <w:p w14:paraId="1C990421">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序号</w:t>
            </w:r>
          </w:p>
        </w:tc>
        <w:tc>
          <w:tcPr>
            <w:tcW w:w="1274" w:type="dxa"/>
            <w:tcBorders>
              <w:top w:val="single" w:color="000000" w:sz="4" w:space="0"/>
              <w:left w:val="single" w:color="000000" w:sz="4" w:space="0"/>
              <w:bottom w:val="single" w:color="000000" w:sz="4" w:space="0"/>
              <w:right w:val="single" w:color="000000" w:sz="4" w:space="0"/>
            </w:tcBorders>
            <w:vAlign w:val="center"/>
          </w:tcPr>
          <w:p w14:paraId="354033D7">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服务名称</w:t>
            </w:r>
          </w:p>
        </w:tc>
        <w:tc>
          <w:tcPr>
            <w:tcW w:w="2139" w:type="dxa"/>
            <w:tcBorders>
              <w:top w:val="single" w:color="000000" w:sz="4" w:space="0"/>
              <w:left w:val="single" w:color="000000" w:sz="4" w:space="0"/>
              <w:bottom w:val="single" w:color="000000" w:sz="4" w:space="0"/>
              <w:right w:val="single" w:color="000000" w:sz="4" w:space="0"/>
            </w:tcBorders>
            <w:vAlign w:val="center"/>
          </w:tcPr>
          <w:p w14:paraId="7B118E60">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服务内容</w:t>
            </w:r>
          </w:p>
        </w:tc>
        <w:tc>
          <w:tcPr>
            <w:tcW w:w="924" w:type="dxa"/>
            <w:tcBorders>
              <w:top w:val="single" w:color="000000" w:sz="4" w:space="0"/>
              <w:left w:val="single" w:color="000000" w:sz="4" w:space="0"/>
              <w:bottom w:val="single" w:color="000000" w:sz="4" w:space="0"/>
              <w:right w:val="single" w:color="000000" w:sz="4" w:space="0"/>
            </w:tcBorders>
            <w:vAlign w:val="center"/>
          </w:tcPr>
          <w:p w14:paraId="6B8FFFD2">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单位</w:t>
            </w:r>
          </w:p>
        </w:tc>
        <w:tc>
          <w:tcPr>
            <w:tcW w:w="777" w:type="dxa"/>
            <w:tcBorders>
              <w:top w:val="single" w:color="000000" w:sz="4" w:space="0"/>
              <w:left w:val="single" w:color="000000" w:sz="4" w:space="0"/>
              <w:bottom w:val="single" w:color="000000" w:sz="4" w:space="0"/>
              <w:right w:val="single" w:color="000000" w:sz="4" w:space="0"/>
            </w:tcBorders>
            <w:vAlign w:val="center"/>
          </w:tcPr>
          <w:p w14:paraId="0E55FA60">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数量</w:t>
            </w:r>
          </w:p>
        </w:tc>
        <w:tc>
          <w:tcPr>
            <w:tcW w:w="992" w:type="dxa"/>
            <w:tcBorders>
              <w:top w:val="single" w:color="000000" w:sz="4" w:space="0"/>
              <w:left w:val="single" w:color="000000" w:sz="4" w:space="0"/>
              <w:bottom w:val="single" w:color="000000" w:sz="4" w:space="0"/>
              <w:right w:val="single" w:color="000000" w:sz="4" w:space="0"/>
            </w:tcBorders>
            <w:vAlign w:val="center"/>
          </w:tcPr>
          <w:p w14:paraId="1372FBAF">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单价</w:t>
            </w:r>
          </w:p>
        </w:tc>
        <w:tc>
          <w:tcPr>
            <w:tcW w:w="1798" w:type="dxa"/>
            <w:tcBorders>
              <w:top w:val="single" w:color="000000" w:sz="4" w:space="0"/>
              <w:left w:val="single" w:color="000000" w:sz="4" w:space="0"/>
              <w:bottom w:val="single" w:color="000000" w:sz="4" w:space="0"/>
              <w:right w:val="single" w:color="000000" w:sz="4" w:space="0"/>
            </w:tcBorders>
            <w:vAlign w:val="center"/>
          </w:tcPr>
          <w:p w14:paraId="3D2E3500">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总价</w:t>
            </w:r>
          </w:p>
        </w:tc>
      </w:tr>
      <w:tr w14:paraId="39CE098A">
        <w:tblPrEx>
          <w:tblCellMar>
            <w:top w:w="0" w:type="dxa"/>
            <w:left w:w="108" w:type="dxa"/>
            <w:bottom w:w="0" w:type="dxa"/>
            <w:right w:w="108" w:type="dxa"/>
          </w:tblCellMar>
        </w:tblPrEx>
        <w:trPr>
          <w:cantSplit/>
          <w:trHeight w:val="654" w:hRule="atLeast"/>
        </w:trPr>
        <w:tc>
          <w:tcPr>
            <w:tcW w:w="948" w:type="dxa"/>
            <w:tcBorders>
              <w:top w:val="single" w:color="000000" w:sz="4" w:space="0"/>
              <w:left w:val="single" w:color="000000" w:sz="4" w:space="0"/>
              <w:bottom w:val="single" w:color="000000" w:sz="4" w:space="0"/>
              <w:right w:val="single" w:color="000000" w:sz="4" w:space="0"/>
            </w:tcBorders>
            <w:vAlign w:val="center"/>
          </w:tcPr>
          <w:p w14:paraId="0A08E9AD">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274" w:type="dxa"/>
            <w:tcBorders>
              <w:top w:val="single" w:color="000000" w:sz="4" w:space="0"/>
              <w:left w:val="single" w:color="000000" w:sz="4" w:space="0"/>
              <w:bottom w:val="single" w:color="000000" w:sz="4" w:space="0"/>
              <w:right w:val="single" w:color="000000" w:sz="4" w:space="0"/>
            </w:tcBorders>
            <w:vAlign w:val="center"/>
          </w:tcPr>
          <w:p w14:paraId="12F94361">
            <w:pP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综合运营与业务协同服务</w:t>
            </w:r>
          </w:p>
        </w:tc>
        <w:tc>
          <w:tcPr>
            <w:tcW w:w="2139" w:type="dxa"/>
            <w:tcBorders>
              <w:top w:val="single" w:color="000000" w:sz="4" w:space="0"/>
              <w:left w:val="single" w:color="000000" w:sz="4" w:space="0"/>
              <w:bottom w:val="single" w:color="000000" w:sz="4" w:space="0"/>
              <w:right w:val="single" w:color="000000" w:sz="4" w:space="0"/>
            </w:tcBorders>
            <w:vAlign w:val="center"/>
          </w:tcPr>
          <w:p w14:paraId="7F9A962F">
            <w:pP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日常运营、主体及房源信息、合同备案、统计报送、工单流转和业务协同等服务</w:t>
            </w:r>
          </w:p>
        </w:tc>
        <w:tc>
          <w:tcPr>
            <w:tcW w:w="924" w:type="dxa"/>
            <w:tcBorders>
              <w:top w:val="single" w:color="000000" w:sz="4" w:space="0"/>
              <w:left w:val="single" w:color="000000" w:sz="4" w:space="0"/>
              <w:bottom w:val="single" w:color="000000" w:sz="4" w:space="0"/>
              <w:right w:val="single" w:color="000000" w:sz="4" w:space="0"/>
            </w:tcBorders>
            <w:vAlign w:val="center"/>
          </w:tcPr>
          <w:p w14:paraId="688080E2">
            <w:pP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w:t>
            </w:r>
          </w:p>
        </w:tc>
        <w:tc>
          <w:tcPr>
            <w:tcW w:w="777" w:type="dxa"/>
            <w:tcBorders>
              <w:top w:val="single" w:color="000000" w:sz="4" w:space="0"/>
              <w:left w:val="single" w:color="000000" w:sz="4" w:space="0"/>
              <w:bottom w:val="single" w:color="000000" w:sz="4" w:space="0"/>
              <w:right w:val="single" w:color="000000" w:sz="4" w:space="0"/>
            </w:tcBorders>
            <w:vAlign w:val="center"/>
          </w:tcPr>
          <w:p w14:paraId="24DD4907">
            <w:pP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992" w:type="dxa"/>
            <w:tcBorders>
              <w:top w:val="single" w:color="000000" w:sz="4" w:space="0"/>
              <w:left w:val="single" w:color="000000" w:sz="4" w:space="0"/>
              <w:bottom w:val="single" w:color="000000" w:sz="4" w:space="0"/>
              <w:right w:val="single" w:color="000000" w:sz="4" w:space="0"/>
            </w:tcBorders>
            <w:vAlign w:val="center"/>
          </w:tcPr>
          <w:p w14:paraId="58474CBC">
            <w:pPr>
              <w:snapToGrid w:val="0"/>
              <w:jc w:val="center"/>
              <w:rPr>
                <w:rFonts w:hint="eastAsia" w:ascii="宋体" w:hAnsi="宋体" w:eastAsia="宋体" w:cs="宋体"/>
                <w:color w:val="auto"/>
                <w:sz w:val="24"/>
                <w:szCs w:val="24"/>
                <w:highlight w:val="none"/>
              </w:rPr>
            </w:pPr>
          </w:p>
        </w:tc>
        <w:tc>
          <w:tcPr>
            <w:tcW w:w="1798" w:type="dxa"/>
            <w:tcBorders>
              <w:top w:val="single" w:color="000000" w:sz="4" w:space="0"/>
              <w:left w:val="single" w:color="000000" w:sz="4" w:space="0"/>
              <w:bottom w:val="single" w:color="000000" w:sz="4" w:space="0"/>
              <w:right w:val="single" w:color="000000" w:sz="4" w:space="0"/>
            </w:tcBorders>
            <w:vAlign w:val="center"/>
          </w:tcPr>
          <w:p w14:paraId="4257B52B">
            <w:pPr>
              <w:snapToGrid w:val="0"/>
              <w:jc w:val="center"/>
              <w:rPr>
                <w:rFonts w:hint="eastAsia" w:ascii="宋体" w:hAnsi="宋体" w:eastAsia="宋体" w:cs="宋体"/>
                <w:color w:val="auto"/>
                <w:sz w:val="24"/>
                <w:szCs w:val="24"/>
                <w:highlight w:val="none"/>
              </w:rPr>
            </w:pPr>
          </w:p>
        </w:tc>
      </w:tr>
      <w:tr w14:paraId="0C032899">
        <w:tblPrEx>
          <w:tblCellMar>
            <w:top w:w="0" w:type="dxa"/>
            <w:left w:w="108" w:type="dxa"/>
            <w:bottom w:w="0" w:type="dxa"/>
            <w:right w:w="108" w:type="dxa"/>
          </w:tblCellMar>
        </w:tblPrEx>
        <w:trPr>
          <w:cantSplit/>
          <w:trHeight w:val="654" w:hRule="atLeast"/>
        </w:trPr>
        <w:tc>
          <w:tcPr>
            <w:tcW w:w="948" w:type="dxa"/>
            <w:tcBorders>
              <w:top w:val="single" w:color="000000" w:sz="4" w:space="0"/>
              <w:left w:val="single" w:color="000000" w:sz="4" w:space="0"/>
              <w:bottom w:val="single" w:color="000000" w:sz="4" w:space="0"/>
              <w:right w:val="single" w:color="000000" w:sz="4" w:space="0"/>
            </w:tcBorders>
            <w:vAlign w:val="center"/>
          </w:tcPr>
          <w:p w14:paraId="3050C19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274" w:type="dxa"/>
            <w:tcBorders>
              <w:top w:val="single" w:color="000000" w:sz="4" w:space="0"/>
              <w:left w:val="single" w:color="000000" w:sz="4" w:space="0"/>
              <w:bottom w:val="single" w:color="000000" w:sz="4" w:space="0"/>
              <w:right w:val="single" w:color="000000" w:sz="4" w:space="0"/>
            </w:tcBorders>
            <w:vAlign w:val="center"/>
          </w:tcPr>
          <w:p w14:paraId="251F51CA">
            <w:pP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成品软件及技术运维安全保障服务</w:t>
            </w:r>
          </w:p>
        </w:tc>
        <w:tc>
          <w:tcPr>
            <w:tcW w:w="2139" w:type="dxa"/>
            <w:tcBorders>
              <w:top w:val="single" w:color="000000" w:sz="4" w:space="0"/>
              <w:left w:val="single" w:color="000000" w:sz="4" w:space="0"/>
              <w:bottom w:val="single" w:color="000000" w:sz="4" w:space="0"/>
              <w:right w:val="single" w:color="000000" w:sz="4" w:space="0"/>
            </w:tcBorders>
            <w:vAlign w:val="center"/>
          </w:tcPr>
          <w:p w14:paraId="3D9171FF">
            <w:pP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成熟成品软件或支撑工具使用、配置适配、技术运维、接口配合和安全保障等服务</w:t>
            </w:r>
          </w:p>
        </w:tc>
        <w:tc>
          <w:tcPr>
            <w:tcW w:w="924" w:type="dxa"/>
            <w:tcBorders>
              <w:top w:val="single" w:color="000000" w:sz="4" w:space="0"/>
              <w:left w:val="single" w:color="000000" w:sz="4" w:space="0"/>
              <w:bottom w:val="single" w:color="000000" w:sz="4" w:space="0"/>
              <w:right w:val="single" w:color="000000" w:sz="4" w:space="0"/>
            </w:tcBorders>
            <w:vAlign w:val="center"/>
          </w:tcPr>
          <w:p w14:paraId="0FCF25A5">
            <w:pP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w:t>
            </w:r>
          </w:p>
        </w:tc>
        <w:tc>
          <w:tcPr>
            <w:tcW w:w="777" w:type="dxa"/>
            <w:tcBorders>
              <w:top w:val="single" w:color="000000" w:sz="4" w:space="0"/>
              <w:left w:val="single" w:color="000000" w:sz="4" w:space="0"/>
              <w:bottom w:val="single" w:color="000000" w:sz="4" w:space="0"/>
              <w:right w:val="single" w:color="000000" w:sz="4" w:space="0"/>
            </w:tcBorders>
            <w:vAlign w:val="center"/>
          </w:tcPr>
          <w:p w14:paraId="18E3F4E6">
            <w:pP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992" w:type="dxa"/>
            <w:tcBorders>
              <w:top w:val="single" w:color="000000" w:sz="4" w:space="0"/>
              <w:left w:val="single" w:color="000000" w:sz="4" w:space="0"/>
              <w:bottom w:val="single" w:color="000000" w:sz="4" w:space="0"/>
              <w:right w:val="single" w:color="000000" w:sz="4" w:space="0"/>
            </w:tcBorders>
            <w:vAlign w:val="center"/>
          </w:tcPr>
          <w:p w14:paraId="7C36D9BE">
            <w:pPr>
              <w:snapToGrid w:val="0"/>
              <w:jc w:val="center"/>
              <w:rPr>
                <w:rFonts w:hint="eastAsia" w:ascii="宋体" w:hAnsi="宋体" w:eastAsia="宋体" w:cs="宋体"/>
                <w:color w:val="auto"/>
                <w:sz w:val="24"/>
                <w:szCs w:val="24"/>
                <w:highlight w:val="none"/>
              </w:rPr>
            </w:pPr>
          </w:p>
        </w:tc>
        <w:tc>
          <w:tcPr>
            <w:tcW w:w="1798" w:type="dxa"/>
            <w:tcBorders>
              <w:top w:val="single" w:color="000000" w:sz="4" w:space="0"/>
              <w:left w:val="single" w:color="000000" w:sz="4" w:space="0"/>
              <w:bottom w:val="single" w:color="000000" w:sz="4" w:space="0"/>
              <w:right w:val="single" w:color="000000" w:sz="4" w:space="0"/>
            </w:tcBorders>
            <w:vAlign w:val="center"/>
          </w:tcPr>
          <w:p w14:paraId="5F4C4515">
            <w:pPr>
              <w:snapToGrid w:val="0"/>
              <w:jc w:val="center"/>
              <w:rPr>
                <w:rFonts w:hint="eastAsia" w:ascii="宋体" w:hAnsi="宋体" w:eastAsia="宋体" w:cs="宋体"/>
                <w:color w:val="auto"/>
                <w:sz w:val="24"/>
                <w:szCs w:val="24"/>
                <w:highlight w:val="none"/>
              </w:rPr>
            </w:pPr>
          </w:p>
        </w:tc>
      </w:tr>
      <w:tr w14:paraId="40D4ADB3">
        <w:tblPrEx>
          <w:tblCellMar>
            <w:top w:w="0" w:type="dxa"/>
            <w:left w:w="108" w:type="dxa"/>
            <w:bottom w:w="0" w:type="dxa"/>
            <w:right w:w="108" w:type="dxa"/>
          </w:tblCellMar>
        </w:tblPrEx>
        <w:trPr>
          <w:cantSplit/>
          <w:trHeight w:val="654" w:hRule="atLeast"/>
        </w:trPr>
        <w:tc>
          <w:tcPr>
            <w:tcW w:w="948" w:type="dxa"/>
            <w:tcBorders>
              <w:top w:val="single" w:color="000000" w:sz="4" w:space="0"/>
              <w:left w:val="single" w:color="000000" w:sz="4" w:space="0"/>
              <w:bottom w:val="single" w:color="000000" w:sz="4" w:space="0"/>
              <w:right w:val="single" w:color="000000" w:sz="4" w:space="0"/>
            </w:tcBorders>
            <w:vAlign w:val="center"/>
          </w:tcPr>
          <w:p w14:paraId="7039339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274" w:type="dxa"/>
            <w:tcBorders>
              <w:top w:val="single" w:color="000000" w:sz="4" w:space="0"/>
              <w:left w:val="single" w:color="000000" w:sz="4" w:space="0"/>
              <w:bottom w:val="single" w:color="000000" w:sz="4" w:space="0"/>
              <w:right w:val="single" w:color="000000" w:sz="4" w:space="0"/>
            </w:tcBorders>
            <w:vAlign w:val="center"/>
          </w:tcPr>
          <w:p w14:paraId="5D7E43E2">
            <w:pP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常州办公驻点、驻场、培训及交接服务</w:t>
            </w:r>
          </w:p>
        </w:tc>
        <w:tc>
          <w:tcPr>
            <w:tcW w:w="2139" w:type="dxa"/>
            <w:tcBorders>
              <w:top w:val="single" w:color="000000" w:sz="4" w:space="0"/>
              <w:left w:val="single" w:color="000000" w:sz="4" w:space="0"/>
              <w:bottom w:val="single" w:color="000000" w:sz="4" w:space="0"/>
              <w:right w:val="single" w:color="000000" w:sz="4" w:space="0"/>
            </w:tcBorders>
            <w:vAlign w:val="center"/>
          </w:tcPr>
          <w:p w14:paraId="4FFF2F4F">
            <w:pP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固定办公服务驻点、驻点人员、驻场人员、现场响应、培训咨询和期满交接等服务</w:t>
            </w:r>
          </w:p>
        </w:tc>
        <w:tc>
          <w:tcPr>
            <w:tcW w:w="924" w:type="dxa"/>
            <w:tcBorders>
              <w:top w:val="single" w:color="000000" w:sz="4" w:space="0"/>
              <w:left w:val="single" w:color="000000" w:sz="4" w:space="0"/>
              <w:bottom w:val="single" w:color="000000" w:sz="4" w:space="0"/>
              <w:right w:val="single" w:color="000000" w:sz="4" w:space="0"/>
            </w:tcBorders>
            <w:vAlign w:val="center"/>
          </w:tcPr>
          <w:p w14:paraId="0BC6CD5B">
            <w:pP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w:t>
            </w:r>
          </w:p>
        </w:tc>
        <w:tc>
          <w:tcPr>
            <w:tcW w:w="777" w:type="dxa"/>
            <w:tcBorders>
              <w:top w:val="single" w:color="000000" w:sz="4" w:space="0"/>
              <w:left w:val="single" w:color="000000" w:sz="4" w:space="0"/>
              <w:bottom w:val="single" w:color="000000" w:sz="4" w:space="0"/>
              <w:right w:val="single" w:color="000000" w:sz="4" w:space="0"/>
            </w:tcBorders>
            <w:vAlign w:val="center"/>
          </w:tcPr>
          <w:p w14:paraId="64C0E5DC">
            <w:pPr>
              <w:snapToGrid w:val="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992" w:type="dxa"/>
            <w:tcBorders>
              <w:top w:val="single" w:color="000000" w:sz="4" w:space="0"/>
              <w:left w:val="single" w:color="000000" w:sz="4" w:space="0"/>
              <w:bottom w:val="single" w:color="000000" w:sz="4" w:space="0"/>
              <w:right w:val="single" w:color="000000" w:sz="4" w:space="0"/>
            </w:tcBorders>
            <w:vAlign w:val="center"/>
          </w:tcPr>
          <w:p w14:paraId="573F25E7">
            <w:pPr>
              <w:snapToGrid w:val="0"/>
              <w:jc w:val="center"/>
              <w:rPr>
                <w:rFonts w:hint="eastAsia" w:ascii="宋体" w:hAnsi="宋体" w:eastAsia="宋体" w:cs="宋体"/>
                <w:color w:val="auto"/>
                <w:sz w:val="24"/>
                <w:szCs w:val="24"/>
                <w:highlight w:val="none"/>
              </w:rPr>
            </w:pPr>
          </w:p>
        </w:tc>
        <w:tc>
          <w:tcPr>
            <w:tcW w:w="1798" w:type="dxa"/>
            <w:tcBorders>
              <w:top w:val="single" w:color="000000" w:sz="4" w:space="0"/>
              <w:left w:val="single" w:color="000000" w:sz="4" w:space="0"/>
              <w:bottom w:val="single" w:color="000000" w:sz="4" w:space="0"/>
              <w:right w:val="single" w:color="000000" w:sz="4" w:space="0"/>
            </w:tcBorders>
            <w:vAlign w:val="center"/>
          </w:tcPr>
          <w:p w14:paraId="2C9DE7DC">
            <w:pPr>
              <w:snapToGrid w:val="0"/>
              <w:jc w:val="center"/>
              <w:rPr>
                <w:rFonts w:hint="eastAsia" w:ascii="宋体" w:hAnsi="宋体" w:eastAsia="宋体" w:cs="宋体"/>
                <w:color w:val="auto"/>
                <w:sz w:val="24"/>
                <w:szCs w:val="24"/>
                <w:highlight w:val="none"/>
              </w:rPr>
            </w:pPr>
          </w:p>
        </w:tc>
      </w:tr>
      <w:tr w14:paraId="0CBB6305">
        <w:tblPrEx>
          <w:tblCellMar>
            <w:top w:w="0" w:type="dxa"/>
            <w:left w:w="108" w:type="dxa"/>
            <w:bottom w:w="0" w:type="dxa"/>
            <w:right w:w="108" w:type="dxa"/>
          </w:tblCellMar>
        </w:tblPrEx>
        <w:trPr>
          <w:cantSplit/>
          <w:trHeight w:val="654" w:hRule="atLeast"/>
        </w:trPr>
        <w:tc>
          <w:tcPr>
            <w:tcW w:w="948" w:type="dxa"/>
            <w:tcBorders>
              <w:top w:val="single" w:color="000000" w:sz="4" w:space="0"/>
              <w:left w:val="single" w:color="000000" w:sz="4" w:space="0"/>
              <w:bottom w:val="single" w:color="000000" w:sz="4" w:space="0"/>
              <w:right w:val="single" w:color="000000" w:sz="4" w:space="0"/>
            </w:tcBorders>
            <w:vAlign w:val="center"/>
          </w:tcPr>
          <w:p w14:paraId="2704F4E0">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w:t>
            </w:r>
          </w:p>
        </w:tc>
        <w:tc>
          <w:tcPr>
            <w:tcW w:w="1274" w:type="dxa"/>
            <w:tcBorders>
              <w:top w:val="single" w:color="000000" w:sz="4" w:space="0"/>
              <w:left w:val="single" w:color="000000" w:sz="4" w:space="0"/>
              <w:bottom w:val="single" w:color="000000" w:sz="4" w:space="0"/>
              <w:right w:val="single" w:color="000000" w:sz="4" w:space="0"/>
            </w:tcBorders>
            <w:vAlign w:val="center"/>
          </w:tcPr>
          <w:p w14:paraId="4A58F7D3">
            <w:pPr>
              <w:snapToGrid w:val="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w:t>
            </w:r>
          </w:p>
        </w:tc>
        <w:tc>
          <w:tcPr>
            <w:tcW w:w="2139" w:type="dxa"/>
            <w:tcBorders>
              <w:top w:val="single" w:color="000000" w:sz="4" w:space="0"/>
              <w:left w:val="single" w:color="000000" w:sz="4" w:space="0"/>
              <w:bottom w:val="single" w:color="000000" w:sz="4" w:space="0"/>
              <w:right w:val="single" w:color="000000" w:sz="4" w:space="0"/>
            </w:tcBorders>
            <w:vAlign w:val="center"/>
          </w:tcPr>
          <w:p w14:paraId="43D1282B">
            <w:pPr>
              <w:snapToGrid w:val="0"/>
              <w:jc w:val="center"/>
              <w:rPr>
                <w:rFonts w:hint="eastAsia" w:ascii="宋体" w:hAnsi="宋体" w:eastAsia="宋体" w:cs="宋体"/>
                <w:color w:val="auto"/>
                <w:sz w:val="24"/>
                <w:szCs w:val="24"/>
                <w:highlight w:val="none"/>
              </w:rPr>
            </w:pPr>
          </w:p>
        </w:tc>
        <w:tc>
          <w:tcPr>
            <w:tcW w:w="924" w:type="dxa"/>
            <w:tcBorders>
              <w:top w:val="single" w:color="000000" w:sz="4" w:space="0"/>
              <w:left w:val="single" w:color="000000" w:sz="4" w:space="0"/>
              <w:bottom w:val="single" w:color="000000" w:sz="4" w:space="0"/>
              <w:right w:val="single" w:color="000000" w:sz="4" w:space="0"/>
            </w:tcBorders>
            <w:vAlign w:val="center"/>
          </w:tcPr>
          <w:p w14:paraId="0CB2D221">
            <w:pPr>
              <w:snapToGrid w:val="0"/>
              <w:jc w:val="center"/>
              <w:rPr>
                <w:rFonts w:hint="eastAsia" w:ascii="宋体" w:hAnsi="宋体" w:eastAsia="宋体" w:cs="宋体"/>
                <w:color w:val="auto"/>
                <w:sz w:val="24"/>
                <w:szCs w:val="24"/>
                <w:highlight w:val="none"/>
              </w:rPr>
            </w:pPr>
          </w:p>
        </w:tc>
        <w:tc>
          <w:tcPr>
            <w:tcW w:w="777" w:type="dxa"/>
            <w:tcBorders>
              <w:top w:val="single" w:color="000000" w:sz="4" w:space="0"/>
              <w:left w:val="single" w:color="000000" w:sz="4" w:space="0"/>
              <w:bottom w:val="single" w:color="000000" w:sz="4" w:space="0"/>
              <w:right w:val="single" w:color="000000" w:sz="4" w:space="0"/>
            </w:tcBorders>
            <w:vAlign w:val="center"/>
          </w:tcPr>
          <w:p w14:paraId="1030AE99">
            <w:pPr>
              <w:snapToGrid w:val="0"/>
              <w:jc w:val="center"/>
              <w:rPr>
                <w:rFonts w:hint="eastAsia" w:ascii="宋体" w:hAnsi="宋体" w:eastAsia="宋体" w:cs="宋体"/>
                <w:color w:val="auto"/>
                <w:sz w:val="24"/>
                <w:szCs w:val="24"/>
                <w:highlight w:val="none"/>
              </w:rPr>
            </w:pPr>
          </w:p>
        </w:tc>
        <w:tc>
          <w:tcPr>
            <w:tcW w:w="992" w:type="dxa"/>
            <w:tcBorders>
              <w:top w:val="single" w:color="000000" w:sz="4" w:space="0"/>
              <w:left w:val="single" w:color="000000" w:sz="4" w:space="0"/>
              <w:bottom w:val="single" w:color="000000" w:sz="4" w:space="0"/>
              <w:right w:val="single" w:color="000000" w:sz="4" w:space="0"/>
            </w:tcBorders>
            <w:vAlign w:val="center"/>
          </w:tcPr>
          <w:p w14:paraId="1982AAF4">
            <w:pPr>
              <w:snapToGrid w:val="0"/>
              <w:jc w:val="center"/>
              <w:rPr>
                <w:rFonts w:hint="eastAsia" w:ascii="宋体" w:hAnsi="宋体" w:eastAsia="宋体" w:cs="宋体"/>
                <w:color w:val="auto"/>
                <w:sz w:val="24"/>
                <w:szCs w:val="24"/>
                <w:highlight w:val="none"/>
              </w:rPr>
            </w:pPr>
          </w:p>
        </w:tc>
        <w:tc>
          <w:tcPr>
            <w:tcW w:w="1798" w:type="dxa"/>
            <w:tcBorders>
              <w:top w:val="single" w:color="000000" w:sz="4" w:space="0"/>
              <w:left w:val="single" w:color="000000" w:sz="4" w:space="0"/>
              <w:bottom w:val="single" w:color="000000" w:sz="4" w:space="0"/>
              <w:right w:val="single" w:color="000000" w:sz="4" w:space="0"/>
            </w:tcBorders>
            <w:vAlign w:val="center"/>
          </w:tcPr>
          <w:p w14:paraId="35FA5F3F">
            <w:pPr>
              <w:snapToGrid w:val="0"/>
              <w:jc w:val="center"/>
              <w:rPr>
                <w:rFonts w:hint="eastAsia" w:ascii="宋体" w:hAnsi="宋体" w:eastAsia="宋体" w:cs="宋体"/>
                <w:color w:val="auto"/>
                <w:sz w:val="24"/>
                <w:szCs w:val="24"/>
                <w:highlight w:val="none"/>
              </w:rPr>
            </w:pPr>
          </w:p>
        </w:tc>
      </w:tr>
      <w:tr w14:paraId="5A38CC12">
        <w:tblPrEx>
          <w:tblCellMar>
            <w:top w:w="0" w:type="dxa"/>
            <w:left w:w="108" w:type="dxa"/>
            <w:bottom w:w="0" w:type="dxa"/>
            <w:right w:w="108" w:type="dxa"/>
          </w:tblCellMar>
        </w:tblPrEx>
        <w:trPr>
          <w:cantSplit/>
          <w:trHeight w:val="734" w:hRule="atLeast"/>
        </w:trPr>
        <w:tc>
          <w:tcPr>
            <w:tcW w:w="7054" w:type="dxa"/>
            <w:gridSpan w:val="6"/>
            <w:tcBorders>
              <w:top w:val="single" w:color="000000" w:sz="4" w:space="0"/>
              <w:left w:val="single" w:color="000000" w:sz="4" w:space="0"/>
              <w:bottom w:val="single" w:color="000000" w:sz="4" w:space="0"/>
              <w:right w:val="single" w:color="000000" w:sz="4" w:space="0"/>
            </w:tcBorders>
            <w:vAlign w:val="center"/>
          </w:tcPr>
          <w:p w14:paraId="25616B13">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投标总报价（人民币：元）</w:t>
            </w:r>
          </w:p>
        </w:tc>
        <w:tc>
          <w:tcPr>
            <w:tcW w:w="1798" w:type="dxa"/>
            <w:tcBorders>
              <w:top w:val="single" w:color="000000" w:sz="4" w:space="0"/>
              <w:left w:val="single" w:color="000000" w:sz="4" w:space="0"/>
              <w:bottom w:val="single" w:color="000000" w:sz="4" w:space="0"/>
              <w:right w:val="single" w:color="000000" w:sz="4" w:space="0"/>
            </w:tcBorders>
          </w:tcPr>
          <w:p w14:paraId="25557366">
            <w:pPr>
              <w:snapToGrid w:val="0"/>
              <w:rPr>
                <w:rFonts w:hint="eastAsia" w:ascii="宋体" w:hAnsi="宋体" w:cs="宋体"/>
                <w:color w:val="auto"/>
                <w:sz w:val="24"/>
                <w:szCs w:val="24"/>
                <w:highlight w:val="none"/>
              </w:rPr>
            </w:pPr>
          </w:p>
        </w:tc>
      </w:tr>
    </w:tbl>
    <w:p w14:paraId="084DE9C6">
      <w:pPr>
        <w:spacing w:before="25" w:after="25" w:line="360" w:lineRule="auto"/>
        <w:rPr>
          <w:rFonts w:ascii="宋体" w:hAnsi="宋体" w:cs="宋体"/>
          <w:color w:val="auto"/>
          <w:sz w:val="24"/>
          <w:highlight w:val="none"/>
        </w:rPr>
      </w:pPr>
    </w:p>
    <w:p w14:paraId="61D2F1BD">
      <w:pPr>
        <w:spacing w:before="25" w:after="25" w:line="360" w:lineRule="auto"/>
        <w:rPr>
          <w:rFonts w:ascii="宋体" w:hAnsi="宋体" w:cs="宋体"/>
          <w:color w:val="auto"/>
          <w:sz w:val="24"/>
          <w:highlight w:val="none"/>
        </w:rPr>
      </w:pPr>
      <w:r>
        <w:rPr>
          <w:rFonts w:hint="eastAsia" w:ascii="宋体" w:hAnsi="宋体" w:cs="宋体"/>
          <w:color w:val="auto"/>
          <w:sz w:val="24"/>
          <w:highlight w:val="none"/>
        </w:rPr>
        <w:t>投标人名称（加盖公章）</w:t>
      </w:r>
      <w:r>
        <w:rPr>
          <w:rFonts w:hint="eastAsia" w:ascii="宋体" w:hAnsi="宋体" w:cs="宋体"/>
          <w:color w:val="auto"/>
          <w:sz w:val="24"/>
          <w:highlight w:val="none"/>
          <w:lang w:val="zh-CN"/>
        </w:rPr>
        <w:t>：</w:t>
      </w:r>
      <w:r>
        <w:rPr>
          <w:rFonts w:hint="eastAsia" w:ascii="宋体" w:hAnsi="宋体" w:cs="宋体"/>
          <w:color w:val="auto"/>
          <w:sz w:val="24"/>
          <w:highlight w:val="none"/>
          <w:u w:val="single"/>
        </w:rPr>
        <w:t xml:space="preserve">                  </w:t>
      </w:r>
    </w:p>
    <w:p w14:paraId="21B24976">
      <w:pPr>
        <w:spacing w:before="25" w:after="25" w:line="360" w:lineRule="auto"/>
        <w:rPr>
          <w:rFonts w:ascii="宋体" w:hAnsi="宋体" w:cs="宋体"/>
          <w:color w:val="auto"/>
          <w:sz w:val="24"/>
          <w:szCs w:val="20"/>
          <w:highlight w:val="none"/>
        </w:rPr>
      </w:pPr>
      <w:r>
        <w:rPr>
          <w:rFonts w:hint="eastAsia" w:ascii="宋体" w:hAnsi="宋体" w:cs="宋体"/>
          <w:color w:val="auto"/>
          <w:sz w:val="24"/>
          <w:szCs w:val="20"/>
          <w:highlight w:val="none"/>
        </w:rPr>
        <w:t xml:space="preserve">日期：_____年______月______日   </w:t>
      </w:r>
    </w:p>
    <w:p w14:paraId="52C2DDE8">
      <w:pPr>
        <w:spacing w:line="360" w:lineRule="auto"/>
        <w:rPr>
          <w:rFonts w:hint="eastAsia" w:ascii="宋体" w:hAnsi="宋体" w:cs="宋体"/>
          <w:b/>
          <w:bCs/>
          <w:color w:val="auto"/>
          <w:spacing w:val="2"/>
          <w:sz w:val="24"/>
          <w:highlight w:val="none"/>
        </w:rPr>
      </w:pPr>
    </w:p>
    <w:p w14:paraId="1DABD721">
      <w:pPr>
        <w:tabs>
          <w:tab w:val="left" w:pos="1800"/>
          <w:tab w:val="left" w:pos="5580"/>
        </w:tabs>
        <w:jc w:val="left"/>
        <w:rPr>
          <w:rFonts w:ascii="宋体" w:hAnsi="宋体"/>
          <w:color w:val="auto"/>
          <w:sz w:val="24"/>
          <w:highlight w:val="none"/>
        </w:rPr>
      </w:pPr>
      <w:r>
        <w:rPr>
          <w:rFonts w:hint="eastAsia" w:ascii="宋体" w:hAnsi="宋体" w:cs="宋体"/>
          <w:b/>
          <w:bCs/>
          <w:color w:val="auto"/>
          <w:spacing w:val="2"/>
          <w:sz w:val="24"/>
          <w:highlight w:val="none"/>
        </w:rPr>
        <w:t>注：</w:t>
      </w:r>
      <w:r>
        <w:rPr>
          <w:rFonts w:ascii="宋体" w:hAnsi="宋体"/>
          <w:color w:val="auto"/>
          <w:sz w:val="24"/>
          <w:highlight w:val="none"/>
        </w:rPr>
        <w:t>1.本表应按包分别填写。</w:t>
      </w:r>
    </w:p>
    <w:p w14:paraId="4C8E0590">
      <w:pPr>
        <w:numPr>
          <w:ilvl w:val="0"/>
          <w:numId w:val="0"/>
        </w:numPr>
        <w:spacing w:line="360" w:lineRule="auto"/>
        <w:ind w:firstLine="482" w:firstLineChars="200"/>
        <w:outlineLvl w:val="2"/>
        <w:rPr>
          <w:b/>
          <w:bCs/>
          <w:color w:val="auto"/>
          <w:highlight w:val="none"/>
        </w:rPr>
      </w:pPr>
      <w:r>
        <w:rPr>
          <w:rFonts w:hint="eastAsia" w:ascii="宋体" w:hAnsi="宋体"/>
          <w:b/>
          <w:bCs/>
          <w:color w:val="auto"/>
          <w:sz w:val="24"/>
          <w:highlight w:val="none"/>
          <w:lang w:val="en-US" w:eastAsia="zh-CN"/>
        </w:rPr>
        <w:t>2.</w:t>
      </w:r>
      <w:r>
        <w:rPr>
          <w:rFonts w:ascii="宋体" w:hAnsi="宋体"/>
          <w:b/>
          <w:bCs/>
          <w:color w:val="auto"/>
          <w:sz w:val="24"/>
          <w:highlight w:val="none"/>
        </w:rPr>
        <w:t>如果不提供分项报价将视为没有实质性响应</w:t>
      </w:r>
      <w:r>
        <w:rPr>
          <w:rFonts w:hint="eastAsia" w:ascii="宋体" w:hAnsi="宋体"/>
          <w:b/>
          <w:bCs/>
          <w:color w:val="auto"/>
          <w:sz w:val="24"/>
          <w:highlight w:val="none"/>
          <w:lang w:val="en-US" w:eastAsia="zh-CN"/>
        </w:rPr>
        <w:t>采购</w:t>
      </w:r>
      <w:r>
        <w:rPr>
          <w:rFonts w:ascii="宋体" w:hAnsi="宋体"/>
          <w:b/>
          <w:bCs/>
          <w:color w:val="auto"/>
          <w:sz w:val="24"/>
          <w:highlight w:val="none"/>
        </w:rPr>
        <w:t>文件。</w:t>
      </w:r>
    </w:p>
    <w:p w14:paraId="3E6DBB9A">
      <w:pPr>
        <w:spacing w:line="360" w:lineRule="auto"/>
        <w:ind w:firstLine="488"/>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“投标总报价”应包括完成本项目所需的人员、常州固定办公服务驻点及场地、驻场与到场服务、成品软件或配套工具使用、技术运维、安全保障、接口配合、培训、资料、交接、税费及其他全部费用，</w:t>
      </w:r>
      <w:r>
        <w:rPr>
          <w:rFonts w:hint="eastAsia" w:ascii="宋体" w:hAnsi="宋体" w:cs="宋体"/>
          <w:color w:val="auto"/>
          <w:spacing w:val="2"/>
          <w:sz w:val="24"/>
          <w:highlight w:val="none"/>
        </w:rPr>
        <w:t>以及为完成该项服务项目所涉及到的一切相关费用，</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w:t>
      </w:r>
      <w:r>
        <w:rPr>
          <w:rFonts w:hint="eastAsia" w:ascii="宋体" w:hAnsi="宋体" w:cs="宋体"/>
          <w:color w:val="auto"/>
          <w:spacing w:val="2"/>
          <w:sz w:val="24"/>
          <w:highlight w:val="none"/>
        </w:rPr>
        <w:t>不再支付其他任何费用</w:t>
      </w:r>
      <w:r>
        <w:rPr>
          <w:rFonts w:hint="eastAsia" w:ascii="宋体" w:hAnsi="宋体" w:cs="宋体"/>
          <w:color w:val="auto"/>
          <w:spacing w:val="2"/>
          <w:sz w:val="24"/>
          <w:highlight w:val="none"/>
          <w:lang w:eastAsia="zh-CN"/>
        </w:rPr>
        <w:t>。</w:t>
      </w:r>
      <w:r>
        <w:rPr>
          <w:rFonts w:hint="eastAsia" w:ascii="宋体" w:hAnsi="宋体" w:cs="宋体"/>
          <w:color w:val="auto"/>
          <w:sz w:val="24"/>
          <w:szCs w:val="24"/>
          <w:highlight w:val="none"/>
        </w:rPr>
        <w:t>招标文件另有约定的除外。</w:t>
      </w:r>
    </w:p>
    <w:p w14:paraId="70F40771">
      <w:pPr>
        <w:spacing w:line="360" w:lineRule="auto"/>
        <w:ind w:firstLine="488"/>
        <w:rPr>
          <w:rFonts w:ascii="宋体" w:hAnsi="宋体" w:cs="宋体"/>
          <w:color w:val="auto"/>
          <w:sz w:val="24"/>
          <w:szCs w:val="20"/>
          <w:highlight w:val="none"/>
          <w:lang w:val="zh-CN"/>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.“投标分项报价表”中的“投标总报价”应与“开标一览表”中的“投标总报价”一致。</w:t>
      </w:r>
    </w:p>
    <w:p w14:paraId="2B45661B">
      <w:pPr>
        <w:rPr>
          <w:color w:val="auto"/>
          <w:highlight w:val="none"/>
        </w:rPr>
      </w:pPr>
    </w:p>
    <w:p w14:paraId="05CA745B">
      <w:pPr>
        <w:spacing w:line="360" w:lineRule="auto"/>
        <w:outlineLvl w:val="2"/>
        <w:rPr>
          <w:rFonts w:hint="default"/>
          <w:color w:val="auto"/>
          <w:sz w:val="24"/>
          <w:highlight w:val="none"/>
          <w:lang w:val="en-US" w:eastAsia="zh-CN"/>
        </w:rPr>
      </w:pPr>
      <w:r>
        <w:rPr>
          <w:color w:val="auto"/>
          <w:highlight w:val="none"/>
        </w:rPr>
        <w:br w:type="page" w:clear="all"/>
      </w:r>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r>
        <w:rPr>
          <w:rFonts w:hint="eastAsia"/>
          <w:color w:val="auto"/>
          <w:sz w:val="24"/>
          <w:szCs w:val="20"/>
          <w:highlight w:val="none"/>
        </w:rPr>
        <w:t>6</w:t>
      </w:r>
      <w:r>
        <w:rPr>
          <w:color w:val="auto"/>
          <w:sz w:val="24"/>
          <w:szCs w:val="20"/>
          <w:highlight w:val="none"/>
        </w:rPr>
        <w:t xml:space="preserve">  </w:t>
      </w:r>
      <w:r>
        <w:rPr>
          <w:rFonts w:hint="eastAsia"/>
          <w:color w:val="auto"/>
          <w:sz w:val="24"/>
          <w:highlight w:val="none"/>
          <w:lang w:val="en-US" w:eastAsia="zh-CN"/>
        </w:rPr>
        <w:t>商务要求响应及偏离表</w:t>
      </w:r>
    </w:p>
    <w:p w14:paraId="2274F729">
      <w:pPr>
        <w:spacing w:line="360" w:lineRule="auto"/>
        <w:rPr>
          <w:color w:val="auto"/>
          <w:sz w:val="24"/>
          <w:szCs w:val="20"/>
          <w:highlight w:val="none"/>
        </w:rPr>
      </w:pPr>
    </w:p>
    <w:p w14:paraId="76F431AE">
      <w:pPr>
        <w:tabs>
          <w:tab w:val="left" w:pos="2775"/>
          <w:tab w:val="center" w:pos="4153"/>
        </w:tabs>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lang w:val="en-US" w:eastAsia="zh-CN"/>
        </w:rPr>
        <w:t>商务要求响应及</w:t>
      </w:r>
      <w:r>
        <w:rPr>
          <w:rFonts w:hint="eastAsia"/>
          <w:b/>
          <w:color w:val="auto"/>
          <w:sz w:val="36"/>
          <w:szCs w:val="36"/>
          <w:highlight w:val="none"/>
        </w:rPr>
        <w:t>偏离表</w:t>
      </w:r>
    </w:p>
    <w:p w14:paraId="0BDAB84D">
      <w:pPr>
        <w:spacing w:line="360" w:lineRule="auto"/>
        <w:rPr>
          <w:color w:val="auto"/>
          <w:sz w:val="24"/>
          <w:szCs w:val="20"/>
          <w:highlight w:val="none"/>
        </w:rPr>
      </w:pPr>
    </w:p>
    <w:p w14:paraId="7B071AD4">
      <w:pPr>
        <w:tabs>
          <w:tab w:val="left" w:pos="1800"/>
          <w:tab w:val="left" w:pos="5580"/>
        </w:tabs>
        <w:spacing w:line="360" w:lineRule="auto"/>
        <w:ind w:firstLine="360" w:firstLineChars="150"/>
        <w:jc w:val="left"/>
        <w:rPr>
          <w:color w:val="auto"/>
          <w:sz w:val="24"/>
          <w:highlight w:val="none"/>
        </w:rPr>
      </w:pPr>
      <w:r>
        <w:rPr>
          <w:color w:val="auto"/>
          <w:sz w:val="24"/>
          <w:highlight w:val="none"/>
        </w:rPr>
        <w:t>项目编号/包号：_____________________     项目名称：_____________</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4"/>
        <w:gridCol w:w="1301"/>
        <w:gridCol w:w="2007"/>
        <w:gridCol w:w="2008"/>
        <w:gridCol w:w="2458"/>
        <w:gridCol w:w="788"/>
      </w:tblGrid>
      <w:tr w14:paraId="0AABC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491668C5">
            <w:pPr>
              <w:adjustRightInd w:val="0"/>
              <w:snapToGrid w:val="0"/>
              <w:jc w:val="left"/>
              <w:rPr>
                <w:b/>
                <w:color w:val="auto"/>
                <w:sz w:val="24"/>
                <w:highlight w:val="none"/>
              </w:rPr>
            </w:pPr>
            <w:r>
              <w:rPr>
                <w:b/>
                <w:color w:val="auto"/>
                <w:sz w:val="24"/>
                <w:highlight w:val="none"/>
              </w:rPr>
              <w:t>对本</w:t>
            </w:r>
            <w:r>
              <w:rPr>
                <w:rFonts w:hint="eastAsia"/>
                <w:b/>
                <w:color w:val="auto"/>
                <w:sz w:val="24"/>
                <w:highlight w:val="none"/>
              </w:rPr>
              <w:t>项目</w:t>
            </w:r>
            <w:r>
              <w:rPr>
                <w:b/>
                <w:color w:val="auto"/>
                <w:sz w:val="24"/>
                <w:highlight w:val="none"/>
              </w:rPr>
              <w:t>合同条款的偏离情况（请进行勾选）：</w:t>
            </w:r>
          </w:p>
          <w:p w14:paraId="340B9969">
            <w:pPr>
              <w:adjustRightInd w:val="0"/>
              <w:snapToGrid w:val="0"/>
              <w:jc w:val="left"/>
              <w:rPr>
                <w:b/>
                <w:color w:val="auto"/>
                <w:sz w:val="24"/>
                <w:highlight w:val="none"/>
              </w:rPr>
            </w:pPr>
            <w:r>
              <w:rPr>
                <w:b/>
                <w:color w:val="auto"/>
                <w:sz w:val="24"/>
                <w:highlight w:val="none"/>
              </w:rPr>
              <w:t>□无偏离</w:t>
            </w:r>
            <w:r>
              <w:rPr>
                <w:color w:val="auto"/>
                <w:sz w:val="24"/>
                <w:highlight w:val="none"/>
              </w:rPr>
              <w:t>（</w:t>
            </w:r>
            <w:r>
              <w:rPr>
                <w:color w:val="auto"/>
                <w:sz w:val="24"/>
                <w:szCs w:val="21"/>
                <w:highlight w:val="none"/>
              </w:rPr>
              <w:t>如无偏离，仅勾选无偏离即可</w:t>
            </w:r>
            <w:r>
              <w:rPr>
                <w:color w:val="auto"/>
                <w:sz w:val="24"/>
                <w:highlight w:val="none"/>
              </w:rPr>
              <w:t>）</w:t>
            </w:r>
          </w:p>
          <w:p w14:paraId="1BD6CB3E">
            <w:pPr>
              <w:adjustRightInd w:val="0"/>
              <w:snapToGrid w:val="0"/>
              <w:jc w:val="left"/>
              <w:rPr>
                <w:color w:val="auto"/>
                <w:sz w:val="24"/>
                <w:highlight w:val="none"/>
              </w:rPr>
            </w:pPr>
            <w:r>
              <w:rPr>
                <w:b/>
                <w:color w:val="auto"/>
                <w:sz w:val="24"/>
                <w:highlight w:val="none"/>
              </w:rPr>
              <w:t>□有偏离</w:t>
            </w:r>
            <w:r>
              <w:rPr>
                <w:color w:val="auto"/>
                <w:sz w:val="24"/>
                <w:highlight w:val="none"/>
              </w:rPr>
              <w:t>（</w:t>
            </w:r>
            <w:r>
              <w:rPr>
                <w:color w:val="auto"/>
                <w:sz w:val="24"/>
                <w:szCs w:val="21"/>
                <w:highlight w:val="none"/>
              </w:rPr>
              <w:t>如有偏离，</w:t>
            </w:r>
            <w:r>
              <w:rPr>
                <w:color w:val="auto"/>
                <w:sz w:val="24"/>
                <w:highlight w:val="none"/>
              </w:rPr>
              <w:t>则</w:t>
            </w:r>
            <w:r>
              <w:rPr>
                <w:rFonts w:hint="eastAsia"/>
                <w:color w:val="auto"/>
                <w:sz w:val="24"/>
                <w:highlight w:val="none"/>
              </w:rPr>
              <w:t>应</w:t>
            </w:r>
            <w:r>
              <w:rPr>
                <w:color w:val="auto"/>
                <w:sz w:val="24"/>
                <w:highlight w:val="none"/>
              </w:rPr>
              <w:t>在本表中对偏离项逐一列明）</w:t>
            </w:r>
          </w:p>
        </w:tc>
      </w:tr>
      <w:tr w14:paraId="068C1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04A85BB6">
            <w:pPr>
              <w:adjustRightInd w:val="0"/>
              <w:snapToGrid w:val="0"/>
              <w:jc w:val="center"/>
              <w:rPr>
                <w:color w:val="auto"/>
                <w:sz w:val="24"/>
                <w:highlight w:val="none"/>
              </w:rPr>
            </w:pPr>
            <w:r>
              <w:rPr>
                <w:color w:val="auto"/>
                <w:sz w:val="24"/>
                <w:highlight w:val="none"/>
              </w:rPr>
              <w:t>序号</w:t>
            </w:r>
          </w:p>
        </w:tc>
        <w:tc>
          <w:tcPr>
            <w:tcW w:w="1301" w:type="dxa"/>
            <w:vAlign w:val="center"/>
          </w:tcPr>
          <w:p w14:paraId="56BE8F67">
            <w:pPr>
              <w:adjustRightInd w:val="0"/>
              <w:snapToGrid w:val="0"/>
              <w:jc w:val="center"/>
              <w:rPr>
                <w:color w:val="auto"/>
                <w:sz w:val="24"/>
                <w:highlight w:val="none"/>
              </w:rPr>
            </w:pPr>
            <w:r>
              <w:rPr>
                <w:color w:val="auto"/>
                <w:sz w:val="24"/>
                <w:szCs w:val="21"/>
                <w:highlight w:val="none"/>
              </w:rPr>
              <w:t>招标文件</w:t>
            </w:r>
            <w:r>
              <w:rPr>
                <w:color w:val="auto"/>
                <w:sz w:val="24"/>
                <w:highlight w:val="none"/>
              </w:rPr>
              <w:t>条目号（页码）</w:t>
            </w:r>
          </w:p>
        </w:tc>
        <w:tc>
          <w:tcPr>
            <w:tcW w:w="2007" w:type="dxa"/>
            <w:vAlign w:val="center"/>
          </w:tcPr>
          <w:p w14:paraId="6B6DF591">
            <w:pPr>
              <w:adjustRightInd w:val="0"/>
              <w:snapToGrid w:val="0"/>
              <w:jc w:val="center"/>
              <w:rPr>
                <w:color w:val="auto"/>
                <w:sz w:val="24"/>
                <w:highlight w:val="none"/>
              </w:rPr>
            </w:pPr>
            <w:r>
              <w:rPr>
                <w:color w:val="auto"/>
                <w:sz w:val="24"/>
                <w:szCs w:val="21"/>
                <w:highlight w:val="none"/>
              </w:rPr>
              <w:t>招标文件</w:t>
            </w:r>
            <w:r>
              <w:rPr>
                <w:color w:val="auto"/>
                <w:sz w:val="24"/>
                <w:highlight w:val="none"/>
              </w:rPr>
              <w:t>要求</w:t>
            </w:r>
          </w:p>
        </w:tc>
        <w:tc>
          <w:tcPr>
            <w:tcW w:w="2008" w:type="dxa"/>
            <w:vAlign w:val="center"/>
          </w:tcPr>
          <w:p w14:paraId="519EDA65">
            <w:pPr>
              <w:adjustRightInd w:val="0"/>
              <w:snapToGrid w:val="0"/>
              <w:jc w:val="center"/>
              <w:rPr>
                <w:color w:val="auto"/>
                <w:sz w:val="24"/>
                <w:highlight w:val="none"/>
              </w:rPr>
            </w:pPr>
            <w:r>
              <w:rPr>
                <w:color w:val="auto"/>
                <w:sz w:val="24"/>
                <w:highlight w:val="none"/>
              </w:rPr>
              <w:t>投标文件内容</w:t>
            </w:r>
          </w:p>
        </w:tc>
        <w:tc>
          <w:tcPr>
            <w:tcW w:w="2458" w:type="dxa"/>
            <w:vAlign w:val="center"/>
          </w:tcPr>
          <w:p w14:paraId="4A6ABC98">
            <w:pPr>
              <w:adjustRightInd w:val="0"/>
              <w:snapToGrid w:val="0"/>
              <w:jc w:val="center"/>
              <w:rPr>
                <w:color w:val="auto"/>
                <w:sz w:val="24"/>
                <w:highlight w:val="none"/>
              </w:rPr>
            </w:pPr>
            <w:r>
              <w:rPr>
                <w:color w:val="auto"/>
                <w:sz w:val="24"/>
                <w:highlight w:val="none"/>
              </w:rPr>
              <w:t>偏离情况</w:t>
            </w:r>
          </w:p>
        </w:tc>
        <w:tc>
          <w:tcPr>
            <w:tcW w:w="788" w:type="dxa"/>
            <w:vAlign w:val="center"/>
          </w:tcPr>
          <w:p w14:paraId="07E4377A">
            <w:pPr>
              <w:adjustRightInd w:val="0"/>
              <w:snapToGrid w:val="0"/>
              <w:jc w:val="center"/>
              <w:rPr>
                <w:color w:val="auto"/>
                <w:sz w:val="24"/>
                <w:highlight w:val="none"/>
              </w:rPr>
            </w:pPr>
            <w:r>
              <w:rPr>
                <w:color w:val="auto"/>
                <w:sz w:val="24"/>
                <w:highlight w:val="none"/>
              </w:rPr>
              <w:t>说明</w:t>
            </w:r>
          </w:p>
        </w:tc>
      </w:tr>
      <w:tr w14:paraId="22982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294D796C">
            <w:pPr>
              <w:adjustRightInd w:val="0"/>
              <w:snapToGrid w:val="0"/>
              <w:jc w:val="center"/>
              <w:rPr>
                <w:color w:val="auto"/>
                <w:sz w:val="24"/>
                <w:highlight w:val="none"/>
              </w:rPr>
            </w:pPr>
          </w:p>
        </w:tc>
        <w:tc>
          <w:tcPr>
            <w:tcW w:w="1301" w:type="dxa"/>
            <w:vAlign w:val="center"/>
          </w:tcPr>
          <w:p w14:paraId="5D409D58">
            <w:pPr>
              <w:adjustRightInd w:val="0"/>
              <w:snapToGrid w:val="0"/>
              <w:jc w:val="center"/>
              <w:rPr>
                <w:color w:val="auto"/>
                <w:sz w:val="24"/>
                <w:highlight w:val="none"/>
              </w:rPr>
            </w:pPr>
          </w:p>
        </w:tc>
        <w:tc>
          <w:tcPr>
            <w:tcW w:w="2007" w:type="dxa"/>
            <w:vAlign w:val="center"/>
          </w:tcPr>
          <w:p w14:paraId="6B597322">
            <w:pPr>
              <w:adjustRightInd w:val="0"/>
              <w:snapToGrid w:val="0"/>
              <w:jc w:val="center"/>
              <w:rPr>
                <w:color w:val="auto"/>
                <w:sz w:val="24"/>
                <w:highlight w:val="none"/>
              </w:rPr>
            </w:pPr>
          </w:p>
        </w:tc>
        <w:tc>
          <w:tcPr>
            <w:tcW w:w="2008" w:type="dxa"/>
            <w:vAlign w:val="center"/>
          </w:tcPr>
          <w:p w14:paraId="494430A8">
            <w:pPr>
              <w:adjustRightInd w:val="0"/>
              <w:snapToGrid w:val="0"/>
              <w:jc w:val="center"/>
              <w:rPr>
                <w:color w:val="auto"/>
                <w:sz w:val="24"/>
                <w:highlight w:val="none"/>
              </w:rPr>
            </w:pPr>
          </w:p>
        </w:tc>
        <w:tc>
          <w:tcPr>
            <w:tcW w:w="2458" w:type="dxa"/>
            <w:vAlign w:val="center"/>
          </w:tcPr>
          <w:p w14:paraId="5538A0DB">
            <w:pPr>
              <w:adjustRightInd w:val="0"/>
              <w:snapToGrid w:val="0"/>
              <w:jc w:val="center"/>
              <w:rPr>
                <w:color w:val="auto"/>
                <w:sz w:val="24"/>
                <w:highlight w:val="none"/>
              </w:rPr>
            </w:pPr>
          </w:p>
        </w:tc>
        <w:tc>
          <w:tcPr>
            <w:tcW w:w="788" w:type="dxa"/>
            <w:vAlign w:val="center"/>
          </w:tcPr>
          <w:p w14:paraId="287EDB65">
            <w:pPr>
              <w:adjustRightInd w:val="0"/>
              <w:snapToGrid w:val="0"/>
              <w:jc w:val="center"/>
              <w:rPr>
                <w:color w:val="auto"/>
                <w:sz w:val="24"/>
                <w:highlight w:val="none"/>
              </w:rPr>
            </w:pPr>
          </w:p>
        </w:tc>
      </w:tr>
      <w:tr w14:paraId="55CC6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5AE0F0D1">
            <w:pPr>
              <w:adjustRightInd w:val="0"/>
              <w:snapToGrid w:val="0"/>
              <w:jc w:val="center"/>
              <w:rPr>
                <w:color w:val="auto"/>
                <w:sz w:val="24"/>
                <w:highlight w:val="none"/>
              </w:rPr>
            </w:pPr>
          </w:p>
        </w:tc>
        <w:tc>
          <w:tcPr>
            <w:tcW w:w="1301" w:type="dxa"/>
            <w:vAlign w:val="center"/>
          </w:tcPr>
          <w:p w14:paraId="6B20A5ED">
            <w:pPr>
              <w:adjustRightInd w:val="0"/>
              <w:snapToGrid w:val="0"/>
              <w:jc w:val="center"/>
              <w:rPr>
                <w:color w:val="auto"/>
                <w:sz w:val="24"/>
                <w:highlight w:val="none"/>
              </w:rPr>
            </w:pPr>
          </w:p>
        </w:tc>
        <w:tc>
          <w:tcPr>
            <w:tcW w:w="2007" w:type="dxa"/>
            <w:vAlign w:val="center"/>
          </w:tcPr>
          <w:p w14:paraId="692F24AA">
            <w:pPr>
              <w:adjustRightInd w:val="0"/>
              <w:snapToGrid w:val="0"/>
              <w:jc w:val="center"/>
              <w:rPr>
                <w:color w:val="auto"/>
                <w:sz w:val="24"/>
                <w:highlight w:val="none"/>
              </w:rPr>
            </w:pPr>
          </w:p>
        </w:tc>
        <w:tc>
          <w:tcPr>
            <w:tcW w:w="2008" w:type="dxa"/>
            <w:vAlign w:val="center"/>
          </w:tcPr>
          <w:p w14:paraId="76C45946">
            <w:pPr>
              <w:adjustRightInd w:val="0"/>
              <w:snapToGrid w:val="0"/>
              <w:jc w:val="center"/>
              <w:rPr>
                <w:color w:val="auto"/>
                <w:sz w:val="24"/>
                <w:highlight w:val="none"/>
              </w:rPr>
            </w:pPr>
          </w:p>
        </w:tc>
        <w:tc>
          <w:tcPr>
            <w:tcW w:w="2458" w:type="dxa"/>
            <w:vAlign w:val="center"/>
          </w:tcPr>
          <w:p w14:paraId="37B4F062">
            <w:pPr>
              <w:adjustRightInd w:val="0"/>
              <w:snapToGrid w:val="0"/>
              <w:jc w:val="center"/>
              <w:rPr>
                <w:color w:val="auto"/>
                <w:sz w:val="24"/>
                <w:highlight w:val="none"/>
              </w:rPr>
            </w:pPr>
          </w:p>
        </w:tc>
        <w:tc>
          <w:tcPr>
            <w:tcW w:w="788" w:type="dxa"/>
            <w:vAlign w:val="center"/>
          </w:tcPr>
          <w:p w14:paraId="45B16B3F">
            <w:pPr>
              <w:adjustRightInd w:val="0"/>
              <w:snapToGrid w:val="0"/>
              <w:jc w:val="center"/>
              <w:rPr>
                <w:color w:val="auto"/>
                <w:sz w:val="24"/>
                <w:highlight w:val="none"/>
              </w:rPr>
            </w:pPr>
          </w:p>
        </w:tc>
      </w:tr>
      <w:tr w14:paraId="65E49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68B53D4F">
            <w:pPr>
              <w:adjustRightInd w:val="0"/>
              <w:snapToGrid w:val="0"/>
              <w:jc w:val="center"/>
              <w:rPr>
                <w:color w:val="auto"/>
                <w:sz w:val="24"/>
                <w:highlight w:val="none"/>
              </w:rPr>
            </w:pPr>
          </w:p>
        </w:tc>
        <w:tc>
          <w:tcPr>
            <w:tcW w:w="1301" w:type="dxa"/>
            <w:vAlign w:val="center"/>
          </w:tcPr>
          <w:p w14:paraId="5AE4314A">
            <w:pPr>
              <w:adjustRightInd w:val="0"/>
              <w:snapToGrid w:val="0"/>
              <w:jc w:val="center"/>
              <w:rPr>
                <w:color w:val="auto"/>
                <w:sz w:val="24"/>
                <w:highlight w:val="none"/>
              </w:rPr>
            </w:pPr>
          </w:p>
        </w:tc>
        <w:tc>
          <w:tcPr>
            <w:tcW w:w="2007" w:type="dxa"/>
            <w:vAlign w:val="center"/>
          </w:tcPr>
          <w:p w14:paraId="1FCBAE95">
            <w:pPr>
              <w:adjustRightInd w:val="0"/>
              <w:snapToGrid w:val="0"/>
              <w:jc w:val="center"/>
              <w:rPr>
                <w:color w:val="auto"/>
                <w:sz w:val="24"/>
                <w:highlight w:val="none"/>
              </w:rPr>
            </w:pPr>
          </w:p>
        </w:tc>
        <w:tc>
          <w:tcPr>
            <w:tcW w:w="2008" w:type="dxa"/>
            <w:vAlign w:val="center"/>
          </w:tcPr>
          <w:p w14:paraId="388A75ED">
            <w:pPr>
              <w:adjustRightInd w:val="0"/>
              <w:snapToGrid w:val="0"/>
              <w:jc w:val="center"/>
              <w:rPr>
                <w:color w:val="auto"/>
                <w:sz w:val="24"/>
                <w:highlight w:val="none"/>
              </w:rPr>
            </w:pPr>
          </w:p>
        </w:tc>
        <w:tc>
          <w:tcPr>
            <w:tcW w:w="2458" w:type="dxa"/>
            <w:vAlign w:val="center"/>
          </w:tcPr>
          <w:p w14:paraId="51E63A9A">
            <w:pPr>
              <w:adjustRightInd w:val="0"/>
              <w:snapToGrid w:val="0"/>
              <w:jc w:val="center"/>
              <w:rPr>
                <w:color w:val="auto"/>
                <w:sz w:val="24"/>
                <w:highlight w:val="none"/>
              </w:rPr>
            </w:pPr>
          </w:p>
        </w:tc>
        <w:tc>
          <w:tcPr>
            <w:tcW w:w="788" w:type="dxa"/>
            <w:vAlign w:val="center"/>
          </w:tcPr>
          <w:p w14:paraId="38C350C2">
            <w:pPr>
              <w:adjustRightInd w:val="0"/>
              <w:snapToGrid w:val="0"/>
              <w:jc w:val="center"/>
              <w:rPr>
                <w:color w:val="auto"/>
                <w:sz w:val="24"/>
                <w:highlight w:val="none"/>
              </w:rPr>
            </w:pPr>
          </w:p>
        </w:tc>
      </w:tr>
      <w:tr w14:paraId="6F784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398BFC91">
            <w:pPr>
              <w:adjustRightInd w:val="0"/>
              <w:snapToGrid w:val="0"/>
              <w:jc w:val="center"/>
              <w:rPr>
                <w:color w:val="auto"/>
                <w:sz w:val="24"/>
                <w:highlight w:val="none"/>
              </w:rPr>
            </w:pPr>
            <w:r>
              <w:rPr>
                <w:color w:val="auto"/>
                <w:sz w:val="24"/>
                <w:highlight w:val="none"/>
              </w:rPr>
              <w:t>……</w:t>
            </w:r>
          </w:p>
        </w:tc>
        <w:tc>
          <w:tcPr>
            <w:tcW w:w="1301" w:type="dxa"/>
            <w:vAlign w:val="center"/>
          </w:tcPr>
          <w:p w14:paraId="570502FF">
            <w:pPr>
              <w:adjustRightInd w:val="0"/>
              <w:snapToGrid w:val="0"/>
              <w:jc w:val="center"/>
              <w:rPr>
                <w:color w:val="auto"/>
                <w:sz w:val="24"/>
                <w:highlight w:val="none"/>
              </w:rPr>
            </w:pPr>
          </w:p>
        </w:tc>
        <w:tc>
          <w:tcPr>
            <w:tcW w:w="2007" w:type="dxa"/>
            <w:vAlign w:val="center"/>
          </w:tcPr>
          <w:p w14:paraId="32C9408E">
            <w:pPr>
              <w:adjustRightInd w:val="0"/>
              <w:snapToGrid w:val="0"/>
              <w:jc w:val="center"/>
              <w:rPr>
                <w:color w:val="auto"/>
                <w:sz w:val="24"/>
                <w:highlight w:val="none"/>
              </w:rPr>
            </w:pPr>
          </w:p>
        </w:tc>
        <w:tc>
          <w:tcPr>
            <w:tcW w:w="2008" w:type="dxa"/>
            <w:vAlign w:val="center"/>
          </w:tcPr>
          <w:p w14:paraId="009AD5EA">
            <w:pPr>
              <w:adjustRightInd w:val="0"/>
              <w:snapToGrid w:val="0"/>
              <w:jc w:val="center"/>
              <w:rPr>
                <w:color w:val="auto"/>
                <w:sz w:val="24"/>
                <w:highlight w:val="none"/>
              </w:rPr>
            </w:pPr>
          </w:p>
        </w:tc>
        <w:tc>
          <w:tcPr>
            <w:tcW w:w="2458" w:type="dxa"/>
            <w:vAlign w:val="center"/>
          </w:tcPr>
          <w:p w14:paraId="460ACD88">
            <w:pPr>
              <w:adjustRightInd w:val="0"/>
              <w:snapToGrid w:val="0"/>
              <w:jc w:val="center"/>
              <w:rPr>
                <w:color w:val="auto"/>
                <w:sz w:val="24"/>
                <w:highlight w:val="none"/>
              </w:rPr>
            </w:pPr>
          </w:p>
        </w:tc>
        <w:tc>
          <w:tcPr>
            <w:tcW w:w="788" w:type="dxa"/>
            <w:vAlign w:val="center"/>
          </w:tcPr>
          <w:p w14:paraId="74447894">
            <w:pPr>
              <w:adjustRightInd w:val="0"/>
              <w:snapToGrid w:val="0"/>
              <w:jc w:val="center"/>
              <w:rPr>
                <w:color w:val="auto"/>
                <w:sz w:val="24"/>
                <w:highlight w:val="none"/>
              </w:rPr>
            </w:pPr>
          </w:p>
        </w:tc>
      </w:tr>
    </w:tbl>
    <w:p w14:paraId="01A92C29">
      <w:pPr>
        <w:tabs>
          <w:tab w:val="left" w:pos="1800"/>
          <w:tab w:val="left" w:pos="5580"/>
        </w:tabs>
        <w:jc w:val="left"/>
        <w:rPr>
          <w:color w:val="auto"/>
          <w:sz w:val="24"/>
          <w:highlight w:val="none"/>
        </w:rPr>
      </w:pPr>
    </w:p>
    <w:p w14:paraId="2C6CDDFA">
      <w:pPr>
        <w:tabs>
          <w:tab w:val="left" w:pos="1800"/>
          <w:tab w:val="left" w:pos="5580"/>
        </w:tabs>
        <w:jc w:val="left"/>
        <w:rPr>
          <w:color w:val="auto"/>
          <w:sz w:val="24"/>
          <w:highlight w:val="none"/>
        </w:rPr>
      </w:pPr>
      <w:r>
        <w:rPr>
          <w:color w:val="auto"/>
          <w:sz w:val="24"/>
          <w:highlight w:val="none"/>
        </w:rPr>
        <w:t>注：</w:t>
      </w:r>
    </w:p>
    <w:p w14:paraId="5F1EA084">
      <w:pPr>
        <w:tabs>
          <w:tab w:val="left" w:pos="1800"/>
          <w:tab w:val="left" w:pos="5580"/>
        </w:tabs>
        <w:jc w:val="left"/>
        <w:rPr>
          <w:color w:val="auto"/>
          <w:sz w:val="24"/>
          <w:highlight w:val="none"/>
        </w:rPr>
      </w:pPr>
      <w:r>
        <w:rPr>
          <w:rFonts w:hint="eastAsia"/>
          <w:color w:val="auto"/>
          <w:sz w:val="24"/>
          <w:highlight w:val="none"/>
        </w:rPr>
        <w:t>1</w:t>
      </w:r>
      <w:r>
        <w:rPr>
          <w:color w:val="auto"/>
          <w:sz w:val="24"/>
          <w:highlight w:val="none"/>
        </w:rPr>
        <w:t>. 对合同条款中的所有要求，除本表所列明的所有偏离外，均视作</w:t>
      </w:r>
      <w:r>
        <w:rPr>
          <w:rFonts w:hint="eastAsia"/>
          <w:color w:val="auto"/>
          <w:sz w:val="24"/>
          <w:highlight w:val="none"/>
          <w:lang w:val="en-US" w:eastAsia="zh-CN"/>
        </w:rPr>
        <w:t>投标人</w:t>
      </w:r>
      <w:r>
        <w:rPr>
          <w:color w:val="auto"/>
          <w:sz w:val="24"/>
          <w:highlight w:val="none"/>
        </w:rPr>
        <w:t>已对之理解和</w:t>
      </w:r>
      <w:r>
        <w:rPr>
          <w:rFonts w:hint="eastAsia"/>
          <w:color w:val="auto"/>
          <w:sz w:val="24"/>
          <w:highlight w:val="none"/>
        </w:rPr>
        <w:t>响应</w:t>
      </w:r>
      <w:r>
        <w:rPr>
          <w:color w:val="auto"/>
          <w:sz w:val="24"/>
          <w:highlight w:val="none"/>
        </w:rPr>
        <w:t>。</w:t>
      </w:r>
    </w:p>
    <w:p w14:paraId="24149640">
      <w:pPr>
        <w:tabs>
          <w:tab w:val="left" w:pos="1800"/>
          <w:tab w:val="left" w:pos="5580"/>
        </w:tabs>
        <w:jc w:val="left"/>
        <w:rPr>
          <w:color w:val="auto"/>
          <w:sz w:val="24"/>
          <w:highlight w:val="none"/>
        </w:rPr>
      </w:pPr>
      <w:r>
        <w:rPr>
          <w:rFonts w:hint="eastAsia"/>
          <w:color w:val="auto"/>
          <w:sz w:val="24"/>
          <w:highlight w:val="none"/>
        </w:rPr>
        <w:t>2</w:t>
      </w:r>
      <w:r>
        <w:rPr>
          <w:color w:val="auto"/>
          <w:sz w:val="24"/>
          <w:highlight w:val="none"/>
        </w:rPr>
        <w:t xml:space="preserve">. </w:t>
      </w:r>
      <w:r>
        <w:rPr>
          <w:rFonts w:hint="eastAsia"/>
          <w:color w:val="auto"/>
          <w:sz w:val="24"/>
          <w:highlight w:val="none"/>
        </w:rPr>
        <w:t>“偏离情况”列应</w:t>
      </w:r>
      <w:r>
        <w:rPr>
          <w:color w:val="auto"/>
          <w:sz w:val="24"/>
          <w:highlight w:val="none"/>
        </w:rPr>
        <w:t>据实</w:t>
      </w:r>
      <w:r>
        <w:rPr>
          <w:rFonts w:hint="eastAsia"/>
          <w:color w:val="auto"/>
          <w:sz w:val="24"/>
          <w:highlight w:val="none"/>
        </w:rPr>
        <w:t>填写“正偏离”或“负偏离”</w:t>
      </w:r>
      <w:r>
        <w:rPr>
          <w:rFonts w:hint="eastAsia" w:ascii="宋体" w:hAnsi="宋体" w:cs="宋体"/>
          <w:color w:val="auto"/>
          <w:sz w:val="24"/>
          <w:highlight w:val="none"/>
        </w:rPr>
        <w:t>或“无偏离”</w:t>
      </w:r>
      <w:r>
        <w:rPr>
          <w:rFonts w:hint="eastAsia"/>
          <w:color w:val="auto"/>
          <w:sz w:val="24"/>
          <w:highlight w:val="none"/>
        </w:rPr>
        <w:t>。</w:t>
      </w:r>
    </w:p>
    <w:p w14:paraId="25AE891A">
      <w:pPr>
        <w:spacing w:line="360" w:lineRule="auto"/>
        <w:rPr>
          <w:color w:val="auto"/>
          <w:sz w:val="24"/>
          <w:szCs w:val="20"/>
          <w:highlight w:val="none"/>
        </w:rPr>
      </w:pPr>
    </w:p>
    <w:p w14:paraId="399531EF">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0DF8828C">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42981168">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10AE6F13">
      <w:pPr>
        <w:spacing w:line="360" w:lineRule="auto"/>
        <w:outlineLvl w:val="2"/>
        <w:rPr>
          <w:rFonts w:hint="eastAsia"/>
          <w:color w:val="auto"/>
          <w:sz w:val="24"/>
          <w:highlight w:val="none"/>
          <w:lang w:val="en-US" w:eastAsia="zh-CN"/>
        </w:rPr>
      </w:pPr>
      <w:r>
        <w:rPr>
          <w:color w:val="auto"/>
          <w:sz w:val="24"/>
          <w:szCs w:val="20"/>
          <w:highlight w:val="none"/>
        </w:rPr>
        <w:br w:type="page"/>
      </w:r>
      <w:r>
        <w:rPr>
          <w:rFonts w:hint="eastAsia"/>
          <w:color w:val="auto"/>
          <w:sz w:val="24"/>
          <w:szCs w:val="20"/>
          <w:highlight w:val="none"/>
          <w:lang w:val="en-US" w:eastAsia="zh-CN"/>
        </w:rPr>
        <w:t>7</w:t>
      </w:r>
      <w:r>
        <w:rPr>
          <w:color w:val="auto"/>
          <w:sz w:val="24"/>
          <w:szCs w:val="20"/>
          <w:highlight w:val="none"/>
        </w:rPr>
        <w:t xml:space="preserve">  </w:t>
      </w:r>
      <w:r>
        <w:rPr>
          <w:rFonts w:hint="eastAsia"/>
          <w:color w:val="auto"/>
          <w:sz w:val="24"/>
          <w:highlight w:val="none"/>
          <w:lang w:val="en-US" w:eastAsia="zh-CN"/>
        </w:rPr>
        <w:t>技术要求响应及偏离表</w:t>
      </w:r>
    </w:p>
    <w:p w14:paraId="790C01DD">
      <w:pPr>
        <w:spacing w:line="360" w:lineRule="auto"/>
        <w:rPr>
          <w:color w:val="auto"/>
          <w:sz w:val="24"/>
          <w:szCs w:val="20"/>
          <w:highlight w:val="none"/>
        </w:rPr>
      </w:pPr>
    </w:p>
    <w:p w14:paraId="2129194D">
      <w:pPr>
        <w:tabs>
          <w:tab w:val="left" w:pos="2775"/>
          <w:tab w:val="center" w:pos="4153"/>
        </w:tabs>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rPr>
        <w:t>技术要求响应及偏离表</w:t>
      </w:r>
    </w:p>
    <w:p w14:paraId="18D8A19D">
      <w:pPr>
        <w:spacing w:line="360" w:lineRule="auto"/>
        <w:rPr>
          <w:color w:val="auto"/>
          <w:sz w:val="24"/>
          <w:szCs w:val="20"/>
          <w:highlight w:val="none"/>
        </w:rPr>
      </w:pPr>
    </w:p>
    <w:p w14:paraId="01ECD174">
      <w:pPr>
        <w:tabs>
          <w:tab w:val="left" w:pos="1800"/>
          <w:tab w:val="left" w:pos="5580"/>
        </w:tabs>
        <w:spacing w:line="360" w:lineRule="auto"/>
        <w:ind w:firstLine="360" w:firstLineChars="150"/>
        <w:jc w:val="left"/>
        <w:rPr>
          <w:color w:val="auto"/>
          <w:sz w:val="24"/>
          <w:highlight w:val="none"/>
        </w:rPr>
      </w:pPr>
      <w:r>
        <w:rPr>
          <w:color w:val="auto"/>
          <w:sz w:val="24"/>
          <w:highlight w:val="none"/>
        </w:rPr>
        <w:t>项目编号/包号：_____________________     项目名称：_____________</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4"/>
        <w:gridCol w:w="1301"/>
        <w:gridCol w:w="2007"/>
        <w:gridCol w:w="2008"/>
        <w:gridCol w:w="2458"/>
        <w:gridCol w:w="788"/>
      </w:tblGrid>
      <w:tr w14:paraId="0CE66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noWrap w:val="0"/>
            <w:vAlign w:val="center"/>
          </w:tcPr>
          <w:p w14:paraId="79475338">
            <w:pPr>
              <w:adjustRightInd w:val="0"/>
              <w:snapToGrid w:val="0"/>
              <w:jc w:val="left"/>
              <w:rPr>
                <w:b/>
                <w:color w:val="auto"/>
                <w:sz w:val="24"/>
                <w:highlight w:val="none"/>
              </w:rPr>
            </w:pPr>
            <w:r>
              <w:rPr>
                <w:b/>
                <w:color w:val="auto"/>
                <w:sz w:val="24"/>
                <w:highlight w:val="none"/>
              </w:rPr>
              <w:t>对本</w:t>
            </w:r>
            <w:r>
              <w:rPr>
                <w:rFonts w:hint="eastAsia"/>
                <w:b/>
                <w:color w:val="auto"/>
                <w:sz w:val="24"/>
                <w:highlight w:val="none"/>
              </w:rPr>
              <w:t>项目技术</w:t>
            </w:r>
            <w:r>
              <w:rPr>
                <w:b/>
                <w:color w:val="auto"/>
                <w:sz w:val="24"/>
                <w:highlight w:val="none"/>
              </w:rPr>
              <w:t>要求条款的偏离情况（请进行勾选）：</w:t>
            </w:r>
          </w:p>
          <w:p w14:paraId="26548ED2">
            <w:pPr>
              <w:adjustRightInd w:val="0"/>
              <w:snapToGrid w:val="0"/>
              <w:jc w:val="left"/>
              <w:rPr>
                <w:b/>
                <w:color w:val="auto"/>
                <w:sz w:val="24"/>
                <w:highlight w:val="none"/>
              </w:rPr>
            </w:pPr>
            <w:r>
              <w:rPr>
                <w:b/>
                <w:color w:val="auto"/>
                <w:sz w:val="24"/>
                <w:highlight w:val="none"/>
              </w:rPr>
              <w:t>□无偏离</w:t>
            </w:r>
            <w:r>
              <w:rPr>
                <w:color w:val="auto"/>
                <w:sz w:val="24"/>
                <w:highlight w:val="none"/>
              </w:rPr>
              <w:t>（</w:t>
            </w:r>
            <w:r>
              <w:rPr>
                <w:color w:val="auto"/>
                <w:sz w:val="24"/>
                <w:szCs w:val="21"/>
                <w:highlight w:val="none"/>
              </w:rPr>
              <w:t>如无偏离，仅勾选无偏离即可</w:t>
            </w:r>
            <w:r>
              <w:rPr>
                <w:color w:val="auto"/>
                <w:sz w:val="24"/>
                <w:highlight w:val="none"/>
              </w:rPr>
              <w:t>）</w:t>
            </w:r>
          </w:p>
          <w:p w14:paraId="203E01FA">
            <w:pPr>
              <w:adjustRightInd w:val="0"/>
              <w:snapToGrid w:val="0"/>
              <w:jc w:val="left"/>
              <w:rPr>
                <w:color w:val="auto"/>
                <w:sz w:val="24"/>
                <w:highlight w:val="none"/>
              </w:rPr>
            </w:pPr>
            <w:r>
              <w:rPr>
                <w:b/>
                <w:color w:val="auto"/>
                <w:sz w:val="24"/>
                <w:highlight w:val="none"/>
              </w:rPr>
              <w:t>□有偏离</w:t>
            </w:r>
            <w:r>
              <w:rPr>
                <w:color w:val="auto"/>
                <w:sz w:val="24"/>
                <w:highlight w:val="none"/>
              </w:rPr>
              <w:t>（如有</w:t>
            </w:r>
            <w:r>
              <w:rPr>
                <w:rFonts w:hint="eastAsia"/>
                <w:color w:val="auto"/>
                <w:sz w:val="24"/>
                <w:highlight w:val="none"/>
              </w:rPr>
              <w:t>超出或者</w:t>
            </w:r>
            <w:r>
              <w:rPr>
                <w:color w:val="auto"/>
                <w:sz w:val="24"/>
                <w:highlight w:val="none"/>
              </w:rPr>
              <w:t>偏离，则须在本表中对</w:t>
            </w:r>
            <w:r>
              <w:rPr>
                <w:rFonts w:hint="eastAsia"/>
                <w:color w:val="auto"/>
                <w:sz w:val="24"/>
                <w:highlight w:val="none"/>
              </w:rPr>
              <w:t>超出或者</w:t>
            </w:r>
            <w:r>
              <w:rPr>
                <w:color w:val="auto"/>
                <w:sz w:val="24"/>
                <w:highlight w:val="none"/>
              </w:rPr>
              <w:t>偏离项逐一列明）</w:t>
            </w:r>
          </w:p>
        </w:tc>
      </w:tr>
      <w:tr w14:paraId="03468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793197F1">
            <w:pPr>
              <w:adjustRightInd w:val="0"/>
              <w:snapToGrid w:val="0"/>
              <w:jc w:val="center"/>
              <w:rPr>
                <w:color w:val="auto"/>
                <w:sz w:val="24"/>
                <w:highlight w:val="none"/>
              </w:rPr>
            </w:pPr>
            <w:r>
              <w:rPr>
                <w:color w:val="auto"/>
                <w:sz w:val="24"/>
                <w:highlight w:val="none"/>
              </w:rPr>
              <w:t>序号</w:t>
            </w:r>
          </w:p>
        </w:tc>
        <w:tc>
          <w:tcPr>
            <w:tcW w:w="1301" w:type="dxa"/>
            <w:noWrap w:val="0"/>
            <w:vAlign w:val="center"/>
          </w:tcPr>
          <w:p w14:paraId="68C88212">
            <w:pPr>
              <w:adjustRightInd w:val="0"/>
              <w:snapToGrid w:val="0"/>
              <w:jc w:val="center"/>
              <w:rPr>
                <w:color w:val="auto"/>
                <w:sz w:val="24"/>
                <w:highlight w:val="none"/>
              </w:rPr>
            </w:pPr>
            <w:r>
              <w:rPr>
                <w:color w:val="auto"/>
                <w:sz w:val="24"/>
                <w:szCs w:val="21"/>
                <w:highlight w:val="none"/>
              </w:rPr>
              <w:t>招标文件</w:t>
            </w:r>
            <w:r>
              <w:rPr>
                <w:color w:val="auto"/>
                <w:sz w:val="24"/>
                <w:highlight w:val="none"/>
              </w:rPr>
              <w:t>条目号（页码）</w:t>
            </w:r>
          </w:p>
        </w:tc>
        <w:tc>
          <w:tcPr>
            <w:tcW w:w="2007" w:type="dxa"/>
            <w:noWrap w:val="0"/>
            <w:vAlign w:val="center"/>
          </w:tcPr>
          <w:p w14:paraId="47813643">
            <w:pPr>
              <w:adjustRightInd w:val="0"/>
              <w:snapToGrid w:val="0"/>
              <w:jc w:val="center"/>
              <w:rPr>
                <w:color w:val="auto"/>
                <w:sz w:val="24"/>
                <w:highlight w:val="none"/>
              </w:rPr>
            </w:pPr>
            <w:r>
              <w:rPr>
                <w:color w:val="auto"/>
                <w:sz w:val="24"/>
                <w:szCs w:val="21"/>
                <w:highlight w:val="none"/>
              </w:rPr>
              <w:t>招标文件</w:t>
            </w:r>
            <w:r>
              <w:rPr>
                <w:color w:val="auto"/>
                <w:sz w:val="24"/>
                <w:highlight w:val="none"/>
              </w:rPr>
              <w:t>要求</w:t>
            </w:r>
          </w:p>
        </w:tc>
        <w:tc>
          <w:tcPr>
            <w:tcW w:w="2008" w:type="dxa"/>
            <w:noWrap w:val="0"/>
            <w:vAlign w:val="center"/>
          </w:tcPr>
          <w:p w14:paraId="7F3359A2">
            <w:pPr>
              <w:adjustRightInd w:val="0"/>
              <w:snapToGrid w:val="0"/>
              <w:jc w:val="center"/>
              <w:rPr>
                <w:color w:val="auto"/>
                <w:sz w:val="24"/>
                <w:highlight w:val="none"/>
              </w:rPr>
            </w:pPr>
            <w:r>
              <w:rPr>
                <w:rFonts w:hint="eastAsia" w:ascii="宋体" w:hAnsi="宋体"/>
                <w:color w:val="auto"/>
                <w:sz w:val="24"/>
                <w:highlight w:val="none"/>
              </w:rPr>
              <w:t>投标响应情况</w:t>
            </w:r>
          </w:p>
        </w:tc>
        <w:tc>
          <w:tcPr>
            <w:tcW w:w="2458" w:type="dxa"/>
            <w:noWrap w:val="0"/>
            <w:vAlign w:val="center"/>
          </w:tcPr>
          <w:p w14:paraId="39E86584">
            <w:pPr>
              <w:adjustRightInd w:val="0"/>
              <w:snapToGrid w:val="0"/>
              <w:jc w:val="center"/>
              <w:rPr>
                <w:color w:val="auto"/>
                <w:sz w:val="24"/>
                <w:highlight w:val="none"/>
              </w:rPr>
            </w:pPr>
            <w:r>
              <w:rPr>
                <w:color w:val="auto"/>
                <w:sz w:val="24"/>
                <w:highlight w:val="none"/>
              </w:rPr>
              <w:t>偏离情况</w:t>
            </w:r>
          </w:p>
        </w:tc>
        <w:tc>
          <w:tcPr>
            <w:tcW w:w="788" w:type="dxa"/>
            <w:noWrap w:val="0"/>
            <w:vAlign w:val="center"/>
          </w:tcPr>
          <w:p w14:paraId="1D5AD445">
            <w:pPr>
              <w:adjustRightInd w:val="0"/>
              <w:snapToGrid w:val="0"/>
              <w:jc w:val="center"/>
              <w:rPr>
                <w:color w:val="auto"/>
                <w:sz w:val="24"/>
                <w:highlight w:val="none"/>
              </w:rPr>
            </w:pPr>
            <w:r>
              <w:rPr>
                <w:color w:val="auto"/>
                <w:sz w:val="24"/>
                <w:highlight w:val="none"/>
              </w:rPr>
              <w:t>说明</w:t>
            </w:r>
          </w:p>
        </w:tc>
      </w:tr>
      <w:tr w14:paraId="790DC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3D37189">
            <w:pPr>
              <w:adjustRightInd w:val="0"/>
              <w:snapToGrid w:val="0"/>
              <w:jc w:val="center"/>
              <w:rPr>
                <w:color w:val="auto"/>
                <w:sz w:val="24"/>
                <w:highlight w:val="none"/>
              </w:rPr>
            </w:pPr>
          </w:p>
        </w:tc>
        <w:tc>
          <w:tcPr>
            <w:tcW w:w="1301" w:type="dxa"/>
            <w:noWrap w:val="0"/>
            <w:vAlign w:val="center"/>
          </w:tcPr>
          <w:p w14:paraId="08FB395C">
            <w:pPr>
              <w:adjustRightInd w:val="0"/>
              <w:snapToGrid w:val="0"/>
              <w:jc w:val="center"/>
              <w:rPr>
                <w:color w:val="auto"/>
                <w:sz w:val="24"/>
                <w:highlight w:val="none"/>
              </w:rPr>
            </w:pPr>
          </w:p>
        </w:tc>
        <w:tc>
          <w:tcPr>
            <w:tcW w:w="2007" w:type="dxa"/>
            <w:noWrap w:val="0"/>
            <w:vAlign w:val="center"/>
          </w:tcPr>
          <w:p w14:paraId="4B532188">
            <w:pPr>
              <w:adjustRightInd w:val="0"/>
              <w:snapToGrid w:val="0"/>
              <w:jc w:val="center"/>
              <w:rPr>
                <w:color w:val="auto"/>
                <w:sz w:val="24"/>
                <w:highlight w:val="none"/>
              </w:rPr>
            </w:pPr>
          </w:p>
        </w:tc>
        <w:tc>
          <w:tcPr>
            <w:tcW w:w="2008" w:type="dxa"/>
            <w:noWrap w:val="0"/>
            <w:vAlign w:val="center"/>
          </w:tcPr>
          <w:p w14:paraId="135C8C02">
            <w:pPr>
              <w:adjustRightInd w:val="0"/>
              <w:snapToGrid w:val="0"/>
              <w:jc w:val="center"/>
              <w:rPr>
                <w:color w:val="auto"/>
                <w:sz w:val="24"/>
                <w:highlight w:val="none"/>
              </w:rPr>
            </w:pPr>
          </w:p>
        </w:tc>
        <w:tc>
          <w:tcPr>
            <w:tcW w:w="2458" w:type="dxa"/>
            <w:noWrap w:val="0"/>
            <w:vAlign w:val="center"/>
          </w:tcPr>
          <w:p w14:paraId="6C637CB5">
            <w:pPr>
              <w:adjustRightInd w:val="0"/>
              <w:snapToGrid w:val="0"/>
              <w:jc w:val="center"/>
              <w:rPr>
                <w:color w:val="auto"/>
                <w:sz w:val="24"/>
                <w:highlight w:val="none"/>
              </w:rPr>
            </w:pPr>
          </w:p>
        </w:tc>
        <w:tc>
          <w:tcPr>
            <w:tcW w:w="788" w:type="dxa"/>
            <w:noWrap w:val="0"/>
            <w:vAlign w:val="center"/>
          </w:tcPr>
          <w:p w14:paraId="50F54A27">
            <w:pPr>
              <w:adjustRightInd w:val="0"/>
              <w:snapToGrid w:val="0"/>
              <w:jc w:val="center"/>
              <w:rPr>
                <w:color w:val="auto"/>
                <w:sz w:val="24"/>
                <w:highlight w:val="none"/>
              </w:rPr>
            </w:pPr>
          </w:p>
        </w:tc>
      </w:tr>
      <w:tr w14:paraId="2558E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699527F3">
            <w:pPr>
              <w:adjustRightInd w:val="0"/>
              <w:snapToGrid w:val="0"/>
              <w:jc w:val="center"/>
              <w:rPr>
                <w:color w:val="auto"/>
                <w:sz w:val="24"/>
                <w:highlight w:val="none"/>
              </w:rPr>
            </w:pPr>
          </w:p>
        </w:tc>
        <w:tc>
          <w:tcPr>
            <w:tcW w:w="1301" w:type="dxa"/>
            <w:noWrap w:val="0"/>
            <w:vAlign w:val="center"/>
          </w:tcPr>
          <w:p w14:paraId="1E525373">
            <w:pPr>
              <w:adjustRightInd w:val="0"/>
              <w:snapToGrid w:val="0"/>
              <w:jc w:val="center"/>
              <w:rPr>
                <w:color w:val="auto"/>
                <w:sz w:val="24"/>
                <w:highlight w:val="none"/>
              </w:rPr>
            </w:pPr>
          </w:p>
        </w:tc>
        <w:tc>
          <w:tcPr>
            <w:tcW w:w="2007" w:type="dxa"/>
            <w:noWrap w:val="0"/>
            <w:vAlign w:val="center"/>
          </w:tcPr>
          <w:p w14:paraId="2BE08C04">
            <w:pPr>
              <w:adjustRightInd w:val="0"/>
              <w:snapToGrid w:val="0"/>
              <w:jc w:val="center"/>
              <w:rPr>
                <w:color w:val="auto"/>
                <w:sz w:val="24"/>
                <w:highlight w:val="none"/>
              </w:rPr>
            </w:pPr>
          </w:p>
        </w:tc>
        <w:tc>
          <w:tcPr>
            <w:tcW w:w="2008" w:type="dxa"/>
            <w:noWrap w:val="0"/>
            <w:vAlign w:val="center"/>
          </w:tcPr>
          <w:p w14:paraId="1E07B2BD">
            <w:pPr>
              <w:adjustRightInd w:val="0"/>
              <w:snapToGrid w:val="0"/>
              <w:jc w:val="center"/>
              <w:rPr>
                <w:color w:val="auto"/>
                <w:sz w:val="24"/>
                <w:highlight w:val="none"/>
              </w:rPr>
            </w:pPr>
          </w:p>
        </w:tc>
        <w:tc>
          <w:tcPr>
            <w:tcW w:w="2458" w:type="dxa"/>
            <w:noWrap w:val="0"/>
            <w:vAlign w:val="center"/>
          </w:tcPr>
          <w:p w14:paraId="03A4A9E1">
            <w:pPr>
              <w:adjustRightInd w:val="0"/>
              <w:snapToGrid w:val="0"/>
              <w:jc w:val="center"/>
              <w:rPr>
                <w:color w:val="auto"/>
                <w:sz w:val="24"/>
                <w:highlight w:val="none"/>
              </w:rPr>
            </w:pPr>
          </w:p>
        </w:tc>
        <w:tc>
          <w:tcPr>
            <w:tcW w:w="788" w:type="dxa"/>
            <w:noWrap w:val="0"/>
            <w:vAlign w:val="center"/>
          </w:tcPr>
          <w:p w14:paraId="685C788E">
            <w:pPr>
              <w:adjustRightInd w:val="0"/>
              <w:snapToGrid w:val="0"/>
              <w:jc w:val="center"/>
              <w:rPr>
                <w:color w:val="auto"/>
                <w:sz w:val="24"/>
                <w:highlight w:val="none"/>
              </w:rPr>
            </w:pPr>
          </w:p>
        </w:tc>
      </w:tr>
      <w:tr w14:paraId="6ADE5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3912502B">
            <w:pPr>
              <w:adjustRightInd w:val="0"/>
              <w:snapToGrid w:val="0"/>
              <w:jc w:val="center"/>
              <w:rPr>
                <w:color w:val="auto"/>
                <w:sz w:val="24"/>
                <w:highlight w:val="none"/>
              </w:rPr>
            </w:pPr>
          </w:p>
        </w:tc>
        <w:tc>
          <w:tcPr>
            <w:tcW w:w="1301" w:type="dxa"/>
            <w:noWrap w:val="0"/>
            <w:vAlign w:val="center"/>
          </w:tcPr>
          <w:p w14:paraId="05D64431">
            <w:pPr>
              <w:adjustRightInd w:val="0"/>
              <w:snapToGrid w:val="0"/>
              <w:jc w:val="center"/>
              <w:rPr>
                <w:color w:val="auto"/>
                <w:sz w:val="24"/>
                <w:highlight w:val="none"/>
              </w:rPr>
            </w:pPr>
          </w:p>
        </w:tc>
        <w:tc>
          <w:tcPr>
            <w:tcW w:w="2007" w:type="dxa"/>
            <w:noWrap w:val="0"/>
            <w:vAlign w:val="center"/>
          </w:tcPr>
          <w:p w14:paraId="21410C58">
            <w:pPr>
              <w:adjustRightInd w:val="0"/>
              <w:snapToGrid w:val="0"/>
              <w:jc w:val="center"/>
              <w:rPr>
                <w:color w:val="auto"/>
                <w:sz w:val="24"/>
                <w:highlight w:val="none"/>
              </w:rPr>
            </w:pPr>
          </w:p>
        </w:tc>
        <w:tc>
          <w:tcPr>
            <w:tcW w:w="2008" w:type="dxa"/>
            <w:noWrap w:val="0"/>
            <w:vAlign w:val="center"/>
          </w:tcPr>
          <w:p w14:paraId="18257B1A">
            <w:pPr>
              <w:adjustRightInd w:val="0"/>
              <w:snapToGrid w:val="0"/>
              <w:jc w:val="center"/>
              <w:rPr>
                <w:color w:val="auto"/>
                <w:sz w:val="24"/>
                <w:highlight w:val="none"/>
              </w:rPr>
            </w:pPr>
          </w:p>
        </w:tc>
        <w:tc>
          <w:tcPr>
            <w:tcW w:w="2458" w:type="dxa"/>
            <w:noWrap w:val="0"/>
            <w:vAlign w:val="center"/>
          </w:tcPr>
          <w:p w14:paraId="05B76D72">
            <w:pPr>
              <w:adjustRightInd w:val="0"/>
              <w:snapToGrid w:val="0"/>
              <w:jc w:val="center"/>
              <w:rPr>
                <w:color w:val="auto"/>
                <w:sz w:val="24"/>
                <w:highlight w:val="none"/>
              </w:rPr>
            </w:pPr>
          </w:p>
        </w:tc>
        <w:tc>
          <w:tcPr>
            <w:tcW w:w="788" w:type="dxa"/>
            <w:noWrap w:val="0"/>
            <w:vAlign w:val="center"/>
          </w:tcPr>
          <w:p w14:paraId="4B31117C">
            <w:pPr>
              <w:adjustRightInd w:val="0"/>
              <w:snapToGrid w:val="0"/>
              <w:jc w:val="center"/>
              <w:rPr>
                <w:color w:val="auto"/>
                <w:sz w:val="24"/>
                <w:highlight w:val="none"/>
              </w:rPr>
            </w:pPr>
          </w:p>
        </w:tc>
      </w:tr>
      <w:tr w14:paraId="6BB08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12C8F78">
            <w:pPr>
              <w:adjustRightInd w:val="0"/>
              <w:snapToGrid w:val="0"/>
              <w:jc w:val="center"/>
              <w:rPr>
                <w:color w:val="auto"/>
                <w:sz w:val="24"/>
                <w:highlight w:val="none"/>
              </w:rPr>
            </w:pPr>
            <w:r>
              <w:rPr>
                <w:color w:val="auto"/>
                <w:sz w:val="24"/>
                <w:highlight w:val="none"/>
              </w:rPr>
              <w:t>……</w:t>
            </w:r>
          </w:p>
        </w:tc>
        <w:tc>
          <w:tcPr>
            <w:tcW w:w="1301" w:type="dxa"/>
            <w:noWrap w:val="0"/>
            <w:vAlign w:val="center"/>
          </w:tcPr>
          <w:p w14:paraId="12DA4E90">
            <w:pPr>
              <w:adjustRightInd w:val="0"/>
              <w:snapToGrid w:val="0"/>
              <w:jc w:val="center"/>
              <w:rPr>
                <w:color w:val="auto"/>
                <w:sz w:val="24"/>
                <w:highlight w:val="none"/>
              </w:rPr>
            </w:pPr>
          </w:p>
        </w:tc>
        <w:tc>
          <w:tcPr>
            <w:tcW w:w="2007" w:type="dxa"/>
            <w:noWrap w:val="0"/>
            <w:vAlign w:val="center"/>
          </w:tcPr>
          <w:p w14:paraId="4FDD9A46">
            <w:pPr>
              <w:adjustRightInd w:val="0"/>
              <w:snapToGrid w:val="0"/>
              <w:jc w:val="center"/>
              <w:rPr>
                <w:color w:val="auto"/>
                <w:sz w:val="24"/>
                <w:highlight w:val="none"/>
              </w:rPr>
            </w:pPr>
          </w:p>
        </w:tc>
        <w:tc>
          <w:tcPr>
            <w:tcW w:w="2008" w:type="dxa"/>
            <w:noWrap w:val="0"/>
            <w:vAlign w:val="center"/>
          </w:tcPr>
          <w:p w14:paraId="00BF8E38">
            <w:pPr>
              <w:adjustRightInd w:val="0"/>
              <w:snapToGrid w:val="0"/>
              <w:jc w:val="center"/>
              <w:rPr>
                <w:color w:val="auto"/>
                <w:sz w:val="24"/>
                <w:highlight w:val="none"/>
              </w:rPr>
            </w:pPr>
          </w:p>
        </w:tc>
        <w:tc>
          <w:tcPr>
            <w:tcW w:w="2458" w:type="dxa"/>
            <w:noWrap w:val="0"/>
            <w:vAlign w:val="center"/>
          </w:tcPr>
          <w:p w14:paraId="61835538">
            <w:pPr>
              <w:adjustRightInd w:val="0"/>
              <w:snapToGrid w:val="0"/>
              <w:jc w:val="center"/>
              <w:rPr>
                <w:color w:val="auto"/>
                <w:sz w:val="24"/>
                <w:highlight w:val="none"/>
              </w:rPr>
            </w:pPr>
          </w:p>
        </w:tc>
        <w:tc>
          <w:tcPr>
            <w:tcW w:w="788" w:type="dxa"/>
            <w:noWrap w:val="0"/>
            <w:vAlign w:val="center"/>
          </w:tcPr>
          <w:p w14:paraId="0ED3EACF">
            <w:pPr>
              <w:adjustRightInd w:val="0"/>
              <w:snapToGrid w:val="0"/>
              <w:jc w:val="center"/>
              <w:rPr>
                <w:color w:val="auto"/>
                <w:sz w:val="24"/>
                <w:highlight w:val="none"/>
              </w:rPr>
            </w:pPr>
          </w:p>
        </w:tc>
      </w:tr>
    </w:tbl>
    <w:p w14:paraId="286A9EFF">
      <w:pPr>
        <w:tabs>
          <w:tab w:val="left" w:pos="1800"/>
          <w:tab w:val="left" w:pos="5580"/>
        </w:tabs>
        <w:jc w:val="left"/>
        <w:rPr>
          <w:color w:val="auto"/>
          <w:sz w:val="24"/>
          <w:highlight w:val="none"/>
        </w:rPr>
      </w:pPr>
    </w:p>
    <w:p w14:paraId="283D1CDB">
      <w:pPr>
        <w:tabs>
          <w:tab w:val="left" w:pos="1800"/>
          <w:tab w:val="left" w:pos="5580"/>
        </w:tabs>
        <w:jc w:val="left"/>
        <w:rPr>
          <w:color w:val="auto"/>
          <w:sz w:val="24"/>
          <w:highlight w:val="none"/>
        </w:rPr>
      </w:pPr>
      <w:r>
        <w:rPr>
          <w:color w:val="auto"/>
          <w:sz w:val="24"/>
          <w:highlight w:val="none"/>
        </w:rPr>
        <w:t>注：</w:t>
      </w:r>
    </w:p>
    <w:p w14:paraId="501EF4DF">
      <w:pPr>
        <w:tabs>
          <w:tab w:val="left" w:pos="1800"/>
          <w:tab w:val="left" w:pos="5580"/>
        </w:tabs>
        <w:jc w:val="left"/>
        <w:rPr>
          <w:color w:val="auto"/>
          <w:sz w:val="24"/>
          <w:highlight w:val="none"/>
        </w:rPr>
      </w:pPr>
      <w:r>
        <w:rPr>
          <w:rFonts w:hint="eastAsia"/>
          <w:color w:val="auto"/>
          <w:sz w:val="24"/>
          <w:highlight w:val="none"/>
        </w:rPr>
        <w:t>1</w:t>
      </w:r>
      <w:r>
        <w:rPr>
          <w:color w:val="auto"/>
          <w:sz w:val="24"/>
          <w:highlight w:val="none"/>
        </w:rPr>
        <w:t>. 对合同条款中的所有要求，除本表所列明的所有偏离外，均视作供应商已对之理解和</w:t>
      </w:r>
      <w:r>
        <w:rPr>
          <w:rFonts w:hint="eastAsia"/>
          <w:color w:val="auto"/>
          <w:sz w:val="24"/>
          <w:highlight w:val="none"/>
        </w:rPr>
        <w:t>响应</w:t>
      </w:r>
      <w:r>
        <w:rPr>
          <w:color w:val="auto"/>
          <w:sz w:val="24"/>
          <w:highlight w:val="none"/>
        </w:rPr>
        <w:t>。</w:t>
      </w:r>
    </w:p>
    <w:p w14:paraId="22D7C3FB">
      <w:pPr>
        <w:tabs>
          <w:tab w:val="left" w:pos="1800"/>
          <w:tab w:val="left" w:pos="5580"/>
        </w:tabs>
        <w:jc w:val="left"/>
        <w:rPr>
          <w:color w:val="auto"/>
          <w:sz w:val="24"/>
          <w:highlight w:val="none"/>
        </w:rPr>
      </w:pPr>
      <w:r>
        <w:rPr>
          <w:rFonts w:hint="eastAsia"/>
          <w:color w:val="auto"/>
          <w:sz w:val="24"/>
          <w:highlight w:val="none"/>
        </w:rPr>
        <w:t>2</w:t>
      </w:r>
      <w:r>
        <w:rPr>
          <w:color w:val="auto"/>
          <w:sz w:val="24"/>
          <w:highlight w:val="none"/>
        </w:rPr>
        <w:t xml:space="preserve">. </w:t>
      </w:r>
      <w:r>
        <w:rPr>
          <w:rFonts w:hint="eastAsia"/>
          <w:color w:val="auto"/>
          <w:sz w:val="24"/>
          <w:highlight w:val="none"/>
        </w:rPr>
        <w:t>“偏离情况”列应</w:t>
      </w:r>
      <w:r>
        <w:rPr>
          <w:color w:val="auto"/>
          <w:sz w:val="24"/>
          <w:highlight w:val="none"/>
        </w:rPr>
        <w:t>据实</w:t>
      </w:r>
      <w:r>
        <w:rPr>
          <w:rFonts w:hint="eastAsia"/>
          <w:color w:val="auto"/>
          <w:sz w:val="24"/>
          <w:highlight w:val="none"/>
        </w:rPr>
        <w:t>填写“正偏离”、“负偏离”</w:t>
      </w:r>
      <w:r>
        <w:rPr>
          <w:rFonts w:hint="eastAsia"/>
          <w:color w:val="auto"/>
          <w:sz w:val="24"/>
          <w:highlight w:val="none"/>
          <w:lang w:val="en-US" w:eastAsia="zh-CN"/>
        </w:rPr>
        <w:t>或“无偏离”</w:t>
      </w:r>
      <w:r>
        <w:rPr>
          <w:rFonts w:hint="eastAsia"/>
          <w:color w:val="auto"/>
          <w:sz w:val="24"/>
          <w:highlight w:val="none"/>
        </w:rPr>
        <w:t>。</w:t>
      </w:r>
    </w:p>
    <w:p w14:paraId="7FCCBBED">
      <w:pPr>
        <w:spacing w:line="360" w:lineRule="auto"/>
        <w:rPr>
          <w:color w:val="auto"/>
          <w:sz w:val="24"/>
          <w:szCs w:val="20"/>
          <w:highlight w:val="none"/>
        </w:rPr>
      </w:pPr>
    </w:p>
    <w:p w14:paraId="1D8CDF10">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217889BD">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2E78C9FB">
      <w:pPr>
        <w:spacing w:before="25" w:after="25" w:line="360" w:lineRule="auto"/>
        <w:rPr>
          <w:color w:val="auto"/>
          <w:sz w:val="24"/>
          <w:highlight w:val="none"/>
          <w:lang w:val="zh-CN"/>
        </w:rPr>
      </w:pPr>
      <w:r>
        <w:rPr>
          <w:color w:val="auto"/>
          <w:sz w:val="24"/>
          <w:szCs w:val="20"/>
          <w:highlight w:val="none"/>
        </w:rPr>
        <w:t xml:space="preserve">日期：_____年______月______日    </w:t>
      </w:r>
    </w:p>
    <w:p w14:paraId="389ADB48">
      <w:pPr>
        <w:jc w:val="left"/>
        <w:rPr>
          <w:rFonts w:ascii="宋体" w:hAnsi="宋体" w:cs="宋体"/>
          <w:color w:val="auto"/>
          <w:sz w:val="24"/>
          <w:szCs w:val="20"/>
          <w:highlight w:val="none"/>
        </w:rPr>
      </w:pPr>
      <w:r>
        <w:rPr>
          <w:color w:val="auto"/>
          <w:sz w:val="24"/>
          <w:szCs w:val="20"/>
          <w:highlight w:val="none"/>
        </w:rPr>
        <w:br w:type="page" w:clear="all"/>
      </w:r>
      <w:r>
        <w:rPr>
          <w:rFonts w:hint="eastAsia"/>
          <w:color w:val="auto"/>
          <w:sz w:val="24"/>
          <w:szCs w:val="20"/>
          <w:highlight w:val="none"/>
          <w:lang w:val="en-US" w:eastAsia="zh-CN"/>
        </w:rPr>
        <w:t>8</w:t>
      </w:r>
      <w:r>
        <w:rPr>
          <w:color w:val="auto"/>
          <w:sz w:val="24"/>
          <w:szCs w:val="20"/>
          <w:highlight w:val="none"/>
        </w:rPr>
        <w:t xml:space="preserve">  </w:t>
      </w:r>
      <w:r>
        <w:rPr>
          <w:rFonts w:hint="eastAsia"/>
          <w:color w:val="auto"/>
          <w:sz w:val="24"/>
          <w:szCs w:val="20"/>
          <w:highlight w:val="none"/>
        </w:rPr>
        <w:t>项目完整技术和实施方案</w:t>
      </w:r>
    </w:p>
    <w:p w14:paraId="2E3381D0">
      <w:pPr>
        <w:spacing w:line="560" w:lineRule="exact"/>
        <w:ind w:firstLine="480"/>
        <w:rPr>
          <w:color w:val="auto"/>
          <w:sz w:val="24"/>
          <w:szCs w:val="20"/>
          <w:highlight w:val="none"/>
        </w:rPr>
      </w:pPr>
      <w:r>
        <w:rPr>
          <w:rFonts w:hint="eastAsia"/>
          <w:color w:val="auto"/>
          <w:sz w:val="24"/>
          <w:highlight w:val="none"/>
        </w:rPr>
        <w:t>本项目的完整的技术和实施方案，包括但不限于：项目技术、组织、实施方案；项目管理方案；拟达到的标准，配备的人员、设备配置等；培训方案、技术支持等方案；优惠条款或承诺；其他。</w:t>
      </w:r>
    </w:p>
    <w:p w14:paraId="2F5C1E10">
      <w:pPr>
        <w:spacing w:line="560" w:lineRule="exact"/>
        <w:ind w:firstLine="480"/>
        <w:rPr>
          <w:color w:val="auto"/>
          <w:sz w:val="24"/>
          <w:szCs w:val="20"/>
          <w:highlight w:val="none"/>
        </w:rPr>
      </w:pPr>
    </w:p>
    <w:p w14:paraId="602D0353">
      <w:pPr>
        <w:rPr>
          <w:color w:val="auto"/>
          <w:sz w:val="24"/>
          <w:szCs w:val="20"/>
          <w:highlight w:val="none"/>
        </w:rPr>
      </w:pPr>
    </w:p>
    <w:p w14:paraId="10183813">
      <w:pPr>
        <w:rPr>
          <w:color w:val="auto"/>
          <w:sz w:val="24"/>
          <w:szCs w:val="20"/>
          <w:highlight w:val="none"/>
        </w:rPr>
      </w:pPr>
    </w:p>
    <w:p w14:paraId="08D1299B">
      <w:pPr>
        <w:rPr>
          <w:color w:val="auto"/>
          <w:sz w:val="24"/>
          <w:szCs w:val="20"/>
          <w:highlight w:val="none"/>
        </w:rPr>
      </w:pPr>
    </w:p>
    <w:p w14:paraId="7D87DEA5">
      <w:pPr>
        <w:rPr>
          <w:color w:val="auto"/>
          <w:sz w:val="24"/>
          <w:szCs w:val="20"/>
          <w:highlight w:val="none"/>
        </w:rPr>
      </w:pPr>
    </w:p>
    <w:p w14:paraId="7CDA9515">
      <w:pPr>
        <w:rPr>
          <w:color w:val="auto"/>
          <w:sz w:val="24"/>
          <w:szCs w:val="20"/>
          <w:highlight w:val="none"/>
        </w:rPr>
      </w:pPr>
    </w:p>
    <w:p w14:paraId="5EBEEC5B">
      <w:pPr>
        <w:rPr>
          <w:color w:val="auto"/>
          <w:sz w:val="24"/>
          <w:szCs w:val="20"/>
          <w:highlight w:val="none"/>
        </w:rPr>
      </w:pPr>
    </w:p>
    <w:p w14:paraId="6EF86538">
      <w:pPr>
        <w:rPr>
          <w:color w:val="auto"/>
          <w:sz w:val="24"/>
          <w:szCs w:val="20"/>
          <w:highlight w:val="none"/>
        </w:rPr>
      </w:pPr>
    </w:p>
    <w:p w14:paraId="6AF62383">
      <w:pPr>
        <w:rPr>
          <w:color w:val="auto"/>
          <w:sz w:val="24"/>
          <w:szCs w:val="20"/>
          <w:highlight w:val="none"/>
        </w:rPr>
      </w:pPr>
    </w:p>
    <w:p w14:paraId="7C8C30FE">
      <w:pPr>
        <w:rPr>
          <w:color w:val="auto"/>
          <w:sz w:val="24"/>
          <w:szCs w:val="20"/>
          <w:highlight w:val="none"/>
        </w:rPr>
      </w:pPr>
    </w:p>
    <w:p w14:paraId="1C27B142">
      <w:pPr>
        <w:rPr>
          <w:color w:val="auto"/>
          <w:sz w:val="24"/>
          <w:szCs w:val="20"/>
          <w:highlight w:val="none"/>
        </w:rPr>
      </w:pPr>
    </w:p>
    <w:p w14:paraId="1414EF6B">
      <w:pPr>
        <w:rPr>
          <w:color w:val="auto"/>
          <w:sz w:val="24"/>
          <w:szCs w:val="20"/>
          <w:highlight w:val="none"/>
        </w:rPr>
      </w:pPr>
    </w:p>
    <w:p w14:paraId="1DB8F3F1">
      <w:pPr>
        <w:rPr>
          <w:color w:val="auto"/>
          <w:sz w:val="24"/>
          <w:szCs w:val="20"/>
          <w:highlight w:val="none"/>
        </w:rPr>
      </w:pPr>
    </w:p>
    <w:p w14:paraId="2927438B">
      <w:pPr>
        <w:rPr>
          <w:color w:val="auto"/>
          <w:sz w:val="24"/>
          <w:szCs w:val="20"/>
          <w:highlight w:val="none"/>
        </w:rPr>
      </w:pPr>
    </w:p>
    <w:p w14:paraId="2391E90C">
      <w:pPr>
        <w:rPr>
          <w:color w:val="auto"/>
          <w:sz w:val="24"/>
          <w:szCs w:val="20"/>
          <w:highlight w:val="none"/>
        </w:rPr>
      </w:pPr>
    </w:p>
    <w:p w14:paraId="78642985">
      <w:pPr>
        <w:rPr>
          <w:color w:val="auto"/>
          <w:sz w:val="24"/>
          <w:szCs w:val="20"/>
          <w:highlight w:val="none"/>
        </w:rPr>
      </w:pPr>
    </w:p>
    <w:p w14:paraId="674C957A">
      <w:pPr>
        <w:rPr>
          <w:color w:val="auto"/>
          <w:sz w:val="24"/>
          <w:szCs w:val="20"/>
          <w:highlight w:val="none"/>
        </w:rPr>
      </w:pPr>
    </w:p>
    <w:p w14:paraId="2A131AEF">
      <w:pPr>
        <w:rPr>
          <w:color w:val="auto"/>
          <w:sz w:val="24"/>
          <w:szCs w:val="20"/>
          <w:highlight w:val="none"/>
        </w:rPr>
      </w:pPr>
    </w:p>
    <w:p w14:paraId="7398D6E4">
      <w:pPr>
        <w:rPr>
          <w:color w:val="auto"/>
          <w:sz w:val="24"/>
          <w:szCs w:val="20"/>
          <w:highlight w:val="none"/>
        </w:rPr>
      </w:pPr>
    </w:p>
    <w:p w14:paraId="6DFFE648">
      <w:pPr>
        <w:rPr>
          <w:color w:val="auto"/>
          <w:sz w:val="24"/>
          <w:szCs w:val="20"/>
          <w:highlight w:val="none"/>
        </w:rPr>
      </w:pPr>
    </w:p>
    <w:p w14:paraId="59659DBB">
      <w:pPr>
        <w:rPr>
          <w:color w:val="auto"/>
          <w:sz w:val="24"/>
          <w:szCs w:val="20"/>
          <w:highlight w:val="none"/>
        </w:rPr>
      </w:pPr>
    </w:p>
    <w:p w14:paraId="52C2F301">
      <w:pPr>
        <w:rPr>
          <w:color w:val="auto"/>
          <w:sz w:val="24"/>
          <w:szCs w:val="20"/>
          <w:highlight w:val="none"/>
        </w:rPr>
      </w:pPr>
    </w:p>
    <w:p w14:paraId="140E1834">
      <w:pPr>
        <w:rPr>
          <w:color w:val="auto"/>
          <w:sz w:val="24"/>
          <w:szCs w:val="20"/>
          <w:highlight w:val="none"/>
        </w:rPr>
      </w:pPr>
    </w:p>
    <w:p w14:paraId="3EA4BC6E">
      <w:pPr>
        <w:rPr>
          <w:color w:val="auto"/>
          <w:sz w:val="24"/>
          <w:szCs w:val="20"/>
          <w:highlight w:val="none"/>
        </w:rPr>
      </w:pPr>
    </w:p>
    <w:p w14:paraId="7782E6DA">
      <w:pPr>
        <w:rPr>
          <w:color w:val="auto"/>
          <w:sz w:val="24"/>
          <w:szCs w:val="20"/>
          <w:highlight w:val="none"/>
        </w:rPr>
      </w:pPr>
    </w:p>
    <w:p w14:paraId="0AB61046">
      <w:pPr>
        <w:rPr>
          <w:color w:val="auto"/>
          <w:sz w:val="24"/>
          <w:szCs w:val="20"/>
          <w:highlight w:val="none"/>
        </w:rPr>
      </w:pPr>
    </w:p>
    <w:p w14:paraId="365362A2">
      <w:pPr>
        <w:rPr>
          <w:color w:val="auto"/>
          <w:sz w:val="24"/>
          <w:szCs w:val="20"/>
          <w:highlight w:val="none"/>
        </w:rPr>
      </w:pPr>
    </w:p>
    <w:p w14:paraId="519C6662">
      <w:pPr>
        <w:rPr>
          <w:color w:val="auto"/>
          <w:sz w:val="24"/>
          <w:szCs w:val="20"/>
          <w:highlight w:val="none"/>
        </w:rPr>
      </w:pPr>
    </w:p>
    <w:p w14:paraId="19ADE942">
      <w:pPr>
        <w:pStyle w:val="205"/>
        <w:rPr>
          <w:color w:val="auto"/>
          <w:highlight w:val="none"/>
        </w:rPr>
      </w:pPr>
    </w:p>
    <w:p w14:paraId="7F236F53">
      <w:pPr>
        <w:rPr>
          <w:color w:val="auto"/>
          <w:highlight w:val="none"/>
        </w:rPr>
      </w:pPr>
    </w:p>
    <w:p w14:paraId="2E7A4E7A">
      <w:pPr>
        <w:pStyle w:val="205"/>
        <w:rPr>
          <w:color w:val="auto"/>
          <w:highlight w:val="none"/>
        </w:rPr>
      </w:pPr>
    </w:p>
    <w:p w14:paraId="3B491978">
      <w:pPr>
        <w:pStyle w:val="205"/>
        <w:rPr>
          <w:color w:val="auto"/>
          <w:highlight w:val="none"/>
        </w:rPr>
      </w:pPr>
    </w:p>
    <w:p w14:paraId="25DAF79F">
      <w:pPr>
        <w:rPr>
          <w:color w:val="auto"/>
          <w:highlight w:val="none"/>
        </w:rPr>
      </w:pPr>
    </w:p>
    <w:p w14:paraId="6B053C5D">
      <w:pPr>
        <w:rPr>
          <w:color w:val="auto"/>
          <w:sz w:val="24"/>
          <w:szCs w:val="20"/>
          <w:highlight w:val="none"/>
        </w:rPr>
      </w:pPr>
    </w:p>
    <w:p w14:paraId="48C27DF4">
      <w:pPr>
        <w:pStyle w:val="292"/>
        <w:keepNext w:val="0"/>
        <w:keepLines w:val="0"/>
        <w:pageBreakBefore/>
        <w:widowControl w:val="0"/>
        <w:kinsoku/>
        <w:wordWrap/>
        <w:overflowPunct/>
        <w:topLinePunct w:val="0"/>
        <w:autoSpaceDE/>
        <w:autoSpaceDN/>
        <w:bidi w:val="0"/>
        <w:adjustRightInd/>
        <w:snapToGrid/>
        <w:spacing w:before="120" w:after="120"/>
        <w:ind w:firstLine="0"/>
        <w:textAlignment w:val="auto"/>
        <w:rPr>
          <w:color w:val="auto"/>
          <w:sz w:val="24"/>
          <w:szCs w:val="24"/>
          <w:highlight w:val="none"/>
        </w:rPr>
      </w:pPr>
      <w:r>
        <w:rPr>
          <w:rFonts w:hint="eastAsia"/>
          <w:color w:val="auto"/>
          <w:sz w:val="24"/>
          <w:szCs w:val="24"/>
          <w:highlight w:val="none"/>
          <w:lang w:val="en-US" w:eastAsia="zh-CN"/>
        </w:rPr>
        <w:t>9</w:t>
      </w:r>
      <w:r>
        <w:rPr>
          <w:rFonts w:hint="eastAsia"/>
          <w:color w:val="auto"/>
          <w:sz w:val="24"/>
          <w:szCs w:val="24"/>
          <w:highlight w:val="none"/>
        </w:rPr>
        <w:t xml:space="preserve">  参加本项目人员一览表</w:t>
      </w:r>
    </w:p>
    <w:p w14:paraId="58DB94BC">
      <w:pPr>
        <w:spacing w:line="360" w:lineRule="auto"/>
        <w:jc w:val="center"/>
        <w:rPr>
          <w:rFonts w:ascii="宋体" w:hAnsi="宋体"/>
          <w:b/>
          <w:color w:val="auto"/>
          <w:sz w:val="32"/>
          <w:szCs w:val="32"/>
          <w:highlight w:val="none"/>
        </w:rPr>
      </w:pPr>
    </w:p>
    <w:p w14:paraId="10D0A17F">
      <w:pPr>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参加本项目人员一览表</w:t>
      </w:r>
    </w:p>
    <w:p w14:paraId="00D6C8C3">
      <w:pPr>
        <w:spacing w:line="360" w:lineRule="auto"/>
        <w:rPr>
          <w:rFonts w:ascii="宋体" w:hAnsi="宋体"/>
          <w:color w:val="auto"/>
          <w:sz w:val="22"/>
          <w:highlight w:val="none"/>
        </w:rPr>
      </w:pPr>
    </w:p>
    <w:p w14:paraId="6908D571">
      <w:pPr>
        <w:spacing w:line="360" w:lineRule="auto"/>
        <w:rPr>
          <w:rFonts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tbl>
      <w:tblPr>
        <w:tblStyle w:val="37"/>
        <w:tblW w:w="9450"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5E235E7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945" w:type="dxa"/>
            <w:tcBorders>
              <w:top w:val="single" w:color="000000" w:sz="4" w:space="0"/>
              <w:left w:val="single" w:color="000000" w:sz="4" w:space="0"/>
              <w:bottom w:val="single" w:color="000000" w:sz="4" w:space="0"/>
              <w:right w:val="single" w:color="000000" w:sz="4" w:space="0"/>
            </w:tcBorders>
            <w:vAlign w:val="center"/>
          </w:tcPr>
          <w:p w14:paraId="573F084A">
            <w:pPr>
              <w:tabs>
                <w:tab w:val="left" w:pos="9765"/>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序号</w:t>
            </w:r>
          </w:p>
        </w:tc>
        <w:tc>
          <w:tcPr>
            <w:tcW w:w="945" w:type="dxa"/>
            <w:tcBorders>
              <w:top w:val="single" w:color="000000" w:sz="4" w:space="0"/>
              <w:left w:val="single" w:color="000000" w:sz="4" w:space="0"/>
              <w:bottom w:val="single" w:color="000000" w:sz="4" w:space="0"/>
              <w:right w:val="single" w:color="000000" w:sz="4" w:space="0"/>
            </w:tcBorders>
            <w:vAlign w:val="center"/>
          </w:tcPr>
          <w:p w14:paraId="6E3F00E1">
            <w:pPr>
              <w:tabs>
                <w:tab w:val="left" w:pos="9765"/>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姓名</w:t>
            </w:r>
          </w:p>
        </w:tc>
        <w:tc>
          <w:tcPr>
            <w:tcW w:w="945" w:type="dxa"/>
            <w:tcBorders>
              <w:top w:val="single" w:color="000000" w:sz="4" w:space="0"/>
              <w:left w:val="single" w:color="000000" w:sz="4" w:space="0"/>
              <w:bottom w:val="single" w:color="000000" w:sz="4" w:space="0"/>
              <w:right w:val="single" w:color="000000" w:sz="4" w:space="0"/>
            </w:tcBorders>
            <w:vAlign w:val="center"/>
          </w:tcPr>
          <w:p w14:paraId="71737CA7">
            <w:pPr>
              <w:tabs>
                <w:tab w:val="left" w:pos="9765"/>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性别</w:t>
            </w:r>
          </w:p>
        </w:tc>
        <w:tc>
          <w:tcPr>
            <w:tcW w:w="945" w:type="dxa"/>
            <w:tcBorders>
              <w:top w:val="single" w:color="000000" w:sz="4" w:space="0"/>
              <w:left w:val="single" w:color="000000" w:sz="4" w:space="0"/>
              <w:bottom w:val="single" w:color="000000" w:sz="4" w:space="0"/>
              <w:right w:val="single" w:color="000000" w:sz="4" w:space="0"/>
            </w:tcBorders>
            <w:vAlign w:val="center"/>
          </w:tcPr>
          <w:p w14:paraId="65AFE6CF">
            <w:pPr>
              <w:tabs>
                <w:tab w:val="left" w:pos="9765"/>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年龄</w:t>
            </w:r>
          </w:p>
        </w:tc>
        <w:tc>
          <w:tcPr>
            <w:tcW w:w="945" w:type="dxa"/>
            <w:tcBorders>
              <w:top w:val="single" w:color="000000" w:sz="4" w:space="0"/>
              <w:left w:val="single" w:color="000000" w:sz="4" w:space="0"/>
              <w:bottom w:val="single" w:color="000000" w:sz="4" w:space="0"/>
              <w:right w:val="single" w:color="000000" w:sz="4" w:space="0"/>
            </w:tcBorders>
            <w:vAlign w:val="center"/>
          </w:tcPr>
          <w:p w14:paraId="369DB904">
            <w:pPr>
              <w:tabs>
                <w:tab w:val="left" w:pos="9765"/>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毕业学校和学历</w:t>
            </w:r>
          </w:p>
        </w:tc>
        <w:tc>
          <w:tcPr>
            <w:tcW w:w="945" w:type="dxa"/>
            <w:tcBorders>
              <w:top w:val="single" w:color="000000" w:sz="4" w:space="0"/>
              <w:left w:val="single" w:color="000000" w:sz="4" w:space="0"/>
              <w:bottom w:val="single" w:color="000000" w:sz="4" w:space="0"/>
              <w:right w:val="single" w:color="000000" w:sz="4" w:space="0"/>
            </w:tcBorders>
            <w:vAlign w:val="center"/>
          </w:tcPr>
          <w:p w14:paraId="31D7F9D5">
            <w:pPr>
              <w:tabs>
                <w:tab w:val="left" w:pos="9765"/>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专业</w:t>
            </w:r>
          </w:p>
        </w:tc>
        <w:tc>
          <w:tcPr>
            <w:tcW w:w="945" w:type="dxa"/>
            <w:tcBorders>
              <w:top w:val="single" w:color="000000" w:sz="4" w:space="0"/>
              <w:left w:val="single" w:color="000000" w:sz="4" w:space="0"/>
              <w:bottom w:val="single" w:color="000000" w:sz="4" w:space="0"/>
              <w:right w:val="single" w:color="000000" w:sz="4" w:space="0"/>
            </w:tcBorders>
            <w:vAlign w:val="center"/>
          </w:tcPr>
          <w:p w14:paraId="4EDA8C99">
            <w:pPr>
              <w:tabs>
                <w:tab w:val="left" w:pos="9765"/>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职称</w:t>
            </w:r>
          </w:p>
        </w:tc>
        <w:tc>
          <w:tcPr>
            <w:tcW w:w="945" w:type="dxa"/>
            <w:tcBorders>
              <w:top w:val="single" w:color="000000" w:sz="4" w:space="0"/>
              <w:left w:val="single" w:color="000000" w:sz="4" w:space="0"/>
              <w:bottom w:val="single" w:color="000000" w:sz="4" w:space="0"/>
              <w:right w:val="single" w:color="000000" w:sz="4" w:space="0"/>
            </w:tcBorders>
            <w:vAlign w:val="center"/>
          </w:tcPr>
          <w:p w14:paraId="5FE324A6">
            <w:pPr>
              <w:tabs>
                <w:tab w:val="left" w:pos="9765"/>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专业培训及证书</w:t>
            </w:r>
          </w:p>
        </w:tc>
        <w:tc>
          <w:tcPr>
            <w:tcW w:w="945" w:type="dxa"/>
            <w:tcBorders>
              <w:top w:val="single" w:color="000000" w:sz="4" w:space="0"/>
              <w:left w:val="single" w:color="000000" w:sz="4" w:space="0"/>
              <w:bottom w:val="single" w:color="000000" w:sz="4" w:space="0"/>
              <w:right w:val="single" w:color="000000" w:sz="4" w:space="0"/>
            </w:tcBorders>
            <w:vAlign w:val="center"/>
          </w:tcPr>
          <w:p w14:paraId="7DCBE6EF">
            <w:pPr>
              <w:tabs>
                <w:tab w:val="left" w:pos="9765"/>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责任</w:t>
            </w:r>
          </w:p>
          <w:p w14:paraId="5896959A">
            <w:pPr>
              <w:tabs>
                <w:tab w:val="left" w:pos="9765"/>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或分工</w:t>
            </w:r>
          </w:p>
        </w:tc>
        <w:tc>
          <w:tcPr>
            <w:tcW w:w="945" w:type="dxa"/>
            <w:tcBorders>
              <w:top w:val="single" w:color="000000" w:sz="4" w:space="0"/>
              <w:left w:val="single" w:color="000000" w:sz="4" w:space="0"/>
              <w:bottom w:val="single" w:color="000000" w:sz="4" w:space="0"/>
              <w:right w:val="single" w:color="000000" w:sz="4" w:space="0"/>
            </w:tcBorders>
            <w:vAlign w:val="center"/>
          </w:tcPr>
          <w:p w14:paraId="6C5DAEAB">
            <w:pPr>
              <w:tabs>
                <w:tab w:val="left" w:pos="9765"/>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项目经历或主要工作</w:t>
            </w:r>
          </w:p>
          <w:p w14:paraId="33553C0A">
            <w:pPr>
              <w:tabs>
                <w:tab w:val="left" w:pos="9765"/>
              </w:tabs>
              <w:spacing w:line="360" w:lineRule="auto"/>
              <w:jc w:val="center"/>
              <w:rPr>
                <w:rFonts w:ascii="宋体" w:hAnsi="宋体" w:cs="宋体"/>
                <w:color w:val="auto"/>
                <w:sz w:val="24"/>
                <w:highlight w:val="none"/>
              </w:rPr>
            </w:pPr>
            <w:r>
              <w:rPr>
                <w:rFonts w:hint="eastAsia" w:ascii="宋体" w:hAnsi="宋体" w:cs="宋体"/>
                <w:color w:val="auto"/>
                <w:sz w:val="24"/>
                <w:highlight w:val="none"/>
              </w:rPr>
              <w:t>业绩</w:t>
            </w:r>
          </w:p>
        </w:tc>
      </w:tr>
      <w:tr w14:paraId="2C4DE5C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945" w:type="dxa"/>
            <w:tcBorders>
              <w:top w:val="single" w:color="000000" w:sz="4" w:space="0"/>
              <w:left w:val="single" w:color="000000" w:sz="4" w:space="0"/>
              <w:bottom w:val="single" w:color="000000" w:sz="4" w:space="0"/>
              <w:right w:val="single" w:color="000000" w:sz="4" w:space="0"/>
            </w:tcBorders>
          </w:tcPr>
          <w:p w14:paraId="319268FA">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7624C493">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6501DAC9">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01F68A5F">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5D05BB4B">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6592114A">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6623F8D0">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05ED0F72">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3FAB178A">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0BDBCB82">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r>
      <w:tr w14:paraId="2E1D5C8A">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945" w:type="dxa"/>
            <w:tcBorders>
              <w:top w:val="single" w:color="000000" w:sz="4" w:space="0"/>
              <w:left w:val="single" w:color="000000" w:sz="4" w:space="0"/>
              <w:bottom w:val="single" w:color="000000" w:sz="4" w:space="0"/>
              <w:right w:val="single" w:color="000000" w:sz="4" w:space="0"/>
            </w:tcBorders>
          </w:tcPr>
          <w:p w14:paraId="59D7D0E1">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1C4E5794">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1D7BFCC0">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4DDC7DCF">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27D65844">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3C23767F">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372D7E35">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55E901E1">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5C5C1576">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00833FD2">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r>
      <w:tr w14:paraId="6B5CE42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945" w:type="dxa"/>
            <w:tcBorders>
              <w:top w:val="single" w:color="000000" w:sz="4" w:space="0"/>
              <w:left w:val="single" w:color="000000" w:sz="4" w:space="0"/>
              <w:bottom w:val="single" w:color="000000" w:sz="4" w:space="0"/>
              <w:right w:val="single" w:color="000000" w:sz="4" w:space="0"/>
            </w:tcBorders>
          </w:tcPr>
          <w:p w14:paraId="333B2DFF">
            <w:pPr>
              <w:tabs>
                <w:tab w:val="left" w:pos="9765"/>
              </w:tabs>
              <w:spacing w:line="360" w:lineRule="auto"/>
              <w:rPr>
                <w:rFonts w:ascii="宋体" w:hAnsi="宋体" w:cs="宋体"/>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199CD3CE">
            <w:pPr>
              <w:tabs>
                <w:tab w:val="left" w:pos="9765"/>
              </w:tabs>
              <w:spacing w:line="360" w:lineRule="auto"/>
              <w:rPr>
                <w:rFonts w:ascii="宋体" w:hAnsi="宋体" w:cs="宋体"/>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107C962B">
            <w:pPr>
              <w:tabs>
                <w:tab w:val="left" w:pos="9765"/>
              </w:tabs>
              <w:spacing w:line="360" w:lineRule="auto"/>
              <w:rPr>
                <w:rFonts w:ascii="宋体" w:hAnsi="宋体" w:cs="宋体"/>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04C10AFA">
            <w:pPr>
              <w:tabs>
                <w:tab w:val="left" w:pos="9765"/>
              </w:tabs>
              <w:spacing w:line="360" w:lineRule="auto"/>
              <w:rPr>
                <w:rFonts w:ascii="宋体" w:hAnsi="宋体" w:cs="宋体"/>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045AADF3">
            <w:pPr>
              <w:tabs>
                <w:tab w:val="left" w:pos="9765"/>
              </w:tabs>
              <w:spacing w:line="360" w:lineRule="auto"/>
              <w:rPr>
                <w:rFonts w:ascii="宋体" w:hAnsi="宋体" w:cs="宋体"/>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1E6DC676">
            <w:pPr>
              <w:tabs>
                <w:tab w:val="left" w:pos="9765"/>
              </w:tabs>
              <w:spacing w:line="360" w:lineRule="auto"/>
              <w:rPr>
                <w:rFonts w:ascii="宋体" w:hAnsi="宋体" w:cs="宋体"/>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57FD16BF">
            <w:pPr>
              <w:tabs>
                <w:tab w:val="left" w:pos="9765"/>
              </w:tabs>
              <w:spacing w:line="360" w:lineRule="auto"/>
              <w:rPr>
                <w:rFonts w:ascii="宋体" w:hAnsi="宋体" w:cs="宋体"/>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1AA17AD8">
            <w:pPr>
              <w:tabs>
                <w:tab w:val="left" w:pos="9765"/>
              </w:tabs>
              <w:spacing w:line="360" w:lineRule="auto"/>
              <w:rPr>
                <w:rFonts w:ascii="宋体" w:hAnsi="宋体" w:cs="宋体"/>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6D94EA60">
            <w:pPr>
              <w:tabs>
                <w:tab w:val="left" w:pos="9765"/>
              </w:tabs>
              <w:spacing w:line="360" w:lineRule="auto"/>
              <w:rPr>
                <w:rFonts w:ascii="宋体" w:hAnsi="宋体" w:cs="宋体"/>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203CA2AA">
            <w:pPr>
              <w:tabs>
                <w:tab w:val="left" w:pos="9765"/>
              </w:tabs>
              <w:spacing w:line="360" w:lineRule="auto"/>
              <w:rPr>
                <w:rFonts w:ascii="宋体" w:hAnsi="宋体" w:cs="宋体"/>
                <w:color w:val="auto"/>
                <w:sz w:val="24"/>
                <w:highlight w:val="none"/>
              </w:rPr>
            </w:pPr>
          </w:p>
        </w:tc>
      </w:tr>
      <w:tr w14:paraId="19B1EFF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945" w:type="dxa"/>
            <w:tcBorders>
              <w:top w:val="single" w:color="000000" w:sz="4" w:space="0"/>
              <w:left w:val="single" w:color="000000" w:sz="4" w:space="0"/>
              <w:bottom w:val="single" w:color="000000" w:sz="4" w:space="0"/>
              <w:right w:val="single" w:color="000000" w:sz="4" w:space="0"/>
            </w:tcBorders>
          </w:tcPr>
          <w:p w14:paraId="39FEF20D">
            <w:pPr>
              <w:tabs>
                <w:tab w:val="left" w:pos="9765"/>
              </w:tabs>
              <w:spacing w:line="360" w:lineRule="auto"/>
              <w:rPr>
                <w:rFonts w:ascii="宋体" w:hAnsi="宋体" w:cs="宋体"/>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5CD5EF80">
            <w:pPr>
              <w:tabs>
                <w:tab w:val="left" w:pos="9765"/>
              </w:tabs>
              <w:spacing w:line="360" w:lineRule="auto"/>
              <w:rPr>
                <w:rFonts w:ascii="宋体" w:hAnsi="宋体" w:cs="宋体"/>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147FC472">
            <w:pPr>
              <w:tabs>
                <w:tab w:val="left" w:pos="9765"/>
              </w:tabs>
              <w:spacing w:line="360" w:lineRule="auto"/>
              <w:rPr>
                <w:rFonts w:ascii="宋体" w:hAnsi="宋体" w:cs="宋体"/>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40A99E76">
            <w:pPr>
              <w:tabs>
                <w:tab w:val="left" w:pos="9765"/>
              </w:tabs>
              <w:spacing w:line="360" w:lineRule="auto"/>
              <w:rPr>
                <w:rFonts w:ascii="宋体" w:hAnsi="宋体" w:cs="宋体"/>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18E72B2F">
            <w:pPr>
              <w:tabs>
                <w:tab w:val="left" w:pos="9765"/>
              </w:tabs>
              <w:spacing w:line="360" w:lineRule="auto"/>
              <w:rPr>
                <w:rFonts w:ascii="宋体" w:hAnsi="宋体" w:cs="宋体"/>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49632456">
            <w:pPr>
              <w:tabs>
                <w:tab w:val="left" w:pos="9765"/>
              </w:tabs>
              <w:spacing w:line="360" w:lineRule="auto"/>
              <w:rPr>
                <w:rFonts w:ascii="宋体" w:hAnsi="宋体" w:cs="宋体"/>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52368A92">
            <w:pPr>
              <w:tabs>
                <w:tab w:val="left" w:pos="9765"/>
              </w:tabs>
              <w:spacing w:line="360" w:lineRule="auto"/>
              <w:rPr>
                <w:rFonts w:ascii="宋体" w:hAnsi="宋体" w:cs="宋体"/>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27D1059B">
            <w:pPr>
              <w:tabs>
                <w:tab w:val="left" w:pos="9765"/>
              </w:tabs>
              <w:spacing w:line="360" w:lineRule="auto"/>
              <w:rPr>
                <w:rFonts w:ascii="宋体" w:hAnsi="宋体" w:cs="宋体"/>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4C106121">
            <w:pPr>
              <w:tabs>
                <w:tab w:val="left" w:pos="9765"/>
              </w:tabs>
              <w:spacing w:line="360" w:lineRule="auto"/>
              <w:rPr>
                <w:rFonts w:ascii="宋体" w:hAnsi="宋体" w:cs="宋体"/>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25366BF3">
            <w:pPr>
              <w:tabs>
                <w:tab w:val="left" w:pos="9765"/>
              </w:tabs>
              <w:spacing w:line="360" w:lineRule="auto"/>
              <w:rPr>
                <w:rFonts w:ascii="宋体" w:hAnsi="宋体" w:cs="宋体"/>
                <w:color w:val="auto"/>
                <w:sz w:val="24"/>
                <w:highlight w:val="none"/>
              </w:rPr>
            </w:pPr>
          </w:p>
        </w:tc>
      </w:tr>
      <w:tr w14:paraId="096EE04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945" w:type="dxa"/>
            <w:tcBorders>
              <w:top w:val="single" w:color="000000" w:sz="4" w:space="0"/>
              <w:left w:val="single" w:color="000000" w:sz="4" w:space="0"/>
              <w:bottom w:val="single" w:color="000000" w:sz="4" w:space="0"/>
              <w:right w:val="single" w:color="000000" w:sz="4" w:space="0"/>
            </w:tcBorders>
          </w:tcPr>
          <w:p w14:paraId="51283B9D">
            <w:pPr>
              <w:tabs>
                <w:tab w:val="left" w:pos="9765"/>
              </w:tabs>
              <w:spacing w:line="360" w:lineRule="auto"/>
              <w:rPr>
                <w:rFonts w:ascii="宋体" w:hAnsi="宋体" w:cs="宋体"/>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486DF2BD">
            <w:pPr>
              <w:tabs>
                <w:tab w:val="left" w:pos="9765"/>
              </w:tabs>
              <w:spacing w:line="360" w:lineRule="auto"/>
              <w:rPr>
                <w:rFonts w:ascii="宋体" w:hAnsi="宋体" w:cs="宋体"/>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3073F901">
            <w:pPr>
              <w:tabs>
                <w:tab w:val="left" w:pos="9765"/>
              </w:tabs>
              <w:spacing w:line="360" w:lineRule="auto"/>
              <w:rPr>
                <w:rFonts w:ascii="宋体" w:hAnsi="宋体" w:cs="宋体"/>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259D1A9B">
            <w:pPr>
              <w:tabs>
                <w:tab w:val="left" w:pos="9765"/>
              </w:tabs>
              <w:spacing w:line="360" w:lineRule="auto"/>
              <w:rPr>
                <w:rFonts w:ascii="宋体" w:hAnsi="宋体" w:cs="宋体"/>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05A90914">
            <w:pPr>
              <w:tabs>
                <w:tab w:val="left" w:pos="9765"/>
              </w:tabs>
              <w:spacing w:line="360" w:lineRule="auto"/>
              <w:rPr>
                <w:rFonts w:ascii="宋体" w:hAnsi="宋体" w:cs="宋体"/>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36C3120A">
            <w:pPr>
              <w:tabs>
                <w:tab w:val="left" w:pos="9765"/>
              </w:tabs>
              <w:spacing w:line="360" w:lineRule="auto"/>
              <w:rPr>
                <w:rFonts w:ascii="宋体" w:hAnsi="宋体" w:cs="宋体"/>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322B74A6">
            <w:pPr>
              <w:tabs>
                <w:tab w:val="left" w:pos="9765"/>
              </w:tabs>
              <w:spacing w:line="360" w:lineRule="auto"/>
              <w:rPr>
                <w:rFonts w:ascii="宋体" w:hAnsi="宋体" w:cs="宋体"/>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2FA4EA1C">
            <w:pPr>
              <w:tabs>
                <w:tab w:val="left" w:pos="9765"/>
              </w:tabs>
              <w:spacing w:line="360" w:lineRule="auto"/>
              <w:rPr>
                <w:rFonts w:ascii="宋体" w:hAnsi="宋体" w:cs="宋体"/>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33AC558E">
            <w:pPr>
              <w:tabs>
                <w:tab w:val="left" w:pos="9765"/>
              </w:tabs>
              <w:spacing w:line="360" w:lineRule="auto"/>
              <w:rPr>
                <w:rFonts w:ascii="宋体" w:hAnsi="宋体" w:cs="宋体"/>
                <w:color w:val="auto"/>
                <w:sz w:val="24"/>
                <w:highlight w:val="none"/>
              </w:rPr>
            </w:pPr>
          </w:p>
        </w:tc>
        <w:tc>
          <w:tcPr>
            <w:tcW w:w="945" w:type="dxa"/>
            <w:tcBorders>
              <w:top w:val="single" w:color="000000" w:sz="4" w:space="0"/>
              <w:left w:val="single" w:color="000000" w:sz="4" w:space="0"/>
              <w:bottom w:val="single" w:color="000000" w:sz="4" w:space="0"/>
              <w:right w:val="single" w:color="000000" w:sz="4" w:space="0"/>
            </w:tcBorders>
          </w:tcPr>
          <w:p w14:paraId="2A2DC953">
            <w:pPr>
              <w:tabs>
                <w:tab w:val="left" w:pos="9765"/>
              </w:tabs>
              <w:spacing w:line="360" w:lineRule="auto"/>
              <w:rPr>
                <w:rFonts w:ascii="宋体" w:hAnsi="宋体" w:cs="宋体"/>
                <w:color w:val="auto"/>
                <w:sz w:val="24"/>
                <w:highlight w:val="none"/>
              </w:rPr>
            </w:pPr>
          </w:p>
        </w:tc>
      </w:tr>
      <w:tr w14:paraId="599116D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rPr>
          <w:jc w:val="center"/>
        </w:trPr>
        <w:tc>
          <w:tcPr>
            <w:tcW w:w="945" w:type="dxa"/>
            <w:tcBorders>
              <w:top w:val="single" w:color="000000" w:sz="4" w:space="0"/>
              <w:left w:val="single" w:color="000000" w:sz="4" w:space="0"/>
              <w:bottom w:val="single" w:color="000000" w:sz="4" w:space="0"/>
              <w:right w:val="single" w:color="000000" w:sz="4" w:space="0"/>
            </w:tcBorders>
          </w:tcPr>
          <w:p w14:paraId="57CA26C8">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1ACF417A">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21F5C58F">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4A3FD097">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6A3E69C0">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70859771">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202A8BBB">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2FA24F1A">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31CACC27">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000000" w:sz="4" w:space="0"/>
              <w:left w:val="single" w:color="000000" w:sz="4" w:space="0"/>
              <w:bottom w:val="single" w:color="000000" w:sz="4" w:space="0"/>
              <w:right w:val="single" w:color="000000" w:sz="4" w:space="0"/>
            </w:tcBorders>
          </w:tcPr>
          <w:p w14:paraId="42E6403C">
            <w:pPr>
              <w:tabs>
                <w:tab w:val="left" w:pos="9765"/>
              </w:tabs>
              <w:spacing w:line="360" w:lineRule="auto"/>
              <w:rPr>
                <w:rFonts w:ascii="宋体" w:hAnsi="宋体" w:cs="宋体"/>
                <w:color w:val="auto"/>
                <w:sz w:val="24"/>
                <w:highlight w:val="none"/>
              </w:rPr>
            </w:pPr>
            <w:r>
              <w:rPr>
                <w:rFonts w:hint="eastAsia" w:ascii="宋体" w:hAnsi="宋体" w:cs="宋体"/>
                <w:color w:val="auto"/>
                <w:sz w:val="24"/>
                <w:highlight w:val="none"/>
              </w:rPr>
              <w:t> </w:t>
            </w:r>
          </w:p>
        </w:tc>
      </w:tr>
    </w:tbl>
    <w:p w14:paraId="7441C61F">
      <w:pPr>
        <w:tabs>
          <w:tab w:val="left" w:pos="9765"/>
        </w:tabs>
        <w:spacing w:line="360" w:lineRule="auto"/>
        <w:rPr>
          <w:rFonts w:ascii="宋体" w:hAnsi="宋体" w:cs="宋体"/>
          <w:b/>
          <w:color w:val="auto"/>
          <w:sz w:val="24"/>
          <w:highlight w:val="none"/>
          <w:lang w:val="zh-CN"/>
        </w:rPr>
      </w:pPr>
    </w:p>
    <w:p w14:paraId="07965495">
      <w:pPr>
        <w:tabs>
          <w:tab w:val="left" w:pos="9765"/>
        </w:tabs>
        <w:spacing w:line="360" w:lineRule="auto"/>
        <w:rPr>
          <w:rFonts w:ascii="宋体" w:hAnsi="宋体" w:cs="宋体"/>
          <w:b/>
          <w:color w:val="auto"/>
          <w:sz w:val="24"/>
          <w:highlight w:val="none"/>
          <w:lang w:val="zh-CN"/>
        </w:rPr>
      </w:pPr>
      <w:r>
        <w:rPr>
          <w:rFonts w:hint="eastAsia" w:ascii="宋体" w:hAnsi="宋体" w:cs="宋体"/>
          <w:b/>
          <w:color w:val="auto"/>
          <w:sz w:val="24"/>
          <w:highlight w:val="none"/>
          <w:lang w:val="zh-CN"/>
        </w:rPr>
        <w:t>注：参加本项目人员须是供应商正式职工。</w:t>
      </w:r>
    </w:p>
    <w:p w14:paraId="13C61C0F">
      <w:pPr>
        <w:tabs>
          <w:tab w:val="left" w:pos="9765"/>
        </w:tabs>
        <w:rPr>
          <w:rFonts w:ascii="宋体" w:hAnsi="宋体" w:cs="宋体"/>
          <w:b/>
          <w:color w:val="auto"/>
          <w:sz w:val="24"/>
          <w:highlight w:val="none"/>
          <w:lang w:val="zh-CN"/>
        </w:rPr>
      </w:pPr>
    </w:p>
    <w:p w14:paraId="581DE16E">
      <w:pPr>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23E1C0D8">
      <w:pPr>
        <w:spacing w:before="25" w:after="25" w:line="360" w:lineRule="auto"/>
        <w:rPr>
          <w:color w:val="auto"/>
          <w:sz w:val="24"/>
          <w:highlight w:val="none"/>
          <w:lang w:val="zh-CN"/>
        </w:rPr>
      </w:pPr>
      <w:r>
        <w:rPr>
          <w:color w:val="auto"/>
          <w:sz w:val="24"/>
          <w:szCs w:val="20"/>
          <w:highlight w:val="none"/>
        </w:rPr>
        <w:t xml:space="preserve">日期：_____年______月______日   </w:t>
      </w:r>
    </w:p>
    <w:p w14:paraId="4658445C">
      <w:pPr>
        <w:pStyle w:val="292"/>
        <w:spacing w:before="120" w:after="120"/>
        <w:ind w:firstLine="0"/>
        <w:rPr>
          <w:color w:val="auto"/>
          <w:sz w:val="24"/>
          <w:szCs w:val="24"/>
          <w:highlight w:val="none"/>
        </w:rPr>
      </w:pPr>
      <w:r>
        <w:rPr>
          <w:color w:val="auto"/>
          <w:sz w:val="22"/>
          <w:highlight w:val="none"/>
        </w:rPr>
        <w:br w:type="page" w:clear="all"/>
      </w:r>
      <w:bookmarkStart w:id="912" w:name="_Toc288738839"/>
      <w:bookmarkStart w:id="913" w:name="_Toc288738397"/>
      <w:r>
        <w:rPr>
          <w:rFonts w:hint="eastAsia"/>
          <w:color w:val="auto"/>
          <w:sz w:val="24"/>
          <w:szCs w:val="24"/>
          <w:highlight w:val="none"/>
          <w:lang w:val="en-US" w:eastAsia="zh-CN"/>
        </w:rPr>
        <w:t>10</w:t>
      </w:r>
      <w:r>
        <w:rPr>
          <w:rFonts w:hint="eastAsia"/>
          <w:color w:val="auto"/>
          <w:sz w:val="24"/>
          <w:szCs w:val="24"/>
          <w:highlight w:val="none"/>
        </w:rPr>
        <w:t xml:space="preserve">  相关业绩案例一览表</w:t>
      </w:r>
    </w:p>
    <w:p w14:paraId="56F68C71">
      <w:pPr>
        <w:rPr>
          <w:color w:val="auto"/>
          <w:sz w:val="24"/>
          <w:szCs w:val="20"/>
          <w:highlight w:val="none"/>
        </w:rPr>
      </w:pPr>
    </w:p>
    <w:p w14:paraId="5562E3C9">
      <w:pPr>
        <w:jc w:val="center"/>
        <w:rPr>
          <w:rFonts w:ascii="宋体" w:hAnsi="宋体"/>
          <w:b/>
          <w:color w:val="auto"/>
          <w:sz w:val="32"/>
          <w:szCs w:val="32"/>
          <w:highlight w:val="none"/>
        </w:rPr>
      </w:pPr>
      <w:r>
        <w:rPr>
          <w:rFonts w:hint="eastAsia" w:ascii="宋体" w:hAnsi="宋体"/>
          <w:b/>
          <w:color w:val="auto"/>
          <w:sz w:val="32"/>
          <w:szCs w:val="32"/>
          <w:highlight w:val="none"/>
        </w:rPr>
        <w:t>相关业绩案例一览表</w:t>
      </w:r>
      <w:bookmarkEnd w:id="912"/>
      <w:bookmarkEnd w:id="913"/>
    </w:p>
    <w:p w14:paraId="18DE764B">
      <w:pPr>
        <w:spacing w:line="360" w:lineRule="auto"/>
        <w:jc w:val="center"/>
        <w:rPr>
          <w:rFonts w:ascii="宋体" w:hAnsi="宋体"/>
          <w:b/>
          <w:color w:val="auto"/>
          <w:sz w:val="28"/>
          <w:szCs w:val="30"/>
          <w:highlight w:val="none"/>
        </w:rPr>
      </w:pPr>
    </w:p>
    <w:p w14:paraId="34F4C1B4">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tbl>
      <w:tblPr>
        <w:tblStyle w:val="37"/>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7D40A2D2">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5E4A0AF1">
            <w:pPr>
              <w:tabs>
                <w:tab w:val="left" w:pos="9765"/>
              </w:tabs>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项目时间</w:t>
            </w:r>
          </w:p>
        </w:tc>
        <w:tc>
          <w:tcPr>
            <w:tcW w:w="1681" w:type="dxa"/>
            <w:tcBorders>
              <w:top w:val="single" w:color="000000" w:sz="6" w:space="0"/>
              <w:left w:val="single" w:color="000000" w:sz="6" w:space="0"/>
              <w:bottom w:val="single" w:color="000000" w:sz="6" w:space="0"/>
              <w:right w:val="single" w:color="000000" w:sz="6" w:space="0"/>
            </w:tcBorders>
            <w:vAlign w:val="center"/>
          </w:tcPr>
          <w:p w14:paraId="29FCF9FF">
            <w:pPr>
              <w:tabs>
                <w:tab w:val="left" w:pos="9765"/>
              </w:tabs>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vAlign w:val="center"/>
          </w:tcPr>
          <w:p w14:paraId="6377A447">
            <w:pPr>
              <w:tabs>
                <w:tab w:val="left" w:pos="9765"/>
              </w:tabs>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项目名称</w:t>
            </w:r>
          </w:p>
        </w:tc>
        <w:tc>
          <w:tcPr>
            <w:tcW w:w="1198" w:type="dxa"/>
            <w:tcBorders>
              <w:top w:val="single" w:color="000000" w:sz="6" w:space="0"/>
              <w:left w:val="single" w:color="000000" w:sz="6" w:space="0"/>
              <w:bottom w:val="single" w:color="000000" w:sz="6" w:space="0"/>
              <w:right w:val="single" w:color="000000" w:sz="6" w:space="0"/>
            </w:tcBorders>
            <w:vAlign w:val="center"/>
          </w:tcPr>
          <w:p w14:paraId="275F9218">
            <w:pPr>
              <w:tabs>
                <w:tab w:val="left" w:pos="9765"/>
              </w:tabs>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合同金额</w:t>
            </w:r>
          </w:p>
        </w:tc>
        <w:tc>
          <w:tcPr>
            <w:tcW w:w="1730" w:type="dxa"/>
            <w:tcBorders>
              <w:top w:val="single" w:color="000000" w:sz="6" w:space="0"/>
              <w:left w:val="single" w:color="000000" w:sz="6" w:space="0"/>
              <w:bottom w:val="single" w:color="000000" w:sz="6" w:space="0"/>
              <w:right w:val="single" w:color="000000" w:sz="6" w:space="0"/>
            </w:tcBorders>
            <w:vAlign w:val="center"/>
          </w:tcPr>
          <w:p w14:paraId="082E6398">
            <w:pPr>
              <w:tabs>
                <w:tab w:val="left" w:pos="9765"/>
              </w:tabs>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单位地址</w:t>
            </w:r>
          </w:p>
        </w:tc>
        <w:tc>
          <w:tcPr>
            <w:tcW w:w="1597" w:type="dxa"/>
            <w:tcBorders>
              <w:top w:val="single" w:color="000000" w:sz="6" w:space="0"/>
              <w:left w:val="single" w:color="000000" w:sz="6" w:space="0"/>
              <w:bottom w:val="single" w:color="000000" w:sz="6" w:space="0"/>
              <w:right w:val="single" w:color="000000" w:sz="6" w:space="0"/>
            </w:tcBorders>
            <w:vAlign w:val="center"/>
          </w:tcPr>
          <w:p w14:paraId="1480046C">
            <w:pPr>
              <w:tabs>
                <w:tab w:val="left" w:pos="9765"/>
              </w:tabs>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联系电话</w:t>
            </w:r>
          </w:p>
        </w:tc>
      </w:tr>
      <w:tr w14:paraId="43EF4E5B">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vAlign w:val="center"/>
          </w:tcPr>
          <w:p w14:paraId="5D3F3E74">
            <w:pPr>
              <w:tabs>
                <w:tab w:val="left" w:pos="9765"/>
              </w:tabs>
              <w:spacing w:line="360" w:lineRule="auto"/>
              <w:jc w:val="center"/>
              <w:rPr>
                <w:rFonts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vAlign w:val="center"/>
          </w:tcPr>
          <w:p w14:paraId="5DCA3B8B">
            <w:pPr>
              <w:tabs>
                <w:tab w:val="left" w:pos="9765"/>
              </w:tabs>
              <w:spacing w:line="360" w:lineRule="auto"/>
              <w:jc w:val="center"/>
              <w:rPr>
                <w:rFonts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vAlign w:val="center"/>
          </w:tcPr>
          <w:p w14:paraId="1ABD8D4B">
            <w:pPr>
              <w:tabs>
                <w:tab w:val="left" w:pos="9765"/>
              </w:tabs>
              <w:spacing w:line="360" w:lineRule="auto"/>
              <w:jc w:val="center"/>
              <w:rPr>
                <w:rFonts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vAlign w:val="center"/>
          </w:tcPr>
          <w:p w14:paraId="6F7A4AE0">
            <w:pPr>
              <w:tabs>
                <w:tab w:val="left" w:pos="9765"/>
              </w:tabs>
              <w:spacing w:line="360" w:lineRule="auto"/>
              <w:jc w:val="center"/>
              <w:rPr>
                <w:rFonts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vAlign w:val="center"/>
          </w:tcPr>
          <w:p w14:paraId="4DB46053">
            <w:pPr>
              <w:tabs>
                <w:tab w:val="left" w:pos="9765"/>
              </w:tabs>
              <w:spacing w:line="360" w:lineRule="auto"/>
              <w:ind w:hanging="523"/>
              <w:jc w:val="center"/>
              <w:rPr>
                <w:rFonts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vAlign w:val="center"/>
          </w:tcPr>
          <w:p w14:paraId="14A8B97B">
            <w:pPr>
              <w:tabs>
                <w:tab w:val="left" w:pos="9765"/>
              </w:tabs>
              <w:spacing w:line="360" w:lineRule="auto"/>
              <w:ind w:hanging="523"/>
              <w:jc w:val="center"/>
              <w:rPr>
                <w:rFonts w:ascii="宋体" w:hAnsi="宋体" w:cs="宋体"/>
                <w:color w:val="auto"/>
                <w:sz w:val="24"/>
                <w:highlight w:val="none"/>
              </w:rPr>
            </w:pPr>
          </w:p>
        </w:tc>
      </w:tr>
      <w:tr w14:paraId="6B75B710">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5A1D4E69">
            <w:pPr>
              <w:tabs>
                <w:tab w:val="left" w:pos="9765"/>
              </w:tabs>
              <w:spacing w:line="360" w:lineRule="auto"/>
              <w:rPr>
                <w:rFonts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6DEA4295">
            <w:pPr>
              <w:tabs>
                <w:tab w:val="left" w:pos="9765"/>
              </w:tabs>
              <w:spacing w:line="360" w:lineRule="auto"/>
              <w:rPr>
                <w:rFonts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00DDA7B6">
            <w:pPr>
              <w:tabs>
                <w:tab w:val="left" w:pos="9765"/>
              </w:tabs>
              <w:spacing w:line="360" w:lineRule="auto"/>
              <w:rPr>
                <w:rFonts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48F826C0">
            <w:pPr>
              <w:tabs>
                <w:tab w:val="left" w:pos="9765"/>
              </w:tabs>
              <w:spacing w:line="360" w:lineRule="auto"/>
              <w:rPr>
                <w:rFonts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5CE68656">
            <w:pPr>
              <w:tabs>
                <w:tab w:val="left" w:pos="9765"/>
              </w:tabs>
              <w:spacing w:line="360" w:lineRule="auto"/>
              <w:rPr>
                <w:rFonts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14:paraId="5620A06C">
            <w:pPr>
              <w:tabs>
                <w:tab w:val="left" w:pos="9765"/>
              </w:tabs>
              <w:spacing w:line="360" w:lineRule="auto"/>
              <w:rPr>
                <w:rFonts w:ascii="宋体" w:hAnsi="宋体" w:cs="宋体"/>
                <w:color w:val="auto"/>
                <w:sz w:val="24"/>
                <w:highlight w:val="none"/>
              </w:rPr>
            </w:pPr>
          </w:p>
        </w:tc>
      </w:tr>
      <w:tr w14:paraId="1EEF1913">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2E05F176">
            <w:pPr>
              <w:tabs>
                <w:tab w:val="left" w:pos="9765"/>
              </w:tabs>
              <w:spacing w:line="360" w:lineRule="auto"/>
              <w:rPr>
                <w:rFonts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64507FC5">
            <w:pPr>
              <w:tabs>
                <w:tab w:val="left" w:pos="9765"/>
              </w:tabs>
              <w:spacing w:line="360" w:lineRule="auto"/>
              <w:rPr>
                <w:rFonts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44EE04D1">
            <w:pPr>
              <w:tabs>
                <w:tab w:val="left" w:pos="9765"/>
              </w:tabs>
              <w:spacing w:line="360" w:lineRule="auto"/>
              <w:rPr>
                <w:rFonts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37FAE7F1">
            <w:pPr>
              <w:tabs>
                <w:tab w:val="left" w:pos="9765"/>
              </w:tabs>
              <w:spacing w:line="360" w:lineRule="auto"/>
              <w:rPr>
                <w:rFonts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31D564E9">
            <w:pPr>
              <w:tabs>
                <w:tab w:val="left" w:pos="9765"/>
              </w:tabs>
              <w:spacing w:line="360" w:lineRule="auto"/>
              <w:rPr>
                <w:rFonts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14:paraId="0F536757">
            <w:pPr>
              <w:tabs>
                <w:tab w:val="left" w:pos="9765"/>
              </w:tabs>
              <w:spacing w:line="360" w:lineRule="auto"/>
              <w:rPr>
                <w:rFonts w:ascii="宋体" w:hAnsi="宋体" w:cs="宋体"/>
                <w:color w:val="auto"/>
                <w:sz w:val="24"/>
                <w:highlight w:val="none"/>
              </w:rPr>
            </w:pPr>
          </w:p>
        </w:tc>
      </w:tr>
      <w:tr w14:paraId="5431E98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47C247D1">
            <w:pPr>
              <w:tabs>
                <w:tab w:val="left" w:pos="9765"/>
              </w:tabs>
              <w:spacing w:line="360" w:lineRule="auto"/>
              <w:rPr>
                <w:rFonts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53C485BA">
            <w:pPr>
              <w:tabs>
                <w:tab w:val="left" w:pos="9765"/>
              </w:tabs>
              <w:spacing w:line="360" w:lineRule="auto"/>
              <w:rPr>
                <w:rFonts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4A897FCE">
            <w:pPr>
              <w:tabs>
                <w:tab w:val="left" w:pos="9765"/>
              </w:tabs>
              <w:spacing w:line="360" w:lineRule="auto"/>
              <w:rPr>
                <w:rFonts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44ACB01E">
            <w:pPr>
              <w:tabs>
                <w:tab w:val="left" w:pos="9765"/>
              </w:tabs>
              <w:spacing w:line="360" w:lineRule="auto"/>
              <w:rPr>
                <w:rFonts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61D3F4B7">
            <w:pPr>
              <w:tabs>
                <w:tab w:val="left" w:pos="9765"/>
              </w:tabs>
              <w:spacing w:line="360" w:lineRule="auto"/>
              <w:rPr>
                <w:rFonts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14:paraId="6726237B">
            <w:pPr>
              <w:tabs>
                <w:tab w:val="left" w:pos="9765"/>
              </w:tabs>
              <w:spacing w:line="360" w:lineRule="auto"/>
              <w:rPr>
                <w:rFonts w:ascii="宋体" w:hAnsi="宋体" w:cs="宋体"/>
                <w:color w:val="auto"/>
                <w:sz w:val="24"/>
                <w:highlight w:val="none"/>
              </w:rPr>
            </w:pPr>
          </w:p>
        </w:tc>
      </w:tr>
      <w:tr w14:paraId="76632D05">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5FC2F94F">
            <w:pPr>
              <w:tabs>
                <w:tab w:val="left" w:pos="9765"/>
              </w:tabs>
              <w:spacing w:line="360" w:lineRule="auto"/>
              <w:rPr>
                <w:rFonts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3DEB1B2C">
            <w:pPr>
              <w:tabs>
                <w:tab w:val="left" w:pos="9765"/>
              </w:tabs>
              <w:spacing w:line="360" w:lineRule="auto"/>
              <w:rPr>
                <w:rFonts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0B3C80A8">
            <w:pPr>
              <w:tabs>
                <w:tab w:val="left" w:pos="9765"/>
              </w:tabs>
              <w:spacing w:line="360" w:lineRule="auto"/>
              <w:rPr>
                <w:rFonts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5E246167">
            <w:pPr>
              <w:tabs>
                <w:tab w:val="left" w:pos="9765"/>
              </w:tabs>
              <w:spacing w:line="360" w:lineRule="auto"/>
              <w:rPr>
                <w:rFonts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36F3676F">
            <w:pPr>
              <w:tabs>
                <w:tab w:val="left" w:pos="9765"/>
              </w:tabs>
              <w:spacing w:line="360" w:lineRule="auto"/>
              <w:rPr>
                <w:rFonts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14:paraId="12ECBF9C">
            <w:pPr>
              <w:tabs>
                <w:tab w:val="left" w:pos="9765"/>
              </w:tabs>
              <w:spacing w:line="360" w:lineRule="auto"/>
              <w:rPr>
                <w:rFonts w:ascii="宋体" w:hAnsi="宋体" w:cs="宋体"/>
                <w:color w:val="auto"/>
                <w:sz w:val="24"/>
                <w:highlight w:val="none"/>
              </w:rPr>
            </w:pPr>
          </w:p>
        </w:tc>
      </w:tr>
      <w:tr w14:paraId="1D328F3A">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33340233">
            <w:pPr>
              <w:tabs>
                <w:tab w:val="left" w:pos="9765"/>
              </w:tabs>
              <w:spacing w:line="360" w:lineRule="auto"/>
              <w:rPr>
                <w:rFonts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4D0A0EDD">
            <w:pPr>
              <w:tabs>
                <w:tab w:val="left" w:pos="9765"/>
              </w:tabs>
              <w:spacing w:line="360" w:lineRule="auto"/>
              <w:rPr>
                <w:rFonts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7758D742">
            <w:pPr>
              <w:tabs>
                <w:tab w:val="left" w:pos="9765"/>
              </w:tabs>
              <w:spacing w:line="360" w:lineRule="auto"/>
              <w:rPr>
                <w:rFonts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2DF5C4E5">
            <w:pPr>
              <w:tabs>
                <w:tab w:val="left" w:pos="9765"/>
              </w:tabs>
              <w:spacing w:line="360" w:lineRule="auto"/>
              <w:rPr>
                <w:rFonts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4AE80390">
            <w:pPr>
              <w:tabs>
                <w:tab w:val="left" w:pos="9765"/>
              </w:tabs>
              <w:spacing w:line="360" w:lineRule="auto"/>
              <w:rPr>
                <w:rFonts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14:paraId="1E5ADC57">
            <w:pPr>
              <w:tabs>
                <w:tab w:val="left" w:pos="9765"/>
              </w:tabs>
              <w:spacing w:line="360" w:lineRule="auto"/>
              <w:rPr>
                <w:rFonts w:ascii="宋体" w:hAnsi="宋体" w:cs="宋体"/>
                <w:color w:val="auto"/>
                <w:sz w:val="24"/>
                <w:highlight w:val="none"/>
              </w:rPr>
            </w:pPr>
          </w:p>
        </w:tc>
      </w:tr>
      <w:tr w14:paraId="6BF73BD8">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507E107A">
            <w:pPr>
              <w:tabs>
                <w:tab w:val="left" w:pos="9765"/>
              </w:tabs>
              <w:spacing w:line="360" w:lineRule="auto"/>
              <w:rPr>
                <w:rFonts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1FF3631E">
            <w:pPr>
              <w:tabs>
                <w:tab w:val="left" w:pos="9765"/>
              </w:tabs>
              <w:spacing w:line="360" w:lineRule="auto"/>
              <w:rPr>
                <w:rFonts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0EE8A811">
            <w:pPr>
              <w:tabs>
                <w:tab w:val="left" w:pos="9765"/>
              </w:tabs>
              <w:spacing w:line="360" w:lineRule="auto"/>
              <w:rPr>
                <w:rFonts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14121926">
            <w:pPr>
              <w:tabs>
                <w:tab w:val="left" w:pos="9765"/>
              </w:tabs>
              <w:spacing w:line="360" w:lineRule="auto"/>
              <w:rPr>
                <w:rFonts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2D119018">
            <w:pPr>
              <w:tabs>
                <w:tab w:val="left" w:pos="9765"/>
              </w:tabs>
              <w:spacing w:line="360" w:lineRule="auto"/>
              <w:rPr>
                <w:rFonts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14:paraId="0AB9A454">
            <w:pPr>
              <w:tabs>
                <w:tab w:val="left" w:pos="9765"/>
              </w:tabs>
              <w:spacing w:line="360" w:lineRule="auto"/>
              <w:rPr>
                <w:rFonts w:ascii="宋体" w:hAnsi="宋体" w:cs="宋体"/>
                <w:color w:val="auto"/>
                <w:sz w:val="24"/>
                <w:highlight w:val="none"/>
              </w:rPr>
            </w:pPr>
          </w:p>
        </w:tc>
      </w:tr>
      <w:tr w14:paraId="66F67CF6">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2CC90BB4">
            <w:pPr>
              <w:tabs>
                <w:tab w:val="left" w:pos="9765"/>
              </w:tabs>
              <w:spacing w:line="360" w:lineRule="auto"/>
              <w:rPr>
                <w:rFonts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0BF80C7C">
            <w:pPr>
              <w:tabs>
                <w:tab w:val="left" w:pos="9765"/>
              </w:tabs>
              <w:spacing w:line="360" w:lineRule="auto"/>
              <w:rPr>
                <w:rFonts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32701B7D">
            <w:pPr>
              <w:tabs>
                <w:tab w:val="left" w:pos="9765"/>
              </w:tabs>
              <w:spacing w:line="360" w:lineRule="auto"/>
              <w:rPr>
                <w:rFonts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177EB50A">
            <w:pPr>
              <w:tabs>
                <w:tab w:val="left" w:pos="9765"/>
              </w:tabs>
              <w:spacing w:line="360" w:lineRule="auto"/>
              <w:rPr>
                <w:rFonts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345A16C3">
            <w:pPr>
              <w:tabs>
                <w:tab w:val="left" w:pos="9765"/>
              </w:tabs>
              <w:spacing w:line="360" w:lineRule="auto"/>
              <w:rPr>
                <w:rFonts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14:paraId="64BBE438">
            <w:pPr>
              <w:tabs>
                <w:tab w:val="left" w:pos="9765"/>
              </w:tabs>
              <w:spacing w:line="360" w:lineRule="auto"/>
              <w:rPr>
                <w:rFonts w:ascii="宋体" w:hAnsi="宋体" w:cs="宋体"/>
                <w:color w:val="auto"/>
                <w:sz w:val="24"/>
                <w:highlight w:val="none"/>
              </w:rPr>
            </w:pPr>
          </w:p>
        </w:tc>
      </w:tr>
      <w:tr w14:paraId="209996C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tcPr>
          <w:p w14:paraId="351B915A">
            <w:pPr>
              <w:tabs>
                <w:tab w:val="left" w:pos="9765"/>
              </w:tabs>
              <w:spacing w:line="360" w:lineRule="auto"/>
              <w:rPr>
                <w:rFonts w:ascii="宋体" w:hAnsi="宋体" w:cs="宋体"/>
                <w:color w:val="auto"/>
                <w:sz w:val="24"/>
                <w:highlight w:val="none"/>
              </w:rPr>
            </w:pPr>
          </w:p>
        </w:tc>
        <w:tc>
          <w:tcPr>
            <w:tcW w:w="1681" w:type="dxa"/>
            <w:tcBorders>
              <w:top w:val="single" w:color="000000" w:sz="6" w:space="0"/>
              <w:left w:val="single" w:color="000000" w:sz="6" w:space="0"/>
              <w:bottom w:val="single" w:color="000000" w:sz="6" w:space="0"/>
              <w:right w:val="single" w:color="000000" w:sz="6" w:space="0"/>
            </w:tcBorders>
          </w:tcPr>
          <w:p w14:paraId="6AACEE02">
            <w:pPr>
              <w:tabs>
                <w:tab w:val="left" w:pos="9765"/>
              </w:tabs>
              <w:spacing w:line="360" w:lineRule="auto"/>
              <w:rPr>
                <w:rFonts w:ascii="宋体" w:hAnsi="宋体" w:cs="宋体"/>
                <w:color w:val="auto"/>
                <w:sz w:val="24"/>
                <w:highlight w:val="none"/>
              </w:rPr>
            </w:pPr>
          </w:p>
        </w:tc>
        <w:tc>
          <w:tcPr>
            <w:tcW w:w="1521" w:type="dxa"/>
            <w:tcBorders>
              <w:top w:val="single" w:color="000000" w:sz="6" w:space="0"/>
              <w:left w:val="single" w:color="000000" w:sz="6" w:space="0"/>
              <w:bottom w:val="single" w:color="000000" w:sz="6" w:space="0"/>
              <w:right w:val="single" w:color="000000" w:sz="6" w:space="0"/>
            </w:tcBorders>
          </w:tcPr>
          <w:p w14:paraId="27F971DD">
            <w:pPr>
              <w:tabs>
                <w:tab w:val="left" w:pos="9765"/>
              </w:tabs>
              <w:spacing w:line="360" w:lineRule="auto"/>
              <w:rPr>
                <w:rFonts w:ascii="宋体" w:hAnsi="宋体" w:cs="宋体"/>
                <w:color w:val="auto"/>
                <w:sz w:val="24"/>
                <w:highlight w:val="none"/>
              </w:rPr>
            </w:pPr>
          </w:p>
        </w:tc>
        <w:tc>
          <w:tcPr>
            <w:tcW w:w="1198" w:type="dxa"/>
            <w:tcBorders>
              <w:top w:val="single" w:color="000000" w:sz="6" w:space="0"/>
              <w:left w:val="single" w:color="000000" w:sz="6" w:space="0"/>
              <w:bottom w:val="single" w:color="000000" w:sz="6" w:space="0"/>
              <w:right w:val="single" w:color="000000" w:sz="6" w:space="0"/>
            </w:tcBorders>
          </w:tcPr>
          <w:p w14:paraId="3B17C721">
            <w:pPr>
              <w:tabs>
                <w:tab w:val="left" w:pos="9765"/>
              </w:tabs>
              <w:spacing w:line="360" w:lineRule="auto"/>
              <w:rPr>
                <w:rFonts w:ascii="宋体" w:hAnsi="宋体" w:cs="宋体"/>
                <w:color w:val="auto"/>
                <w:sz w:val="24"/>
                <w:highlight w:val="none"/>
              </w:rPr>
            </w:pPr>
          </w:p>
        </w:tc>
        <w:tc>
          <w:tcPr>
            <w:tcW w:w="1730" w:type="dxa"/>
            <w:tcBorders>
              <w:top w:val="single" w:color="000000" w:sz="6" w:space="0"/>
              <w:left w:val="single" w:color="000000" w:sz="6" w:space="0"/>
              <w:bottom w:val="single" w:color="000000" w:sz="6" w:space="0"/>
              <w:right w:val="single" w:color="000000" w:sz="6" w:space="0"/>
            </w:tcBorders>
          </w:tcPr>
          <w:p w14:paraId="16629D41">
            <w:pPr>
              <w:tabs>
                <w:tab w:val="left" w:pos="9765"/>
              </w:tabs>
              <w:spacing w:line="360" w:lineRule="auto"/>
              <w:rPr>
                <w:rFonts w:ascii="宋体" w:hAnsi="宋体" w:cs="宋体"/>
                <w:color w:val="auto"/>
                <w:sz w:val="24"/>
                <w:highlight w:val="none"/>
              </w:rPr>
            </w:pPr>
          </w:p>
        </w:tc>
        <w:tc>
          <w:tcPr>
            <w:tcW w:w="1597" w:type="dxa"/>
            <w:tcBorders>
              <w:top w:val="single" w:color="000000" w:sz="6" w:space="0"/>
              <w:left w:val="single" w:color="000000" w:sz="6" w:space="0"/>
              <w:bottom w:val="single" w:color="000000" w:sz="6" w:space="0"/>
              <w:right w:val="single" w:color="000000" w:sz="6" w:space="0"/>
            </w:tcBorders>
          </w:tcPr>
          <w:p w14:paraId="05661C49">
            <w:pPr>
              <w:tabs>
                <w:tab w:val="left" w:pos="9765"/>
              </w:tabs>
              <w:spacing w:line="360" w:lineRule="auto"/>
              <w:rPr>
                <w:rFonts w:ascii="宋体" w:hAnsi="宋体" w:cs="宋体"/>
                <w:color w:val="auto"/>
                <w:sz w:val="24"/>
                <w:highlight w:val="none"/>
              </w:rPr>
            </w:pPr>
          </w:p>
        </w:tc>
      </w:tr>
    </w:tbl>
    <w:p w14:paraId="38727C8D">
      <w:pPr>
        <w:tabs>
          <w:tab w:val="left" w:pos="9765"/>
        </w:tabs>
        <w:rPr>
          <w:rFonts w:ascii="宋体" w:hAnsi="宋体" w:cs="宋体"/>
          <w:color w:val="auto"/>
          <w:sz w:val="24"/>
          <w:highlight w:val="none"/>
          <w:lang w:val="zh-CN"/>
        </w:rPr>
      </w:pPr>
    </w:p>
    <w:p w14:paraId="7D15AF2C">
      <w:pPr>
        <w:pStyle w:val="205"/>
        <w:rPr>
          <w:color w:val="auto"/>
          <w:highlight w:val="none"/>
        </w:rPr>
      </w:pPr>
    </w:p>
    <w:p w14:paraId="18B32568">
      <w:pPr>
        <w:rPr>
          <w:color w:val="auto"/>
          <w:highlight w:val="none"/>
        </w:rPr>
      </w:pPr>
    </w:p>
    <w:p w14:paraId="21B9C917">
      <w:pPr>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323331A2">
      <w:pPr>
        <w:spacing w:before="25" w:after="25" w:line="360" w:lineRule="auto"/>
        <w:rPr>
          <w:color w:val="auto"/>
          <w:sz w:val="24"/>
          <w:highlight w:val="none"/>
          <w:lang w:val="zh-CN"/>
        </w:rPr>
      </w:pPr>
      <w:r>
        <w:rPr>
          <w:color w:val="auto"/>
          <w:sz w:val="24"/>
          <w:szCs w:val="20"/>
          <w:highlight w:val="none"/>
        </w:rPr>
        <w:t xml:space="preserve">日期：_____年______月______日   </w:t>
      </w:r>
    </w:p>
    <w:p w14:paraId="5E915E1C">
      <w:pPr>
        <w:rPr>
          <w:color w:val="auto"/>
          <w:highlight w:val="none"/>
        </w:rPr>
      </w:pPr>
    </w:p>
    <w:p w14:paraId="703565B4">
      <w:pPr>
        <w:rPr>
          <w:color w:val="auto"/>
          <w:highlight w:val="none"/>
        </w:rPr>
      </w:pPr>
    </w:p>
    <w:p w14:paraId="589B2604">
      <w:pPr>
        <w:rPr>
          <w:color w:val="auto"/>
          <w:highlight w:val="none"/>
        </w:rPr>
      </w:pPr>
    </w:p>
    <w:p w14:paraId="39393843">
      <w:pPr>
        <w:rPr>
          <w:color w:val="auto"/>
          <w:highlight w:val="none"/>
        </w:rPr>
      </w:pPr>
    </w:p>
    <w:p w14:paraId="2D7CE275">
      <w:pPr>
        <w:rPr>
          <w:color w:val="auto"/>
          <w:highlight w:val="none"/>
        </w:rPr>
      </w:pPr>
    </w:p>
    <w:p w14:paraId="6A80C437">
      <w:pPr>
        <w:rPr>
          <w:color w:val="auto"/>
          <w:highlight w:val="none"/>
        </w:rPr>
      </w:pPr>
    </w:p>
    <w:p w14:paraId="16C11033">
      <w:pPr>
        <w:rPr>
          <w:color w:val="auto"/>
          <w:highlight w:val="none"/>
        </w:rPr>
      </w:pPr>
    </w:p>
    <w:p w14:paraId="675FDE4A">
      <w:pPr>
        <w:rPr>
          <w:color w:val="auto"/>
          <w:highlight w:val="none"/>
        </w:rPr>
      </w:pPr>
    </w:p>
    <w:p w14:paraId="286B5838">
      <w:pPr>
        <w:rPr>
          <w:color w:val="auto"/>
          <w:highlight w:val="none"/>
        </w:rPr>
      </w:pPr>
    </w:p>
    <w:p w14:paraId="736210BA">
      <w:pPr>
        <w:rPr>
          <w:color w:val="auto"/>
          <w:highlight w:val="none"/>
        </w:rPr>
      </w:pPr>
    </w:p>
    <w:p w14:paraId="373D54F2">
      <w:pPr>
        <w:rPr>
          <w:color w:val="auto"/>
          <w:highlight w:val="none"/>
        </w:rPr>
      </w:pPr>
    </w:p>
    <w:p w14:paraId="7DC6263C">
      <w:pPr>
        <w:rPr>
          <w:color w:val="auto"/>
          <w:highlight w:val="none"/>
        </w:rPr>
      </w:pPr>
    </w:p>
    <w:p w14:paraId="1B463E7F">
      <w:pPr>
        <w:rPr>
          <w:color w:val="auto"/>
          <w:highlight w:val="none"/>
        </w:rPr>
      </w:pPr>
    </w:p>
    <w:p w14:paraId="3A0376C9">
      <w:pPr>
        <w:rPr>
          <w:color w:val="auto"/>
          <w:highlight w:val="none"/>
        </w:rPr>
      </w:pPr>
    </w:p>
    <w:p w14:paraId="313944F5">
      <w:pPr>
        <w:rPr>
          <w:color w:val="auto"/>
          <w:highlight w:val="none"/>
        </w:rPr>
      </w:pPr>
    </w:p>
    <w:p w14:paraId="1C45996B">
      <w:pPr>
        <w:rPr>
          <w:color w:val="auto"/>
          <w:highlight w:val="none"/>
        </w:rPr>
      </w:pPr>
    </w:p>
    <w:p w14:paraId="0101EF1A">
      <w:pPr>
        <w:rPr>
          <w:color w:val="auto"/>
          <w:highlight w:val="none"/>
        </w:rPr>
      </w:pPr>
    </w:p>
    <w:p w14:paraId="5FB3A554">
      <w:pPr>
        <w:rPr>
          <w:color w:val="auto"/>
          <w:highlight w:val="none"/>
        </w:rPr>
      </w:pPr>
    </w:p>
    <w:p w14:paraId="3F1B9A01">
      <w:pPr>
        <w:rPr>
          <w:color w:val="auto"/>
          <w:highlight w:val="none"/>
        </w:rPr>
      </w:pPr>
    </w:p>
    <w:p w14:paraId="0478B63C">
      <w:pPr>
        <w:spacing w:line="360" w:lineRule="auto"/>
        <w:outlineLvl w:val="2"/>
        <w:rPr>
          <w:color w:val="auto"/>
          <w:sz w:val="24"/>
          <w:szCs w:val="20"/>
          <w:highlight w:val="none"/>
        </w:rPr>
      </w:pPr>
    </w:p>
    <w:p w14:paraId="411335B8">
      <w:pPr>
        <w:spacing w:line="360" w:lineRule="auto"/>
        <w:outlineLvl w:val="2"/>
        <w:rPr>
          <w:color w:val="auto"/>
          <w:sz w:val="24"/>
          <w:szCs w:val="20"/>
          <w:highlight w:val="none"/>
        </w:rPr>
      </w:pPr>
      <w:r>
        <w:rPr>
          <w:rFonts w:hint="eastAsia"/>
          <w:color w:val="auto"/>
          <w:sz w:val="24"/>
          <w:szCs w:val="20"/>
          <w:highlight w:val="none"/>
        </w:rPr>
        <w:t>1</w:t>
      </w:r>
      <w:r>
        <w:rPr>
          <w:rFonts w:hint="eastAsia"/>
          <w:color w:val="auto"/>
          <w:sz w:val="24"/>
          <w:szCs w:val="20"/>
          <w:highlight w:val="none"/>
          <w:lang w:val="en-US" w:eastAsia="zh-CN"/>
        </w:rPr>
        <w:t>1</w:t>
      </w:r>
      <w:r>
        <w:rPr>
          <w:rFonts w:hint="eastAsia"/>
          <w:color w:val="auto"/>
          <w:sz w:val="24"/>
          <w:szCs w:val="20"/>
          <w:highlight w:val="none"/>
        </w:rPr>
        <w:t xml:space="preserve">  </w:t>
      </w:r>
      <w:r>
        <w:rPr>
          <w:color w:val="auto"/>
          <w:sz w:val="24"/>
          <w:szCs w:val="20"/>
          <w:highlight w:val="none"/>
        </w:rPr>
        <w:t>招标文件要求提供或投标人认为应附的其他材料</w:t>
      </w:r>
    </w:p>
    <w:p w14:paraId="5CCA6A57">
      <w:pPr>
        <w:keepNext/>
        <w:keepLines/>
        <w:pageBreakBefore/>
        <w:widowControl w:val="0"/>
        <w:kinsoku/>
        <w:wordWrap/>
        <w:overflowPunct/>
        <w:topLinePunct w:val="0"/>
        <w:autoSpaceDE w:val="0"/>
        <w:autoSpaceDN w:val="0"/>
        <w:bidi w:val="0"/>
        <w:adjustRightInd w:val="0"/>
        <w:snapToGrid/>
        <w:spacing w:before="120" w:line="300" w:lineRule="auto"/>
        <w:jc w:val="center"/>
        <w:textAlignment w:val="auto"/>
        <w:outlineLvl w:val="1"/>
        <w:rPr>
          <w:rFonts w:ascii="黑体" w:hAnsi="黑体" w:eastAsia="黑体"/>
          <w:b/>
          <w:color w:val="auto"/>
          <w:spacing w:val="20"/>
          <w:sz w:val="32"/>
          <w:szCs w:val="32"/>
          <w:highlight w:val="none"/>
        </w:rPr>
      </w:pPr>
      <w:bookmarkStart w:id="914" w:name="OLE_LINK169"/>
      <w:r>
        <w:rPr>
          <w:rFonts w:hint="eastAsia" w:ascii="黑体" w:hAnsi="黑体" w:eastAsia="黑体"/>
          <w:b/>
          <w:color w:val="auto"/>
          <w:spacing w:val="20"/>
          <w:sz w:val="32"/>
          <w:szCs w:val="32"/>
          <w:highlight w:val="none"/>
        </w:rPr>
        <w:t>投标（响应）文件通用模版编制和评审要求</w:t>
      </w:r>
    </w:p>
    <w:p w14:paraId="3A43A038">
      <w:pPr>
        <w:spacing w:line="460" w:lineRule="exact"/>
        <w:rPr>
          <w:rFonts w:ascii="宋体" w:hAnsi="宋体"/>
          <w:bCs/>
          <w:color w:val="auto"/>
          <w:sz w:val="24"/>
          <w:highlight w:val="none"/>
        </w:rPr>
      </w:pPr>
      <w:r>
        <w:rPr>
          <w:rFonts w:hint="eastAsia" w:ascii="宋体" w:hAnsi="宋体"/>
          <w:b/>
          <w:color w:val="auto"/>
          <w:sz w:val="24"/>
          <w:highlight w:val="none"/>
        </w:rPr>
        <w:t>（</w:t>
      </w:r>
      <w:r>
        <w:rPr>
          <w:rFonts w:hint="eastAsia" w:ascii="宋体" w:hAnsi="宋体" w:cs="宋体"/>
          <w:b/>
          <w:bCs/>
          <w:color w:val="auto"/>
          <w:sz w:val="24"/>
          <w:highlight w:val="none"/>
        </w:rPr>
        <w:t>本表为</w:t>
      </w:r>
      <w:r>
        <w:rPr>
          <w:rFonts w:hint="eastAsia" w:ascii="宋体" w:hAnsi="宋体" w:cs="宋体"/>
          <w:b/>
          <w:bCs/>
          <w:color w:val="auto"/>
          <w:sz w:val="24"/>
          <w:highlight w:val="none"/>
          <w:u w:val="single"/>
        </w:rPr>
        <w:t>通用格式</w:t>
      </w:r>
      <w:r>
        <w:rPr>
          <w:rFonts w:hint="eastAsia" w:ascii="宋体" w:hAnsi="宋体" w:cs="宋体"/>
          <w:b/>
          <w:bCs/>
          <w:color w:val="auto"/>
          <w:sz w:val="24"/>
          <w:highlight w:val="none"/>
        </w:rPr>
        <w:t>，项目采购文件</w:t>
      </w:r>
      <w:r>
        <w:rPr>
          <w:rFonts w:hint="eastAsia" w:ascii="宋体" w:hAnsi="宋体" w:cs="宋体"/>
          <w:b/>
          <w:bCs/>
          <w:color w:val="auto"/>
          <w:sz w:val="24"/>
          <w:highlight w:val="none"/>
          <w:u w:val="single"/>
        </w:rPr>
        <w:t>可能会根据实际情况对栏目作出调整，投标人（供应商）按照制作工具显示的栏目编制即可</w:t>
      </w:r>
      <w:r>
        <w:rPr>
          <w:rFonts w:hint="eastAsia" w:ascii="宋体" w:hAnsi="宋体"/>
          <w:b/>
          <w:color w:val="auto"/>
          <w:sz w:val="24"/>
          <w:highlight w:val="none"/>
        </w:rPr>
        <w:t>）</w:t>
      </w:r>
    </w:p>
    <w:tbl>
      <w:tblPr>
        <w:tblStyle w:val="37"/>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9"/>
        <w:gridCol w:w="2946"/>
        <w:gridCol w:w="5321"/>
      </w:tblGrid>
      <w:tr w14:paraId="73E3A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1089" w:type="dxa"/>
            <w:noWrap w:val="0"/>
            <w:vAlign w:val="center"/>
          </w:tcPr>
          <w:p w14:paraId="5556B5FD">
            <w:pPr>
              <w:widowControl/>
              <w:jc w:val="center"/>
              <w:rPr>
                <w:rFonts w:ascii="宋体" w:hAnsi="宋体" w:cs="宋体"/>
                <w:b/>
                <w:bCs/>
                <w:color w:val="auto"/>
                <w:highlight w:val="none"/>
              </w:rPr>
            </w:pPr>
            <w:r>
              <w:rPr>
                <w:rFonts w:hint="eastAsia" w:ascii="宋体" w:hAnsi="宋体" w:cs="宋体"/>
                <w:b/>
                <w:bCs/>
                <w:color w:val="auto"/>
                <w:highlight w:val="none"/>
              </w:rPr>
              <w:t>类型</w:t>
            </w:r>
          </w:p>
        </w:tc>
        <w:tc>
          <w:tcPr>
            <w:tcW w:w="2946" w:type="dxa"/>
            <w:noWrap w:val="0"/>
            <w:vAlign w:val="center"/>
          </w:tcPr>
          <w:p w14:paraId="5FFDD6BA">
            <w:pPr>
              <w:widowControl/>
              <w:jc w:val="center"/>
              <w:rPr>
                <w:rFonts w:ascii="宋体" w:hAnsi="宋体" w:cs="宋体"/>
                <w:b/>
                <w:bCs/>
                <w:color w:val="auto"/>
                <w:highlight w:val="none"/>
              </w:rPr>
            </w:pPr>
            <w:r>
              <w:rPr>
                <w:rFonts w:hint="eastAsia" w:ascii="宋体" w:hAnsi="宋体" w:cs="宋体"/>
                <w:b/>
                <w:bCs/>
                <w:color w:val="auto"/>
                <w:highlight w:val="none"/>
              </w:rPr>
              <w:t>栏目名称</w:t>
            </w:r>
          </w:p>
        </w:tc>
        <w:tc>
          <w:tcPr>
            <w:tcW w:w="5321" w:type="dxa"/>
            <w:noWrap w:val="0"/>
            <w:vAlign w:val="center"/>
          </w:tcPr>
          <w:p w14:paraId="1DD1A683">
            <w:pPr>
              <w:widowControl/>
              <w:jc w:val="center"/>
              <w:rPr>
                <w:rFonts w:ascii="宋体" w:hAnsi="宋体" w:cs="宋体"/>
                <w:b/>
                <w:bCs/>
                <w:color w:val="auto"/>
                <w:highlight w:val="none"/>
              </w:rPr>
            </w:pPr>
            <w:r>
              <w:rPr>
                <w:rFonts w:hint="eastAsia" w:ascii="宋体" w:hAnsi="宋体" w:cs="宋体"/>
                <w:b/>
                <w:bCs/>
                <w:color w:val="auto"/>
                <w:highlight w:val="none"/>
              </w:rPr>
              <w:t>编制和评审要求</w:t>
            </w:r>
          </w:p>
        </w:tc>
      </w:tr>
      <w:tr w14:paraId="0F0A0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089" w:type="dxa"/>
            <w:noWrap w:val="0"/>
            <w:vAlign w:val="center"/>
          </w:tcPr>
          <w:p w14:paraId="5A3D04F7">
            <w:pPr>
              <w:widowControl/>
              <w:jc w:val="center"/>
              <w:rPr>
                <w:rFonts w:ascii="宋体" w:hAnsi="宋体" w:cs="宋体"/>
                <w:color w:val="auto"/>
                <w:highlight w:val="none"/>
              </w:rPr>
            </w:pPr>
            <w:r>
              <w:rPr>
                <w:rFonts w:hint="eastAsia" w:ascii="宋体" w:hAnsi="宋体" w:cs="宋体"/>
                <w:color w:val="auto"/>
                <w:highlight w:val="none"/>
              </w:rPr>
              <w:t>基本目录</w:t>
            </w:r>
          </w:p>
        </w:tc>
        <w:tc>
          <w:tcPr>
            <w:tcW w:w="2946" w:type="dxa"/>
            <w:noWrap w:val="0"/>
            <w:vAlign w:val="center"/>
          </w:tcPr>
          <w:p w14:paraId="15E4C79E">
            <w:pPr>
              <w:widowControl/>
              <w:jc w:val="center"/>
              <w:rPr>
                <w:rFonts w:ascii="宋体" w:hAnsi="宋体" w:cs="宋体"/>
                <w:color w:val="auto"/>
                <w:highlight w:val="none"/>
              </w:rPr>
            </w:pPr>
            <w:r>
              <w:rPr>
                <w:rFonts w:hint="eastAsia" w:ascii="宋体" w:hAnsi="宋体" w:cs="宋体"/>
                <w:color w:val="auto"/>
                <w:highlight w:val="none"/>
              </w:rPr>
              <w:t>投标（响应）文件封面</w:t>
            </w:r>
          </w:p>
        </w:tc>
        <w:tc>
          <w:tcPr>
            <w:tcW w:w="5321" w:type="dxa"/>
            <w:noWrap w:val="0"/>
            <w:vAlign w:val="center"/>
          </w:tcPr>
          <w:p w14:paraId="1C079437">
            <w:pPr>
              <w:widowControl/>
              <w:jc w:val="left"/>
              <w:rPr>
                <w:rFonts w:ascii="宋体" w:hAnsi="宋体" w:cs="宋体"/>
                <w:color w:val="auto"/>
                <w:highlight w:val="none"/>
              </w:rPr>
            </w:pPr>
            <w:r>
              <w:rPr>
                <w:rFonts w:hint="eastAsia" w:ascii="宋体" w:hAnsi="宋体" w:cs="宋体"/>
                <w:color w:val="auto"/>
                <w:highlight w:val="none"/>
              </w:rPr>
              <w:t>按照招标（采购）文件的规定格式。(格式见</w:t>
            </w:r>
            <w:r>
              <w:rPr>
                <w:rFonts w:hint="eastAsia" w:ascii="宋体" w:hAnsi="宋体" w:cs="宋体"/>
                <w:bCs/>
                <w:color w:val="auto"/>
                <w:highlight w:val="none"/>
              </w:rPr>
              <w:t>《投标（响应）文件格式》</w:t>
            </w:r>
            <w:r>
              <w:rPr>
                <w:rFonts w:hint="eastAsia" w:ascii="宋体" w:hAnsi="宋体" w:cs="宋体"/>
                <w:color w:val="auto"/>
                <w:highlight w:val="none"/>
              </w:rPr>
              <w:t>)</w:t>
            </w:r>
          </w:p>
        </w:tc>
      </w:tr>
      <w:tr w14:paraId="5D919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089" w:type="dxa"/>
            <w:noWrap w:val="0"/>
            <w:vAlign w:val="center"/>
          </w:tcPr>
          <w:p w14:paraId="56B6B485">
            <w:pPr>
              <w:widowControl/>
              <w:jc w:val="center"/>
              <w:rPr>
                <w:rFonts w:ascii="宋体" w:hAnsi="宋体" w:cs="宋体"/>
                <w:color w:val="auto"/>
                <w:highlight w:val="none"/>
              </w:rPr>
            </w:pPr>
            <w:r>
              <w:rPr>
                <w:rFonts w:hint="eastAsia" w:ascii="宋体" w:hAnsi="宋体" w:cs="宋体"/>
                <w:color w:val="auto"/>
                <w:highlight w:val="none"/>
              </w:rPr>
              <w:t>基本目录</w:t>
            </w:r>
          </w:p>
        </w:tc>
        <w:tc>
          <w:tcPr>
            <w:tcW w:w="2946" w:type="dxa"/>
            <w:noWrap w:val="0"/>
            <w:vAlign w:val="center"/>
          </w:tcPr>
          <w:p w14:paraId="75FBB3E5">
            <w:pPr>
              <w:widowControl/>
              <w:jc w:val="center"/>
              <w:rPr>
                <w:rFonts w:ascii="宋体" w:hAnsi="宋体" w:cs="宋体"/>
                <w:color w:val="auto"/>
                <w:highlight w:val="none"/>
              </w:rPr>
            </w:pPr>
            <w:r>
              <w:rPr>
                <w:rFonts w:hint="eastAsia" w:ascii="宋体" w:hAnsi="宋体" w:cs="宋体"/>
                <w:color w:val="auto"/>
                <w:highlight w:val="none"/>
              </w:rPr>
              <w:t>开标一览表（响应一览表）</w:t>
            </w:r>
          </w:p>
        </w:tc>
        <w:tc>
          <w:tcPr>
            <w:tcW w:w="5321" w:type="dxa"/>
            <w:noWrap w:val="0"/>
            <w:vAlign w:val="center"/>
          </w:tcPr>
          <w:p w14:paraId="50AA5362">
            <w:pPr>
              <w:widowControl/>
              <w:jc w:val="left"/>
              <w:rPr>
                <w:rFonts w:ascii="宋体" w:hAnsi="宋体" w:cs="宋体"/>
                <w:color w:val="auto"/>
                <w:highlight w:val="none"/>
              </w:rPr>
            </w:pPr>
            <w:r>
              <w:rPr>
                <w:rFonts w:hint="eastAsia" w:ascii="宋体" w:hAnsi="宋体" w:cs="宋体"/>
                <w:color w:val="auto"/>
                <w:highlight w:val="none"/>
              </w:rPr>
              <w:t>按照招标（采购）文件的规定格式提供</w:t>
            </w:r>
            <w:r>
              <w:rPr>
                <w:rFonts w:hint="eastAsia" w:ascii="宋体" w:hAnsi="宋体" w:cs="宋体"/>
                <w:b/>
                <w:bCs/>
                <w:color w:val="auto"/>
                <w:highlight w:val="none"/>
              </w:rPr>
              <w:t>《开标一览表（响应一览表）》</w:t>
            </w:r>
            <w:r>
              <w:rPr>
                <w:rFonts w:hint="eastAsia" w:ascii="宋体" w:hAnsi="宋体" w:cs="宋体"/>
                <w:color w:val="auto"/>
                <w:highlight w:val="none"/>
              </w:rPr>
              <w:t>。(格式见《投标（响应）文件格式》)</w:t>
            </w:r>
          </w:p>
        </w:tc>
      </w:tr>
      <w:tr w14:paraId="32F0E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089" w:type="dxa"/>
            <w:noWrap w:val="0"/>
            <w:vAlign w:val="center"/>
          </w:tcPr>
          <w:p w14:paraId="03B6B5AA">
            <w:pPr>
              <w:widowControl/>
              <w:jc w:val="center"/>
              <w:rPr>
                <w:rFonts w:ascii="宋体" w:hAnsi="宋体" w:cs="宋体"/>
                <w:color w:val="auto"/>
                <w:highlight w:val="none"/>
              </w:rPr>
            </w:pPr>
            <w:r>
              <w:rPr>
                <w:rFonts w:hint="eastAsia" w:ascii="宋体" w:hAnsi="宋体" w:cs="宋体"/>
                <w:color w:val="auto"/>
                <w:highlight w:val="none"/>
              </w:rPr>
              <w:t>基本目录</w:t>
            </w:r>
          </w:p>
        </w:tc>
        <w:tc>
          <w:tcPr>
            <w:tcW w:w="2946" w:type="dxa"/>
            <w:noWrap w:val="0"/>
            <w:vAlign w:val="center"/>
          </w:tcPr>
          <w:p w14:paraId="261A9676">
            <w:pPr>
              <w:widowControl/>
              <w:jc w:val="center"/>
              <w:rPr>
                <w:rFonts w:ascii="宋体" w:hAnsi="宋体" w:cs="宋体"/>
                <w:color w:val="auto"/>
                <w:highlight w:val="none"/>
              </w:rPr>
            </w:pPr>
            <w:r>
              <w:rPr>
                <w:rFonts w:hint="eastAsia" w:ascii="宋体" w:hAnsi="宋体" w:cs="宋体"/>
                <w:color w:val="auto"/>
                <w:highlight w:val="none"/>
              </w:rPr>
              <w:t>技术要求响应及偏离表</w:t>
            </w:r>
          </w:p>
        </w:tc>
        <w:tc>
          <w:tcPr>
            <w:tcW w:w="5321" w:type="dxa"/>
            <w:noWrap w:val="0"/>
            <w:vAlign w:val="center"/>
          </w:tcPr>
          <w:p w14:paraId="0F39F759">
            <w:pPr>
              <w:widowControl/>
              <w:jc w:val="left"/>
              <w:rPr>
                <w:rFonts w:ascii="宋体" w:hAnsi="宋体" w:cs="宋体"/>
                <w:color w:val="auto"/>
                <w:highlight w:val="none"/>
              </w:rPr>
            </w:pPr>
            <w:r>
              <w:rPr>
                <w:rFonts w:hint="eastAsia" w:ascii="宋体" w:hAnsi="宋体" w:cs="宋体"/>
                <w:color w:val="auto"/>
                <w:highlight w:val="none"/>
              </w:rPr>
              <w:t>按照招标（采购）文件的规定格式提供</w:t>
            </w:r>
            <w:r>
              <w:rPr>
                <w:rFonts w:hint="eastAsia" w:ascii="宋体" w:hAnsi="宋体" w:cs="宋体"/>
                <w:b/>
                <w:bCs/>
                <w:color w:val="auto"/>
                <w:highlight w:val="none"/>
              </w:rPr>
              <w:t>《技术要求响应及偏离表》</w:t>
            </w:r>
            <w:r>
              <w:rPr>
                <w:rFonts w:hint="eastAsia" w:ascii="宋体" w:hAnsi="宋体" w:cs="宋体"/>
                <w:color w:val="auto"/>
                <w:highlight w:val="none"/>
              </w:rPr>
              <w:t>。(格式见《投标（响应）文件格式》)</w:t>
            </w:r>
          </w:p>
        </w:tc>
      </w:tr>
      <w:tr w14:paraId="3E057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089" w:type="dxa"/>
            <w:noWrap w:val="0"/>
            <w:vAlign w:val="center"/>
          </w:tcPr>
          <w:p w14:paraId="5B3C99AC">
            <w:pPr>
              <w:widowControl/>
              <w:jc w:val="center"/>
              <w:rPr>
                <w:rFonts w:ascii="宋体" w:hAnsi="宋体" w:cs="宋体"/>
                <w:color w:val="auto"/>
                <w:highlight w:val="none"/>
              </w:rPr>
            </w:pPr>
            <w:r>
              <w:rPr>
                <w:rFonts w:hint="eastAsia" w:ascii="宋体" w:hAnsi="宋体" w:cs="宋体"/>
                <w:color w:val="auto"/>
                <w:highlight w:val="none"/>
              </w:rPr>
              <w:t>基本目录</w:t>
            </w:r>
          </w:p>
        </w:tc>
        <w:tc>
          <w:tcPr>
            <w:tcW w:w="2946" w:type="dxa"/>
            <w:noWrap w:val="0"/>
            <w:vAlign w:val="center"/>
          </w:tcPr>
          <w:p w14:paraId="14BA8EE7">
            <w:pPr>
              <w:widowControl/>
              <w:jc w:val="center"/>
              <w:rPr>
                <w:rFonts w:ascii="宋体" w:hAnsi="宋体" w:cs="宋体"/>
                <w:color w:val="auto"/>
                <w:highlight w:val="none"/>
              </w:rPr>
            </w:pPr>
            <w:r>
              <w:rPr>
                <w:rFonts w:hint="eastAsia" w:ascii="宋体" w:hAnsi="宋体" w:cs="宋体"/>
                <w:color w:val="auto"/>
                <w:highlight w:val="none"/>
              </w:rPr>
              <w:t>商务要求响应及偏离表</w:t>
            </w:r>
          </w:p>
        </w:tc>
        <w:tc>
          <w:tcPr>
            <w:tcW w:w="5321" w:type="dxa"/>
            <w:noWrap w:val="0"/>
            <w:vAlign w:val="center"/>
          </w:tcPr>
          <w:p w14:paraId="4597510E">
            <w:pPr>
              <w:widowControl/>
              <w:jc w:val="left"/>
              <w:rPr>
                <w:rFonts w:ascii="宋体" w:hAnsi="宋体" w:cs="宋体"/>
                <w:color w:val="auto"/>
                <w:highlight w:val="none"/>
              </w:rPr>
            </w:pPr>
            <w:r>
              <w:rPr>
                <w:rFonts w:hint="eastAsia" w:ascii="宋体" w:hAnsi="宋体" w:cs="宋体"/>
                <w:color w:val="auto"/>
                <w:highlight w:val="none"/>
              </w:rPr>
              <w:t>按照招标（采购）文件的规定格式提供</w:t>
            </w:r>
            <w:r>
              <w:rPr>
                <w:rFonts w:hint="eastAsia" w:ascii="宋体" w:hAnsi="宋体" w:cs="宋体"/>
                <w:b/>
                <w:bCs/>
                <w:color w:val="auto"/>
                <w:highlight w:val="none"/>
              </w:rPr>
              <w:t>《商务要求响应及偏离表》</w:t>
            </w:r>
            <w:r>
              <w:rPr>
                <w:rFonts w:hint="eastAsia" w:ascii="宋体" w:hAnsi="宋体" w:cs="宋体"/>
                <w:color w:val="auto"/>
                <w:highlight w:val="none"/>
              </w:rPr>
              <w:t>。(格式见《投标（响应）文件格式》)</w:t>
            </w:r>
          </w:p>
        </w:tc>
      </w:tr>
      <w:tr w14:paraId="41A84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089" w:type="dxa"/>
            <w:noWrap w:val="0"/>
            <w:vAlign w:val="center"/>
          </w:tcPr>
          <w:p w14:paraId="2CC5C52F">
            <w:pPr>
              <w:widowControl/>
              <w:jc w:val="center"/>
              <w:rPr>
                <w:rFonts w:ascii="宋体" w:hAnsi="宋体" w:cs="宋体"/>
                <w:color w:val="auto"/>
                <w:highlight w:val="none"/>
              </w:rPr>
            </w:pPr>
            <w:r>
              <w:rPr>
                <w:rFonts w:hint="eastAsia" w:ascii="宋体" w:hAnsi="宋体" w:cs="宋体"/>
                <w:color w:val="auto"/>
                <w:highlight w:val="none"/>
              </w:rPr>
              <w:t>基本目录</w:t>
            </w:r>
          </w:p>
        </w:tc>
        <w:tc>
          <w:tcPr>
            <w:tcW w:w="2946" w:type="dxa"/>
            <w:noWrap w:val="0"/>
            <w:vAlign w:val="center"/>
          </w:tcPr>
          <w:p w14:paraId="6BC09884">
            <w:pPr>
              <w:widowControl/>
              <w:jc w:val="center"/>
              <w:rPr>
                <w:rFonts w:ascii="宋体" w:hAnsi="宋体" w:cs="宋体"/>
                <w:color w:val="auto"/>
                <w:highlight w:val="none"/>
              </w:rPr>
            </w:pPr>
            <w:r>
              <w:rPr>
                <w:rFonts w:hint="eastAsia" w:ascii="宋体" w:hAnsi="宋体" w:cs="宋体"/>
                <w:color w:val="auto"/>
                <w:highlight w:val="none"/>
              </w:rPr>
              <w:t>项目完整技术和实施方案</w:t>
            </w:r>
          </w:p>
        </w:tc>
        <w:tc>
          <w:tcPr>
            <w:tcW w:w="5321" w:type="dxa"/>
            <w:noWrap w:val="0"/>
            <w:vAlign w:val="center"/>
          </w:tcPr>
          <w:p w14:paraId="40C1A362">
            <w:pPr>
              <w:widowControl/>
              <w:jc w:val="left"/>
              <w:rPr>
                <w:rFonts w:ascii="宋体" w:hAnsi="宋体" w:cs="宋体"/>
                <w:color w:val="auto"/>
                <w:highlight w:val="none"/>
              </w:rPr>
            </w:pPr>
            <w:r>
              <w:rPr>
                <w:rFonts w:hint="eastAsia" w:ascii="宋体" w:hAnsi="宋体" w:cs="宋体"/>
                <w:color w:val="auto"/>
                <w:highlight w:val="none"/>
              </w:rPr>
              <w:t>本项目的完整的技术和实施方案，包括但不限于：项目技术、组织、实施方案；项目管理方案；拟达到的标准，配备的人员、设备配置等；培训方案、技术支持等方案；优惠条款或承诺；其他。</w:t>
            </w:r>
          </w:p>
        </w:tc>
      </w:tr>
      <w:tr w14:paraId="616CF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89" w:type="dxa"/>
            <w:noWrap w:val="0"/>
            <w:vAlign w:val="center"/>
          </w:tcPr>
          <w:p w14:paraId="28291CAE">
            <w:pPr>
              <w:widowControl/>
              <w:jc w:val="center"/>
              <w:rPr>
                <w:rFonts w:ascii="宋体" w:hAnsi="宋体" w:cs="宋体"/>
                <w:color w:val="auto"/>
                <w:highlight w:val="none"/>
              </w:rPr>
            </w:pPr>
            <w:r>
              <w:rPr>
                <w:rFonts w:hint="eastAsia" w:ascii="宋体" w:hAnsi="宋体" w:cs="宋体"/>
                <w:color w:val="auto"/>
                <w:highlight w:val="none"/>
              </w:rPr>
              <w:t>　</w:t>
            </w:r>
          </w:p>
        </w:tc>
        <w:tc>
          <w:tcPr>
            <w:tcW w:w="2946" w:type="dxa"/>
            <w:noWrap w:val="0"/>
            <w:vAlign w:val="center"/>
          </w:tcPr>
          <w:p w14:paraId="0B023906">
            <w:pPr>
              <w:widowControl/>
              <w:jc w:val="center"/>
              <w:rPr>
                <w:rFonts w:ascii="宋体" w:hAnsi="宋体" w:cs="宋体"/>
                <w:color w:val="auto"/>
                <w:highlight w:val="none"/>
              </w:rPr>
            </w:pPr>
            <w:r>
              <w:rPr>
                <w:rFonts w:hint="eastAsia" w:ascii="宋体" w:hAnsi="宋体" w:cs="宋体"/>
                <w:color w:val="auto"/>
                <w:highlight w:val="none"/>
              </w:rPr>
              <w:t>　</w:t>
            </w:r>
          </w:p>
        </w:tc>
        <w:tc>
          <w:tcPr>
            <w:tcW w:w="5321" w:type="dxa"/>
            <w:noWrap w:val="0"/>
            <w:vAlign w:val="center"/>
          </w:tcPr>
          <w:p w14:paraId="2927CD2D">
            <w:pPr>
              <w:widowControl/>
              <w:jc w:val="center"/>
              <w:rPr>
                <w:rFonts w:ascii="宋体" w:hAnsi="宋体" w:cs="宋体"/>
                <w:color w:val="auto"/>
                <w:highlight w:val="none"/>
              </w:rPr>
            </w:pPr>
            <w:r>
              <w:rPr>
                <w:rFonts w:hint="eastAsia" w:ascii="宋体" w:hAnsi="宋体" w:cs="宋体"/>
                <w:color w:val="auto"/>
                <w:highlight w:val="none"/>
              </w:rPr>
              <w:t>　</w:t>
            </w:r>
          </w:p>
        </w:tc>
      </w:tr>
      <w:tr w14:paraId="4E877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089" w:type="dxa"/>
            <w:shd w:val="clear" w:color="000000" w:fill="FAFAFA"/>
            <w:noWrap w:val="0"/>
            <w:vAlign w:val="center"/>
          </w:tcPr>
          <w:p w14:paraId="531EBE24">
            <w:pPr>
              <w:widowControl/>
              <w:jc w:val="center"/>
              <w:rPr>
                <w:rFonts w:ascii="宋体" w:hAnsi="宋体" w:cs="宋体"/>
                <w:color w:val="auto"/>
                <w:highlight w:val="none"/>
              </w:rPr>
            </w:pPr>
            <w:r>
              <w:rPr>
                <w:rFonts w:hint="eastAsia" w:ascii="宋体" w:hAnsi="宋体" w:cs="宋体"/>
                <w:color w:val="auto"/>
                <w:highlight w:val="none"/>
              </w:rPr>
              <w:t>资格审查</w:t>
            </w:r>
          </w:p>
        </w:tc>
        <w:tc>
          <w:tcPr>
            <w:tcW w:w="2946" w:type="dxa"/>
            <w:shd w:val="clear" w:color="000000" w:fill="FAFAFA"/>
            <w:noWrap w:val="0"/>
            <w:vAlign w:val="center"/>
          </w:tcPr>
          <w:p w14:paraId="47720093">
            <w:pPr>
              <w:widowControl/>
              <w:jc w:val="center"/>
              <w:rPr>
                <w:rFonts w:ascii="宋体" w:hAnsi="宋体" w:cs="宋体"/>
                <w:color w:val="auto"/>
                <w:highlight w:val="none"/>
              </w:rPr>
            </w:pPr>
            <w:r>
              <w:rPr>
                <w:rFonts w:hint="eastAsia" w:ascii="宋体" w:hAnsi="宋体" w:cs="宋体"/>
                <w:color w:val="auto"/>
                <w:highlight w:val="none"/>
              </w:rPr>
              <w:t>投标人（供应商）资格声明函</w:t>
            </w:r>
          </w:p>
        </w:tc>
        <w:tc>
          <w:tcPr>
            <w:tcW w:w="5321" w:type="dxa"/>
            <w:shd w:val="clear" w:color="000000" w:fill="FAFAFA"/>
            <w:noWrap w:val="0"/>
            <w:vAlign w:val="center"/>
          </w:tcPr>
          <w:p w14:paraId="4CB0880E">
            <w:pPr>
              <w:widowControl/>
              <w:jc w:val="center"/>
              <w:rPr>
                <w:rFonts w:ascii="宋体" w:hAnsi="宋体" w:cs="宋体"/>
                <w:color w:val="auto"/>
                <w:highlight w:val="none"/>
              </w:rPr>
            </w:pPr>
            <w:r>
              <w:rPr>
                <w:rFonts w:hint="eastAsia" w:ascii="宋体" w:hAnsi="宋体" w:cs="宋体"/>
                <w:color w:val="auto"/>
                <w:highlight w:val="none"/>
              </w:rPr>
              <w:t>提供符合招标（采购）文件要求的</w:t>
            </w:r>
            <w:r>
              <w:rPr>
                <w:rFonts w:hint="eastAsia" w:ascii="宋体" w:hAnsi="宋体" w:cs="宋体"/>
                <w:b/>
                <w:bCs/>
                <w:color w:val="auto"/>
                <w:highlight w:val="none"/>
              </w:rPr>
              <w:t>《投标人（供应商）资格声明函》</w:t>
            </w:r>
            <w:r>
              <w:rPr>
                <w:rFonts w:hint="eastAsia" w:ascii="宋体" w:hAnsi="宋体" w:cs="宋体"/>
                <w:color w:val="auto"/>
                <w:highlight w:val="none"/>
              </w:rPr>
              <w:t>。(格式见《投标（响应）文件格式》)</w:t>
            </w:r>
          </w:p>
        </w:tc>
      </w:tr>
      <w:tr w14:paraId="1A20D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0" w:hRule="atLeast"/>
        </w:trPr>
        <w:tc>
          <w:tcPr>
            <w:tcW w:w="1089" w:type="dxa"/>
            <w:shd w:val="clear" w:color="000000" w:fill="FAFAFA"/>
            <w:noWrap w:val="0"/>
            <w:vAlign w:val="center"/>
          </w:tcPr>
          <w:p w14:paraId="3E22C4E6">
            <w:pPr>
              <w:widowControl/>
              <w:jc w:val="center"/>
              <w:rPr>
                <w:rFonts w:ascii="宋体" w:hAnsi="宋体" w:cs="宋体"/>
                <w:color w:val="auto"/>
                <w:highlight w:val="none"/>
              </w:rPr>
            </w:pPr>
            <w:r>
              <w:rPr>
                <w:rFonts w:hint="eastAsia" w:ascii="宋体" w:hAnsi="宋体" w:cs="宋体"/>
                <w:color w:val="auto"/>
                <w:highlight w:val="none"/>
              </w:rPr>
              <w:t>资格审查</w:t>
            </w:r>
          </w:p>
        </w:tc>
        <w:tc>
          <w:tcPr>
            <w:tcW w:w="2946" w:type="dxa"/>
            <w:shd w:val="clear" w:color="000000" w:fill="FAFAFA"/>
            <w:noWrap w:val="0"/>
            <w:vAlign w:val="center"/>
          </w:tcPr>
          <w:p w14:paraId="0D5D38C9">
            <w:pPr>
              <w:jc w:val="center"/>
              <w:rPr>
                <w:rFonts w:ascii="宋体" w:hAnsi="宋体" w:cs="宋体"/>
                <w:color w:val="auto"/>
                <w:sz w:val="24"/>
                <w:highlight w:val="none"/>
              </w:rPr>
            </w:pPr>
            <w:r>
              <w:rPr>
                <w:rFonts w:hint="eastAsia" w:ascii="宋体" w:hAnsi="宋体" w:cs="宋体"/>
                <w:color w:val="auto"/>
                <w:highlight w:val="none"/>
              </w:rPr>
              <w:t>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p>
        </w:tc>
        <w:tc>
          <w:tcPr>
            <w:tcW w:w="5321" w:type="dxa"/>
            <w:shd w:val="clear" w:color="000000" w:fill="FAFAFA"/>
            <w:noWrap w:val="0"/>
            <w:vAlign w:val="center"/>
          </w:tcPr>
          <w:p w14:paraId="2B721FFD">
            <w:pPr>
              <w:widowControl/>
              <w:jc w:val="left"/>
              <w:rPr>
                <w:rFonts w:ascii="宋体" w:hAnsi="宋体" w:cs="宋体"/>
                <w:color w:val="auto"/>
                <w:highlight w:val="none"/>
              </w:rPr>
            </w:pPr>
            <w:r>
              <w:rPr>
                <w:rFonts w:hint="eastAsia" w:ascii="宋体" w:hAnsi="宋体" w:cs="宋体"/>
                <w:color w:val="auto"/>
                <w:highlight w:val="none"/>
              </w:rPr>
              <w:t>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p>
        </w:tc>
      </w:tr>
      <w:tr w14:paraId="0714E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1089" w:type="dxa"/>
            <w:shd w:val="clear" w:color="000000" w:fill="FFFF00"/>
            <w:noWrap w:val="0"/>
            <w:vAlign w:val="center"/>
          </w:tcPr>
          <w:p w14:paraId="0EF37FA3">
            <w:pPr>
              <w:widowControl/>
              <w:jc w:val="center"/>
              <w:rPr>
                <w:rFonts w:ascii="宋体" w:hAnsi="宋体" w:cs="宋体"/>
                <w:color w:val="auto"/>
                <w:highlight w:val="none"/>
              </w:rPr>
            </w:pPr>
            <w:r>
              <w:rPr>
                <w:rFonts w:hint="eastAsia" w:ascii="宋体" w:hAnsi="宋体" w:cs="宋体"/>
                <w:color w:val="auto"/>
                <w:highlight w:val="none"/>
              </w:rPr>
              <w:t>资格审查</w:t>
            </w:r>
          </w:p>
        </w:tc>
        <w:tc>
          <w:tcPr>
            <w:tcW w:w="2946" w:type="dxa"/>
            <w:shd w:val="clear" w:color="000000" w:fill="FFFF00"/>
            <w:noWrap w:val="0"/>
            <w:vAlign w:val="center"/>
          </w:tcPr>
          <w:p w14:paraId="4328E9D1">
            <w:pPr>
              <w:jc w:val="center"/>
              <w:rPr>
                <w:rFonts w:ascii="宋体" w:hAnsi="宋体" w:cs="宋体"/>
                <w:color w:val="auto"/>
                <w:sz w:val="24"/>
                <w:highlight w:val="none"/>
              </w:rPr>
            </w:pPr>
            <w:r>
              <w:rPr>
                <w:rFonts w:hint="eastAsia" w:ascii="宋体" w:hAnsi="宋体" w:cs="宋体"/>
                <w:color w:val="auto"/>
                <w:highlight w:val="none"/>
              </w:rPr>
              <w:t>中小企业声明函等</w:t>
            </w:r>
          </w:p>
        </w:tc>
        <w:tc>
          <w:tcPr>
            <w:tcW w:w="5321" w:type="dxa"/>
            <w:shd w:val="clear" w:color="000000" w:fill="FFFF00"/>
            <w:noWrap w:val="0"/>
            <w:vAlign w:val="center"/>
          </w:tcPr>
          <w:p w14:paraId="327E3D9C">
            <w:pPr>
              <w:widowControl/>
              <w:jc w:val="left"/>
              <w:rPr>
                <w:rFonts w:ascii="宋体" w:hAnsi="宋体" w:cs="宋体"/>
                <w:color w:val="auto"/>
                <w:highlight w:val="none"/>
              </w:rPr>
            </w:pPr>
            <w:r>
              <w:rPr>
                <w:rFonts w:hint="eastAsia" w:ascii="宋体" w:hAnsi="宋体" w:cs="宋体"/>
                <w:color w:val="auto"/>
                <w:highlight w:val="none"/>
              </w:rPr>
              <w:t>提供符合招标（采购）文件要求的</w:t>
            </w:r>
            <w:r>
              <w:rPr>
                <w:rFonts w:hint="eastAsia" w:ascii="宋体" w:hAnsi="宋体" w:cs="宋体"/>
                <w:b/>
                <w:bCs/>
                <w:color w:val="auto"/>
                <w:highlight w:val="none"/>
              </w:rPr>
              <w:t>《中小企业声明函》或者《残疾人福利性单位声明函》或者监狱企业证明文件</w:t>
            </w:r>
            <w:r>
              <w:rPr>
                <w:rFonts w:hint="eastAsia" w:ascii="宋体" w:hAnsi="宋体" w:cs="宋体"/>
                <w:color w:val="auto"/>
                <w:highlight w:val="none"/>
              </w:rPr>
              <w:t>。(格式见《投标（响应）文件格式》)</w:t>
            </w:r>
            <w:r>
              <w:rPr>
                <w:rFonts w:hint="eastAsia" w:ascii="宋体" w:hAnsi="宋体" w:cs="宋体"/>
                <w:b/>
                <w:bCs/>
                <w:color w:val="auto"/>
                <w:highlight w:val="none"/>
              </w:rPr>
              <w:t>（如是属于非专门面向中小企业预留份额的项目，该项删除，无需提供）</w:t>
            </w:r>
          </w:p>
        </w:tc>
      </w:tr>
      <w:tr w14:paraId="1505C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089" w:type="dxa"/>
            <w:shd w:val="clear" w:color="000000" w:fill="FAFAFA"/>
            <w:noWrap w:val="0"/>
            <w:vAlign w:val="center"/>
          </w:tcPr>
          <w:p w14:paraId="386AB4B7">
            <w:pPr>
              <w:widowControl/>
              <w:jc w:val="center"/>
              <w:rPr>
                <w:rFonts w:ascii="宋体" w:hAnsi="宋体" w:cs="宋体"/>
                <w:color w:val="auto"/>
                <w:highlight w:val="none"/>
              </w:rPr>
            </w:pPr>
            <w:r>
              <w:rPr>
                <w:rFonts w:hint="eastAsia" w:ascii="宋体" w:hAnsi="宋体" w:cs="宋体"/>
                <w:color w:val="auto"/>
                <w:highlight w:val="none"/>
              </w:rPr>
              <w:t>资格审查</w:t>
            </w:r>
          </w:p>
        </w:tc>
        <w:tc>
          <w:tcPr>
            <w:tcW w:w="2946" w:type="dxa"/>
            <w:shd w:val="clear" w:color="000000" w:fill="FAFAFA"/>
            <w:noWrap w:val="0"/>
            <w:vAlign w:val="center"/>
          </w:tcPr>
          <w:p w14:paraId="1B3FB50E">
            <w:pPr>
              <w:widowControl/>
              <w:jc w:val="center"/>
              <w:rPr>
                <w:rFonts w:ascii="宋体" w:hAnsi="宋体" w:cs="宋体"/>
                <w:color w:val="auto"/>
                <w:highlight w:val="none"/>
              </w:rPr>
            </w:pPr>
            <w:r>
              <w:rPr>
                <w:rFonts w:hint="eastAsia" w:ascii="宋体" w:hAnsi="宋体" w:cs="宋体"/>
                <w:color w:val="auto"/>
                <w:highlight w:val="none"/>
              </w:rPr>
              <w:t>其他落实政府采购政策的资格要求</w:t>
            </w:r>
          </w:p>
        </w:tc>
        <w:tc>
          <w:tcPr>
            <w:tcW w:w="5321" w:type="dxa"/>
            <w:noWrap w:val="0"/>
            <w:vAlign w:val="center"/>
          </w:tcPr>
          <w:p w14:paraId="4388C780">
            <w:pPr>
              <w:widowControl/>
              <w:jc w:val="left"/>
              <w:rPr>
                <w:rFonts w:ascii="宋体" w:hAnsi="宋体" w:cs="宋体"/>
                <w:color w:val="auto"/>
                <w:highlight w:val="none"/>
              </w:rPr>
            </w:pPr>
            <w:r>
              <w:rPr>
                <w:rFonts w:hint="eastAsia" w:ascii="宋体" w:hAnsi="宋体" w:cs="宋体"/>
                <w:color w:val="auto"/>
                <w:highlight w:val="none"/>
              </w:rPr>
              <w:t>如有的提供，否则无需提供。详见第一章《投标（竞谈、磋商、询价）邀请》相关要求。</w:t>
            </w:r>
          </w:p>
        </w:tc>
      </w:tr>
      <w:tr w14:paraId="27D22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089" w:type="dxa"/>
            <w:noWrap w:val="0"/>
            <w:vAlign w:val="center"/>
          </w:tcPr>
          <w:p w14:paraId="03E35327">
            <w:pPr>
              <w:widowControl/>
              <w:jc w:val="center"/>
              <w:rPr>
                <w:rFonts w:ascii="宋体" w:hAnsi="宋体" w:cs="宋体"/>
                <w:color w:val="auto"/>
                <w:highlight w:val="none"/>
              </w:rPr>
            </w:pPr>
            <w:r>
              <w:rPr>
                <w:rFonts w:hint="eastAsia" w:ascii="宋体" w:hAnsi="宋体" w:cs="宋体"/>
                <w:color w:val="auto"/>
                <w:highlight w:val="none"/>
              </w:rPr>
              <w:t>资格审查</w:t>
            </w:r>
          </w:p>
        </w:tc>
        <w:tc>
          <w:tcPr>
            <w:tcW w:w="2946" w:type="dxa"/>
            <w:noWrap w:val="0"/>
            <w:vAlign w:val="center"/>
          </w:tcPr>
          <w:p w14:paraId="59A66269">
            <w:pPr>
              <w:widowControl/>
              <w:jc w:val="center"/>
              <w:rPr>
                <w:rFonts w:ascii="宋体" w:hAnsi="宋体" w:cs="宋体"/>
                <w:color w:val="auto"/>
                <w:highlight w:val="none"/>
              </w:rPr>
            </w:pPr>
            <w:r>
              <w:rPr>
                <w:rFonts w:hint="eastAsia" w:ascii="宋体" w:hAnsi="宋体" w:cs="宋体"/>
                <w:color w:val="auto"/>
                <w:highlight w:val="none"/>
              </w:rPr>
              <w:t>是否接受联合体投标（响应）</w:t>
            </w:r>
          </w:p>
        </w:tc>
        <w:tc>
          <w:tcPr>
            <w:tcW w:w="5321" w:type="dxa"/>
            <w:noWrap w:val="0"/>
            <w:vAlign w:val="center"/>
          </w:tcPr>
          <w:p w14:paraId="51198D03">
            <w:pPr>
              <w:widowControl/>
              <w:jc w:val="left"/>
              <w:rPr>
                <w:rFonts w:ascii="宋体" w:hAnsi="宋体" w:cs="宋体"/>
                <w:color w:val="auto"/>
                <w:highlight w:val="none"/>
              </w:rPr>
            </w:pPr>
            <w:r>
              <w:rPr>
                <w:rFonts w:hint="eastAsia" w:ascii="宋体" w:hAnsi="宋体" w:cs="宋体"/>
                <w:color w:val="auto"/>
                <w:highlight w:val="none"/>
              </w:rPr>
              <w:t>如是接受联合体投标（响应），且投标人（供应商）组成联合体投标（响应）的必须提供</w:t>
            </w:r>
            <w:r>
              <w:rPr>
                <w:rFonts w:hint="eastAsia" w:ascii="宋体" w:hAnsi="宋体" w:cs="宋体"/>
                <w:b/>
                <w:bCs/>
                <w:color w:val="auto"/>
                <w:highlight w:val="none"/>
              </w:rPr>
              <w:t>《联合体协议》</w:t>
            </w:r>
            <w:r>
              <w:rPr>
                <w:rFonts w:hint="eastAsia" w:ascii="宋体" w:hAnsi="宋体" w:cs="宋体"/>
                <w:color w:val="auto"/>
                <w:highlight w:val="none"/>
              </w:rPr>
              <w:t>原件的电子件，格式见《投标（响应）文件格式》)，否则无需提供。</w:t>
            </w:r>
          </w:p>
        </w:tc>
      </w:tr>
      <w:tr w14:paraId="2FA65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089" w:type="dxa"/>
            <w:shd w:val="clear" w:color="000000" w:fill="FAFAFA"/>
            <w:noWrap w:val="0"/>
            <w:vAlign w:val="center"/>
          </w:tcPr>
          <w:p w14:paraId="6D97D703">
            <w:pPr>
              <w:widowControl/>
              <w:jc w:val="center"/>
              <w:rPr>
                <w:rFonts w:ascii="宋体" w:hAnsi="宋体" w:cs="宋体"/>
                <w:color w:val="auto"/>
                <w:highlight w:val="none"/>
              </w:rPr>
            </w:pPr>
            <w:r>
              <w:rPr>
                <w:rFonts w:hint="eastAsia" w:ascii="宋体" w:hAnsi="宋体" w:cs="宋体"/>
                <w:color w:val="auto"/>
                <w:highlight w:val="none"/>
              </w:rPr>
              <w:t>资格审查</w:t>
            </w:r>
          </w:p>
        </w:tc>
        <w:tc>
          <w:tcPr>
            <w:tcW w:w="2946" w:type="dxa"/>
            <w:shd w:val="clear" w:color="000000" w:fill="FAFAFA"/>
            <w:noWrap w:val="0"/>
            <w:vAlign w:val="center"/>
          </w:tcPr>
          <w:p w14:paraId="12631D2F">
            <w:pPr>
              <w:widowControl/>
              <w:jc w:val="center"/>
              <w:rPr>
                <w:rFonts w:ascii="宋体" w:hAnsi="宋体" w:cs="宋体"/>
                <w:color w:val="auto"/>
                <w:highlight w:val="none"/>
              </w:rPr>
            </w:pPr>
            <w:r>
              <w:rPr>
                <w:rFonts w:hint="eastAsia" w:ascii="宋体" w:hAnsi="宋体" w:cs="宋体"/>
                <w:color w:val="auto"/>
                <w:highlight w:val="none"/>
              </w:rPr>
              <w:t>本项目的特定资格要求</w:t>
            </w:r>
          </w:p>
        </w:tc>
        <w:tc>
          <w:tcPr>
            <w:tcW w:w="5321" w:type="dxa"/>
            <w:shd w:val="clear" w:color="000000" w:fill="FAFAFA"/>
            <w:noWrap w:val="0"/>
            <w:vAlign w:val="center"/>
          </w:tcPr>
          <w:p w14:paraId="19854F6E">
            <w:pPr>
              <w:widowControl/>
              <w:jc w:val="left"/>
              <w:rPr>
                <w:rFonts w:ascii="宋体" w:hAnsi="宋体" w:cs="宋体"/>
                <w:color w:val="auto"/>
                <w:highlight w:val="none"/>
              </w:rPr>
            </w:pPr>
            <w:r>
              <w:rPr>
                <w:rFonts w:hint="eastAsia" w:ascii="宋体" w:hAnsi="宋体" w:cs="宋体"/>
                <w:color w:val="auto"/>
                <w:highlight w:val="none"/>
              </w:rPr>
              <w:t>如有特定资格要求的提供，详见第一章《投标（竞谈、磋商、询价）邀请》本项目的特定资格要求中规定要求提供的证明文件或材料，否则无需提供。</w:t>
            </w:r>
          </w:p>
        </w:tc>
      </w:tr>
      <w:tr w14:paraId="34EDE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89" w:type="dxa"/>
            <w:noWrap w:val="0"/>
            <w:vAlign w:val="center"/>
          </w:tcPr>
          <w:p w14:paraId="1BF1C55D">
            <w:pPr>
              <w:widowControl/>
              <w:jc w:val="center"/>
              <w:rPr>
                <w:rFonts w:ascii="宋体" w:hAnsi="宋体" w:cs="宋体"/>
                <w:color w:val="auto"/>
                <w:highlight w:val="none"/>
              </w:rPr>
            </w:pPr>
            <w:r>
              <w:rPr>
                <w:rFonts w:hint="eastAsia" w:ascii="宋体" w:hAnsi="宋体" w:cs="宋体"/>
                <w:color w:val="auto"/>
                <w:highlight w:val="none"/>
              </w:rPr>
              <w:t>　</w:t>
            </w:r>
          </w:p>
        </w:tc>
        <w:tc>
          <w:tcPr>
            <w:tcW w:w="2946" w:type="dxa"/>
            <w:noWrap w:val="0"/>
            <w:vAlign w:val="center"/>
          </w:tcPr>
          <w:p w14:paraId="4399F7BF">
            <w:pPr>
              <w:widowControl/>
              <w:jc w:val="center"/>
              <w:rPr>
                <w:rFonts w:ascii="宋体" w:hAnsi="宋体" w:cs="宋体"/>
                <w:color w:val="auto"/>
                <w:highlight w:val="none"/>
              </w:rPr>
            </w:pPr>
            <w:r>
              <w:rPr>
                <w:rFonts w:hint="eastAsia" w:ascii="宋体" w:hAnsi="宋体" w:cs="宋体"/>
                <w:color w:val="auto"/>
                <w:highlight w:val="none"/>
              </w:rPr>
              <w:t>　</w:t>
            </w:r>
          </w:p>
        </w:tc>
        <w:tc>
          <w:tcPr>
            <w:tcW w:w="5321" w:type="dxa"/>
            <w:noWrap w:val="0"/>
            <w:vAlign w:val="center"/>
          </w:tcPr>
          <w:p w14:paraId="707BC167">
            <w:pPr>
              <w:widowControl/>
              <w:jc w:val="left"/>
              <w:rPr>
                <w:rFonts w:ascii="宋体" w:hAnsi="宋体" w:cs="宋体"/>
                <w:color w:val="auto"/>
                <w:highlight w:val="none"/>
              </w:rPr>
            </w:pPr>
            <w:r>
              <w:rPr>
                <w:rFonts w:hint="eastAsia" w:ascii="宋体" w:hAnsi="宋体" w:cs="宋体"/>
                <w:color w:val="auto"/>
                <w:highlight w:val="none"/>
              </w:rPr>
              <w:t>　</w:t>
            </w:r>
          </w:p>
        </w:tc>
      </w:tr>
      <w:tr w14:paraId="0CD92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089" w:type="dxa"/>
            <w:noWrap w:val="0"/>
            <w:vAlign w:val="center"/>
          </w:tcPr>
          <w:p w14:paraId="116DD7AE">
            <w:pPr>
              <w:widowControl/>
              <w:jc w:val="center"/>
              <w:rPr>
                <w:rFonts w:ascii="宋体" w:hAnsi="宋体" w:cs="宋体"/>
                <w:color w:val="auto"/>
                <w:highlight w:val="none"/>
              </w:rPr>
            </w:pPr>
            <w:r>
              <w:rPr>
                <w:rFonts w:hint="eastAsia" w:ascii="宋体" w:hAnsi="宋体" w:cs="宋体"/>
                <w:color w:val="auto"/>
                <w:highlight w:val="none"/>
              </w:rPr>
              <w:t>符合性审查</w:t>
            </w:r>
          </w:p>
        </w:tc>
        <w:tc>
          <w:tcPr>
            <w:tcW w:w="2946" w:type="dxa"/>
            <w:noWrap w:val="0"/>
            <w:vAlign w:val="center"/>
          </w:tcPr>
          <w:p w14:paraId="7E97E224">
            <w:pPr>
              <w:widowControl/>
              <w:jc w:val="center"/>
              <w:rPr>
                <w:rFonts w:ascii="宋体" w:hAnsi="宋体" w:cs="宋体"/>
                <w:color w:val="auto"/>
                <w:highlight w:val="none"/>
              </w:rPr>
            </w:pPr>
            <w:r>
              <w:rPr>
                <w:rFonts w:hint="eastAsia" w:ascii="宋体" w:hAnsi="宋体" w:cs="宋体"/>
                <w:color w:val="auto"/>
                <w:highlight w:val="none"/>
              </w:rPr>
              <w:t>法人授权书、投标（响应）函</w:t>
            </w:r>
          </w:p>
        </w:tc>
        <w:tc>
          <w:tcPr>
            <w:tcW w:w="5321" w:type="dxa"/>
            <w:noWrap w:val="0"/>
            <w:vAlign w:val="center"/>
          </w:tcPr>
          <w:p w14:paraId="08C7BFC2">
            <w:pPr>
              <w:widowControl/>
              <w:jc w:val="left"/>
              <w:rPr>
                <w:rFonts w:ascii="宋体" w:hAnsi="宋体" w:cs="宋体"/>
                <w:color w:val="auto"/>
                <w:highlight w:val="none"/>
              </w:rPr>
            </w:pPr>
            <w:r>
              <w:rPr>
                <w:rFonts w:hint="eastAsia" w:ascii="宋体" w:hAnsi="宋体" w:cs="宋体"/>
                <w:color w:val="auto"/>
                <w:highlight w:val="none"/>
              </w:rPr>
              <w:t>按招标（采购）文件要求提供</w:t>
            </w:r>
            <w:r>
              <w:rPr>
                <w:rFonts w:hint="eastAsia" w:ascii="宋体" w:hAnsi="宋体" w:cs="宋体"/>
                <w:b/>
                <w:bCs/>
                <w:color w:val="auto"/>
                <w:highlight w:val="none"/>
              </w:rPr>
              <w:t>《法人授权书》</w:t>
            </w:r>
            <w:r>
              <w:rPr>
                <w:rFonts w:hint="eastAsia" w:ascii="宋体" w:hAnsi="宋体" w:cs="宋体"/>
                <w:color w:val="auto"/>
                <w:highlight w:val="none"/>
              </w:rPr>
              <w:t>、</w:t>
            </w:r>
            <w:r>
              <w:rPr>
                <w:rFonts w:hint="eastAsia" w:ascii="宋体" w:hAnsi="宋体" w:cs="宋体"/>
                <w:b/>
                <w:bCs/>
                <w:color w:val="auto"/>
                <w:highlight w:val="none"/>
              </w:rPr>
              <w:t>《投标（响应）函》</w:t>
            </w:r>
            <w:r>
              <w:rPr>
                <w:rFonts w:hint="eastAsia" w:ascii="宋体" w:hAnsi="宋体" w:cs="宋体"/>
                <w:color w:val="auto"/>
                <w:highlight w:val="none"/>
              </w:rPr>
              <w:t>。(格式见《投标（响应）文件格式》)</w:t>
            </w:r>
          </w:p>
        </w:tc>
      </w:tr>
      <w:tr w14:paraId="79F07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089" w:type="dxa"/>
            <w:noWrap w:val="0"/>
            <w:vAlign w:val="center"/>
          </w:tcPr>
          <w:p w14:paraId="4231D970">
            <w:pPr>
              <w:widowControl/>
              <w:jc w:val="center"/>
              <w:rPr>
                <w:rFonts w:ascii="宋体" w:hAnsi="宋体" w:cs="宋体"/>
                <w:color w:val="auto"/>
                <w:highlight w:val="none"/>
              </w:rPr>
            </w:pPr>
            <w:r>
              <w:rPr>
                <w:rFonts w:hint="eastAsia" w:ascii="宋体" w:hAnsi="宋体" w:cs="宋体"/>
                <w:color w:val="auto"/>
                <w:highlight w:val="none"/>
              </w:rPr>
              <w:t>符合性审查</w:t>
            </w:r>
          </w:p>
        </w:tc>
        <w:tc>
          <w:tcPr>
            <w:tcW w:w="2946" w:type="dxa"/>
            <w:noWrap w:val="0"/>
            <w:vAlign w:val="center"/>
          </w:tcPr>
          <w:p w14:paraId="1B42832F">
            <w:pPr>
              <w:widowControl/>
              <w:jc w:val="center"/>
              <w:rPr>
                <w:rFonts w:ascii="宋体" w:hAnsi="宋体" w:cs="宋体"/>
                <w:color w:val="auto"/>
                <w:highlight w:val="none"/>
              </w:rPr>
            </w:pPr>
            <w:r>
              <w:rPr>
                <w:rFonts w:hint="eastAsia" w:ascii="宋体" w:hAnsi="宋体" w:cs="宋体"/>
                <w:color w:val="auto"/>
                <w:highlight w:val="none"/>
              </w:rPr>
              <w:t>投标（响应）报价</w:t>
            </w:r>
          </w:p>
        </w:tc>
        <w:tc>
          <w:tcPr>
            <w:tcW w:w="5321" w:type="dxa"/>
            <w:noWrap w:val="0"/>
            <w:vAlign w:val="center"/>
          </w:tcPr>
          <w:p w14:paraId="1770B171">
            <w:pPr>
              <w:widowControl/>
              <w:jc w:val="left"/>
              <w:rPr>
                <w:rFonts w:ascii="宋体" w:hAnsi="宋体" w:cs="宋体"/>
                <w:color w:val="auto"/>
                <w:highlight w:val="none"/>
              </w:rPr>
            </w:pPr>
            <w:r>
              <w:rPr>
                <w:rFonts w:hint="eastAsia" w:ascii="宋体" w:hAnsi="宋体" w:cs="宋体"/>
                <w:color w:val="auto"/>
                <w:highlight w:val="none"/>
              </w:rPr>
              <w:t>由评委审查，无需</w:t>
            </w:r>
            <w:bookmarkStart w:id="915" w:name="OLE_LINK166"/>
            <w:bookmarkStart w:id="916" w:name="OLE_LINK168"/>
            <w:bookmarkStart w:id="917" w:name="OLE_LINK167"/>
            <w:r>
              <w:rPr>
                <w:rFonts w:hint="eastAsia" w:ascii="宋体" w:hAnsi="宋体" w:cs="宋体"/>
                <w:color w:val="auto"/>
                <w:highlight w:val="none"/>
              </w:rPr>
              <w:t>投标人（供应商）</w:t>
            </w:r>
            <w:bookmarkEnd w:id="915"/>
            <w:bookmarkEnd w:id="916"/>
            <w:bookmarkEnd w:id="917"/>
            <w:r>
              <w:rPr>
                <w:rFonts w:hint="eastAsia" w:ascii="宋体" w:hAnsi="宋体" w:cs="宋体"/>
                <w:color w:val="auto"/>
                <w:highlight w:val="none"/>
              </w:rPr>
              <w:t>提供材料。开标一览表（响应一览表）投标报价（响应报价）未超过招标（采购）文件中规定的项目/采购包预算金额或者项目/采购包最高限价。</w:t>
            </w:r>
          </w:p>
        </w:tc>
      </w:tr>
      <w:tr w14:paraId="671D5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089" w:type="dxa"/>
            <w:shd w:val="clear" w:color="000000" w:fill="FAFAFA"/>
            <w:noWrap w:val="0"/>
            <w:vAlign w:val="center"/>
          </w:tcPr>
          <w:p w14:paraId="5B662DE2">
            <w:pPr>
              <w:widowControl/>
              <w:jc w:val="center"/>
              <w:rPr>
                <w:rFonts w:ascii="宋体" w:hAnsi="宋体" w:cs="宋体"/>
                <w:color w:val="auto"/>
                <w:highlight w:val="none"/>
              </w:rPr>
            </w:pPr>
            <w:r>
              <w:rPr>
                <w:rFonts w:hint="eastAsia" w:ascii="宋体" w:hAnsi="宋体" w:cs="宋体"/>
                <w:color w:val="auto"/>
                <w:highlight w:val="none"/>
              </w:rPr>
              <w:t>符合性审查</w:t>
            </w:r>
          </w:p>
        </w:tc>
        <w:tc>
          <w:tcPr>
            <w:tcW w:w="2946" w:type="dxa"/>
            <w:shd w:val="clear" w:color="000000" w:fill="FAFAFA"/>
            <w:noWrap w:val="0"/>
            <w:vAlign w:val="center"/>
          </w:tcPr>
          <w:p w14:paraId="36702C85">
            <w:pPr>
              <w:widowControl/>
              <w:jc w:val="center"/>
              <w:rPr>
                <w:rFonts w:ascii="宋体" w:hAnsi="宋体" w:cs="宋体"/>
                <w:color w:val="auto"/>
                <w:highlight w:val="none"/>
              </w:rPr>
            </w:pPr>
            <w:r>
              <w:rPr>
                <w:rFonts w:hint="eastAsia" w:ascii="宋体" w:hAnsi="宋体" w:cs="宋体"/>
                <w:color w:val="auto"/>
                <w:highlight w:val="none"/>
              </w:rPr>
              <w:t>报价唯一性</w:t>
            </w:r>
          </w:p>
        </w:tc>
        <w:tc>
          <w:tcPr>
            <w:tcW w:w="5321" w:type="dxa"/>
            <w:shd w:val="clear" w:color="000000" w:fill="FAFAFA"/>
            <w:noWrap w:val="0"/>
            <w:vAlign w:val="center"/>
          </w:tcPr>
          <w:p w14:paraId="31585941">
            <w:pPr>
              <w:widowControl/>
              <w:jc w:val="left"/>
              <w:rPr>
                <w:rFonts w:ascii="宋体" w:hAnsi="宋体" w:cs="宋体"/>
                <w:color w:val="auto"/>
                <w:highlight w:val="none"/>
              </w:rPr>
            </w:pPr>
            <w:r>
              <w:rPr>
                <w:rFonts w:hint="eastAsia" w:ascii="宋体" w:hAnsi="宋体" w:cs="宋体"/>
                <w:color w:val="auto"/>
                <w:highlight w:val="none"/>
              </w:rPr>
              <w:t>投标（响应）文件未出现可选择性或可调整的报价（招标（采购）文件另有规定的除外）；提供</w:t>
            </w:r>
            <w:r>
              <w:rPr>
                <w:rFonts w:hint="eastAsia" w:ascii="宋体" w:hAnsi="宋体" w:cs="宋体"/>
                <w:b/>
                <w:bCs/>
                <w:color w:val="auto"/>
                <w:highlight w:val="none"/>
              </w:rPr>
              <w:t>《分项报价表》</w:t>
            </w:r>
            <w:r>
              <w:rPr>
                <w:rFonts w:hint="eastAsia" w:ascii="宋体" w:hAnsi="宋体" w:cs="宋体"/>
                <w:color w:val="auto"/>
                <w:highlight w:val="none"/>
              </w:rPr>
              <w:t>。(格式见《投标（响应）文件格式》)</w:t>
            </w:r>
          </w:p>
        </w:tc>
      </w:tr>
      <w:tr w14:paraId="4A230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1089" w:type="dxa"/>
            <w:noWrap w:val="0"/>
            <w:vAlign w:val="center"/>
          </w:tcPr>
          <w:p w14:paraId="49300EF8">
            <w:pPr>
              <w:widowControl/>
              <w:jc w:val="center"/>
              <w:rPr>
                <w:rFonts w:ascii="宋体" w:hAnsi="宋体" w:cs="宋体"/>
                <w:color w:val="auto"/>
                <w:highlight w:val="none"/>
              </w:rPr>
            </w:pPr>
            <w:r>
              <w:rPr>
                <w:rFonts w:hint="eastAsia" w:ascii="宋体" w:hAnsi="宋体" w:cs="宋体"/>
                <w:color w:val="auto"/>
                <w:highlight w:val="none"/>
              </w:rPr>
              <w:t>符合性审查</w:t>
            </w:r>
          </w:p>
        </w:tc>
        <w:tc>
          <w:tcPr>
            <w:tcW w:w="2946" w:type="dxa"/>
            <w:noWrap w:val="0"/>
            <w:vAlign w:val="center"/>
          </w:tcPr>
          <w:p w14:paraId="17EBE775">
            <w:pPr>
              <w:widowControl/>
              <w:jc w:val="center"/>
              <w:rPr>
                <w:rFonts w:ascii="宋体" w:hAnsi="宋体" w:cs="宋体"/>
                <w:color w:val="auto"/>
                <w:highlight w:val="none"/>
              </w:rPr>
            </w:pPr>
            <w:r>
              <w:rPr>
                <w:rFonts w:hint="eastAsia" w:ascii="宋体" w:hAnsi="宋体" w:cs="宋体"/>
                <w:color w:val="auto"/>
                <w:highlight w:val="none"/>
              </w:rPr>
              <w:t>报价合理性</w:t>
            </w:r>
          </w:p>
        </w:tc>
        <w:tc>
          <w:tcPr>
            <w:tcW w:w="5321" w:type="dxa"/>
            <w:noWrap w:val="0"/>
            <w:vAlign w:val="center"/>
          </w:tcPr>
          <w:p w14:paraId="3474BD34">
            <w:pPr>
              <w:widowControl/>
              <w:jc w:val="left"/>
              <w:rPr>
                <w:rFonts w:ascii="宋体" w:hAnsi="宋体" w:cs="宋体"/>
                <w:color w:val="auto"/>
                <w:highlight w:val="none"/>
              </w:rPr>
            </w:pPr>
            <w:r>
              <w:rPr>
                <w:rFonts w:hint="eastAsia" w:ascii="宋体" w:hAnsi="宋体" w:cs="宋体"/>
                <w:color w:val="auto"/>
                <w:highlight w:val="none"/>
              </w:rPr>
              <w:t>由评委审查，无需投标人（供应商）提供材料。报价合理，或投标人（供应商）的报价明显低于其他通过符合性审查投标人（供应商）的报价，有可能影响产品质量或诚信履约的，能够应评标委员会要求在规定时间内证明其报价合理性的。</w:t>
            </w:r>
          </w:p>
        </w:tc>
      </w:tr>
      <w:tr w14:paraId="0A967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089" w:type="dxa"/>
            <w:shd w:val="clear" w:color="000000" w:fill="FAFAFA"/>
            <w:noWrap w:val="0"/>
            <w:vAlign w:val="center"/>
          </w:tcPr>
          <w:p w14:paraId="71E5BE2D">
            <w:pPr>
              <w:widowControl/>
              <w:jc w:val="center"/>
              <w:rPr>
                <w:rFonts w:ascii="宋体" w:hAnsi="宋体" w:cs="宋体"/>
                <w:color w:val="auto"/>
                <w:highlight w:val="none"/>
              </w:rPr>
            </w:pPr>
            <w:r>
              <w:rPr>
                <w:rFonts w:hint="eastAsia" w:ascii="宋体" w:hAnsi="宋体" w:cs="宋体"/>
                <w:color w:val="auto"/>
                <w:highlight w:val="none"/>
              </w:rPr>
              <w:t>符合性审查</w:t>
            </w:r>
          </w:p>
        </w:tc>
        <w:tc>
          <w:tcPr>
            <w:tcW w:w="2946" w:type="dxa"/>
            <w:shd w:val="clear" w:color="000000" w:fill="FAFAFA"/>
            <w:noWrap w:val="0"/>
            <w:vAlign w:val="center"/>
          </w:tcPr>
          <w:p w14:paraId="1856FE10">
            <w:pPr>
              <w:widowControl/>
              <w:jc w:val="center"/>
              <w:rPr>
                <w:rFonts w:ascii="宋体" w:hAnsi="宋体" w:cs="宋体"/>
                <w:color w:val="auto"/>
                <w:highlight w:val="none"/>
              </w:rPr>
            </w:pPr>
            <w:r>
              <w:rPr>
                <w:rFonts w:hint="eastAsia" w:ascii="宋体" w:hAnsi="宋体" w:cs="宋体"/>
                <w:color w:val="auto"/>
                <w:highlight w:val="none"/>
              </w:rPr>
              <w:t>报价的修正（如有）</w:t>
            </w:r>
          </w:p>
        </w:tc>
        <w:tc>
          <w:tcPr>
            <w:tcW w:w="5321" w:type="dxa"/>
            <w:shd w:val="clear" w:color="000000" w:fill="FAFAFA"/>
            <w:noWrap w:val="0"/>
            <w:vAlign w:val="center"/>
          </w:tcPr>
          <w:p w14:paraId="2129126F">
            <w:pPr>
              <w:widowControl/>
              <w:jc w:val="left"/>
              <w:rPr>
                <w:rFonts w:ascii="宋体" w:hAnsi="宋体" w:cs="宋体"/>
                <w:color w:val="auto"/>
                <w:highlight w:val="none"/>
              </w:rPr>
            </w:pPr>
            <w:r>
              <w:rPr>
                <w:rFonts w:hint="eastAsia" w:ascii="宋体" w:hAnsi="宋体" w:cs="宋体"/>
                <w:color w:val="auto"/>
                <w:highlight w:val="none"/>
              </w:rPr>
              <w:t>由评委审查，无需投标人（供应商）提供材料。不涉及报价修正，或投标（响应）文件报价出现前后不一致时，投标人（供应商）对修正后的报价予以确认。</w:t>
            </w:r>
          </w:p>
        </w:tc>
      </w:tr>
      <w:tr w14:paraId="26550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089" w:type="dxa"/>
            <w:shd w:val="clear" w:color="000000" w:fill="FAFAFA"/>
            <w:noWrap w:val="0"/>
            <w:vAlign w:val="center"/>
          </w:tcPr>
          <w:p w14:paraId="5FEA23D8">
            <w:pPr>
              <w:widowControl/>
              <w:jc w:val="center"/>
              <w:rPr>
                <w:rFonts w:hint="eastAsia" w:ascii="宋体" w:hAnsi="宋体" w:cs="宋体"/>
                <w:color w:val="auto"/>
                <w:highlight w:val="none"/>
              </w:rPr>
            </w:pPr>
            <w:r>
              <w:rPr>
                <w:rFonts w:hint="eastAsia" w:ascii="宋体" w:hAnsi="宋体" w:cs="宋体"/>
                <w:color w:val="auto"/>
                <w:highlight w:val="none"/>
              </w:rPr>
              <w:t>符合性审查</w:t>
            </w:r>
          </w:p>
        </w:tc>
        <w:tc>
          <w:tcPr>
            <w:tcW w:w="2946" w:type="dxa"/>
            <w:shd w:val="clear" w:color="000000" w:fill="FAFAFA"/>
            <w:noWrap w:val="0"/>
            <w:vAlign w:val="center"/>
          </w:tcPr>
          <w:p w14:paraId="4EC02F8F">
            <w:pPr>
              <w:widowControl/>
              <w:jc w:val="center"/>
              <w:rPr>
                <w:rFonts w:hint="eastAsia" w:ascii="宋体" w:hAnsi="宋体" w:cs="宋体"/>
                <w:color w:val="auto"/>
                <w:highlight w:val="none"/>
              </w:rPr>
            </w:pPr>
            <w:r>
              <w:rPr>
                <w:rFonts w:hint="eastAsia" w:ascii="宋体" w:hAnsi="宋体" w:cs="宋体"/>
                <w:color w:val="auto"/>
                <w:highlight w:val="none"/>
              </w:rPr>
              <w:t>投标有效期</w:t>
            </w:r>
          </w:p>
        </w:tc>
        <w:tc>
          <w:tcPr>
            <w:tcW w:w="5321" w:type="dxa"/>
            <w:shd w:val="clear" w:color="000000" w:fill="FAFAFA"/>
            <w:noWrap w:val="0"/>
            <w:vAlign w:val="center"/>
          </w:tcPr>
          <w:p w14:paraId="10BD2EAD">
            <w:pPr>
              <w:widowControl/>
              <w:jc w:val="left"/>
              <w:rPr>
                <w:rFonts w:hint="eastAsia" w:ascii="宋体" w:hAnsi="宋体" w:cs="宋体"/>
                <w:color w:val="auto"/>
                <w:highlight w:val="none"/>
              </w:rPr>
            </w:pPr>
            <w:r>
              <w:rPr>
                <w:rFonts w:hint="eastAsia" w:ascii="宋体" w:hAnsi="宋体" w:cs="宋体"/>
                <w:color w:val="auto"/>
                <w:highlight w:val="none"/>
              </w:rPr>
              <w:t>投标文件中承诺的投标有效期满足招标文件中载明的投标有效期的；</w:t>
            </w:r>
          </w:p>
        </w:tc>
      </w:tr>
      <w:tr w14:paraId="08A0B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089" w:type="dxa"/>
            <w:shd w:val="clear" w:color="000000" w:fill="FAFAFA"/>
            <w:noWrap w:val="0"/>
            <w:vAlign w:val="center"/>
          </w:tcPr>
          <w:p w14:paraId="3C1EF267">
            <w:pPr>
              <w:widowControl/>
              <w:jc w:val="center"/>
              <w:rPr>
                <w:rFonts w:ascii="宋体" w:hAnsi="宋体" w:cs="宋体"/>
                <w:color w:val="auto"/>
                <w:highlight w:val="none"/>
              </w:rPr>
            </w:pPr>
            <w:r>
              <w:rPr>
                <w:rFonts w:hint="eastAsia" w:ascii="宋体" w:hAnsi="宋体" w:cs="宋体"/>
                <w:color w:val="auto"/>
                <w:highlight w:val="none"/>
              </w:rPr>
              <w:t>符合性审查</w:t>
            </w:r>
          </w:p>
        </w:tc>
        <w:tc>
          <w:tcPr>
            <w:tcW w:w="2946" w:type="dxa"/>
            <w:shd w:val="clear" w:color="000000" w:fill="FAFAFA"/>
            <w:noWrap w:val="0"/>
            <w:vAlign w:val="center"/>
          </w:tcPr>
          <w:p w14:paraId="614ABC31">
            <w:pPr>
              <w:widowControl/>
              <w:jc w:val="center"/>
              <w:rPr>
                <w:rFonts w:ascii="宋体" w:hAnsi="宋体" w:cs="宋体"/>
                <w:color w:val="auto"/>
                <w:highlight w:val="none"/>
              </w:rPr>
            </w:pPr>
            <w:r>
              <w:rPr>
                <w:rFonts w:hint="eastAsia" w:ascii="宋体" w:hAnsi="宋体" w:cs="宋体"/>
                <w:color w:val="auto"/>
                <w:highlight w:val="none"/>
              </w:rPr>
              <w:t>签署、加盖公章</w:t>
            </w:r>
          </w:p>
        </w:tc>
        <w:tc>
          <w:tcPr>
            <w:tcW w:w="5321" w:type="dxa"/>
            <w:shd w:val="clear" w:color="000000" w:fill="FAFAFA"/>
            <w:noWrap w:val="0"/>
            <w:vAlign w:val="center"/>
          </w:tcPr>
          <w:p w14:paraId="30C652CF">
            <w:pPr>
              <w:widowControl/>
              <w:jc w:val="left"/>
              <w:rPr>
                <w:rFonts w:ascii="宋体" w:hAnsi="宋体" w:cs="宋体"/>
                <w:color w:val="auto"/>
                <w:highlight w:val="none"/>
              </w:rPr>
            </w:pPr>
            <w:r>
              <w:rPr>
                <w:rFonts w:hint="eastAsia" w:ascii="宋体" w:hAnsi="宋体" w:cs="宋体"/>
                <w:color w:val="auto"/>
                <w:highlight w:val="none"/>
              </w:rPr>
              <w:t>由评委审查，无需投标人（供应商）提供材料。按照招标（采购）文件要求签署、加盖公章的。</w:t>
            </w:r>
          </w:p>
        </w:tc>
      </w:tr>
      <w:tr w14:paraId="1A43B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089" w:type="dxa"/>
            <w:shd w:val="clear" w:color="000000" w:fill="FAFAFA"/>
            <w:noWrap w:val="0"/>
            <w:vAlign w:val="center"/>
          </w:tcPr>
          <w:p w14:paraId="7ACB6A65">
            <w:pPr>
              <w:widowControl/>
              <w:jc w:val="center"/>
              <w:rPr>
                <w:rFonts w:ascii="宋体" w:hAnsi="宋体" w:cs="宋体"/>
                <w:color w:val="auto"/>
                <w:highlight w:val="none"/>
              </w:rPr>
            </w:pPr>
            <w:r>
              <w:rPr>
                <w:rFonts w:hint="eastAsia" w:ascii="宋体" w:hAnsi="宋体" w:cs="宋体"/>
                <w:color w:val="auto"/>
                <w:highlight w:val="none"/>
              </w:rPr>
              <w:t>符合性审查</w:t>
            </w:r>
          </w:p>
        </w:tc>
        <w:tc>
          <w:tcPr>
            <w:tcW w:w="2946" w:type="dxa"/>
            <w:shd w:val="clear" w:color="000000" w:fill="FAFAFA"/>
            <w:noWrap w:val="0"/>
            <w:vAlign w:val="center"/>
          </w:tcPr>
          <w:p w14:paraId="3350AF15">
            <w:pPr>
              <w:widowControl/>
              <w:jc w:val="center"/>
              <w:rPr>
                <w:rFonts w:ascii="宋体" w:hAnsi="宋体" w:cs="宋体"/>
                <w:color w:val="auto"/>
                <w:highlight w:val="none"/>
              </w:rPr>
            </w:pPr>
            <w:r>
              <w:rPr>
                <w:rFonts w:hint="eastAsia" w:ascii="宋体" w:hAnsi="宋体" w:cs="宋体"/>
                <w:color w:val="auto"/>
                <w:highlight w:val="none"/>
              </w:rPr>
              <w:t>进口产品（如有）</w:t>
            </w:r>
          </w:p>
        </w:tc>
        <w:tc>
          <w:tcPr>
            <w:tcW w:w="5321" w:type="dxa"/>
            <w:shd w:val="clear" w:color="000000" w:fill="FAFAFA"/>
            <w:noWrap w:val="0"/>
            <w:vAlign w:val="center"/>
          </w:tcPr>
          <w:p w14:paraId="33BC23C0">
            <w:pPr>
              <w:widowControl/>
              <w:jc w:val="left"/>
              <w:rPr>
                <w:rFonts w:ascii="宋体" w:hAnsi="宋体" w:cs="宋体"/>
                <w:color w:val="auto"/>
                <w:highlight w:val="none"/>
              </w:rPr>
            </w:pPr>
            <w:r>
              <w:rPr>
                <w:rFonts w:hint="eastAsia" w:ascii="宋体" w:hAnsi="宋体" w:cs="宋体"/>
                <w:color w:val="auto"/>
                <w:highlight w:val="none"/>
              </w:rPr>
              <w:t>由评委审查，无需投标人（供应商）提供材料。招标（采购）文件不接受进口产品投标的内容时，投标人（供应商）所投产品均为非进口产品。</w:t>
            </w:r>
          </w:p>
        </w:tc>
      </w:tr>
      <w:tr w14:paraId="4A1A7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089" w:type="dxa"/>
            <w:noWrap w:val="0"/>
            <w:vAlign w:val="center"/>
          </w:tcPr>
          <w:p w14:paraId="57F6856A">
            <w:pPr>
              <w:widowControl/>
              <w:jc w:val="center"/>
              <w:rPr>
                <w:rFonts w:ascii="宋体" w:hAnsi="宋体" w:cs="宋体"/>
                <w:color w:val="auto"/>
                <w:highlight w:val="none"/>
              </w:rPr>
            </w:pPr>
            <w:r>
              <w:rPr>
                <w:rFonts w:hint="eastAsia" w:ascii="宋体" w:hAnsi="宋体" w:cs="宋体"/>
                <w:color w:val="auto"/>
                <w:highlight w:val="none"/>
              </w:rPr>
              <w:t>符合性审查</w:t>
            </w:r>
          </w:p>
        </w:tc>
        <w:tc>
          <w:tcPr>
            <w:tcW w:w="2946" w:type="dxa"/>
            <w:noWrap w:val="0"/>
            <w:vAlign w:val="center"/>
          </w:tcPr>
          <w:p w14:paraId="4149506F">
            <w:pPr>
              <w:widowControl/>
              <w:jc w:val="center"/>
              <w:rPr>
                <w:rFonts w:ascii="宋体" w:hAnsi="宋体" w:cs="宋体"/>
                <w:color w:val="auto"/>
                <w:highlight w:val="none"/>
              </w:rPr>
            </w:pPr>
            <w:r>
              <w:rPr>
                <w:rFonts w:hint="eastAsia" w:ascii="宋体" w:hAnsi="宋体" w:cs="宋体"/>
                <w:color w:val="auto"/>
                <w:highlight w:val="none"/>
              </w:rPr>
              <w:t>投标完整性</w:t>
            </w:r>
          </w:p>
        </w:tc>
        <w:tc>
          <w:tcPr>
            <w:tcW w:w="5321" w:type="dxa"/>
            <w:noWrap w:val="0"/>
            <w:vAlign w:val="center"/>
          </w:tcPr>
          <w:p w14:paraId="516964BA">
            <w:pPr>
              <w:widowControl/>
              <w:jc w:val="left"/>
              <w:rPr>
                <w:rFonts w:ascii="宋体" w:hAnsi="宋体" w:cs="宋体"/>
                <w:color w:val="auto"/>
                <w:highlight w:val="none"/>
              </w:rPr>
            </w:pPr>
            <w:r>
              <w:rPr>
                <w:rFonts w:hint="eastAsia" w:ascii="宋体" w:hAnsi="宋体" w:cs="宋体"/>
                <w:color w:val="auto"/>
                <w:highlight w:val="none"/>
              </w:rPr>
              <w:t>由评委审查，无需投标人（供应商）提供材料。投标人（供应商）未将一个采购包中的内容拆开投标。</w:t>
            </w:r>
          </w:p>
        </w:tc>
      </w:tr>
      <w:tr w14:paraId="65023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0" w:hRule="atLeast"/>
        </w:trPr>
        <w:tc>
          <w:tcPr>
            <w:tcW w:w="1089" w:type="dxa"/>
            <w:shd w:val="clear" w:color="000000" w:fill="FAFAFA"/>
            <w:noWrap w:val="0"/>
            <w:vAlign w:val="center"/>
          </w:tcPr>
          <w:p w14:paraId="35DA1411">
            <w:pPr>
              <w:widowControl/>
              <w:jc w:val="center"/>
              <w:rPr>
                <w:rFonts w:ascii="宋体" w:hAnsi="宋体" w:cs="宋体"/>
                <w:color w:val="auto"/>
                <w:highlight w:val="none"/>
              </w:rPr>
            </w:pPr>
            <w:r>
              <w:rPr>
                <w:rFonts w:hint="eastAsia" w:ascii="宋体" w:hAnsi="宋体" w:cs="宋体"/>
                <w:color w:val="auto"/>
                <w:highlight w:val="none"/>
              </w:rPr>
              <w:t>符合性审查</w:t>
            </w:r>
          </w:p>
        </w:tc>
        <w:tc>
          <w:tcPr>
            <w:tcW w:w="2946" w:type="dxa"/>
            <w:shd w:val="clear" w:color="000000" w:fill="FAFAFA"/>
            <w:noWrap w:val="0"/>
            <w:vAlign w:val="center"/>
          </w:tcPr>
          <w:p w14:paraId="4CF49164">
            <w:pPr>
              <w:widowControl/>
              <w:jc w:val="center"/>
              <w:rPr>
                <w:rFonts w:ascii="宋体" w:hAnsi="宋体" w:cs="宋体"/>
                <w:color w:val="auto"/>
                <w:highlight w:val="none"/>
              </w:rPr>
            </w:pPr>
            <w:r>
              <w:rPr>
                <w:rFonts w:hint="eastAsia" w:ascii="宋体" w:hAnsi="宋体" w:cs="宋体"/>
                <w:color w:val="auto"/>
                <w:highlight w:val="none"/>
              </w:rPr>
              <w:t>公平竞争</w:t>
            </w:r>
          </w:p>
        </w:tc>
        <w:tc>
          <w:tcPr>
            <w:tcW w:w="5321" w:type="dxa"/>
            <w:shd w:val="clear" w:color="000000" w:fill="FAFAFA"/>
            <w:noWrap w:val="0"/>
            <w:vAlign w:val="center"/>
          </w:tcPr>
          <w:p w14:paraId="266BF270">
            <w:pPr>
              <w:widowControl/>
              <w:jc w:val="left"/>
              <w:rPr>
                <w:rFonts w:ascii="宋体" w:hAnsi="宋体" w:cs="宋体"/>
                <w:color w:val="auto"/>
                <w:highlight w:val="none"/>
              </w:rPr>
            </w:pPr>
            <w:r>
              <w:rPr>
                <w:rFonts w:hint="eastAsia" w:ascii="宋体" w:hAnsi="宋体" w:cs="宋体"/>
                <w:color w:val="auto"/>
                <w:highlight w:val="none"/>
              </w:rPr>
              <w:t>由评委审查，无需投标人（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p>
        </w:tc>
      </w:tr>
      <w:tr w14:paraId="7702D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0" w:hRule="atLeast"/>
        </w:trPr>
        <w:tc>
          <w:tcPr>
            <w:tcW w:w="1089" w:type="dxa"/>
            <w:shd w:val="clear" w:color="000000" w:fill="FAFAFA"/>
            <w:noWrap w:val="0"/>
            <w:vAlign w:val="center"/>
          </w:tcPr>
          <w:p w14:paraId="402E78C2">
            <w:pPr>
              <w:widowControl/>
              <w:jc w:val="center"/>
              <w:rPr>
                <w:rFonts w:ascii="宋体" w:hAnsi="宋体" w:cs="宋体"/>
                <w:color w:val="auto"/>
                <w:highlight w:val="none"/>
              </w:rPr>
            </w:pPr>
            <w:r>
              <w:rPr>
                <w:rFonts w:hint="eastAsia" w:ascii="宋体" w:hAnsi="宋体" w:cs="宋体"/>
                <w:color w:val="auto"/>
                <w:highlight w:val="none"/>
              </w:rPr>
              <w:t>符合性审查</w:t>
            </w:r>
          </w:p>
        </w:tc>
        <w:tc>
          <w:tcPr>
            <w:tcW w:w="2946" w:type="dxa"/>
            <w:shd w:val="clear" w:color="auto" w:fill="auto"/>
            <w:noWrap w:val="0"/>
            <w:vAlign w:val="center"/>
          </w:tcPr>
          <w:p w14:paraId="73F25D9C">
            <w:pPr>
              <w:widowControl/>
              <w:jc w:val="center"/>
              <w:rPr>
                <w:rFonts w:ascii="宋体" w:hAnsi="宋体" w:cs="宋体"/>
                <w:color w:val="auto"/>
                <w:highlight w:val="none"/>
              </w:rPr>
            </w:pPr>
            <w:r>
              <w:rPr>
                <w:rFonts w:hint="eastAsia" w:ascii="宋体" w:hAnsi="宋体" w:cs="宋体"/>
                <w:color w:val="auto"/>
                <w:highlight w:val="none"/>
              </w:rPr>
              <w:t>国家有关部门对投标产品有强制性规定或要求的</w:t>
            </w:r>
          </w:p>
        </w:tc>
        <w:tc>
          <w:tcPr>
            <w:tcW w:w="5321" w:type="dxa"/>
            <w:shd w:val="clear" w:color="000000" w:fill="FAFAFA"/>
            <w:noWrap w:val="0"/>
            <w:vAlign w:val="center"/>
          </w:tcPr>
          <w:p w14:paraId="0D209244">
            <w:pPr>
              <w:widowControl/>
              <w:jc w:val="left"/>
              <w:rPr>
                <w:rFonts w:ascii="宋体" w:hAnsi="宋体" w:cs="宋体"/>
                <w:color w:val="auto"/>
                <w:highlight w:val="none"/>
              </w:rPr>
            </w:pPr>
            <w:r>
              <w:rPr>
                <w:rFonts w:hint="eastAsia" w:ascii="宋体" w:hAnsi="宋体" w:cs="宋体"/>
                <w:color w:val="auto"/>
                <w:highlight w:val="none"/>
              </w:rPr>
              <w:t>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p>
        </w:tc>
      </w:tr>
      <w:tr w14:paraId="5887E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089" w:type="dxa"/>
            <w:shd w:val="clear" w:color="000000" w:fill="FAFAFA"/>
            <w:noWrap w:val="0"/>
            <w:vAlign w:val="center"/>
          </w:tcPr>
          <w:p w14:paraId="6FA38001">
            <w:pPr>
              <w:widowControl/>
              <w:jc w:val="center"/>
              <w:rPr>
                <w:rFonts w:ascii="宋体" w:hAnsi="宋体" w:cs="宋体"/>
                <w:color w:val="auto"/>
                <w:highlight w:val="none"/>
              </w:rPr>
            </w:pPr>
            <w:r>
              <w:rPr>
                <w:rFonts w:hint="eastAsia" w:ascii="宋体" w:hAnsi="宋体" w:cs="宋体"/>
                <w:color w:val="auto"/>
                <w:highlight w:val="none"/>
              </w:rPr>
              <w:t>符合性审查</w:t>
            </w:r>
          </w:p>
        </w:tc>
        <w:tc>
          <w:tcPr>
            <w:tcW w:w="2946" w:type="dxa"/>
            <w:shd w:val="clear" w:color="000000" w:fill="FAFAFA"/>
            <w:noWrap w:val="0"/>
            <w:vAlign w:val="center"/>
          </w:tcPr>
          <w:p w14:paraId="1AEF76B2">
            <w:pPr>
              <w:widowControl/>
              <w:jc w:val="center"/>
              <w:rPr>
                <w:rFonts w:ascii="宋体" w:hAnsi="宋体" w:cs="宋体"/>
                <w:color w:val="auto"/>
                <w:highlight w:val="none"/>
              </w:rPr>
            </w:pPr>
            <w:r>
              <w:rPr>
                <w:rFonts w:hint="eastAsia" w:ascii="宋体" w:hAnsi="宋体" w:cs="宋体"/>
                <w:color w:val="auto"/>
                <w:highlight w:val="none"/>
              </w:rPr>
              <w:t>附加条件</w:t>
            </w:r>
          </w:p>
        </w:tc>
        <w:tc>
          <w:tcPr>
            <w:tcW w:w="5321" w:type="dxa"/>
            <w:shd w:val="clear" w:color="000000" w:fill="FAFAFA"/>
            <w:noWrap w:val="0"/>
            <w:vAlign w:val="center"/>
          </w:tcPr>
          <w:p w14:paraId="55DE7341">
            <w:pPr>
              <w:widowControl/>
              <w:jc w:val="left"/>
              <w:rPr>
                <w:rFonts w:ascii="宋体" w:hAnsi="宋体" w:cs="宋体"/>
                <w:color w:val="auto"/>
                <w:highlight w:val="none"/>
              </w:rPr>
            </w:pPr>
            <w:r>
              <w:rPr>
                <w:rFonts w:hint="eastAsia" w:ascii="宋体" w:hAnsi="宋体" w:cs="宋体"/>
                <w:color w:val="auto"/>
                <w:highlight w:val="none"/>
              </w:rPr>
              <w:t>由评委审查，无需投标人（供应商）提供材料。投标（响应）文件未含有采购人不能接受的附加条件的。</w:t>
            </w:r>
          </w:p>
        </w:tc>
      </w:tr>
      <w:tr w14:paraId="4351E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1089" w:type="dxa"/>
            <w:shd w:val="clear" w:color="000000" w:fill="FAFAFA"/>
            <w:noWrap w:val="0"/>
            <w:vAlign w:val="center"/>
          </w:tcPr>
          <w:p w14:paraId="152BCB55">
            <w:pPr>
              <w:widowControl/>
              <w:jc w:val="center"/>
              <w:rPr>
                <w:rFonts w:ascii="宋体" w:hAnsi="宋体" w:cs="宋体"/>
                <w:color w:val="auto"/>
                <w:highlight w:val="none"/>
              </w:rPr>
            </w:pPr>
            <w:r>
              <w:rPr>
                <w:rFonts w:hint="eastAsia" w:ascii="宋体" w:hAnsi="宋体" w:cs="宋体"/>
                <w:color w:val="auto"/>
                <w:highlight w:val="none"/>
              </w:rPr>
              <w:t>符合性审查</w:t>
            </w:r>
          </w:p>
        </w:tc>
        <w:tc>
          <w:tcPr>
            <w:tcW w:w="2946" w:type="dxa"/>
            <w:shd w:val="clear" w:color="000000" w:fill="FAFAFA"/>
            <w:noWrap w:val="0"/>
            <w:vAlign w:val="center"/>
          </w:tcPr>
          <w:p w14:paraId="7E456DB6">
            <w:pPr>
              <w:widowControl/>
              <w:jc w:val="center"/>
              <w:rPr>
                <w:rFonts w:ascii="宋体" w:hAnsi="宋体" w:cs="宋体"/>
                <w:color w:val="auto"/>
                <w:highlight w:val="none"/>
              </w:rPr>
            </w:pPr>
            <w:r>
              <w:rPr>
                <w:rFonts w:hint="eastAsia" w:ascii="宋体" w:hAnsi="宋体" w:cs="宋体"/>
                <w:color w:val="auto"/>
                <w:highlight w:val="none"/>
              </w:rPr>
              <w:t>其他无效情形</w:t>
            </w:r>
          </w:p>
        </w:tc>
        <w:tc>
          <w:tcPr>
            <w:tcW w:w="5321" w:type="dxa"/>
            <w:shd w:val="clear" w:color="000000" w:fill="FAFAFA"/>
            <w:noWrap w:val="0"/>
            <w:vAlign w:val="center"/>
          </w:tcPr>
          <w:p w14:paraId="0230AB8D">
            <w:pPr>
              <w:widowControl/>
              <w:jc w:val="left"/>
              <w:rPr>
                <w:rFonts w:ascii="宋体" w:hAnsi="宋体" w:cs="宋体"/>
                <w:color w:val="auto"/>
                <w:highlight w:val="none"/>
              </w:rPr>
            </w:pPr>
            <w:r>
              <w:rPr>
                <w:rFonts w:hint="eastAsia" w:ascii="宋体" w:hAnsi="宋体" w:cs="宋体"/>
                <w:color w:val="auto"/>
                <w:highlight w:val="none"/>
              </w:rPr>
              <w:t>由评委审查，无需投标人（供应商）提供材料。投标人（供应商）、投标（响应）文件不存在不符合法律、法规和招标（采购）文件规定的其他无效情形。</w:t>
            </w:r>
          </w:p>
        </w:tc>
      </w:tr>
      <w:tr w14:paraId="5AA49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1089" w:type="dxa"/>
            <w:noWrap w:val="0"/>
            <w:vAlign w:val="center"/>
          </w:tcPr>
          <w:p w14:paraId="6093935F">
            <w:pPr>
              <w:widowControl/>
              <w:jc w:val="center"/>
              <w:rPr>
                <w:rFonts w:ascii="宋体" w:hAnsi="宋体" w:cs="宋体"/>
                <w:color w:val="auto"/>
                <w:highlight w:val="none"/>
              </w:rPr>
            </w:pPr>
            <w:r>
              <w:rPr>
                <w:rFonts w:hint="eastAsia" w:ascii="宋体" w:hAnsi="宋体" w:cs="宋体"/>
                <w:color w:val="auto"/>
                <w:highlight w:val="none"/>
              </w:rPr>
              <w:t>符合性审查</w:t>
            </w:r>
          </w:p>
        </w:tc>
        <w:tc>
          <w:tcPr>
            <w:tcW w:w="2946" w:type="dxa"/>
            <w:noWrap w:val="0"/>
            <w:vAlign w:val="center"/>
          </w:tcPr>
          <w:p w14:paraId="7E4F227B">
            <w:pPr>
              <w:widowControl/>
              <w:jc w:val="center"/>
              <w:rPr>
                <w:rFonts w:ascii="宋体" w:hAnsi="宋体" w:cs="宋体"/>
                <w:color w:val="auto"/>
                <w:highlight w:val="none"/>
              </w:rPr>
            </w:pPr>
            <w:r>
              <w:rPr>
                <w:rFonts w:hint="eastAsia" w:ascii="宋体" w:hAnsi="宋体" w:cs="宋体"/>
                <w:color w:val="auto"/>
                <w:highlight w:val="none"/>
              </w:rPr>
              <w:t>实质性条款响应</w:t>
            </w:r>
          </w:p>
        </w:tc>
        <w:tc>
          <w:tcPr>
            <w:tcW w:w="5321" w:type="dxa"/>
            <w:noWrap w:val="0"/>
            <w:vAlign w:val="center"/>
          </w:tcPr>
          <w:p w14:paraId="44180746">
            <w:pPr>
              <w:widowControl/>
              <w:jc w:val="left"/>
              <w:rPr>
                <w:rFonts w:ascii="宋体" w:hAnsi="宋体" w:cs="宋体"/>
                <w:color w:val="auto"/>
                <w:highlight w:val="none"/>
              </w:rPr>
            </w:pPr>
            <w:r>
              <w:rPr>
                <w:rFonts w:hint="eastAsia" w:ascii="宋体" w:hAnsi="宋体" w:cs="宋体"/>
                <w:color w:val="auto"/>
                <w:highlight w:val="none"/>
              </w:rPr>
              <w:t>投标（响应）文件满足招标（采购）文件第五章《采购需求》中实质性条款（斜体且有下划线部分的、或者加“★”号的、或者以文字说明属于实质性要求的内容）要求的，在下列表单逐项提供相关证明材料。</w:t>
            </w:r>
          </w:p>
        </w:tc>
      </w:tr>
      <w:tr w14:paraId="30ABB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89" w:type="dxa"/>
            <w:shd w:val="clear" w:color="000000" w:fill="FFFF00"/>
            <w:noWrap w:val="0"/>
            <w:vAlign w:val="center"/>
          </w:tcPr>
          <w:p w14:paraId="61D2EBB8">
            <w:pPr>
              <w:widowControl/>
              <w:jc w:val="center"/>
              <w:rPr>
                <w:rFonts w:ascii="宋体" w:hAnsi="宋体" w:cs="宋体"/>
                <w:color w:val="auto"/>
                <w:highlight w:val="none"/>
              </w:rPr>
            </w:pPr>
            <w:r>
              <w:rPr>
                <w:rFonts w:hint="eastAsia" w:ascii="宋体" w:hAnsi="宋体" w:cs="宋体"/>
                <w:color w:val="auto"/>
                <w:highlight w:val="none"/>
              </w:rPr>
              <w:t>符合性审查</w:t>
            </w:r>
          </w:p>
        </w:tc>
        <w:tc>
          <w:tcPr>
            <w:tcW w:w="2946" w:type="dxa"/>
            <w:shd w:val="clear" w:color="000000" w:fill="FFFF00"/>
            <w:noWrap w:val="0"/>
            <w:vAlign w:val="center"/>
          </w:tcPr>
          <w:p w14:paraId="371FB9BA">
            <w:pPr>
              <w:widowControl/>
              <w:jc w:val="center"/>
              <w:rPr>
                <w:rFonts w:ascii="宋体" w:hAnsi="宋体" w:cs="宋体"/>
                <w:color w:val="auto"/>
                <w:highlight w:val="none"/>
              </w:rPr>
            </w:pPr>
            <w:r>
              <w:rPr>
                <w:rFonts w:hint="eastAsia" w:ascii="宋体" w:hAnsi="宋体" w:cs="宋体"/>
                <w:color w:val="auto"/>
                <w:highlight w:val="none"/>
              </w:rPr>
              <w:t>实质性条款响应1</w:t>
            </w:r>
          </w:p>
        </w:tc>
        <w:tc>
          <w:tcPr>
            <w:tcW w:w="5321" w:type="dxa"/>
            <w:shd w:val="clear" w:color="000000" w:fill="FFFF00"/>
            <w:noWrap w:val="0"/>
            <w:vAlign w:val="center"/>
          </w:tcPr>
          <w:p w14:paraId="58621A67">
            <w:pPr>
              <w:widowControl/>
              <w:jc w:val="center"/>
              <w:rPr>
                <w:rFonts w:ascii="宋体" w:hAnsi="宋体" w:cs="宋体"/>
                <w:color w:val="auto"/>
                <w:highlight w:val="none"/>
              </w:rPr>
            </w:pPr>
            <w:r>
              <w:rPr>
                <w:rFonts w:hint="eastAsia" w:ascii="宋体" w:hAnsi="宋体" w:cs="宋体"/>
                <w:color w:val="auto"/>
                <w:highlight w:val="none"/>
              </w:rPr>
              <w:t>逐项提供相关证明材料</w:t>
            </w:r>
          </w:p>
        </w:tc>
      </w:tr>
      <w:tr w14:paraId="75CD9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89" w:type="dxa"/>
            <w:shd w:val="clear" w:color="000000" w:fill="FFFF00"/>
            <w:noWrap w:val="0"/>
            <w:vAlign w:val="center"/>
          </w:tcPr>
          <w:p w14:paraId="6BC5D3A3">
            <w:pPr>
              <w:widowControl/>
              <w:jc w:val="center"/>
              <w:rPr>
                <w:rFonts w:ascii="宋体" w:hAnsi="宋体" w:cs="宋体"/>
                <w:color w:val="auto"/>
                <w:highlight w:val="none"/>
              </w:rPr>
            </w:pPr>
            <w:r>
              <w:rPr>
                <w:rFonts w:hint="eastAsia" w:ascii="宋体" w:hAnsi="宋体" w:cs="宋体"/>
                <w:color w:val="auto"/>
                <w:highlight w:val="none"/>
              </w:rPr>
              <w:t>符合性审查</w:t>
            </w:r>
          </w:p>
        </w:tc>
        <w:tc>
          <w:tcPr>
            <w:tcW w:w="2946" w:type="dxa"/>
            <w:shd w:val="clear" w:color="000000" w:fill="FFFF00"/>
            <w:noWrap w:val="0"/>
            <w:vAlign w:val="center"/>
          </w:tcPr>
          <w:p w14:paraId="266FE2E1">
            <w:pPr>
              <w:widowControl/>
              <w:jc w:val="center"/>
              <w:rPr>
                <w:rFonts w:ascii="宋体" w:hAnsi="宋体" w:cs="宋体"/>
                <w:color w:val="auto"/>
                <w:highlight w:val="none"/>
              </w:rPr>
            </w:pPr>
            <w:r>
              <w:rPr>
                <w:rFonts w:hint="eastAsia" w:ascii="宋体" w:hAnsi="宋体" w:cs="宋体"/>
                <w:color w:val="auto"/>
                <w:highlight w:val="none"/>
              </w:rPr>
              <w:t>实质性条款响应2</w:t>
            </w:r>
          </w:p>
        </w:tc>
        <w:tc>
          <w:tcPr>
            <w:tcW w:w="5321" w:type="dxa"/>
            <w:shd w:val="clear" w:color="000000" w:fill="FFFF00"/>
            <w:noWrap w:val="0"/>
            <w:vAlign w:val="center"/>
          </w:tcPr>
          <w:p w14:paraId="25C43B55">
            <w:pPr>
              <w:widowControl/>
              <w:jc w:val="center"/>
              <w:rPr>
                <w:rFonts w:ascii="宋体" w:hAnsi="宋体" w:cs="宋体"/>
                <w:color w:val="auto"/>
                <w:highlight w:val="none"/>
              </w:rPr>
            </w:pPr>
            <w:r>
              <w:rPr>
                <w:rFonts w:hint="eastAsia" w:ascii="宋体" w:hAnsi="宋体" w:cs="宋体"/>
                <w:color w:val="auto"/>
                <w:highlight w:val="none"/>
              </w:rPr>
              <w:t>逐项提供相关证明材料</w:t>
            </w:r>
          </w:p>
        </w:tc>
      </w:tr>
      <w:tr w14:paraId="22A4F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89" w:type="dxa"/>
            <w:shd w:val="clear" w:color="000000" w:fill="FFFF00"/>
            <w:noWrap w:val="0"/>
            <w:vAlign w:val="center"/>
          </w:tcPr>
          <w:p w14:paraId="1B46148C">
            <w:pPr>
              <w:widowControl/>
              <w:jc w:val="center"/>
              <w:rPr>
                <w:rFonts w:ascii="宋体" w:hAnsi="宋体" w:cs="宋体"/>
                <w:color w:val="auto"/>
                <w:highlight w:val="none"/>
              </w:rPr>
            </w:pPr>
            <w:r>
              <w:rPr>
                <w:rFonts w:hint="eastAsia" w:ascii="宋体" w:hAnsi="宋体" w:cs="宋体"/>
                <w:color w:val="auto"/>
                <w:highlight w:val="none"/>
              </w:rPr>
              <w:t>符合性审查</w:t>
            </w:r>
          </w:p>
        </w:tc>
        <w:tc>
          <w:tcPr>
            <w:tcW w:w="2946" w:type="dxa"/>
            <w:shd w:val="clear" w:color="000000" w:fill="FFFF00"/>
            <w:noWrap w:val="0"/>
            <w:vAlign w:val="center"/>
          </w:tcPr>
          <w:p w14:paraId="2EF4286B">
            <w:pPr>
              <w:widowControl/>
              <w:jc w:val="center"/>
              <w:rPr>
                <w:rFonts w:ascii="宋体" w:hAnsi="宋体" w:cs="宋体"/>
                <w:color w:val="auto"/>
                <w:highlight w:val="none"/>
              </w:rPr>
            </w:pPr>
            <w:r>
              <w:rPr>
                <w:rFonts w:hint="eastAsia" w:ascii="宋体" w:hAnsi="宋体" w:cs="宋体"/>
                <w:color w:val="auto"/>
                <w:highlight w:val="none"/>
              </w:rPr>
              <w:t>……</w:t>
            </w:r>
          </w:p>
        </w:tc>
        <w:tc>
          <w:tcPr>
            <w:tcW w:w="5321" w:type="dxa"/>
            <w:shd w:val="clear" w:color="000000" w:fill="FFFF00"/>
            <w:noWrap w:val="0"/>
            <w:vAlign w:val="center"/>
          </w:tcPr>
          <w:p w14:paraId="3E317CDB">
            <w:pPr>
              <w:widowControl/>
              <w:jc w:val="center"/>
              <w:rPr>
                <w:rFonts w:ascii="宋体" w:hAnsi="宋体" w:cs="宋体"/>
                <w:color w:val="auto"/>
                <w:highlight w:val="none"/>
              </w:rPr>
            </w:pPr>
            <w:r>
              <w:rPr>
                <w:rFonts w:hint="eastAsia" w:ascii="宋体" w:hAnsi="宋体" w:cs="宋体"/>
                <w:color w:val="auto"/>
                <w:highlight w:val="none"/>
              </w:rPr>
              <w:t>逐项提供相关证明材料</w:t>
            </w:r>
          </w:p>
        </w:tc>
      </w:tr>
      <w:tr w14:paraId="672E8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89" w:type="dxa"/>
            <w:noWrap w:val="0"/>
            <w:vAlign w:val="center"/>
          </w:tcPr>
          <w:p w14:paraId="112DF0DC">
            <w:pPr>
              <w:widowControl/>
              <w:jc w:val="center"/>
              <w:rPr>
                <w:rFonts w:ascii="宋体" w:hAnsi="宋体" w:cs="宋体"/>
                <w:color w:val="auto"/>
                <w:highlight w:val="none"/>
              </w:rPr>
            </w:pPr>
            <w:r>
              <w:rPr>
                <w:rFonts w:hint="eastAsia" w:ascii="宋体" w:hAnsi="宋体" w:cs="宋体"/>
                <w:color w:val="auto"/>
                <w:highlight w:val="none"/>
              </w:rPr>
              <w:t>　</w:t>
            </w:r>
          </w:p>
        </w:tc>
        <w:tc>
          <w:tcPr>
            <w:tcW w:w="2946" w:type="dxa"/>
            <w:noWrap w:val="0"/>
            <w:vAlign w:val="center"/>
          </w:tcPr>
          <w:p w14:paraId="25ABED7B">
            <w:pPr>
              <w:widowControl/>
              <w:jc w:val="center"/>
              <w:rPr>
                <w:rFonts w:ascii="宋体" w:hAnsi="宋体" w:cs="宋体"/>
                <w:color w:val="auto"/>
                <w:highlight w:val="none"/>
              </w:rPr>
            </w:pPr>
            <w:r>
              <w:rPr>
                <w:rFonts w:hint="eastAsia" w:ascii="宋体" w:hAnsi="宋体" w:cs="宋体"/>
                <w:color w:val="auto"/>
                <w:highlight w:val="none"/>
              </w:rPr>
              <w:t>　</w:t>
            </w:r>
          </w:p>
        </w:tc>
        <w:tc>
          <w:tcPr>
            <w:tcW w:w="5321" w:type="dxa"/>
            <w:noWrap w:val="0"/>
            <w:vAlign w:val="center"/>
          </w:tcPr>
          <w:p w14:paraId="70CD8D8D">
            <w:pPr>
              <w:widowControl/>
              <w:jc w:val="center"/>
              <w:rPr>
                <w:rFonts w:ascii="宋体" w:hAnsi="宋体" w:cs="宋体"/>
                <w:color w:val="auto"/>
                <w:highlight w:val="none"/>
              </w:rPr>
            </w:pPr>
            <w:r>
              <w:rPr>
                <w:rFonts w:hint="eastAsia" w:ascii="宋体" w:hAnsi="宋体" w:cs="宋体"/>
                <w:color w:val="auto"/>
                <w:highlight w:val="none"/>
              </w:rPr>
              <w:t>　</w:t>
            </w:r>
          </w:p>
        </w:tc>
      </w:tr>
      <w:tr w14:paraId="5354B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089" w:type="dxa"/>
            <w:noWrap w:val="0"/>
            <w:vAlign w:val="center"/>
          </w:tcPr>
          <w:p w14:paraId="50034203">
            <w:pPr>
              <w:widowControl/>
              <w:jc w:val="center"/>
              <w:rPr>
                <w:rFonts w:ascii="宋体" w:hAnsi="宋体" w:cs="宋体"/>
                <w:color w:val="auto"/>
                <w:highlight w:val="none"/>
              </w:rPr>
            </w:pPr>
            <w:r>
              <w:rPr>
                <w:rFonts w:hint="eastAsia" w:ascii="宋体" w:hAnsi="宋体" w:cs="宋体"/>
                <w:color w:val="auto"/>
                <w:highlight w:val="none"/>
              </w:rPr>
              <w:t>综合评审评分项</w:t>
            </w:r>
          </w:p>
        </w:tc>
        <w:tc>
          <w:tcPr>
            <w:tcW w:w="2946" w:type="dxa"/>
            <w:noWrap w:val="0"/>
            <w:vAlign w:val="center"/>
          </w:tcPr>
          <w:p w14:paraId="4A5BD6E7">
            <w:pPr>
              <w:widowControl/>
              <w:jc w:val="center"/>
              <w:rPr>
                <w:rFonts w:ascii="宋体" w:hAnsi="宋体" w:cs="宋体"/>
                <w:color w:val="auto"/>
                <w:highlight w:val="none"/>
              </w:rPr>
            </w:pPr>
            <w:r>
              <w:rPr>
                <w:rFonts w:hint="eastAsia" w:ascii="宋体" w:hAnsi="宋体" w:cs="宋体"/>
                <w:color w:val="auto"/>
                <w:highlight w:val="none"/>
              </w:rPr>
              <w:t>　</w:t>
            </w:r>
          </w:p>
        </w:tc>
        <w:tc>
          <w:tcPr>
            <w:tcW w:w="5321" w:type="dxa"/>
            <w:noWrap w:val="0"/>
            <w:vAlign w:val="center"/>
          </w:tcPr>
          <w:p w14:paraId="2092508B">
            <w:pPr>
              <w:widowControl/>
              <w:jc w:val="center"/>
              <w:rPr>
                <w:rFonts w:ascii="宋体" w:hAnsi="宋体" w:cs="宋体"/>
                <w:color w:val="auto"/>
                <w:highlight w:val="none"/>
              </w:rPr>
            </w:pPr>
            <w:r>
              <w:rPr>
                <w:rFonts w:hint="eastAsia" w:ascii="宋体" w:hAnsi="宋体" w:cs="宋体"/>
                <w:color w:val="auto"/>
                <w:highlight w:val="none"/>
              </w:rPr>
              <w:t>逐项提供相关证明材料</w:t>
            </w:r>
          </w:p>
        </w:tc>
      </w:tr>
      <w:tr w14:paraId="2E90D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089" w:type="dxa"/>
            <w:noWrap w:val="0"/>
            <w:vAlign w:val="center"/>
          </w:tcPr>
          <w:p w14:paraId="4ADFEF67">
            <w:pPr>
              <w:widowControl/>
              <w:jc w:val="center"/>
              <w:rPr>
                <w:rFonts w:ascii="宋体" w:hAnsi="宋体" w:cs="宋体"/>
                <w:color w:val="auto"/>
                <w:highlight w:val="none"/>
              </w:rPr>
            </w:pPr>
            <w:r>
              <w:rPr>
                <w:rFonts w:hint="eastAsia" w:ascii="宋体" w:hAnsi="宋体" w:cs="宋体"/>
                <w:color w:val="auto"/>
                <w:highlight w:val="none"/>
              </w:rPr>
              <w:t>……</w:t>
            </w:r>
          </w:p>
        </w:tc>
        <w:tc>
          <w:tcPr>
            <w:tcW w:w="2946" w:type="dxa"/>
            <w:noWrap w:val="0"/>
            <w:vAlign w:val="center"/>
          </w:tcPr>
          <w:p w14:paraId="4C895AEE">
            <w:pPr>
              <w:widowControl/>
              <w:jc w:val="center"/>
              <w:rPr>
                <w:rFonts w:ascii="宋体" w:hAnsi="宋体" w:cs="宋体"/>
                <w:color w:val="auto"/>
                <w:highlight w:val="none"/>
              </w:rPr>
            </w:pPr>
            <w:r>
              <w:rPr>
                <w:rFonts w:hint="eastAsia" w:ascii="宋体" w:hAnsi="宋体" w:cs="宋体"/>
                <w:color w:val="auto"/>
                <w:highlight w:val="none"/>
              </w:rPr>
              <w:t>　</w:t>
            </w:r>
          </w:p>
        </w:tc>
        <w:tc>
          <w:tcPr>
            <w:tcW w:w="5321" w:type="dxa"/>
            <w:noWrap w:val="0"/>
            <w:vAlign w:val="center"/>
          </w:tcPr>
          <w:p w14:paraId="539CB483">
            <w:pPr>
              <w:widowControl/>
              <w:jc w:val="center"/>
              <w:rPr>
                <w:rFonts w:ascii="宋体" w:hAnsi="宋体" w:cs="宋体"/>
                <w:color w:val="auto"/>
                <w:highlight w:val="none"/>
              </w:rPr>
            </w:pPr>
            <w:r>
              <w:rPr>
                <w:rFonts w:hint="eastAsia" w:ascii="宋体" w:hAnsi="宋体" w:cs="宋体"/>
                <w:color w:val="auto"/>
                <w:highlight w:val="none"/>
              </w:rPr>
              <w:t>逐项提供相关证明材料</w:t>
            </w:r>
          </w:p>
        </w:tc>
      </w:tr>
      <w:tr w14:paraId="35014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1089" w:type="dxa"/>
            <w:shd w:val="clear" w:color="000000" w:fill="FFFF00"/>
            <w:noWrap w:val="0"/>
            <w:vAlign w:val="center"/>
          </w:tcPr>
          <w:p w14:paraId="030706D7">
            <w:pPr>
              <w:widowControl/>
              <w:jc w:val="center"/>
              <w:rPr>
                <w:rFonts w:ascii="宋体" w:hAnsi="宋体" w:cs="宋体"/>
                <w:color w:val="auto"/>
                <w:highlight w:val="none"/>
              </w:rPr>
            </w:pPr>
            <w:r>
              <w:rPr>
                <w:rFonts w:hint="eastAsia" w:ascii="宋体" w:hAnsi="宋体" w:cs="宋体"/>
                <w:color w:val="auto"/>
                <w:highlight w:val="none"/>
              </w:rPr>
              <w:t>价格折扣文件格式</w:t>
            </w:r>
          </w:p>
        </w:tc>
        <w:tc>
          <w:tcPr>
            <w:tcW w:w="2946" w:type="dxa"/>
            <w:shd w:val="clear" w:color="000000" w:fill="FFFF00"/>
            <w:noWrap w:val="0"/>
            <w:vAlign w:val="center"/>
          </w:tcPr>
          <w:p w14:paraId="321BE764">
            <w:pPr>
              <w:widowControl/>
              <w:jc w:val="center"/>
              <w:rPr>
                <w:rFonts w:ascii="宋体" w:hAnsi="宋体" w:cs="宋体"/>
                <w:color w:val="auto"/>
                <w:highlight w:val="none"/>
              </w:rPr>
            </w:pPr>
            <w:r>
              <w:rPr>
                <w:rFonts w:hint="eastAsia" w:ascii="宋体" w:hAnsi="宋体" w:cs="宋体"/>
                <w:color w:val="auto"/>
                <w:highlight w:val="none"/>
              </w:rPr>
              <w:t>小微企业声明函</w:t>
            </w:r>
          </w:p>
        </w:tc>
        <w:tc>
          <w:tcPr>
            <w:tcW w:w="5321" w:type="dxa"/>
            <w:shd w:val="clear" w:color="000000" w:fill="FFFF00"/>
            <w:noWrap w:val="0"/>
            <w:vAlign w:val="center"/>
          </w:tcPr>
          <w:p w14:paraId="23120E24">
            <w:pPr>
              <w:widowControl/>
              <w:jc w:val="left"/>
              <w:rPr>
                <w:rFonts w:ascii="宋体" w:hAnsi="宋体" w:cs="宋体"/>
                <w:color w:val="auto"/>
                <w:highlight w:val="none"/>
              </w:rPr>
            </w:pPr>
            <w:r>
              <w:rPr>
                <w:rFonts w:hint="eastAsia" w:ascii="宋体" w:hAnsi="宋体" w:cs="宋体"/>
                <w:color w:val="auto"/>
                <w:highlight w:val="none"/>
              </w:rPr>
              <w:t>属于小微企业的提供符合招标（采购）文件要求的</w:t>
            </w:r>
            <w:r>
              <w:rPr>
                <w:rFonts w:hint="eastAsia" w:ascii="宋体" w:hAnsi="宋体" w:cs="宋体"/>
                <w:b/>
                <w:bCs/>
                <w:color w:val="auto"/>
                <w:highlight w:val="none"/>
              </w:rPr>
              <w:t>《小微企业声明函》</w:t>
            </w:r>
            <w:r>
              <w:rPr>
                <w:rFonts w:hint="eastAsia" w:ascii="宋体" w:hAnsi="宋体" w:cs="宋体"/>
                <w:color w:val="auto"/>
                <w:highlight w:val="none"/>
              </w:rPr>
              <w:t>或者</w:t>
            </w:r>
            <w:r>
              <w:rPr>
                <w:rFonts w:hint="eastAsia" w:ascii="宋体" w:hAnsi="宋体" w:cs="宋体"/>
                <w:b/>
                <w:bCs/>
                <w:color w:val="auto"/>
                <w:highlight w:val="none"/>
              </w:rPr>
              <w:t>《残疾人福利性单位声明函》</w:t>
            </w:r>
            <w:r>
              <w:rPr>
                <w:rFonts w:hint="eastAsia" w:ascii="宋体" w:hAnsi="宋体" w:cs="宋体"/>
                <w:color w:val="auto"/>
                <w:highlight w:val="none"/>
              </w:rPr>
              <w:t>或者</w:t>
            </w:r>
            <w:r>
              <w:rPr>
                <w:rFonts w:hint="eastAsia" w:ascii="宋体" w:hAnsi="宋体" w:cs="宋体"/>
                <w:b/>
                <w:bCs/>
                <w:color w:val="auto"/>
                <w:highlight w:val="none"/>
              </w:rPr>
              <w:t>监狱企业证明文件</w:t>
            </w:r>
            <w:r>
              <w:rPr>
                <w:rFonts w:hint="eastAsia" w:ascii="宋体" w:hAnsi="宋体" w:cs="宋体"/>
                <w:color w:val="auto"/>
                <w:highlight w:val="none"/>
              </w:rPr>
              <w:t>。(格式见《投标（响应）文件格式》)</w:t>
            </w:r>
            <w:r>
              <w:rPr>
                <w:rFonts w:hint="eastAsia" w:ascii="宋体" w:hAnsi="宋体" w:cs="宋体"/>
                <w:b/>
                <w:bCs/>
                <w:color w:val="auto"/>
                <w:highlight w:val="none"/>
              </w:rPr>
              <w:t>（如是属于专门面向中小企业预留份额的项目，该项删除）</w:t>
            </w:r>
          </w:p>
        </w:tc>
      </w:tr>
      <w:tr w14:paraId="5586D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1089" w:type="dxa"/>
            <w:shd w:val="clear" w:color="000000" w:fill="FFFF00"/>
            <w:noWrap w:val="0"/>
            <w:vAlign w:val="center"/>
          </w:tcPr>
          <w:p w14:paraId="0734463A">
            <w:pPr>
              <w:widowControl/>
              <w:jc w:val="center"/>
              <w:rPr>
                <w:rFonts w:hint="eastAsia" w:ascii="宋体" w:hAnsi="宋体" w:eastAsia="宋体" w:cs="宋体"/>
                <w:color w:val="auto"/>
                <w:kern w:val="2"/>
                <w:sz w:val="21"/>
                <w:szCs w:val="24"/>
                <w:highlight w:val="none"/>
                <w:lang w:val="en-US" w:eastAsia="zh-CN" w:bidi="ar-SA"/>
              </w:rPr>
            </w:pPr>
            <w:r>
              <w:rPr>
                <w:rFonts w:hint="eastAsia" w:ascii="宋体" w:hAnsi="宋体" w:cs="宋体"/>
                <w:color w:val="auto"/>
                <w:highlight w:val="none"/>
              </w:rPr>
              <w:t>价格折扣文件格式</w:t>
            </w:r>
          </w:p>
        </w:tc>
        <w:tc>
          <w:tcPr>
            <w:tcW w:w="2946" w:type="dxa"/>
            <w:shd w:val="clear" w:color="000000" w:fill="FFFF00"/>
            <w:noWrap w:val="0"/>
            <w:vAlign w:val="center"/>
          </w:tcPr>
          <w:p w14:paraId="784369D4">
            <w:pPr>
              <w:widowControl/>
              <w:jc w:val="center"/>
              <w:rPr>
                <w:rFonts w:hint="eastAsia" w:ascii="宋体" w:hAnsi="宋体" w:eastAsia="宋体" w:cs="宋体"/>
                <w:color w:val="auto"/>
                <w:kern w:val="2"/>
                <w:sz w:val="21"/>
                <w:szCs w:val="24"/>
                <w:highlight w:val="none"/>
                <w:lang w:val="en-US" w:eastAsia="zh-CN" w:bidi="ar-SA"/>
              </w:rPr>
            </w:pPr>
            <w:r>
              <w:rPr>
                <w:rFonts w:hint="eastAsia" w:ascii="宋体" w:hAnsi="宋体" w:cs="宋体"/>
                <w:color w:val="auto"/>
                <w:highlight w:val="none"/>
              </w:rPr>
              <w:t>本国产品政策支持</w:t>
            </w:r>
          </w:p>
        </w:tc>
        <w:tc>
          <w:tcPr>
            <w:tcW w:w="5321" w:type="dxa"/>
            <w:shd w:val="clear" w:color="000000" w:fill="FFFF00"/>
            <w:noWrap w:val="0"/>
            <w:vAlign w:val="center"/>
          </w:tcPr>
          <w:p w14:paraId="1B96A50F">
            <w:pPr>
              <w:widowControl/>
              <w:jc w:val="left"/>
              <w:rPr>
                <w:rFonts w:hint="eastAsia" w:ascii="宋体" w:hAnsi="宋体" w:cs="宋体"/>
                <w:color w:val="auto"/>
                <w:sz w:val="21"/>
                <w:szCs w:val="21"/>
                <w:highlight w:val="none"/>
              </w:rPr>
            </w:pPr>
            <w:r>
              <w:rPr>
                <w:rFonts w:hint="eastAsia" w:ascii="宋体" w:hAnsi="宋体" w:cs="宋体"/>
                <w:color w:val="auto"/>
                <w:highlight w:val="none"/>
              </w:rPr>
              <w:t>关于对</w:t>
            </w:r>
            <w:r>
              <w:rPr>
                <w:rFonts w:hint="eastAsia" w:ascii="宋体" w:hAnsi="宋体" w:cs="宋体"/>
                <w:color w:val="auto"/>
                <w:sz w:val="21"/>
                <w:szCs w:val="21"/>
                <w:highlight w:val="none"/>
              </w:rPr>
              <w:t>采购本国产品给予政策支持，本项目：</w:t>
            </w:r>
            <w:r>
              <w:rPr>
                <w:color w:val="auto"/>
                <w:sz w:val="21"/>
                <w:szCs w:val="21"/>
                <w:highlight w:val="none"/>
              </w:rPr>
              <w:t>□</w:t>
            </w:r>
            <w:r>
              <w:rPr>
                <w:rFonts w:hint="eastAsia"/>
                <w:color w:val="auto"/>
                <w:sz w:val="21"/>
                <w:szCs w:val="21"/>
                <w:highlight w:val="none"/>
              </w:rPr>
              <w:t xml:space="preserve">适用 </w:t>
            </w:r>
            <w:r>
              <w:rPr>
                <w:b/>
                <w:color w:val="auto"/>
                <w:sz w:val="21"/>
                <w:szCs w:val="21"/>
                <w:highlight w:val="none"/>
              </w:rPr>
              <w:t>■</w:t>
            </w:r>
            <w:r>
              <w:rPr>
                <w:rFonts w:hint="eastAsia"/>
                <w:color w:val="auto"/>
                <w:sz w:val="21"/>
                <w:szCs w:val="21"/>
                <w:highlight w:val="none"/>
              </w:rPr>
              <w:t>不适用</w:t>
            </w:r>
            <w:r>
              <w:rPr>
                <w:rFonts w:hint="eastAsia" w:ascii="宋体" w:hAnsi="宋体" w:cs="宋体"/>
                <w:color w:val="auto"/>
                <w:sz w:val="21"/>
                <w:szCs w:val="21"/>
                <w:highlight w:val="none"/>
              </w:rPr>
              <w:t>。</w:t>
            </w:r>
          </w:p>
          <w:p w14:paraId="3F2F8FE2">
            <w:pPr>
              <w:widowControl/>
              <w:jc w:val="left"/>
              <w:rPr>
                <w:rFonts w:hint="eastAsia" w:ascii="宋体" w:hAnsi="宋体" w:eastAsia="宋体" w:cs="宋体"/>
                <w:color w:val="auto"/>
                <w:kern w:val="2"/>
                <w:sz w:val="21"/>
                <w:szCs w:val="24"/>
                <w:highlight w:val="none"/>
                <w:lang w:val="en-US" w:eastAsia="zh-CN" w:bidi="ar-SA"/>
              </w:rPr>
            </w:pPr>
            <w:r>
              <w:rPr>
                <w:rFonts w:hint="eastAsia" w:ascii="宋体" w:hAnsi="宋体" w:cs="宋体"/>
                <w:color w:val="auto"/>
                <w:sz w:val="21"/>
                <w:szCs w:val="21"/>
                <w:highlight w:val="none"/>
              </w:rPr>
              <w:t>在填写《关于符合</w:t>
            </w:r>
            <w:r>
              <w:rPr>
                <w:rFonts w:hint="eastAsia" w:ascii="宋体" w:hAnsi="宋体" w:cs="宋体"/>
                <w:color w:val="auto"/>
                <w:highlight w:val="none"/>
              </w:rPr>
              <w:t>本国产品标准的声明函》时，如未提供声明函、信息填写错误、未完整填报或不符合《关于在政府采购中实施本国产品标准及相关政策的通知》要求的，则会导致报价不作相应扣除。</w:t>
            </w:r>
          </w:p>
        </w:tc>
      </w:tr>
      <w:bookmarkEnd w:id="914"/>
    </w:tbl>
    <w:p w14:paraId="2FD17287">
      <w:pPr>
        <w:pStyle w:val="15"/>
        <w:tabs>
          <w:tab w:val="left" w:pos="567"/>
        </w:tabs>
        <w:rPr>
          <w:color w:val="auto"/>
          <w:highlight w:val="none"/>
        </w:rPr>
      </w:pPr>
    </w:p>
    <w:p w14:paraId="463338FB">
      <w:pPr>
        <w:widowControl/>
        <w:jc w:val="left"/>
        <w:rPr>
          <w:b/>
          <w:color w:val="auto"/>
          <w:sz w:val="36"/>
          <w:szCs w:val="36"/>
          <w:highlight w:val="none"/>
        </w:rPr>
      </w:pPr>
    </w:p>
    <w:bookmarkEnd w:id="918"/>
    <w:sectPr>
      <w:headerReference r:id="rId15" w:type="first"/>
      <w:footerReference r:id="rId17" w:type="first"/>
      <w:headerReference r:id="rId14" w:type="even"/>
      <w:footerReference r:id="rId16" w:type="even"/>
      <w:pgSz w:w="11906" w:h="16838"/>
      <w:pgMar w:top="1276" w:right="1274" w:bottom="1276" w:left="1276" w:header="851" w:footer="313" w:gutter="0"/>
      <w:pgNumType w:fmt="decimal"/>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F8FEED3-2E25-46D4-83C4-D4656BEF564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5ED402BB-2245-402F-AC7B-A3DE51BEB186}"/>
  </w:font>
  <w:font w:name="华文中宋">
    <w:panose1 w:val="02010600040101010101"/>
    <w:charset w:val="86"/>
    <w:family w:val="auto"/>
    <w:pitch w:val="default"/>
    <w:sig w:usb0="00000287" w:usb1="080F0000" w:usb2="00000000" w:usb3="00000000" w:csb0="0004009F" w:csb1="DFD70000"/>
    <w:embedRegular r:id="rId3" w:fontKey="{0956322F-CD74-4410-A551-670BD7AAD03E}"/>
  </w:font>
  <w:font w:name="仿宋_GB2312">
    <w:altName w:val="仿宋"/>
    <w:panose1 w:val="00000000000000000000"/>
    <w:charset w:val="86"/>
    <w:family w:val="auto"/>
    <w:pitch w:val="default"/>
    <w:sig w:usb0="00000000" w:usb1="00000000" w:usb2="00000000" w:usb3="00000000" w:csb0="00040000" w:csb1="00000000"/>
    <w:embedRegular r:id="rId4" w:fontKey="{ACB12905-A11C-420A-A06B-05522D809C64}"/>
  </w:font>
  <w:font w:name="仿宋">
    <w:panose1 w:val="02010609060101010101"/>
    <w:charset w:val="86"/>
    <w:family w:val="modern"/>
    <w:pitch w:val="default"/>
    <w:sig w:usb0="800002BF" w:usb1="38CF7CFA" w:usb2="00000016" w:usb3="00000000" w:csb0="00040001" w:csb1="00000000"/>
    <w:embedRegular r:id="rId5" w:fontKey="{93A296F2-D067-4B05-838D-C0E99EC179D7}"/>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00"/>
    <w:family w:val="auto"/>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embedRegular r:id="rId6" w:fontKey="{13C96A41-0C13-4C43-BF2C-D5E8EA4F0D8F}"/>
  </w:font>
  <w:font w:name="Century Gothic">
    <w:panose1 w:val="020B0502020202020204"/>
    <w:charset w:val="00"/>
    <w:family w:val="swiss"/>
    <w:pitch w:val="default"/>
    <w:sig w:usb0="00000287" w:usb1="00000000" w:usb2="00000000" w:usb3="00000000" w:csb0="2000009F" w:csb1="DFD70000"/>
  </w:font>
  <w:font w:name="华文楷体">
    <w:panose1 w:val="02010600040101010101"/>
    <w:charset w:val="86"/>
    <w:family w:val="auto"/>
    <w:pitch w:val="default"/>
    <w:sig w:usb0="00000287" w:usb1="080F0000" w:usb2="00000000" w:usb3="00000000" w:csb0="0004009F" w:csb1="DFD70000"/>
  </w:font>
  <w:font w:name="方正黑体_GBK">
    <w:altName w:val="微软雅黑"/>
    <w:panose1 w:val="00000000000000000000"/>
    <w:charset w:val="00"/>
    <w:family w:val="auto"/>
    <w:pitch w:val="default"/>
    <w:sig w:usb0="00000000" w:usb1="00000000" w:usb2="00000000" w:usb3="00000000" w:csb0="00040001" w:csb1="00000000"/>
  </w:font>
  <w:font w:name="CESI黑体-GB2312">
    <w:altName w:val="黑体"/>
    <w:panose1 w:val="00000000000000000000"/>
    <w:charset w:val="86"/>
    <w:family w:val="auto"/>
    <w:pitch w:val="default"/>
    <w:sig w:usb0="00000000" w:usb1="00000000" w:usb2="00000012" w:usb3="00000000" w:csb0="0004000F" w:csb1="00000000"/>
    <w:embedRegular r:id="rId7" w:fontKey="{72008A08-B158-4E4C-AB3D-D811F4E2B90E}"/>
  </w:font>
  <w:font w:name="MS Gothic">
    <w:panose1 w:val="020B0609070205080204"/>
    <w:charset w:val="80"/>
    <w:family w:val="modern"/>
    <w:pitch w:val="default"/>
    <w:sig w:usb0="E00002FF" w:usb1="6AC7FDFB" w:usb2="08000012" w:usb3="00000000" w:csb0="4002009F" w:csb1="DFD70000"/>
    <w:embedRegular r:id="rId8" w:fontKey="{C40870D2-F899-4B26-A7E2-5C37D1E71D09}"/>
  </w:font>
  <w:font w:name="新宋体">
    <w:panose1 w:val="02010609030101010101"/>
    <w:charset w:val="86"/>
    <w:family w:val="auto"/>
    <w:pitch w:val="default"/>
    <w:sig w:usb0="00000203" w:usb1="288F0000" w:usb2="00000006" w:usb3="00000000" w:csb0="00040001" w:csb1="00000000"/>
    <w:embedRegular r:id="rId9" w:fontKey="{6A12C511-C891-429B-8468-0D464525384A}"/>
  </w:font>
  <w:font w:name="Segoe UI Symbol">
    <w:panose1 w:val="020B0502040204020203"/>
    <w:charset w:val="00"/>
    <w:family w:val="swiss"/>
    <w:pitch w:val="default"/>
    <w:sig w:usb0="800001E3" w:usb1="1200FFEF" w:usb2="00040000" w:usb3="04000000" w:csb0="00000001" w:csb1="40000000"/>
    <w:embedRegular r:id="rId10" w:fontKey="{C43A1AF0-C1B0-40C9-BD06-7F721E7EF7DD}"/>
  </w:font>
  <w:font w:name="方正小标宋简体">
    <w:panose1 w:val="02000000000000000000"/>
    <w:charset w:val="86"/>
    <w:family w:val="auto"/>
    <w:pitch w:val="default"/>
    <w:sig w:usb0="00000001" w:usb1="08000000" w:usb2="00000000" w:usb3="00000000" w:csb0="00040000" w:csb1="00000000"/>
    <w:embedRegular r:id="rId11" w:fontKey="{85EC60D1-8576-48D7-B15D-858FD94CBF99}"/>
  </w:font>
  <w:font w:name="Cambria Math">
    <w:panose1 w:val="02040503050406030204"/>
    <w:charset w:val="00"/>
    <w:family w:val="roman"/>
    <w:pitch w:val="default"/>
    <w:sig w:usb0="E00006FF" w:usb1="420024FF" w:usb2="02000000" w:usb3="00000000" w:csb0="2000019F" w:csb1="00000000"/>
    <w:embedRegular r:id="rId12" w:fontKey="{9CE09860-AF63-443F-949F-8E73E3DAC561}"/>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C3D28B">
    <w:pPr>
      <w:pStyle w:val="240"/>
      <w:jc w:val="center"/>
    </w:pPr>
  </w:p>
  <w:p w14:paraId="31B15AAD">
    <w:pPr>
      <w:pStyle w:val="24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5B07A1">
    <w:pPr>
      <w:pStyle w:val="240"/>
      <w:tabs>
        <w:tab w:val="left" w:pos="3900"/>
        <w:tab w:val="center" w:pos="4960"/>
      </w:tabs>
      <w:rPr>
        <w:rFonts w:ascii="Calibri" w:hAnsi="Calibri"/>
        <w:sz w:val="21"/>
        <w:szCs w:val="22"/>
      </w:rPr>
    </w:pPr>
    <w:r>
      <w:rPr>
        <w:sz w:val="21"/>
      </w:rPr>
      <w:pict>
        <v:shape id="_x0000_s3081" o:spid="_x0000_s3081"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4CE00D4C">
                <w:pPr>
                  <w:pStyle w:val="23"/>
                </w:pPr>
                <w:r>
                  <w:fldChar w:fldCharType="begin"/>
                </w:r>
                <w:r>
                  <w:instrText xml:space="preserve"> PAGE  \* MERGEFORMAT </w:instrText>
                </w:r>
                <w:r>
                  <w:fldChar w:fldCharType="separate"/>
                </w:r>
                <w:r>
                  <w:t>1</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A901FA">
    <w:pPr>
      <w:pStyle w:val="240"/>
      <w:tabs>
        <w:tab w:val="left" w:pos="3900"/>
        <w:tab w:val="center" w:pos="4960"/>
      </w:tabs>
      <w:rPr>
        <w:rFonts w:ascii="Calibri" w:hAnsi="Calibri"/>
        <w:sz w:val="21"/>
        <w:szCs w:val="22"/>
      </w:rPr>
    </w:pPr>
    <w:r>
      <w:rPr>
        <w:sz w:val="21"/>
      </w:rPr>
      <w:pict>
        <v:shape id="_x0000_s3082" o:spid="_x0000_s3082"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14:paraId="7A96562A">
                <w:pPr>
                  <w:pStyle w:val="23"/>
                </w:pPr>
                <w:r>
                  <w:fldChar w:fldCharType="begin"/>
                </w:r>
                <w:r>
                  <w:instrText xml:space="preserve"> PAGE  \* MERGEFORMAT </w:instrText>
                </w:r>
                <w:r>
                  <w:fldChar w:fldCharType="separate"/>
                </w:r>
                <w:r>
                  <w:t>1</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C91E16">
    <w:pPr>
      <w:pStyle w:val="23"/>
      <w:tabs>
        <w:tab w:val="center" w:pos="4153"/>
        <w:tab w:val="right" w:pos="8306"/>
        <w:tab w:val="clear" w:pos="7143"/>
        <w:tab w:val="clear" w:pos="14287"/>
      </w:tabs>
      <w:rPr>
        <w:rStyle w:val="41"/>
      </w:rPr>
    </w:pPr>
    <w:r>
      <w:rPr>
        <w:rStyle w:val="41"/>
      </w:rPr>
      <w:fldChar w:fldCharType="begin"/>
    </w:r>
    <w:r>
      <w:rPr>
        <w:rStyle w:val="41"/>
      </w:rPr>
      <w:instrText xml:space="preserve">PAGE  </w:instrText>
    </w:r>
    <w:r>
      <w:rPr>
        <w:rStyle w:val="41"/>
      </w:rPr>
      <w:fldChar w:fldCharType="end"/>
    </w:r>
  </w:p>
  <w:p w14:paraId="0D9405FD">
    <w:pPr>
      <w:pStyle w:val="23"/>
      <w:tabs>
        <w:tab w:val="center" w:pos="4153"/>
        <w:tab w:val="right" w:pos="8306"/>
        <w:tab w:val="clear" w:pos="7143"/>
        <w:tab w:val="clear" w:pos="14287"/>
      </w:tabs>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6E1B64">
    <w:pPr>
      <w:pStyle w:val="23"/>
      <w:tabs>
        <w:tab w:val="center" w:pos="4153"/>
        <w:tab w:val="right" w:pos="8306"/>
        <w:tab w:val="clear" w:pos="7143"/>
        <w:tab w:val="clear" w:pos="14287"/>
      </w:tabs>
    </w:pPr>
    <w:r>
      <w:rPr>
        <w:sz w:val="21"/>
      </w:rPr>
      <w:pict>
        <v:shape id="_x0000_s3083" o:spid="_x0000_s3083"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p w14:paraId="04F4DAFB">
                <w:pPr>
                  <w:pStyle w:val="23"/>
                </w:pPr>
                <w:r>
                  <w:fldChar w:fldCharType="begin"/>
                </w:r>
                <w:r>
                  <w:instrText xml:space="preserve"> PAGE  \* MERGEFORMAT </w:instrText>
                </w:r>
                <w:r>
                  <w:fldChar w:fldCharType="separate"/>
                </w:r>
                <w:r>
                  <w:t>40</w:t>
                </w:r>
                <w: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679E5A">
    <w:pPr>
      <w:pStyle w:val="240"/>
      <w:jc w:val="center"/>
      <w:rPr>
        <w:sz w:val="21"/>
        <w:szCs w:val="21"/>
      </w:rPr>
    </w:pPr>
    <w:r>
      <w:rPr>
        <w:sz w:val="21"/>
      </w:rPr>
      <w:pict>
        <v:shape id="_x0000_s3084" o:spid="_x0000_s3084" o:spt="202" type="#_x0000_t202" style="position:absolute;left:0pt;margin-top:0pt;height:144pt;width:144pt;mso-position-horizontal:center;mso-position-horizontal-relative:margin;mso-wrap-style:none;z-index:251663360;mso-width-relative:page;mso-height-relative:page;" filled="f" stroked="f" coordsize="21600,21600">
          <v:path/>
          <v:fill on="f" focussize="0,0"/>
          <v:stroke on="f"/>
          <v:imagedata o:title=""/>
          <o:lock v:ext="edit" aspectratio="f"/>
          <v:textbox inset="0mm,0mm,0mm,0mm" style="mso-fit-shape-to-text:t;">
            <w:txbxContent>
              <w:p w14:paraId="5C835978">
                <w:pPr>
                  <w:pStyle w:val="23"/>
                </w:pPr>
                <w:r>
                  <w:fldChar w:fldCharType="begin"/>
                </w:r>
                <w:r>
                  <w:instrText xml:space="preserve"> PAGE  \* MERGEFORMAT </w:instrText>
                </w:r>
                <w:r>
                  <w:fldChar w:fldCharType="separate"/>
                </w:r>
                <w:r>
                  <w:t>50</w:t>
                </w:r>
                <w:r>
                  <w:fldChar w:fldCharType="end"/>
                </w:r>
              </w:p>
            </w:txbxContent>
          </v:textbox>
        </v:shape>
      </w:pict>
    </w:r>
  </w:p>
  <w:p w14:paraId="71763176">
    <w:pPr>
      <w:pStyle w:val="24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171A52">
    <w:pPr>
      <w:pStyle w:val="240"/>
      <w:framePr w:wrap="around" w:vAnchor="text" w:hAnchor="margin" w:xAlign="right" w:y="1"/>
      <w:rPr>
        <w:rStyle w:val="264"/>
      </w:rPr>
    </w:pPr>
    <w:r>
      <w:rPr>
        <w:rStyle w:val="264"/>
      </w:rPr>
      <w:fldChar w:fldCharType="begin"/>
    </w:r>
    <w:r>
      <w:rPr>
        <w:rStyle w:val="264"/>
      </w:rPr>
      <w:instrText xml:space="preserve">PAGE  </w:instrText>
    </w:r>
    <w:r>
      <w:rPr>
        <w:rStyle w:val="264"/>
      </w:rPr>
      <w:fldChar w:fldCharType="end"/>
    </w:r>
  </w:p>
  <w:p w14:paraId="3791ED38">
    <w:pPr>
      <w:pStyle w:val="240"/>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DB2027">
    <w:pPr>
      <w:pStyle w:val="24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15C7B8">
    <w:pPr>
      <w:pStyle w:val="240"/>
      <w:framePr w:wrap="around" w:vAnchor="text" w:hAnchor="margin" w:xAlign="right" w:y="1"/>
      <w:rPr>
        <w:rStyle w:val="264"/>
      </w:rPr>
    </w:pPr>
    <w:r>
      <w:rPr>
        <w:rStyle w:val="264"/>
      </w:rPr>
      <w:fldChar w:fldCharType="begin"/>
    </w:r>
    <w:r>
      <w:rPr>
        <w:rStyle w:val="264"/>
      </w:rPr>
      <w:instrText xml:space="preserve">PAGE  </w:instrText>
    </w:r>
    <w:r>
      <w:rPr>
        <w:rStyle w:val="264"/>
      </w:rPr>
      <w:fldChar w:fldCharType="end"/>
    </w:r>
  </w:p>
  <w:p w14:paraId="07E47FC7">
    <w:pPr>
      <w:pStyle w:val="240"/>
      <w:ind w:right="360"/>
    </w:pPr>
  </w:p>
  <w:p w14:paraId="592ECBC0"/>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2A43DB">
    <w:pPr>
      <w:pStyle w:val="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A0D53B">
    <w:pPr>
      <w:pStyle w:val="242"/>
      <w:jc w:val="both"/>
    </w:pPr>
    <w:r>
      <w:pict>
        <v:shape id="图片 1" o:spid="_x0000_s3076" o:spt="75" type="#_x0000_t75" style="position:absolute;left:0pt;margin-left:147.4pt;margin-top:-8.3pt;height:16.1pt;width:158.8pt;mso-wrap-distance-bottom:0pt;mso-wrap-distance-top:0pt;z-index:251659264;mso-width-relative:page;mso-height-relative:page;" filled="f" o:preferrelative="t" stroked="f" coordsize="21600,21600">
          <v:path/>
          <v:fill on="f" focussize="0,0"/>
          <v:stroke on="f" joinstyle="miter"/>
          <v:imagedata r:id="rId1" o:title=""/>
          <o:lock v:ext="edit" aspectratio="t"/>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6AFF2">
    <w:pPr>
      <w:pStyle w:val="24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8E9C9A">
    <w:pPr>
      <w:pStyle w:val="242"/>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C5ED5A">
    <w:pPr>
      <w:pStyle w:val="242"/>
    </w:pPr>
  </w:p>
  <w:p w14:paraId="5BF4961A"/>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626FA5">
    <w:pPr>
      <w:pStyle w:val="24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AEB125"/>
    <w:multiLevelType w:val="multilevel"/>
    <w:tmpl w:val="8CAEB125"/>
    <w:lvl w:ilvl="0" w:tentative="0">
      <w:start w:val="1"/>
      <w:numFmt w:val="decimal"/>
      <w:pStyle w:val="299"/>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D7D140E4"/>
    <w:multiLevelType w:val="multilevel"/>
    <w:tmpl w:val="D7D140E4"/>
    <w:lvl w:ilvl="0" w:tentative="0">
      <w:start w:val="1"/>
      <w:numFmt w:val="decimal"/>
      <w:lvlText w:val="%1"/>
      <w:lvlJc w:val="left"/>
      <w:pPr>
        <w:tabs>
          <w:tab w:val="left" w:pos="1184"/>
        </w:tabs>
        <w:ind w:left="1184" w:hanging="900"/>
      </w:pPr>
      <w:rPr>
        <w:rFonts w:hint="eastAsia"/>
      </w:rPr>
    </w:lvl>
    <w:lvl w:ilvl="1" w:tentative="0">
      <w:start w:val="1"/>
      <w:numFmt w:val="decimal"/>
      <w:lvlText w:val="%1.%2"/>
      <w:lvlJc w:val="left"/>
      <w:pPr>
        <w:tabs>
          <w:tab w:val="left" w:pos="1731"/>
        </w:tabs>
        <w:ind w:left="1610" w:hanging="900"/>
      </w:pPr>
      <w:rPr>
        <w:rFonts w:ascii="Times New Roman" w:hAnsi="Times New Roman" w:cs="Times New Roman"/>
        <w:sz w:val="24"/>
        <w:szCs w:val="24"/>
      </w:rPr>
    </w:lvl>
    <w:lvl w:ilvl="2" w:tentative="0">
      <w:start w:val="1"/>
      <w:numFmt w:val="decimal"/>
      <w:lvlText w:val="%1.%2.%3"/>
      <w:lvlJc w:val="left"/>
      <w:pPr>
        <w:tabs>
          <w:tab w:val="left" w:pos="2264"/>
        </w:tabs>
        <w:ind w:left="2264" w:hanging="900"/>
      </w:pPr>
      <w:rPr>
        <w:rFonts w:hint="eastAsia"/>
      </w:rPr>
    </w:lvl>
    <w:lvl w:ilvl="3" w:tentative="0">
      <w:start w:val="1"/>
      <w:numFmt w:val="decimal"/>
      <w:lvlText w:val="%1.%2.%3.%4"/>
      <w:lvlJc w:val="left"/>
      <w:pPr>
        <w:tabs>
          <w:tab w:val="left" w:pos="1184"/>
        </w:tabs>
        <w:ind w:left="1184" w:hanging="900"/>
      </w:pPr>
      <w:rPr>
        <w:rFonts w:hint="eastAsia"/>
      </w:rPr>
    </w:lvl>
    <w:lvl w:ilvl="4" w:tentative="0">
      <w:start w:val="1"/>
      <w:numFmt w:val="decimal"/>
      <w:lvlText w:val="%1.%2.%3.%4.%5"/>
      <w:lvlJc w:val="left"/>
      <w:pPr>
        <w:tabs>
          <w:tab w:val="left" w:pos="1184"/>
        </w:tabs>
        <w:ind w:left="1184" w:hanging="900"/>
      </w:pPr>
      <w:rPr>
        <w:rFonts w:hint="eastAsia"/>
      </w:rPr>
    </w:lvl>
    <w:lvl w:ilvl="5" w:tentative="0">
      <w:start w:val="1"/>
      <w:numFmt w:val="decimal"/>
      <w:lvlText w:val="%1.%2.%3.%4.%5.%6"/>
      <w:lvlJc w:val="left"/>
      <w:pPr>
        <w:tabs>
          <w:tab w:val="left" w:pos="1184"/>
        </w:tabs>
        <w:ind w:left="1184" w:hanging="900"/>
      </w:pPr>
      <w:rPr>
        <w:rFonts w:hint="eastAsia"/>
      </w:rPr>
    </w:lvl>
    <w:lvl w:ilvl="6" w:tentative="0">
      <w:start w:val="1"/>
      <w:numFmt w:val="decimal"/>
      <w:lvlText w:val="%1.%2.%3.%4.%5.%6.%7"/>
      <w:lvlJc w:val="left"/>
      <w:pPr>
        <w:tabs>
          <w:tab w:val="left" w:pos="1184"/>
        </w:tabs>
        <w:ind w:left="1184" w:hanging="900"/>
      </w:pPr>
      <w:rPr>
        <w:rFonts w:hint="eastAsia"/>
      </w:rPr>
    </w:lvl>
    <w:lvl w:ilvl="7" w:tentative="0">
      <w:start w:val="1"/>
      <w:numFmt w:val="decimal"/>
      <w:lvlText w:val="%1.%2.%3.%4.%5.%6.%7.%8"/>
      <w:lvlJc w:val="left"/>
      <w:pPr>
        <w:tabs>
          <w:tab w:val="left" w:pos="1184"/>
        </w:tabs>
        <w:ind w:left="1184" w:hanging="900"/>
      </w:pPr>
      <w:rPr>
        <w:rFonts w:hint="eastAsia"/>
      </w:rPr>
    </w:lvl>
    <w:lvl w:ilvl="8" w:tentative="0">
      <w:start w:val="1"/>
      <w:numFmt w:val="decimal"/>
      <w:lvlText w:val="%1.%2.%3.%4.%5.%6.%7.%8.%9"/>
      <w:lvlJc w:val="left"/>
      <w:pPr>
        <w:tabs>
          <w:tab w:val="left" w:pos="1184"/>
        </w:tabs>
        <w:ind w:left="1184" w:hanging="900"/>
      </w:pPr>
      <w:rPr>
        <w:rFonts w:hint="eastAsia"/>
      </w:rPr>
    </w:lvl>
  </w:abstractNum>
  <w:abstractNum w:abstractNumId="2">
    <w:nsid w:val="F0E89278"/>
    <w:multiLevelType w:val="multilevel"/>
    <w:tmpl w:val="F0E8927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3">
    <w:nsid w:val="00000029"/>
    <w:multiLevelType w:val="multilevel"/>
    <w:tmpl w:val="00000029"/>
    <w:lvl w:ilvl="0" w:tentative="0">
      <w:start w:val="1"/>
      <w:numFmt w:val="decimal"/>
      <w:lvlText w:val="%1"/>
      <w:lvlJc w:val="left"/>
      <w:pPr>
        <w:tabs>
          <w:tab w:val="left" w:pos="1184"/>
        </w:tabs>
        <w:ind w:left="1184" w:hanging="900"/>
      </w:pPr>
      <w:rPr>
        <w:rFonts w:hint="eastAsia"/>
      </w:rPr>
    </w:lvl>
    <w:lvl w:ilvl="1" w:tentative="0">
      <w:start w:val="1"/>
      <w:numFmt w:val="decimal"/>
      <w:lvlText w:val="%1.%2"/>
      <w:lvlJc w:val="left"/>
      <w:pPr>
        <w:tabs>
          <w:tab w:val="left" w:pos="1731"/>
        </w:tabs>
        <w:ind w:left="1610" w:hanging="900"/>
      </w:pPr>
      <w:rPr>
        <w:rFonts w:hint="default" w:ascii="Times New Roman" w:hAnsi="Times New Roman" w:cs="Times New Roman"/>
        <w:sz w:val="24"/>
        <w:szCs w:val="24"/>
      </w:rPr>
    </w:lvl>
    <w:lvl w:ilvl="2" w:tentative="0">
      <w:start w:val="1"/>
      <w:numFmt w:val="decimal"/>
      <w:lvlText w:val="%1.%2.%3"/>
      <w:lvlJc w:val="left"/>
      <w:pPr>
        <w:tabs>
          <w:tab w:val="left" w:pos="2264"/>
        </w:tabs>
        <w:ind w:left="2264" w:hanging="900"/>
      </w:pPr>
      <w:rPr>
        <w:rFonts w:hint="eastAsia"/>
      </w:rPr>
    </w:lvl>
    <w:lvl w:ilvl="3" w:tentative="0">
      <w:start w:val="1"/>
      <w:numFmt w:val="decimal"/>
      <w:lvlText w:val="%1.%2.%3.%4"/>
      <w:lvlJc w:val="left"/>
      <w:pPr>
        <w:tabs>
          <w:tab w:val="left" w:pos="1184"/>
        </w:tabs>
        <w:ind w:left="1184" w:hanging="900"/>
      </w:pPr>
      <w:rPr>
        <w:rFonts w:hint="eastAsia"/>
      </w:rPr>
    </w:lvl>
    <w:lvl w:ilvl="4" w:tentative="0">
      <w:start w:val="1"/>
      <w:numFmt w:val="decimal"/>
      <w:lvlText w:val="%1.%2.%3.%4.%5"/>
      <w:lvlJc w:val="left"/>
      <w:pPr>
        <w:tabs>
          <w:tab w:val="left" w:pos="1184"/>
        </w:tabs>
        <w:ind w:left="1184" w:hanging="900"/>
      </w:pPr>
      <w:rPr>
        <w:rFonts w:hint="eastAsia"/>
      </w:rPr>
    </w:lvl>
    <w:lvl w:ilvl="5" w:tentative="0">
      <w:start w:val="1"/>
      <w:numFmt w:val="decimal"/>
      <w:lvlText w:val="%1.%2.%3.%4.%5.%6"/>
      <w:lvlJc w:val="left"/>
      <w:pPr>
        <w:tabs>
          <w:tab w:val="left" w:pos="1184"/>
        </w:tabs>
        <w:ind w:left="1184" w:hanging="900"/>
      </w:pPr>
      <w:rPr>
        <w:rFonts w:hint="eastAsia"/>
      </w:rPr>
    </w:lvl>
    <w:lvl w:ilvl="6" w:tentative="0">
      <w:start w:val="1"/>
      <w:numFmt w:val="decimal"/>
      <w:lvlText w:val="%1.%2.%3.%4.%5.%6.%7"/>
      <w:lvlJc w:val="left"/>
      <w:pPr>
        <w:tabs>
          <w:tab w:val="left" w:pos="1184"/>
        </w:tabs>
        <w:ind w:left="1184" w:hanging="900"/>
      </w:pPr>
      <w:rPr>
        <w:rFonts w:hint="eastAsia"/>
      </w:rPr>
    </w:lvl>
    <w:lvl w:ilvl="7" w:tentative="0">
      <w:start w:val="1"/>
      <w:numFmt w:val="decimal"/>
      <w:lvlText w:val="%1.%2.%3.%4.%5.%6.%7.%8"/>
      <w:lvlJc w:val="left"/>
      <w:pPr>
        <w:tabs>
          <w:tab w:val="left" w:pos="1184"/>
        </w:tabs>
        <w:ind w:left="1184" w:hanging="900"/>
      </w:pPr>
      <w:rPr>
        <w:rFonts w:hint="eastAsia"/>
      </w:rPr>
    </w:lvl>
    <w:lvl w:ilvl="8" w:tentative="0">
      <w:start w:val="1"/>
      <w:numFmt w:val="decimal"/>
      <w:lvlText w:val="%1.%2.%3.%4.%5.%6.%7.%8.%9"/>
      <w:lvlJc w:val="left"/>
      <w:pPr>
        <w:tabs>
          <w:tab w:val="left" w:pos="1184"/>
        </w:tabs>
        <w:ind w:left="1184" w:hanging="900"/>
      </w:pPr>
      <w:rPr>
        <w:rFonts w:hint="eastAsia"/>
      </w:rPr>
    </w:lvl>
  </w:abstractNum>
  <w:abstractNum w:abstractNumId="4">
    <w:nsid w:val="0709FD3E"/>
    <w:multiLevelType w:val="multilevel"/>
    <w:tmpl w:val="0709FD3E"/>
    <w:lvl w:ilvl="0" w:tentative="0">
      <w:start w:val="1"/>
      <w:numFmt w:val="decimal"/>
      <w:pStyle w:val="444"/>
      <w:lvlText w:val="表%1  "/>
      <w:lvlJc w:val="center"/>
      <w:pPr>
        <w:tabs>
          <w:tab w:val="left" w:pos="0"/>
        </w:tabs>
        <w:ind w:left="0" w:firstLine="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CEF100B"/>
    <w:multiLevelType w:val="multilevel"/>
    <w:tmpl w:val="0CEF100B"/>
    <w:lvl w:ilvl="0" w:tentative="0">
      <w:start w:val="1"/>
      <w:numFmt w:val="bullet"/>
      <w:pStyle w:val="447"/>
      <w:lvlText w:val=""/>
      <w:lvlJc w:val="left"/>
      <w:pPr>
        <w:tabs>
          <w:tab w:val="left" w:pos="927"/>
        </w:tabs>
        <w:ind w:left="851" w:hanging="284"/>
      </w:pPr>
      <w:rPr>
        <w:rFonts w:ascii="Wingdings" w:hAnsi="Wingdings"/>
        <w:sz w:val="21"/>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1ACDE60F"/>
    <w:multiLevelType w:val="multilevel"/>
    <w:tmpl w:val="1ACDE60F"/>
    <w:lvl w:ilvl="0" w:tentative="0">
      <w:start w:val="1"/>
      <w:numFmt w:val="decimal"/>
      <w:pStyle w:val="294"/>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293"/>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30"/>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29"/>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38"/>
      <w:suff w:val="nothing"/>
      <w:lvlText w:val="%1.%2.%3.%4.%5.%6　"/>
      <w:lvlJc w:val="left"/>
      <w:pPr>
        <w:ind w:left="-25" w:firstLine="0"/>
      </w:pPr>
      <w:rPr>
        <w:rFonts w:ascii="Times New Roman" w:hAnsi="Times New Roman" w:eastAsia="宋体"/>
        <w:b/>
        <w:i w:val="0"/>
        <w:sz w:val="28"/>
      </w:rPr>
    </w:lvl>
    <w:lvl w:ilvl="6" w:tentative="0">
      <w:start w:val="1"/>
      <w:numFmt w:val="lowerLetter"/>
      <w:pStyle w:val="351"/>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314"/>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7">
    <w:nsid w:val="1C257C7B"/>
    <w:multiLevelType w:val="multilevel"/>
    <w:tmpl w:val="1C257C7B"/>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1F4283D2"/>
    <w:multiLevelType w:val="singleLevel"/>
    <w:tmpl w:val="1F4283D2"/>
    <w:lvl w:ilvl="0" w:tentative="0">
      <w:start w:val="2"/>
      <w:numFmt w:val="chineseCounting"/>
      <w:suff w:val="nothing"/>
      <w:lvlText w:val="%1、"/>
      <w:lvlJc w:val="left"/>
      <w:rPr>
        <w:rFonts w:hint="eastAsia"/>
      </w:rPr>
    </w:lvl>
  </w:abstractNum>
  <w:abstractNum w:abstractNumId="9">
    <w:nsid w:val="322D85CA"/>
    <w:multiLevelType w:val="multilevel"/>
    <w:tmpl w:val="322D85CA"/>
    <w:lvl w:ilvl="0" w:tentative="0">
      <w:start w:val="1"/>
      <w:numFmt w:val="lowerLetter"/>
      <w:pStyle w:val="375"/>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10">
    <w:nsid w:val="32A7AF2D"/>
    <w:multiLevelType w:val="multilevel"/>
    <w:tmpl w:val="32A7AF2D"/>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1">
    <w:nsid w:val="4C3D7A74"/>
    <w:multiLevelType w:val="multilevel"/>
    <w:tmpl w:val="4C3D7A74"/>
    <w:lvl w:ilvl="0" w:tentative="0">
      <w:start w:val="1"/>
      <w:numFmt w:val="decimal"/>
      <w:pStyle w:val="345"/>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5FFFB1A7"/>
    <w:multiLevelType w:val="multilevel"/>
    <w:tmpl w:val="5FFFB1A7"/>
    <w:lvl w:ilvl="0" w:tentative="0">
      <w:start w:val="1"/>
      <w:numFmt w:val="decimal"/>
      <w:pStyle w:val="300"/>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65CD0074"/>
    <w:multiLevelType w:val="multilevel"/>
    <w:tmpl w:val="65CD0074"/>
    <w:lvl w:ilvl="0" w:tentative="0">
      <w:start w:val="1"/>
      <w:numFmt w:val="decimal"/>
      <w:pStyle w:val="400"/>
      <w:lvlText w:val="%1"/>
      <w:lvlJc w:val="left"/>
      <w:pPr>
        <w:ind w:left="680" w:hanging="680"/>
      </w:pPr>
      <w:rPr>
        <w:rFonts w:hint="eastAsia" w:ascii="宋体" w:hAnsi="宋体" w:eastAsia="宋体"/>
      </w:rPr>
    </w:lvl>
    <w:lvl w:ilvl="1" w:tentative="0">
      <w:start w:val="1"/>
      <w:numFmt w:val="decimal"/>
      <w:pStyle w:val="401"/>
      <w:lvlText w:val="%1.%2"/>
      <w:lvlJc w:val="left"/>
      <w:pPr>
        <w:ind w:left="851" w:hanging="851"/>
      </w:pPr>
      <w:rPr>
        <w:rFonts w:hint="eastAsia" w:ascii="宋体" w:hAnsi="宋体" w:eastAsia="宋体"/>
        <w:color w:val="000000"/>
      </w:rPr>
    </w:lvl>
    <w:lvl w:ilvl="2" w:tentative="0">
      <w:start w:val="1"/>
      <w:numFmt w:val="decimal"/>
      <w:pStyle w:val="40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4">
    <w:nsid w:val="74C28B35"/>
    <w:multiLevelType w:val="multilevel"/>
    <w:tmpl w:val="74C28B35"/>
    <w:lvl w:ilvl="0" w:tentative="0">
      <w:start w:val="1"/>
      <w:numFmt w:val="decimal"/>
      <w:lvlText w:val="%1．"/>
      <w:lvlJc w:val="left"/>
      <w:pPr>
        <w:tabs>
          <w:tab w:val="left" w:pos="768"/>
        </w:tabs>
        <w:ind w:left="768" w:hanging="360"/>
      </w:pPr>
      <w:rPr>
        <w:rFonts w:hint="eastAsia"/>
      </w:rPr>
    </w:lvl>
    <w:lvl w:ilvl="1" w:tentative="0">
      <w:start w:val="1"/>
      <w:numFmt w:val="decimal"/>
      <w:pStyle w:val="332"/>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num w:numId="1">
    <w:abstractNumId w:val="6"/>
  </w:num>
  <w:num w:numId="2">
    <w:abstractNumId w:val="0"/>
  </w:num>
  <w:num w:numId="3">
    <w:abstractNumId w:val="12"/>
  </w:num>
  <w:num w:numId="4">
    <w:abstractNumId w:val="14"/>
  </w:num>
  <w:num w:numId="5">
    <w:abstractNumId w:val="11"/>
  </w:num>
  <w:num w:numId="6">
    <w:abstractNumId w:val="9"/>
  </w:num>
  <w:num w:numId="7">
    <w:abstractNumId w:val="13"/>
  </w:num>
  <w:num w:numId="8">
    <w:abstractNumId w:val="4"/>
  </w:num>
  <w:num w:numId="9">
    <w:abstractNumId w:val="5"/>
  </w:num>
  <w:num w:numId="10">
    <w:abstractNumId w:val="1"/>
  </w:num>
  <w:num w:numId="11">
    <w:abstractNumId w:val="10"/>
  </w:num>
  <w:num w:numId="12">
    <w:abstractNumId w:val="3"/>
  </w:num>
  <w:num w:numId="13">
    <w:abstractNumId w:val="7"/>
  </w:num>
  <w:num w:numId="14">
    <w:abstractNumId w:val="2"/>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NotTrackMoves/>
  <w:documentProtection w:enforcement="0"/>
  <w:defaultTabStop w:val="420"/>
  <w:displayHorizontalDrawingGridEvery w:val="1"/>
  <w:displayVerticalDrawingGridEvery w:val="1"/>
  <w:noPunctuationKerning w:val="1"/>
  <w:characterSpacingControl w:val="doNotCompress"/>
  <w:hdrShapeDefaults>
    <o:shapelayout v:ext="edit">
      <o:idmap v:ext="edit" data="3"/>
    </o:shapelayout>
  </w:hdrShapeDefaults>
  <w:compat>
    <w:balanceSingleByteDoubleByteWidth/>
    <w:ulTrailSpace/>
    <w:doNotExpandShiftReturn/>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ODFiNzM2NTg1MmYzZTQwNjAzOTA4NTRkODllMjY2OWMifQ=="/>
  </w:docVars>
  <w:rsids>
    <w:rsidRoot w:val="00C35745"/>
    <w:rsid w:val="000273CC"/>
    <w:rsid w:val="00044826"/>
    <w:rsid w:val="000B44D3"/>
    <w:rsid w:val="001617BE"/>
    <w:rsid w:val="00195CF7"/>
    <w:rsid w:val="001C1815"/>
    <w:rsid w:val="00237A6E"/>
    <w:rsid w:val="00254BE1"/>
    <w:rsid w:val="00292BAB"/>
    <w:rsid w:val="002E6413"/>
    <w:rsid w:val="00303972"/>
    <w:rsid w:val="004C5502"/>
    <w:rsid w:val="005E489B"/>
    <w:rsid w:val="00630B0B"/>
    <w:rsid w:val="006E6810"/>
    <w:rsid w:val="007A51B4"/>
    <w:rsid w:val="007E4CA5"/>
    <w:rsid w:val="0083050D"/>
    <w:rsid w:val="00902E63"/>
    <w:rsid w:val="009049D8"/>
    <w:rsid w:val="00A115C2"/>
    <w:rsid w:val="00A45CAA"/>
    <w:rsid w:val="00B932E7"/>
    <w:rsid w:val="00C35745"/>
    <w:rsid w:val="00CB3C62"/>
    <w:rsid w:val="00D06241"/>
    <w:rsid w:val="00D5158C"/>
    <w:rsid w:val="00EB60B2"/>
    <w:rsid w:val="00F34198"/>
    <w:rsid w:val="00FD6CEB"/>
    <w:rsid w:val="01034EC1"/>
    <w:rsid w:val="013B0DE8"/>
    <w:rsid w:val="01840DAE"/>
    <w:rsid w:val="01877B89"/>
    <w:rsid w:val="018B7D8A"/>
    <w:rsid w:val="01B91D0C"/>
    <w:rsid w:val="01BF5575"/>
    <w:rsid w:val="01C0309B"/>
    <w:rsid w:val="01D54B64"/>
    <w:rsid w:val="01DD59FB"/>
    <w:rsid w:val="01E66FA5"/>
    <w:rsid w:val="01F80A87"/>
    <w:rsid w:val="02005A7B"/>
    <w:rsid w:val="0224187C"/>
    <w:rsid w:val="023575E5"/>
    <w:rsid w:val="02535CBD"/>
    <w:rsid w:val="025832D3"/>
    <w:rsid w:val="025D08EA"/>
    <w:rsid w:val="0264611C"/>
    <w:rsid w:val="026954E1"/>
    <w:rsid w:val="02832643"/>
    <w:rsid w:val="029F0F02"/>
    <w:rsid w:val="029F53A6"/>
    <w:rsid w:val="02DB63F2"/>
    <w:rsid w:val="02E37041"/>
    <w:rsid w:val="02EA4873"/>
    <w:rsid w:val="03035935"/>
    <w:rsid w:val="03411FB9"/>
    <w:rsid w:val="034B2E38"/>
    <w:rsid w:val="0365214C"/>
    <w:rsid w:val="03A219EA"/>
    <w:rsid w:val="03EF5EB9"/>
    <w:rsid w:val="040C25C7"/>
    <w:rsid w:val="041B280B"/>
    <w:rsid w:val="041B6CAE"/>
    <w:rsid w:val="04337ED1"/>
    <w:rsid w:val="04365F55"/>
    <w:rsid w:val="0438160E"/>
    <w:rsid w:val="043B42C5"/>
    <w:rsid w:val="043E571C"/>
    <w:rsid w:val="045E04CE"/>
    <w:rsid w:val="04657F2A"/>
    <w:rsid w:val="04754611"/>
    <w:rsid w:val="047D5273"/>
    <w:rsid w:val="049C1B9D"/>
    <w:rsid w:val="04B769D7"/>
    <w:rsid w:val="04C46E30"/>
    <w:rsid w:val="04CE3D21"/>
    <w:rsid w:val="04F05A45"/>
    <w:rsid w:val="05042D98"/>
    <w:rsid w:val="05237BC9"/>
    <w:rsid w:val="054F6C10"/>
    <w:rsid w:val="05544226"/>
    <w:rsid w:val="05720B50"/>
    <w:rsid w:val="057228FE"/>
    <w:rsid w:val="057523EE"/>
    <w:rsid w:val="05777F14"/>
    <w:rsid w:val="058A5E9A"/>
    <w:rsid w:val="059565ED"/>
    <w:rsid w:val="05D830A9"/>
    <w:rsid w:val="05DB04A3"/>
    <w:rsid w:val="06051935"/>
    <w:rsid w:val="0616597F"/>
    <w:rsid w:val="062C0CFF"/>
    <w:rsid w:val="06451DC1"/>
    <w:rsid w:val="065A1D10"/>
    <w:rsid w:val="06620BC5"/>
    <w:rsid w:val="066A7A79"/>
    <w:rsid w:val="0671705A"/>
    <w:rsid w:val="067A7CBC"/>
    <w:rsid w:val="0680600F"/>
    <w:rsid w:val="068E3768"/>
    <w:rsid w:val="069B597D"/>
    <w:rsid w:val="06AC1E40"/>
    <w:rsid w:val="06AE5290"/>
    <w:rsid w:val="06C72058"/>
    <w:rsid w:val="06F21D26"/>
    <w:rsid w:val="070457D8"/>
    <w:rsid w:val="070752C8"/>
    <w:rsid w:val="070C28DE"/>
    <w:rsid w:val="074E4E7E"/>
    <w:rsid w:val="0763498C"/>
    <w:rsid w:val="07723089"/>
    <w:rsid w:val="077C1812"/>
    <w:rsid w:val="077D22A8"/>
    <w:rsid w:val="0788465B"/>
    <w:rsid w:val="078E1545"/>
    <w:rsid w:val="07A62D33"/>
    <w:rsid w:val="07A80859"/>
    <w:rsid w:val="07BE62CF"/>
    <w:rsid w:val="07C37441"/>
    <w:rsid w:val="07DE071F"/>
    <w:rsid w:val="08273E74"/>
    <w:rsid w:val="08343DB7"/>
    <w:rsid w:val="083E11BD"/>
    <w:rsid w:val="084C5688"/>
    <w:rsid w:val="08522238"/>
    <w:rsid w:val="08601134"/>
    <w:rsid w:val="08646E76"/>
    <w:rsid w:val="086C1887"/>
    <w:rsid w:val="08766BA9"/>
    <w:rsid w:val="08B80F70"/>
    <w:rsid w:val="08F63846"/>
    <w:rsid w:val="090917CB"/>
    <w:rsid w:val="09102B5A"/>
    <w:rsid w:val="091268D2"/>
    <w:rsid w:val="09193D0A"/>
    <w:rsid w:val="091C4F8C"/>
    <w:rsid w:val="0923288D"/>
    <w:rsid w:val="094E5430"/>
    <w:rsid w:val="09AF4121"/>
    <w:rsid w:val="09B63701"/>
    <w:rsid w:val="09C000DC"/>
    <w:rsid w:val="09D75426"/>
    <w:rsid w:val="09DB4F16"/>
    <w:rsid w:val="0A032908"/>
    <w:rsid w:val="0A195A3E"/>
    <w:rsid w:val="0A256191"/>
    <w:rsid w:val="0A5847B8"/>
    <w:rsid w:val="0A5922DF"/>
    <w:rsid w:val="0A5A18A6"/>
    <w:rsid w:val="0A617F01"/>
    <w:rsid w:val="0A8C4462"/>
    <w:rsid w:val="0AB04627"/>
    <w:rsid w:val="0AC37E28"/>
    <w:rsid w:val="0AC91212"/>
    <w:rsid w:val="0ACE05D7"/>
    <w:rsid w:val="0AED7E7C"/>
    <w:rsid w:val="0AF049F1"/>
    <w:rsid w:val="0B057D70"/>
    <w:rsid w:val="0B1873A1"/>
    <w:rsid w:val="0B2D79F3"/>
    <w:rsid w:val="0B485525"/>
    <w:rsid w:val="0B5A4560"/>
    <w:rsid w:val="0B5C2086"/>
    <w:rsid w:val="0B6E1DBA"/>
    <w:rsid w:val="0B941820"/>
    <w:rsid w:val="0BAB2AA6"/>
    <w:rsid w:val="0BBE2444"/>
    <w:rsid w:val="0BDC31C7"/>
    <w:rsid w:val="0BED7182"/>
    <w:rsid w:val="0C006EB6"/>
    <w:rsid w:val="0C14061F"/>
    <w:rsid w:val="0C2E1CA1"/>
    <w:rsid w:val="0C4843B9"/>
    <w:rsid w:val="0C4D7C21"/>
    <w:rsid w:val="0C5D60B6"/>
    <w:rsid w:val="0C9D2956"/>
    <w:rsid w:val="0CBD286A"/>
    <w:rsid w:val="0CBE467B"/>
    <w:rsid w:val="0CC223BD"/>
    <w:rsid w:val="0CF307C8"/>
    <w:rsid w:val="0CF62067"/>
    <w:rsid w:val="0D0A78C0"/>
    <w:rsid w:val="0D0B5B12"/>
    <w:rsid w:val="0D2E35AF"/>
    <w:rsid w:val="0D307327"/>
    <w:rsid w:val="0D3A1F53"/>
    <w:rsid w:val="0D464D9C"/>
    <w:rsid w:val="0D951880"/>
    <w:rsid w:val="0DC45CC1"/>
    <w:rsid w:val="0DD00B0A"/>
    <w:rsid w:val="0DDA1988"/>
    <w:rsid w:val="0DDA3736"/>
    <w:rsid w:val="0DDF0D4D"/>
    <w:rsid w:val="0DEC33DE"/>
    <w:rsid w:val="0DEF71E2"/>
    <w:rsid w:val="0E010E09"/>
    <w:rsid w:val="0E06277D"/>
    <w:rsid w:val="0E0802A4"/>
    <w:rsid w:val="0E100F06"/>
    <w:rsid w:val="0E146C48"/>
    <w:rsid w:val="0E1B7FD7"/>
    <w:rsid w:val="0E230C39"/>
    <w:rsid w:val="0E252C04"/>
    <w:rsid w:val="0E456E02"/>
    <w:rsid w:val="0E5057A7"/>
    <w:rsid w:val="0E6507AC"/>
    <w:rsid w:val="0E927B6D"/>
    <w:rsid w:val="0EBD2E3C"/>
    <w:rsid w:val="0EE24651"/>
    <w:rsid w:val="0EF820C6"/>
    <w:rsid w:val="0EFA4090"/>
    <w:rsid w:val="0F135152"/>
    <w:rsid w:val="0F490B74"/>
    <w:rsid w:val="0F5512C6"/>
    <w:rsid w:val="0F582B65"/>
    <w:rsid w:val="0F655282"/>
    <w:rsid w:val="0F6A2898"/>
    <w:rsid w:val="0F81030D"/>
    <w:rsid w:val="0FCA3416"/>
    <w:rsid w:val="0FD20B69"/>
    <w:rsid w:val="0FDE1960"/>
    <w:rsid w:val="0FDF6DE2"/>
    <w:rsid w:val="0FE10DAC"/>
    <w:rsid w:val="0FE64614"/>
    <w:rsid w:val="0FEE5277"/>
    <w:rsid w:val="101E3DAE"/>
    <w:rsid w:val="10204D18"/>
    <w:rsid w:val="1021389E"/>
    <w:rsid w:val="10256733"/>
    <w:rsid w:val="103575C1"/>
    <w:rsid w:val="103A1981"/>
    <w:rsid w:val="10806817"/>
    <w:rsid w:val="10B464C1"/>
    <w:rsid w:val="10D601E5"/>
    <w:rsid w:val="10E87F18"/>
    <w:rsid w:val="11161575"/>
    <w:rsid w:val="112A0531"/>
    <w:rsid w:val="11641C95"/>
    <w:rsid w:val="11673533"/>
    <w:rsid w:val="116C5D68"/>
    <w:rsid w:val="118E286E"/>
    <w:rsid w:val="11A16A45"/>
    <w:rsid w:val="11AE2F10"/>
    <w:rsid w:val="11BA7B07"/>
    <w:rsid w:val="11FC011F"/>
    <w:rsid w:val="12413D84"/>
    <w:rsid w:val="124E6D7F"/>
    <w:rsid w:val="12687563"/>
    <w:rsid w:val="126B0E01"/>
    <w:rsid w:val="12706417"/>
    <w:rsid w:val="12850115"/>
    <w:rsid w:val="12955E7E"/>
    <w:rsid w:val="12D544CC"/>
    <w:rsid w:val="12E36BE9"/>
    <w:rsid w:val="12F6691D"/>
    <w:rsid w:val="133B4C77"/>
    <w:rsid w:val="135950FD"/>
    <w:rsid w:val="138F0B1F"/>
    <w:rsid w:val="13963C5C"/>
    <w:rsid w:val="13C24A51"/>
    <w:rsid w:val="13D1738A"/>
    <w:rsid w:val="13DA623E"/>
    <w:rsid w:val="13EE1CEA"/>
    <w:rsid w:val="13FC61B5"/>
    <w:rsid w:val="14132899"/>
    <w:rsid w:val="141554C8"/>
    <w:rsid w:val="14180B15"/>
    <w:rsid w:val="141F1EA3"/>
    <w:rsid w:val="142D2812"/>
    <w:rsid w:val="142E34B0"/>
    <w:rsid w:val="145426E6"/>
    <w:rsid w:val="145854BE"/>
    <w:rsid w:val="147848D7"/>
    <w:rsid w:val="14861F22"/>
    <w:rsid w:val="14885C9A"/>
    <w:rsid w:val="14C667C2"/>
    <w:rsid w:val="14D16621"/>
    <w:rsid w:val="14D7452C"/>
    <w:rsid w:val="14DC7D94"/>
    <w:rsid w:val="150712B5"/>
    <w:rsid w:val="15856FDF"/>
    <w:rsid w:val="15A41965"/>
    <w:rsid w:val="15B07CE0"/>
    <w:rsid w:val="15C26F8A"/>
    <w:rsid w:val="15C41F94"/>
    <w:rsid w:val="16287735"/>
    <w:rsid w:val="16315EBE"/>
    <w:rsid w:val="163559AE"/>
    <w:rsid w:val="164B3423"/>
    <w:rsid w:val="165110B9"/>
    <w:rsid w:val="1656490E"/>
    <w:rsid w:val="16677B31"/>
    <w:rsid w:val="167304E2"/>
    <w:rsid w:val="16985F3D"/>
    <w:rsid w:val="169F551D"/>
    <w:rsid w:val="16A06A0A"/>
    <w:rsid w:val="16A443DC"/>
    <w:rsid w:val="16B31A52"/>
    <w:rsid w:val="16EA49EA"/>
    <w:rsid w:val="16EE4509"/>
    <w:rsid w:val="17147AFC"/>
    <w:rsid w:val="173C0FBE"/>
    <w:rsid w:val="175B7696"/>
    <w:rsid w:val="17935082"/>
    <w:rsid w:val="17AF79E2"/>
    <w:rsid w:val="17B33B8E"/>
    <w:rsid w:val="17CA0378"/>
    <w:rsid w:val="180750CB"/>
    <w:rsid w:val="18297794"/>
    <w:rsid w:val="182C1032"/>
    <w:rsid w:val="183B11C6"/>
    <w:rsid w:val="184719C8"/>
    <w:rsid w:val="1862610F"/>
    <w:rsid w:val="187325D8"/>
    <w:rsid w:val="18803812"/>
    <w:rsid w:val="18841C82"/>
    <w:rsid w:val="18882132"/>
    <w:rsid w:val="1890336F"/>
    <w:rsid w:val="18AA6076"/>
    <w:rsid w:val="18B904BA"/>
    <w:rsid w:val="18BA7315"/>
    <w:rsid w:val="18D92F68"/>
    <w:rsid w:val="18E67433"/>
    <w:rsid w:val="18EB2C9C"/>
    <w:rsid w:val="19002914"/>
    <w:rsid w:val="190D676E"/>
    <w:rsid w:val="190E24E6"/>
    <w:rsid w:val="191F46F3"/>
    <w:rsid w:val="19397563"/>
    <w:rsid w:val="193F08F1"/>
    <w:rsid w:val="19436634"/>
    <w:rsid w:val="19475911"/>
    <w:rsid w:val="19481E9C"/>
    <w:rsid w:val="19510D51"/>
    <w:rsid w:val="19614D0C"/>
    <w:rsid w:val="196565AA"/>
    <w:rsid w:val="19B66E06"/>
    <w:rsid w:val="19CF7EC7"/>
    <w:rsid w:val="19D21766"/>
    <w:rsid w:val="19DB061A"/>
    <w:rsid w:val="1A006829"/>
    <w:rsid w:val="1A045DC3"/>
    <w:rsid w:val="1A442614"/>
    <w:rsid w:val="1A506A34"/>
    <w:rsid w:val="1A7A7E33"/>
    <w:rsid w:val="1A7B1DFD"/>
    <w:rsid w:val="1A973959"/>
    <w:rsid w:val="1AB62E35"/>
    <w:rsid w:val="1AB71087"/>
    <w:rsid w:val="1AE654C9"/>
    <w:rsid w:val="1AEB0D31"/>
    <w:rsid w:val="1B281F85"/>
    <w:rsid w:val="1B4855C5"/>
    <w:rsid w:val="1B4D5548"/>
    <w:rsid w:val="1B59213E"/>
    <w:rsid w:val="1B5C1C2F"/>
    <w:rsid w:val="1B657F00"/>
    <w:rsid w:val="1B7A4720"/>
    <w:rsid w:val="1BA77ADC"/>
    <w:rsid w:val="1BBD091F"/>
    <w:rsid w:val="1BDE2644"/>
    <w:rsid w:val="1BFA6268"/>
    <w:rsid w:val="1C054074"/>
    <w:rsid w:val="1C1F5136"/>
    <w:rsid w:val="1C2E35CB"/>
    <w:rsid w:val="1C4A1A87"/>
    <w:rsid w:val="1C4C7AD6"/>
    <w:rsid w:val="1C5F19D6"/>
    <w:rsid w:val="1C60574F"/>
    <w:rsid w:val="1C8431EB"/>
    <w:rsid w:val="1CAB69CA"/>
    <w:rsid w:val="1CEC2B3E"/>
    <w:rsid w:val="1D097B94"/>
    <w:rsid w:val="1D2F75FB"/>
    <w:rsid w:val="1D4E55A7"/>
    <w:rsid w:val="1D5A219E"/>
    <w:rsid w:val="1D772D50"/>
    <w:rsid w:val="1DA90A2F"/>
    <w:rsid w:val="1DCE373B"/>
    <w:rsid w:val="1DD51824"/>
    <w:rsid w:val="1DE80B71"/>
    <w:rsid w:val="1E2307E2"/>
    <w:rsid w:val="1E2C51FE"/>
    <w:rsid w:val="1E5B441F"/>
    <w:rsid w:val="1E5B45F4"/>
    <w:rsid w:val="1E6246D8"/>
    <w:rsid w:val="1E7371A7"/>
    <w:rsid w:val="1E761259"/>
    <w:rsid w:val="1E7A2AF8"/>
    <w:rsid w:val="1E844EFC"/>
    <w:rsid w:val="1E990AA4"/>
    <w:rsid w:val="1E9B2A6E"/>
    <w:rsid w:val="1EAC07D7"/>
    <w:rsid w:val="1EAC4C7B"/>
    <w:rsid w:val="1EFF2FFD"/>
    <w:rsid w:val="1F130856"/>
    <w:rsid w:val="1F1B770B"/>
    <w:rsid w:val="1F536EA5"/>
    <w:rsid w:val="1F5D7D23"/>
    <w:rsid w:val="1F66307C"/>
    <w:rsid w:val="1F6D440A"/>
    <w:rsid w:val="1FF468DA"/>
    <w:rsid w:val="1FFC578E"/>
    <w:rsid w:val="1FFE32B4"/>
    <w:rsid w:val="202F7912"/>
    <w:rsid w:val="204E2A69"/>
    <w:rsid w:val="208F03B0"/>
    <w:rsid w:val="20960F93"/>
    <w:rsid w:val="2096173F"/>
    <w:rsid w:val="20971013"/>
    <w:rsid w:val="20AE4CDA"/>
    <w:rsid w:val="20B0050F"/>
    <w:rsid w:val="20CB68DC"/>
    <w:rsid w:val="20FB47DE"/>
    <w:rsid w:val="21153247"/>
    <w:rsid w:val="2116094D"/>
    <w:rsid w:val="211D59BC"/>
    <w:rsid w:val="213B4094"/>
    <w:rsid w:val="21463165"/>
    <w:rsid w:val="214F165B"/>
    <w:rsid w:val="21505D92"/>
    <w:rsid w:val="21582E98"/>
    <w:rsid w:val="216C049B"/>
    <w:rsid w:val="217A2E0F"/>
    <w:rsid w:val="2187594D"/>
    <w:rsid w:val="2197576F"/>
    <w:rsid w:val="21A60DAE"/>
    <w:rsid w:val="21A97250"/>
    <w:rsid w:val="21AD4F92"/>
    <w:rsid w:val="21B77BBF"/>
    <w:rsid w:val="220B1CB9"/>
    <w:rsid w:val="224156DA"/>
    <w:rsid w:val="226F0499"/>
    <w:rsid w:val="227D2BB6"/>
    <w:rsid w:val="229E0D7F"/>
    <w:rsid w:val="22AF6AE8"/>
    <w:rsid w:val="22B81E40"/>
    <w:rsid w:val="2307254B"/>
    <w:rsid w:val="2321413F"/>
    <w:rsid w:val="232C1EE7"/>
    <w:rsid w:val="236C6787"/>
    <w:rsid w:val="23701497"/>
    <w:rsid w:val="23775858"/>
    <w:rsid w:val="237B69CA"/>
    <w:rsid w:val="23867849"/>
    <w:rsid w:val="239A1546"/>
    <w:rsid w:val="23B100DE"/>
    <w:rsid w:val="23DF2175"/>
    <w:rsid w:val="23E92FC6"/>
    <w:rsid w:val="23F5677C"/>
    <w:rsid w:val="23F84985"/>
    <w:rsid w:val="23FA0237"/>
    <w:rsid w:val="23FE7D27"/>
    <w:rsid w:val="241C01AD"/>
    <w:rsid w:val="245060A9"/>
    <w:rsid w:val="2455546D"/>
    <w:rsid w:val="245E2EB0"/>
    <w:rsid w:val="247327B6"/>
    <w:rsid w:val="247E49C4"/>
    <w:rsid w:val="248144B4"/>
    <w:rsid w:val="24B77ED6"/>
    <w:rsid w:val="24C17FE1"/>
    <w:rsid w:val="24CA5E5B"/>
    <w:rsid w:val="24D40A88"/>
    <w:rsid w:val="24D80578"/>
    <w:rsid w:val="25090731"/>
    <w:rsid w:val="253B28B5"/>
    <w:rsid w:val="25457290"/>
    <w:rsid w:val="255D0A7D"/>
    <w:rsid w:val="255F47F5"/>
    <w:rsid w:val="256C6F12"/>
    <w:rsid w:val="25814182"/>
    <w:rsid w:val="259D531E"/>
    <w:rsid w:val="25AE08DF"/>
    <w:rsid w:val="25B34B41"/>
    <w:rsid w:val="25BD151C"/>
    <w:rsid w:val="25C603D0"/>
    <w:rsid w:val="25D16D75"/>
    <w:rsid w:val="25FC3DF2"/>
    <w:rsid w:val="25FD5DBC"/>
    <w:rsid w:val="2601765A"/>
    <w:rsid w:val="26064C71"/>
    <w:rsid w:val="261455E0"/>
    <w:rsid w:val="26190E48"/>
    <w:rsid w:val="2637307C"/>
    <w:rsid w:val="263E440B"/>
    <w:rsid w:val="264A7253"/>
    <w:rsid w:val="26597496"/>
    <w:rsid w:val="265A4FBD"/>
    <w:rsid w:val="26797B39"/>
    <w:rsid w:val="267B565F"/>
    <w:rsid w:val="26904F5A"/>
    <w:rsid w:val="26937225"/>
    <w:rsid w:val="26AD1590"/>
    <w:rsid w:val="26B40B71"/>
    <w:rsid w:val="26D1507C"/>
    <w:rsid w:val="26EC0E05"/>
    <w:rsid w:val="26F61189"/>
    <w:rsid w:val="270F224B"/>
    <w:rsid w:val="271E248E"/>
    <w:rsid w:val="27260B36"/>
    <w:rsid w:val="272E26D1"/>
    <w:rsid w:val="272F01F7"/>
    <w:rsid w:val="27427F2B"/>
    <w:rsid w:val="274A6DDF"/>
    <w:rsid w:val="275505FF"/>
    <w:rsid w:val="276205CD"/>
    <w:rsid w:val="27895B59"/>
    <w:rsid w:val="279664C8"/>
    <w:rsid w:val="27A110F5"/>
    <w:rsid w:val="27A906A5"/>
    <w:rsid w:val="27C070A1"/>
    <w:rsid w:val="27CB382E"/>
    <w:rsid w:val="27D54F23"/>
    <w:rsid w:val="27D86AE1"/>
    <w:rsid w:val="27EE00B2"/>
    <w:rsid w:val="27F84A8D"/>
    <w:rsid w:val="28074CD0"/>
    <w:rsid w:val="282633A8"/>
    <w:rsid w:val="282F4953"/>
    <w:rsid w:val="284321AC"/>
    <w:rsid w:val="286B1703"/>
    <w:rsid w:val="288527C5"/>
    <w:rsid w:val="288F719F"/>
    <w:rsid w:val="289522DC"/>
    <w:rsid w:val="28A013AD"/>
    <w:rsid w:val="28CA01D8"/>
    <w:rsid w:val="28D23530"/>
    <w:rsid w:val="28E55011"/>
    <w:rsid w:val="28EA087A"/>
    <w:rsid w:val="28FF2559"/>
    <w:rsid w:val="290851A4"/>
    <w:rsid w:val="29114058"/>
    <w:rsid w:val="293D4E4D"/>
    <w:rsid w:val="29496228"/>
    <w:rsid w:val="29502E31"/>
    <w:rsid w:val="296543A4"/>
    <w:rsid w:val="29712D49"/>
    <w:rsid w:val="29806A9C"/>
    <w:rsid w:val="2996630C"/>
    <w:rsid w:val="29A50C45"/>
    <w:rsid w:val="29D90840"/>
    <w:rsid w:val="29DB4666"/>
    <w:rsid w:val="29E05580"/>
    <w:rsid w:val="29FD638B"/>
    <w:rsid w:val="2A111E36"/>
    <w:rsid w:val="2A377AEF"/>
    <w:rsid w:val="2A900FAD"/>
    <w:rsid w:val="2A9A1E2C"/>
    <w:rsid w:val="2AA36F32"/>
    <w:rsid w:val="2AAE4D1A"/>
    <w:rsid w:val="2ABF1892"/>
    <w:rsid w:val="2ACF41CB"/>
    <w:rsid w:val="2AE701F1"/>
    <w:rsid w:val="2AF07C9E"/>
    <w:rsid w:val="2AFB4FC0"/>
    <w:rsid w:val="2B073965"/>
    <w:rsid w:val="2B1B2F6C"/>
    <w:rsid w:val="2B1C4F36"/>
    <w:rsid w:val="2B200583"/>
    <w:rsid w:val="2B20072F"/>
    <w:rsid w:val="2B395AE8"/>
    <w:rsid w:val="2B4D3342"/>
    <w:rsid w:val="2B6A5CA2"/>
    <w:rsid w:val="2B6C37C8"/>
    <w:rsid w:val="2B9B22FF"/>
    <w:rsid w:val="2BA74800"/>
    <w:rsid w:val="2BE315B0"/>
    <w:rsid w:val="2BE94E19"/>
    <w:rsid w:val="2BEE242F"/>
    <w:rsid w:val="2BEF61A7"/>
    <w:rsid w:val="2C025EDA"/>
    <w:rsid w:val="2C077995"/>
    <w:rsid w:val="2C11611D"/>
    <w:rsid w:val="2C212804"/>
    <w:rsid w:val="2C2A71DF"/>
    <w:rsid w:val="2C332538"/>
    <w:rsid w:val="2C475FE3"/>
    <w:rsid w:val="2C5A7B6E"/>
    <w:rsid w:val="2C7A1F15"/>
    <w:rsid w:val="2C840FE5"/>
    <w:rsid w:val="2CA57561"/>
    <w:rsid w:val="2CC12B4B"/>
    <w:rsid w:val="2CDE0C6B"/>
    <w:rsid w:val="2CF717B7"/>
    <w:rsid w:val="2D2325AC"/>
    <w:rsid w:val="2D4F15F3"/>
    <w:rsid w:val="2D6055AE"/>
    <w:rsid w:val="2D687FBF"/>
    <w:rsid w:val="2D74105A"/>
    <w:rsid w:val="2D8F60D2"/>
    <w:rsid w:val="2D904132"/>
    <w:rsid w:val="2DB17BB8"/>
    <w:rsid w:val="2DB43204"/>
    <w:rsid w:val="2DDD484D"/>
    <w:rsid w:val="2DEA4E78"/>
    <w:rsid w:val="2DEF06E0"/>
    <w:rsid w:val="2DF96741"/>
    <w:rsid w:val="2E1C064A"/>
    <w:rsid w:val="2E314855"/>
    <w:rsid w:val="2E552C39"/>
    <w:rsid w:val="2E5549E7"/>
    <w:rsid w:val="2E5F13C2"/>
    <w:rsid w:val="2E870919"/>
    <w:rsid w:val="2E9279E9"/>
    <w:rsid w:val="2E933762"/>
    <w:rsid w:val="2EAD65D1"/>
    <w:rsid w:val="2EB33ECB"/>
    <w:rsid w:val="2EC4391B"/>
    <w:rsid w:val="2ED0406E"/>
    <w:rsid w:val="2F266384"/>
    <w:rsid w:val="2F3A598B"/>
    <w:rsid w:val="2F416D1A"/>
    <w:rsid w:val="2F490799"/>
    <w:rsid w:val="2F546A4D"/>
    <w:rsid w:val="2F5B602D"/>
    <w:rsid w:val="2F666780"/>
    <w:rsid w:val="2F6824F8"/>
    <w:rsid w:val="2FA572A9"/>
    <w:rsid w:val="2FC31E25"/>
    <w:rsid w:val="2FC665E3"/>
    <w:rsid w:val="2FE51D9B"/>
    <w:rsid w:val="2FEA115F"/>
    <w:rsid w:val="2FFF76FC"/>
    <w:rsid w:val="300C557A"/>
    <w:rsid w:val="30204B81"/>
    <w:rsid w:val="302A1EA4"/>
    <w:rsid w:val="30360848"/>
    <w:rsid w:val="309D08C8"/>
    <w:rsid w:val="30E42053"/>
    <w:rsid w:val="311566B0"/>
    <w:rsid w:val="3124110F"/>
    <w:rsid w:val="312524A7"/>
    <w:rsid w:val="314D1797"/>
    <w:rsid w:val="315E0057"/>
    <w:rsid w:val="318B24CE"/>
    <w:rsid w:val="3196159F"/>
    <w:rsid w:val="31C14142"/>
    <w:rsid w:val="31D04385"/>
    <w:rsid w:val="31EA3699"/>
    <w:rsid w:val="31FD161E"/>
    <w:rsid w:val="32290203"/>
    <w:rsid w:val="3240150B"/>
    <w:rsid w:val="32894C60"/>
    <w:rsid w:val="328A4FE6"/>
    <w:rsid w:val="32AC094E"/>
    <w:rsid w:val="32B90C58"/>
    <w:rsid w:val="32BD6FFF"/>
    <w:rsid w:val="32DD31FD"/>
    <w:rsid w:val="3307027A"/>
    <w:rsid w:val="330B7D6A"/>
    <w:rsid w:val="335A2AA0"/>
    <w:rsid w:val="336F02F9"/>
    <w:rsid w:val="337D1A76"/>
    <w:rsid w:val="33863895"/>
    <w:rsid w:val="339064C2"/>
    <w:rsid w:val="33B05E45"/>
    <w:rsid w:val="33B45D0C"/>
    <w:rsid w:val="33EB6F0B"/>
    <w:rsid w:val="33EC194A"/>
    <w:rsid w:val="34831B82"/>
    <w:rsid w:val="348576A9"/>
    <w:rsid w:val="34BB756E"/>
    <w:rsid w:val="34C12DD7"/>
    <w:rsid w:val="34C44675"/>
    <w:rsid w:val="34CA0B0B"/>
    <w:rsid w:val="34F62354"/>
    <w:rsid w:val="3510699D"/>
    <w:rsid w:val="351C000D"/>
    <w:rsid w:val="35617050"/>
    <w:rsid w:val="356E45E1"/>
    <w:rsid w:val="357311CC"/>
    <w:rsid w:val="35A63D7A"/>
    <w:rsid w:val="35AD5109"/>
    <w:rsid w:val="35B04BF9"/>
    <w:rsid w:val="35B53FBD"/>
    <w:rsid w:val="35CC0677"/>
    <w:rsid w:val="35CF1523"/>
    <w:rsid w:val="35D46B3A"/>
    <w:rsid w:val="360F36CE"/>
    <w:rsid w:val="363870C8"/>
    <w:rsid w:val="366854D4"/>
    <w:rsid w:val="3670482B"/>
    <w:rsid w:val="36941E25"/>
    <w:rsid w:val="36D63769"/>
    <w:rsid w:val="36D80A21"/>
    <w:rsid w:val="36E3011C"/>
    <w:rsid w:val="370276D6"/>
    <w:rsid w:val="37647A49"/>
    <w:rsid w:val="377D6D5D"/>
    <w:rsid w:val="37B502A5"/>
    <w:rsid w:val="37B87D95"/>
    <w:rsid w:val="38156F95"/>
    <w:rsid w:val="383C09C6"/>
    <w:rsid w:val="384F24A7"/>
    <w:rsid w:val="38AC3DAC"/>
    <w:rsid w:val="38BD38B5"/>
    <w:rsid w:val="38C20ECB"/>
    <w:rsid w:val="38E52E0C"/>
    <w:rsid w:val="38FF383F"/>
    <w:rsid w:val="39253C86"/>
    <w:rsid w:val="39333B77"/>
    <w:rsid w:val="39363667"/>
    <w:rsid w:val="393D49F6"/>
    <w:rsid w:val="3942025E"/>
    <w:rsid w:val="395A1104"/>
    <w:rsid w:val="39626A70"/>
    <w:rsid w:val="396401D4"/>
    <w:rsid w:val="397C3770"/>
    <w:rsid w:val="39930009"/>
    <w:rsid w:val="39A85936"/>
    <w:rsid w:val="39B34CB8"/>
    <w:rsid w:val="39CE564E"/>
    <w:rsid w:val="39DF0B11"/>
    <w:rsid w:val="39FD7407"/>
    <w:rsid w:val="3A4F49E1"/>
    <w:rsid w:val="3A5C3405"/>
    <w:rsid w:val="3A6D30B9"/>
    <w:rsid w:val="3A80103E"/>
    <w:rsid w:val="3A8A3C6B"/>
    <w:rsid w:val="3AD76784"/>
    <w:rsid w:val="3B05790A"/>
    <w:rsid w:val="3B190B4B"/>
    <w:rsid w:val="3B4D0803"/>
    <w:rsid w:val="3B4E4C98"/>
    <w:rsid w:val="3B653D90"/>
    <w:rsid w:val="3B911029"/>
    <w:rsid w:val="3BBA21FE"/>
    <w:rsid w:val="3BF35840"/>
    <w:rsid w:val="3BF52B59"/>
    <w:rsid w:val="3BF910A8"/>
    <w:rsid w:val="3C145EE2"/>
    <w:rsid w:val="3C277440"/>
    <w:rsid w:val="3C2D152F"/>
    <w:rsid w:val="3C6C37AC"/>
    <w:rsid w:val="3C7172F2"/>
    <w:rsid w:val="3C7F70D3"/>
    <w:rsid w:val="3C9708C1"/>
    <w:rsid w:val="3C990195"/>
    <w:rsid w:val="3CA01523"/>
    <w:rsid w:val="3CB939B5"/>
    <w:rsid w:val="3CE55188"/>
    <w:rsid w:val="3CEA09F1"/>
    <w:rsid w:val="3CED6733"/>
    <w:rsid w:val="3D18555E"/>
    <w:rsid w:val="3D211F38"/>
    <w:rsid w:val="3D363C36"/>
    <w:rsid w:val="3D4F6AA6"/>
    <w:rsid w:val="3D614501"/>
    <w:rsid w:val="3D6764E5"/>
    <w:rsid w:val="3D715D0D"/>
    <w:rsid w:val="3D7A6218"/>
    <w:rsid w:val="3D803103"/>
    <w:rsid w:val="3DA2751D"/>
    <w:rsid w:val="3DD05E38"/>
    <w:rsid w:val="3E135D25"/>
    <w:rsid w:val="3E2B7513"/>
    <w:rsid w:val="3E66679D"/>
    <w:rsid w:val="3E81549D"/>
    <w:rsid w:val="3EAA48DB"/>
    <w:rsid w:val="3EC84D62"/>
    <w:rsid w:val="3ECB6600"/>
    <w:rsid w:val="3ED82973"/>
    <w:rsid w:val="3EE87285"/>
    <w:rsid w:val="3EF142B8"/>
    <w:rsid w:val="3F2D2E17"/>
    <w:rsid w:val="3F375A43"/>
    <w:rsid w:val="3F395C5F"/>
    <w:rsid w:val="3F3E5024"/>
    <w:rsid w:val="3F5D36FC"/>
    <w:rsid w:val="3FA330D9"/>
    <w:rsid w:val="3FAC01DF"/>
    <w:rsid w:val="3FEB51AC"/>
    <w:rsid w:val="404B2165"/>
    <w:rsid w:val="404E5291"/>
    <w:rsid w:val="408E3D89"/>
    <w:rsid w:val="4093153B"/>
    <w:rsid w:val="40A16AF0"/>
    <w:rsid w:val="40BC4452"/>
    <w:rsid w:val="40C81580"/>
    <w:rsid w:val="40FE4A6B"/>
    <w:rsid w:val="412F2E76"/>
    <w:rsid w:val="41313092"/>
    <w:rsid w:val="41314E40"/>
    <w:rsid w:val="41322966"/>
    <w:rsid w:val="4157061F"/>
    <w:rsid w:val="41635215"/>
    <w:rsid w:val="41654E10"/>
    <w:rsid w:val="41714ABE"/>
    <w:rsid w:val="417F31E5"/>
    <w:rsid w:val="41973A08"/>
    <w:rsid w:val="41A05B22"/>
    <w:rsid w:val="41B415CD"/>
    <w:rsid w:val="41C37A62"/>
    <w:rsid w:val="41CC2DBB"/>
    <w:rsid w:val="41D640BB"/>
    <w:rsid w:val="41D67795"/>
    <w:rsid w:val="41E2438C"/>
    <w:rsid w:val="41E719A3"/>
    <w:rsid w:val="41F67E38"/>
    <w:rsid w:val="42042555"/>
    <w:rsid w:val="421B33FA"/>
    <w:rsid w:val="422624CB"/>
    <w:rsid w:val="423821FE"/>
    <w:rsid w:val="42621029"/>
    <w:rsid w:val="42664A0F"/>
    <w:rsid w:val="42784CF1"/>
    <w:rsid w:val="42894808"/>
    <w:rsid w:val="428E733F"/>
    <w:rsid w:val="42976F25"/>
    <w:rsid w:val="42BE4111"/>
    <w:rsid w:val="42C121F4"/>
    <w:rsid w:val="42F97BDF"/>
    <w:rsid w:val="433C5D1E"/>
    <w:rsid w:val="435412BA"/>
    <w:rsid w:val="435B61A4"/>
    <w:rsid w:val="43754D8C"/>
    <w:rsid w:val="438C2802"/>
    <w:rsid w:val="438F40A0"/>
    <w:rsid w:val="43A01E09"/>
    <w:rsid w:val="43C26223"/>
    <w:rsid w:val="43C52FFD"/>
    <w:rsid w:val="43EA7528"/>
    <w:rsid w:val="441D5B50"/>
    <w:rsid w:val="442E5667"/>
    <w:rsid w:val="44466E54"/>
    <w:rsid w:val="446077EA"/>
    <w:rsid w:val="44621984"/>
    <w:rsid w:val="44817E8C"/>
    <w:rsid w:val="449A0F4E"/>
    <w:rsid w:val="44AA424D"/>
    <w:rsid w:val="44B55D88"/>
    <w:rsid w:val="44B85878"/>
    <w:rsid w:val="44C77869"/>
    <w:rsid w:val="44D910CB"/>
    <w:rsid w:val="44DF1057"/>
    <w:rsid w:val="44FC7513"/>
    <w:rsid w:val="45132AAF"/>
    <w:rsid w:val="45216F7A"/>
    <w:rsid w:val="453E3FCF"/>
    <w:rsid w:val="4550160D"/>
    <w:rsid w:val="455A248C"/>
    <w:rsid w:val="4575131D"/>
    <w:rsid w:val="45837C34"/>
    <w:rsid w:val="45B002FD"/>
    <w:rsid w:val="45CC5137"/>
    <w:rsid w:val="45E561F9"/>
    <w:rsid w:val="45F36B68"/>
    <w:rsid w:val="46164604"/>
    <w:rsid w:val="46366A55"/>
    <w:rsid w:val="463F1DAD"/>
    <w:rsid w:val="466E61EE"/>
    <w:rsid w:val="468974CC"/>
    <w:rsid w:val="46AA2F9F"/>
    <w:rsid w:val="46C04E4C"/>
    <w:rsid w:val="46C500F1"/>
    <w:rsid w:val="46D00C57"/>
    <w:rsid w:val="46EE37D3"/>
    <w:rsid w:val="46F81F5C"/>
    <w:rsid w:val="470902D0"/>
    <w:rsid w:val="47356D0C"/>
    <w:rsid w:val="47596E9F"/>
    <w:rsid w:val="47694C08"/>
    <w:rsid w:val="4770243A"/>
    <w:rsid w:val="47794E4B"/>
    <w:rsid w:val="478F0B12"/>
    <w:rsid w:val="47A85730"/>
    <w:rsid w:val="47FE17F4"/>
    <w:rsid w:val="480A63EB"/>
    <w:rsid w:val="48217291"/>
    <w:rsid w:val="482C6361"/>
    <w:rsid w:val="483F42E6"/>
    <w:rsid w:val="484F3E1E"/>
    <w:rsid w:val="485D3FC2"/>
    <w:rsid w:val="48AA54D8"/>
    <w:rsid w:val="48D13C35"/>
    <w:rsid w:val="490746D8"/>
    <w:rsid w:val="490966A2"/>
    <w:rsid w:val="491A440C"/>
    <w:rsid w:val="491F5EC6"/>
    <w:rsid w:val="49382AE4"/>
    <w:rsid w:val="494D4F4F"/>
    <w:rsid w:val="495711BC"/>
    <w:rsid w:val="498E6BA8"/>
    <w:rsid w:val="49CA5E32"/>
    <w:rsid w:val="49FB423D"/>
    <w:rsid w:val="4A201EF6"/>
    <w:rsid w:val="4A761B16"/>
    <w:rsid w:val="4A767D68"/>
    <w:rsid w:val="4A7933B4"/>
    <w:rsid w:val="4A926343"/>
    <w:rsid w:val="4A930919"/>
    <w:rsid w:val="4A9326C8"/>
    <w:rsid w:val="4AA254CC"/>
    <w:rsid w:val="4AAA17BF"/>
    <w:rsid w:val="4AB4263E"/>
    <w:rsid w:val="4ADA20A4"/>
    <w:rsid w:val="4AEE5B50"/>
    <w:rsid w:val="4B1355B6"/>
    <w:rsid w:val="4B1F03FF"/>
    <w:rsid w:val="4B206D94"/>
    <w:rsid w:val="4B272E10"/>
    <w:rsid w:val="4B29095D"/>
    <w:rsid w:val="4B320132"/>
    <w:rsid w:val="4B4B2FA2"/>
    <w:rsid w:val="4B613022"/>
    <w:rsid w:val="4B7047B7"/>
    <w:rsid w:val="4B7F2C4C"/>
    <w:rsid w:val="4B826047"/>
    <w:rsid w:val="4BA12BC2"/>
    <w:rsid w:val="4BA40904"/>
    <w:rsid w:val="4BE07B8E"/>
    <w:rsid w:val="4BE96317"/>
    <w:rsid w:val="4BED4059"/>
    <w:rsid w:val="4BF058F8"/>
    <w:rsid w:val="4C0A4C0B"/>
    <w:rsid w:val="4C1E4213"/>
    <w:rsid w:val="4C211F55"/>
    <w:rsid w:val="4C545E87"/>
    <w:rsid w:val="4C7B3413"/>
    <w:rsid w:val="4C8272C8"/>
    <w:rsid w:val="4C9D15DC"/>
    <w:rsid w:val="4CBE3AA7"/>
    <w:rsid w:val="4CDB0356"/>
    <w:rsid w:val="4D36558C"/>
    <w:rsid w:val="4D5B4FF3"/>
    <w:rsid w:val="4D6B16DA"/>
    <w:rsid w:val="4D6C7200"/>
    <w:rsid w:val="4D902EEE"/>
    <w:rsid w:val="4DC332C4"/>
    <w:rsid w:val="4DC86B2C"/>
    <w:rsid w:val="4DE35714"/>
    <w:rsid w:val="4DEF40B9"/>
    <w:rsid w:val="4DFA2A5E"/>
    <w:rsid w:val="4E395334"/>
    <w:rsid w:val="4E5008D0"/>
    <w:rsid w:val="4E80078E"/>
    <w:rsid w:val="4EA36C51"/>
    <w:rsid w:val="4EA40E15"/>
    <w:rsid w:val="4ED4505D"/>
    <w:rsid w:val="4EDA3738"/>
    <w:rsid w:val="4EE96D5A"/>
    <w:rsid w:val="4EF5033F"/>
    <w:rsid w:val="4EFE032C"/>
    <w:rsid w:val="4F0E4A13"/>
    <w:rsid w:val="4F1418FD"/>
    <w:rsid w:val="4F190BD2"/>
    <w:rsid w:val="4F251D5C"/>
    <w:rsid w:val="4F275AD4"/>
    <w:rsid w:val="4F2C6C47"/>
    <w:rsid w:val="4F2D7EE3"/>
    <w:rsid w:val="4F3509EB"/>
    <w:rsid w:val="4F424173"/>
    <w:rsid w:val="4F5A7C58"/>
    <w:rsid w:val="4F786330"/>
    <w:rsid w:val="4F8545A9"/>
    <w:rsid w:val="4FA709C3"/>
    <w:rsid w:val="4FBA06F6"/>
    <w:rsid w:val="4FBA7845"/>
    <w:rsid w:val="4FE65048"/>
    <w:rsid w:val="501F1A47"/>
    <w:rsid w:val="502913D8"/>
    <w:rsid w:val="50447FC0"/>
    <w:rsid w:val="504A1A7A"/>
    <w:rsid w:val="50B2154A"/>
    <w:rsid w:val="50B4752B"/>
    <w:rsid w:val="50C07F8E"/>
    <w:rsid w:val="50E579F5"/>
    <w:rsid w:val="510A2FB8"/>
    <w:rsid w:val="51286543"/>
    <w:rsid w:val="51404C2B"/>
    <w:rsid w:val="51505A58"/>
    <w:rsid w:val="515B7CB7"/>
    <w:rsid w:val="51694182"/>
    <w:rsid w:val="516C77CE"/>
    <w:rsid w:val="516E3AE8"/>
    <w:rsid w:val="517B4CCE"/>
    <w:rsid w:val="51A67184"/>
    <w:rsid w:val="51B3364F"/>
    <w:rsid w:val="51BF3DA2"/>
    <w:rsid w:val="51F429D5"/>
    <w:rsid w:val="520322B9"/>
    <w:rsid w:val="52045C59"/>
    <w:rsid w:val="522462FB"/>
    <w:rsid w:val="523A167B"/>
    <w:rsid w:val="524D5852"/>
    <w:rsid w:val="52707792"/>
    <w:rsid w:val="52727066"/>
    <w:rsid w:val="527F1783"/>
    <w:rsid w:val="52E31D12"/>
    <w:rsid w:val="52E71802"/>
    <w:rsid w:val="52EC506B"/>
    <w:rsid w:val="52F51A03"/>
    <w:rsid w:val="530C74BB"/>
    <w:rsid w:val="531B4467"/>
    <w:rsid w:val="531C6FD2"/>
    <w:rsid w:val="53312A7E"/>
    <w:rsid w:val="53373E0C"/>
    <w:rsid w:val="53394028"/>
    <w:rsid w:val="53620E89"/>
    <w:rsid w:val="53634C01"/>
    <w:rsid w:val="53874D93"/>
    <w:rsid w:val="539D750B"/>
    <w:rsid w:val="53A25729"/>
    <w:rsid w:val="53B34A51"/>
    <w:rsid w:val="53BA090A"/>
    <w:rsid w:val="53D37FD9"/>
    <w:rsid w:val="53DC242E"/>
    <w:rsid w:val="53F02939"/>
    <w:rsid w:val="53FD0BB2"/>
    <w:rsid w:val="540168F4"/>
    <w:rsid w:val="5418024C"/>
    <w:rsid w:val="541A1764"/>
    <w:rsid w:val="541A5C08"/>
    <w:rsid w:val="541B79C2"/>
    <w:rsid w:val="5422686A"/>
    <w:rsid w:val="54330A77"/>
    <w:rsid w:val="54413194"/>
    <w:rsid w:val="545C7FCE"/>
    <w:rsid w:val="54622923"/>
    <w:rsid w:val="5468108F"/>
    <w:rsid w:val="548D63DA"/>
    <w:rsid w:val="54E35FFA"/>
    <w:rsid w:val="54F2623D"/>
    <w:rsid w:val="54F55D2D"/>
    <w:rsid w:val="5503044A"/>
    <w:rsid w:val="556F5ADF"/>
    <w:rsid w:val="55780E38"/>
    <w:rsid w:val="55894DF3"/>
    <w:rsid w:val="55AE4859"/>
    <w:rsid w:val="55AE6607"/>
    <w:rsid w:val="55BB7B39"/>
    <w:rsid w:val="55E42029"/>
    <w:rsid w:val="5604091D"/>
    <w:rsid w:val="560426CB"/>
    <w:rsid w:val="56293EE0"/>
    <w:rsid w:val="56521689"/>
    <w:rsid w:val="56674A08"/>
    <w:rsid w:val="569A4DDE"/>
    <w:rsid w:val="56B7773E"/>
    <w:rsid w:val="56F91B04"/>
    <w:rsid w:val="57106E4E"/>
    <w:rsid w:val="57190ECC"/>
    <w:rsid w:val="57376477"/>
    <w:rsid w:val="57566F57"/>
    <w:rsid w:val="5778511F"/>
    <w:rsid w:val="57AF48B9"/>
    <w:rsid w:val="57B41ECF"/>
    <w:rsid w:val="57B679F5"/>
    <w:rsid w:val="57E26A3C"/>
    <w:rsid w:val="581A4428"/>
    <w:rsid w:val="58296419"/>
    <w:rsid w:val="589C6BEB"/>
    <w:rsid w:val="58B02697"/>
    <w:rsid w:val="58B42ACF"/>
    <w:rsid w:val="58CF63B2"/>
    <w:rsid w:val="58DE5456"/>
    <w:rsid w:val="58E467E4"/>
    <w:rsid w:val="59097FF9"/>
    <w:rsid w:val="591C7D2C"/>
    <w:rsid w:val="59246BE1"/>
    <w:rsid w:val="592F3F03"/>
    <w:rsid w:val="595C637A"/>
    <w:rsid w:val="59832A99"/>
    <w:rsid w:val="598D0C2A"/>
    <w:rsid w:val="59B461B6"/>
    <w:rsid w:val="59CF1242"/>
    <w:rsid w:val="59D2488F"/>
    <w:rsid w:val="59FB2037"/>
    <w:rsid w:val="5A0114F0"/>
    <w:rsid w:val="5A190577"/>
    <w:rsid w:val="5A1D3D5C"/>
    <w:rsid w:val="5A3B0686"/>
    <w:rsid w:val="5A4E03B9"/>
    <w:rsid w:val="5A662087"/>
    <w:rsid w:val="5A7A7400"/>
    <w:rsid w:val="5A985AD8"/>
    <w:rsid w:val="5A9F0C15"/>
    <w:rsid w:val="5AAB04CF"/>
    <w:rsid w:val="5ABB079A"/>
    <w:rsid w:val="5ABF4E13"/>
    <w:rsid w:val="5AF70A51"/>
    <w:rsid w:val="5B091590"/>
    <w:rsid w:val="5B6634E0"/>
    <w:rsid w:val="5BA109BC"/>
    <w:rsid w:val="5BA504AD"/>
    <w:rsid w:val="5BC36B85"/>
    <w:rsid w:val="5BDE751B"/>
    <w:rsid w:val="5BE82147"/>
    <w:rsid w:val="5C0351D3"/>
    <w:rsid w:val="5C2A51C2"/>
    <w:rsid w:val="5C652A82"/>
    <w:rsid w:val="5C730ABA"/>
    <w:rsid w:val="5C987A6F"/>
    <w:rsid w:val="5CCC5500"/>
    <w:rsid w:val="5CD2262C"/>
    <w:rsid w:val="5CDB424F"/>
    <w:rsid w:val="5CDD5A24"/>
    <w:rsid w:val="5CF3349A"/>
    <w:rsid w:val="5CF44E0C"/>
    <w:rsid w:val="5D0631CD"/>
    <w:rsid w:val="5D211DB5"/>
    <w:rsid w:val="5D235B2D"/>
    <w:rsid w:val="5D423AD9"/>
    <w:rsid w:val="5D4635C9"/>
    <w:rsid w:val="5D777C27"/>
    <w:rsid w:val="5D9B5A9B"/>
    <w:rsid w:val="5DB37D2C"/>
    <w:rsid w:val="5DB50C85"/>
    <w:rsid w:val="5DBE5856"/>
    <w:rsid w:val="5DCA7D57"/>
    <w:rsid w:val="5E174F66"/>
    <w:rsid w:val="5E251431"/>
    <w:rsid w:val="5E323B4E"/>
    <w:rsid w:val="5E512226"/>
    <w:rsid w:val="5E5166CA"/>
    <w:rsid w:val="5E53169C"/>
    <w:rsid w:val="5E8720EC"/>
    <w:rsid w:val="5EB01642"/>
    <w:rsid w:val="5EEB267A"/>
    <w:rsid w:val="5EEE5CC7"/>
    <w:rsid w:val="5EFD415C"/>
    <w:rsid w:val="5F6D12E1"/>
    <w:rsid w:val="5F7F1015"/>
    <w:rsid w:val="5FAD5B82"/>
    <w:rsid w:val="5FB21F35"/>
    <w:rsid w:val="5FDE5D3B"/>
    <w:rsid w:val="5FFC4413"/>
    <w:rsid w:val="600B28A8"/>
    <w:rsid w:val="60340051"/>
    <w:rsid w:val="60477D84"/>
    <w:rsid w:val="604A517F"/>
    <w:rsid w:val="60563B24"/>
    <w:rsid w:val="605D1356"/>
    <w:rsid w:val="60651FB9"/>
    <w:rsid w:val="60745FCF"/>
    <w:rsid w:val="60793CB6"/>
    <w:rsid w:val="60A96349"/>
    <w:rsid w:val="60BB42CE"/>
    <w:rsid w:val="60CC2038"/>
    <w:rsid w:val="60EE1FAE"/>
    <w:rsid w:val="60FF240D"/>
    <w:rsid w:val="6110461A"/>
    <w:rsid w:val="6115578D"/>
    <w:rsid w:val="613B6716"/>
    <w:rsid w:val="61442516"/>
    <w:rsid w:val="614B38A4"/>
    <w:rsid w:val="614D1FBB"/>
    <w:rsid w:val="61573FF7"/>
    <w:rsid w:val="61700C15"/>
    <w:rsid w:val="61734BA9"/>
    <w:rsid w:val="61826B9A"/>
    <w:rsid w:val="61834DEC"/>
    <w:rsid w:val="618B3CA1"/>
    <w:rsid w:val="618F19E3"/>
    <w:rsid w:val="61AB4343"/>
    <w:rsid w:val="61AF3E33"/>
    <w:rsid w:val="61BD3220"/>
    <w:rsid w:val="61CD6067"/>
    <w:rsid w:val="61DB4C28"/>
    <w:rsid w:val="62087B8C"/>
    <w:rsid w:val="622F0AD0"/>
    <w:rsid w:val="62620EA5"/>
    <w:rsid w:val="62C456BC"/>
    <w:rsid w:val="62E61243"/>
    <w:rsid w:val="63072F03"/>
    <w:rsid w:val="631B2246"/>
    <w:rsid w:val="631D6B7A"/>
    <w:rsid w:val="633F2F95"/>
    <w:rsid w:val="6344336F"/>
    <w:rsid w:val="63512CC8"/>
    <w:rsid w:val="63525EB8"/>
    <w:rsid w:val="635307EE"/>
    <w:rsid w:val="6388493C"/>
    <w:rsid w:val="63901A42"/>
    <w:rsid w:val="639C0BAB"/>
    <w:rsid w:val="639D7CBB"/>
    <w:rsid w:val="63B55CD4"/>
    <w:rsid w:val="63DF2082"/>
    <w:rsid w:val="64033FC2"/>
    <w:rsid w:val="641066DF"/>
    <w:rsid w:val="644C3BBB"/>
    <w:rsid w:val="645C36D2"/>
    <w:rsid w:val="64610CE9"/>
    <w:rsid w:val="6467228E"/>
    <w:rsid w:val="646B7DB9"/>
    <w:rsid w:val="646C19F5"/>
    <w:rsid w:val="64794284"/>
    <w:rsid w:val="649165CE"/>
    <w:rsid w:val="64AC465A"/>
    <w:rsid w:val="64C438AE"/>
    <w:rsid w:val="64EC2CA8"/>
    <w:rsid w:val="64F61D79"/>
    <w:rsid w:val="65082410"/>
    <w:rsid w:val="651D5558"/>
    <w:rsid w:val="652A557F"/>
    <w:rsid w:val="654E5711"/>
    <w:rsid w:val="655D7702"/>
    <w:rsid w:val="656C3E87"/>
    <w:rsid w:val="657333CA"/>
    <w:rsid w:val="65B65064"/>
    <w:rsid w:val="65C717C5"/>
    <w:rsid w:val="65CB4FB4"/>
    <w:rsid w:val="66033B3B"/>
    <w:rsid w:val="66044022"/>
    <w:rsid w:val="66293A88"/>
    <w:rsid w:val="663366B5"/>
    <w:rsid w:val="6646288C"/>
    <w:rsid w:val="665705F5"/>
    <w:rsid w:val="666703C9"/>
    <w:rsid w:val="667167B1"/>
    <w:rsid w:val="66855163"/>
    <w:rsid w:val="6692787F"/>
    <w:rsid w:val="669730E8"/>
    <w:rsid w:val="66A870A3"/>
    <w:rsid w:val="66CF2882"/>
    <w:rsid w:val="66D02156"/>
    <w:rsid w:val="66E64BC1"/>
    <w:rsid w:val="66EF1480"/>
    <w:rsid w:val="67191D4F"/>
    <w:rsid w:val="673C26DD"/>
    <w:rsid w:val="676A6106"/>
    <w:rsid w:val="676E5BF7"/>
    <w:rsid w:val="67717495"/>
    <w:rsid w:val="6780592A"/>
    <w:rsid w:val="678216A2"/>
    <w:rsid w:val="678C42CF"/>
    <w:rsid w:val="67A61834"/>
    <w:rsid w:val="67A91325"/>
    <w:rsid w:val="67EC36E4"/>
    <w:rsid w:val="68000819"/>
    <w:rsid w:val="6808604B"/>
    <w:rsid w:val="680E64F1"/>
    <w:rsid w:val="68183DB4"/>
    <w:rsid w:val="68216A0C"/>
    <w:rsid w:val="6832131A"/>
    <w:rsid w:val="683B64F9"/>
    <w:rsid w:val="68464643"/>
    <w:rsid w:val="68594AF9"/>
    <w:rsid w:val="685E3EBD"/>
    <w:rsid w:val="686E1C26"/>
    <w:rsid w:val="68774F7F"/>
    <w:rsid w:val="68831B76"/>
    <w:rsid w:val="688D2341"/>
    <w:rsid w:val="688E4077"/>
    <w:rsid w:val="68A13DAA"/>
    <w:rsid w:val="68B25FB7"/>
    <w:rsid w:val="68B27D65"/>
    <w:rsid w:val="68B37AC3"/>
    <w:rsid w:val="68C301C4"/>
    <w:rsid w:val="693410C2"/>
    <w:rsid w:val="695D5F23"/>
    <w:rsid w:val="698C4A5A"/>
    <w:rsid w:val="698C57EB"/>
    <w:rsid w:val="69B63885"/>
    <w:rsid w:val="69BD10B7"/>
    <w:rsid w:val="69D63F27"/>
    <w:rsid w:val="69EC54F9"/>
    <w:rsid w:val="69FA19C4"/>
    <w:rsid w:val="6A1B0891"/>
    <w:rsid w:val="6A3824EC"/>
    <w:rsid w:val="6A4E7F61"/>
    <w:rsid w:val="6A5437CA"/>
    <w:rsid w:val="6A5A06B4"/>
    <w:rsid w:val="6A8614A9"/>
    <w:rsid w:val="6AA264DC"/>
    <w:rsid w:val="6AC10733"/>
    <w:rsid w:val="6AD761A9"/>
    <w:rsid w:val="6ADC37BF"/>
    <w:rsid w:val="6ADC731B"/>
    <w:rsid w:val="6ADF6E0B"/>
    <w:rsid w:val="6B054A88"/>
    <w:rsid w:val="6B056872"/>
    <w:rsid w:val="6B080110"/>
    <w:rsid w:val="6B2A0087"/>
    <w:rsid w:val="6B340F05"/>
    <w:rsid w:val="6B3709F5"/>
    <w:rsid w:val="6B930322"/>
    <w:rsid w:val="6BBD0EFB"/>
    <w:rsid w:val="6C262F44"/>
    <w:rsid w:val="6C313697"/>
    <w:rsid w:val="6C9A56E0"/>
    <w:rsid w:val="6CAF118B"/>
    <w:rsid w:val="6CBF6EF4"/>
    <w:rsid w:val="6CC85DA9"/>
    <w:rsid w:val="6CE40709"/>
    <w:rsid w:val="6CEA21C3"/>
    <w:rsid w:val="6D013069"/>
    <w:rsid w:val="6D036DE1"/>
    <w:rsid w:val="6D0F1C2A"/>
    <w:rsid w:val="6D194857"/>
    <w:rsid w:val="6D1E2392"/>
    <w:rsid w:val="6D1F1741"/>
    <w:rsid w:val="6D325918"/>
    <w:rsid w:val="6D365409"/>
    <w:rsid w:val="6D383A6A"/>
    <w:rsid w:val="6D3E606B"/>
    <w:rsid w:val="6D935DE6"/>
    <w:rsid w:val="6D9914F3"/>
    <w:rsid w:val="6DC26C9C"/>
    <w:rsid w:val="6DC5678C"/>
    <w:rsid w:val="6DC72505"/>
    <w:rsid w:val="6DD4077E"/>
    <w:rsid w:val="6DD95D94"/>
    <w:rsid w:val="6DE41446"/>
    <w:rsid w:val="6DEE5CE3"/>
    <w:rsid w:val="6E3B0389"/>
    <w:rsid w:val="6E470F4F"/>
    <w:rsid w:val="6E6C09B6"/>
    <w:rsid w:val="6E6E0BD2"/>
    <w:rsid w:val="6E744035"/>
    <w:rsid w:val="6EB544FE"/>
    <w:rsid w:val="6EC9405A"/>
    <w:rsid w:val="6ED70525"/>
    <w:rsid w:val="6EE113A4"/>
    <w:rsid w:val="6F0B6421"/>
    <w:rsid w:val="6F1C062E"/>
    <w:rsid w:val="6F4F7B98"/>
    <w:rsid w:val="6F547DC8"/>
    <w:rsid w:val="6F681F38"/>
    <w:rsid w:val="6F771D08"/>
    <w:rsid w:val="6F8C7562"/>
    <w:rsid w:val="6FD74555"/>
    <w:rsid w:val="6FDD600F"/>
    <w:rsid w:val="70025A76"/>
    <w:rsid w:val="702C748F"/>
    <w:rsid w:val="70310109"/>
    <w:rsid w:val="704A2F79"/>
    <w:rsid w:val="704E0CBB"/>
    <w:rsid w:val="705335C8"/>
    <w:rsid w:val="70544A2A"/>
    <w:rsid w:val="705D0EFE"/>
    <w:rsid w:val="70756248"/>
    <w:rsid w:val="709F09A6"/>
    <w:rsid w:val="70BA1EAD"/>
    <w:rsid w:val="70BD7BEF"/>
    <w:rsid w:val="70D866B5"/>
    <w:rsid w:val="70E433CD"/>
    <w:rsid w:val="70ED2282"/>
    <w:rsid w:val="70F27898"/>
    <w:rsid w:val="70FB315B"/>
    <w:rsid w:val="71266FB1"/>
    <w:rsid w:val="7137174F"/>
    <w:rsid w:val="71500A63"/>
    <w:rsid w:val="71502811"/>
    <w:rsid w:val="715B3540"/>
    <w:rsid w:val="715C2F64"/>
    <w:rsid w:val="716D33C3"/>
    <w:rsid w:val="71B87D21"/>
    <w:rsid w:val="71D76A8E"/>
    <w:rsid w:val="71F633B8"/>
    <w:rsid w:val="72345C8F"/>
    <w:rsid w:val="72620A4E"/>
    <w:rsid w:val="726F6CC7"/>
    <w:rsid w:val="7270316B"/>
    <w:rsid w:val="729624A5"/>
    <w:rsid w:val="729F135A"/>
    <w:rsid w:val="73010267"/>
    <w:rsid w:val="73216213"/>
    <w:rsid w:val="73263829"/>
    <w:rsid w:val="732D2E0A"/>
    <w:rsid w:val="73706993"/>
    <w:rsid w:val="739015EB"/>
    <w:rsid w:val="7395275D"/>
    <w:rsid w:val="73A40BF2"/>
    <w:rsid w:val="73A806E2"/>
    <w:rsid w:val="73B2330F"/>
    <w:rsid w:val="73B40E35"/>
    <w:rsid w:val="73B8350B"/>
    <w:rsid w:val="73D2750D"/>
    <w:rsid w:val="73DB2866"/>
    <w:rsid w:val="73E334C8"/>
    <w:rsid w:val="73FE47A6"/>
    <w:rsid w:val="745D771F"/>
    <w:rsid w:val="7469509D"/>
    <w:rsid w:val="747D391D"/>
    <w:rsid w:val="747D56CB"/>
    <w:rsid w:val="7482271B"/>
    <w:rsid w:val="74A9506F"/>
    <w:rsid w:val="74C54FE2"/>
    <w:rsid w:val="74D55507"/>
    <w:rsid w:val="74E05C5A"/>
    <w:rsid w:val="74E90FB2"/>
    <w:rsid w:val="74EE0F8F"/>
    <w:rsid w:val="75061904"/>
    <w:rsid w:val="750C6A4F"/>
    <w:rsid w:val="751029E3"/>
    <w:rsid w:val="7544268D"/>
    <w:rsid w:val="75526B58"/>
    <w:rsid w:val="75660855"/>
    <w:rsid w:val="75750A98"/>
    <w:rsid w:val="75822AD7"/>
    <w:rsid w:val="75846F2D"/>
    <w:rsid w:val="758F1B5A"/>
    <w:rsid w:val="75B0387E"/>
    <w:rsid w:val="75B17106"/>
    <w:rsid w:val="75D21A46"/>
    <w:rsid w:val="75DC4673"/>
    <w:rsid w:val="75EA6D90"/>
    <w:rsid w:val="75EF25F8"/>
    <w:rsid w:val="75F53987"/>
    <w:rsid w:val="762A3631"/>
    <w:rsid w:val="76366479"/>
    <w:rsid w:val="76571F4C"/>
    <w:rsid w:val="76740D50"/>
    <w:rsid w:val="767E572A"/>
    <w:rsid w:val="76A553AD"/>
    <w:rsid w:val="76AE4262"/>
    <w:rsid w:val="76B25806"/>
    <w:rsid w:val="76B37ACA"/>
    <w:rsid w:val="76B455F0"/>
    <w:rsid w:val="76DF3893"/>
    <w:rsid w:val="770A4F84"/>
    <w:rsid w:val="774249AA"/>
    <w:rsid w:val="775D17E4"/>
    <w:rsid w:val="776B2153"/>
    <w:rsid w:val="776B3F01"/>
    <w:rsid w:val="777728A5"/>
    <w:rsid w:val="777A4144"/>
    <w:rsid w:val="77AE203F"/>
    <w:rsid w:val="77AE59B8"/>
    <w:rsid w:val="77D00208"/>
    <w:rsid w:val="77D3069E"/>
    <w:rsid w:val="77DE2925"/>
    <w:rsid w:val="77FD231E"/>
    <w:rsid w:val="78504E72"/>
    <w:rsid w:val="78526E6F"/>
    <w:rsid w:val="787768D5"/>
    <w:rsid w:val="78911745"/>
    <w:rsid w:val="78BE5F5A"/>
    <w:rsid w:val="78D87374"/>
    <w:rsid w:val="78D9133E"/>
    <w:rsid w:val="791D122B"/>
    <w:rsid w:val="79200D1B"/>
    <w:rsid w:val="79334EF2"/>
    <w:rsid w:val="79534C4C"/>
    <w:rsid w:val="7956298E"/>
    <w:rsid w:val="795A5FDB"/>
    <w:rsid w:val="79733540"/>
    <w:rsid w:val="79817A0B"/>
    <w:rsid w:val="79AC25AE"/>
    <w:rsid w:val="79B24069"/>
    <w:rsid w:val="79C21DD2"/>
    <w:rsid w:val="79E1494E"/>
    <w:rsid w:val="79E354B7"/>
    <w:rsid w:val="79E85CDC"/>
    <w:rsid w:val="79E94D5A"/>
    <w:rsid w:val="7A036672"/>
    <w:rsid w:val="7A1A39BC"/>
    <w:rsid w:val="7A316FC1"/>
    <w:rsid w:val="7A5A025C"/>
    <w:rsid w:val="7AA567FE"/>
    <w:rsid w:val="7AA80FC8"/>
    <w:rsid w:val="7AB25926"/>
    <w:rsid w:val="7ABB0CFB"/>
    <w:rsid w:val="7AC2652D"/>
    <w:rsid w:val="7AC57DCC"/>
    <w:rsid w:val="7ACA7190"/>
    <w:rsid w:val="7ACD6C80"/>
    <w:rsid w:val="7AD1051F"/>
    <w:rsid w:val="7AD149C3"/>
    <w:rsid w:val="7AE00762"/>
    <w:rsid w:val="7AE2097E"/>
    <w:rsid w:val="7AF91AC4"/>
    <w:rsid w:val="7B2F3497"/>
    <w:rsid w:val="7B30793B"/>
    <w:rsid w:val="7B334D35"/>
    <w:rsid w:val="7B4C5DF7"/>
    <w:rsid w:val="7B503B39"/>
    <w:rsid w:val="7B656EB9"/>
    <w:rsid w:val="7B75534E"/>
    <w:rsid w:val="7B783090"/>
    <w:rsid w:val="7B892BA7"/>
    <w:rsid w:val="7BCE0F02"/>
    <w:rsid w:val="7BE307AE"/>
    <w:rsid w:val="7C3A20F4"/>
    <w:rsid w:val="7C5C650E"/>
    <w:rsid w:val="7C75137E"/>
    <w:rsid w:val="7C7970C0"/>
    <w:rsid w:val="7CB579CC"/>
    <w:rsid w:val="7CB9278C"/>
    <w:rsid w:val="7CB93960"/>
    <w:rsid w:val="7CC540B3"/>
    <w:rsid w:val="7CDE5175"/>
    <w:rsid w:val="7CE502B1"/>
    <w:rsid w:val="7CF624BE"/>
    <w:rsid w:val="7D050953"/>
    <w:rsid w:val="7D342FE7"/>
    <w:rsid w:val="7D52346D"/>
    <w:rsid w:val="7D76016C"/>
    <w:rsid w:val="7DA168CE"/>
    <w:rsid w:val="7E3C2153"/>
    <w:rsid w:val="7E4E1E86"/>
    <w:rsid w:val="7EB10D93"/>
    <w:rsid w:val="7EC564AB"/>
    <w:rsid w:val="7ED625A7"/>
    <w:rsid w:val="7EF24F07"/>
    <w:rsid w:val="7EF649F8"/>
    <w:rsid w:val="7F0D7F93"/>
    <w:rsid w:val="7F1C3D32"/>
    <w:rsid w:val="7F250E39"/>
    <w:rsid w:val="7F313C82"/>
    <w:rsid w:val="7F343772"/>
    <w:rsid w:val="7F4F5EB6"/>
    <w:rsid w:val="7F533BF8"/>
    <w:rsid w:val="7F9047D2"/>
    <w:rsid w:val="7F9D1317"/>
    <w:rsid w:val="7F9E0BEB"/>
    <w:rsid w:val="7FA06711"/>
    <w:rsid w:val="7FAE0E2E"/>
    <w:rsid w:val="7FB20C31"/>
    <w:rsid w:val="7FB4040F"/>
    <w:rsid w:val="7FC265D6"/>
    <w:rsid w:val="7FD05249"/>
    <w:rsid w:val="7FDD1714"/>
    <w:rsid w:val="7FFF5B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45"/>
    <w:autoRedefine/>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6"/>
    <w:autoRedefine/>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7"/>
    <w:autoRedefine/>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8"/>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9"/>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50"/>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2"/>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3"/>
    <w:autoRedefine/>
    <w:unhideWhenUsed/>
    <w:qFormat/>
    <w:uiPriority w:val="9"/>
    <w:pPr>
      <w:keepNext/>
      <w:keepLines/>
      <w:spacing w:before="320" w:after="200"/>
      <w:outlineLvl w:val="8"/>
    </w:pPr>
    <w:rPr>
      <w:rFonts w:ascii="Arial" w:hAnsi="Arial" w:eastAsia="Arial" w:cs="Arial"/>
      <w:i/>
      <w:iCs/>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spacing w:after="57"/>
      <w:ind w:left="1701"/>
    </w:pPr>
  </w:style>
  <w:style w:type="paragraph" w:styleId="12">
    <w:name w:val="Normal Indent"/>
    <w:basedOn w:val="1"/>
    <w:next w:val="1"/>
    <w:qFormat/>
    <w:uiPriority w:val="0"/>
    <w:pPr>
      <w:ind w:firstLine="420"/>
    </w:pPr>
    <w:rPr>
      <w:rFonts w:ascii="Times New Roman" w:hAnsi="Times New Roman" w:eastAsia="宋体" w:cs="Times New Roman"/>
      <w:szCs w:val="20"/>
    </w:rPr>
  </w:style>
  <w:style w:type="paragraph" w:styleId="13">
    <w:name w:val="caption"/>
    <w:basedOn w:val="1"/>
    <w:next w:val="1"/>
    <w:autoRedefine/>
    <w:semiHidden/>
    <w:unhideWhenUsed/>
    <w:qFormat/>
    <w:uiPriority w:val="35"/>
    <w:pPr>
      <w:spacing w:line="276" w:lineRule="auto"/>
    </w:pPr>
    <w:rPr>
      <w:b/>
      <w:bCs/>
      <w:color w:val="4F81BD"/>
      <w:sz w:val="18"/>
      <w:szCs w:val="18"/>
    </w:rPr>
  </w:style>
  <w:style w:type="paragraph" w:styleId="14">
    <w:name w:val="annotation text"/>
    <w:basedOn w:val="1"/>
    <w:link w:val="464"/>
    <w:semiHidden/>
    <w:unhideWhenUsed/>
    <w:qFormat/>
    <w:uiPriority w:val="99"/>
    <w:pPr>
      <w:jc w:val="left"/>
    </w:pPr>
  </w:style>
  <w:style w:type="paragraph" w:styleId="15">
    <w:name w:val="Body Text"/>
    <w:basedOn w:val="1"/>
    <w:next w:val="1"/>
    <w:unhideWhenUsed/>
    <w:qFormat/>
    <w:uiPriority w:val="0"/>
    <w:pPr>
      <w:spacing w:after="120"/>
    </w:pPr>
  </w:style>
  <w:style w:type="paragraph" w:styleId="16">
    <w:name w:val="Body Text Indent"/>
    <w:basedOn w:val="1"/>
    <w:qFormat/>
    <w:uiPriority w:val="99"/>
    <w:pPr>
      <w:ind w:firstLine="576"/>
    </w:pPr>
    <w:rPr>
      <w:rFonts w:ascii="Times New Roman" w:hAnsi="Times New Roman" w:eastAsia="宋体" w:cs="Times New Roman"/>
      <w:b/>
      <w:kern w:val="0"/>
      <w:sz w:val="30"/>
      <w:szCs w:val="20"/>
    </w:rPr>
  </w:style>
  <w:style w:type="paragraph" w:styleId="17">
    <w:name w:val="toc 5"/>
    <w:basedOn w:val="1"/>
    <w:next w:val="1"/>
    <w:autoRedefine/>
    <w:unhideWhenUsed/>
    <w:qFormat/>
    <w:uiPriority w:val="39"/>
    <w:pPr>
      <w:spacing w:after="57"/>
      <w:ind w:left="1134"/>
    </w:pPr>
  </w:style>
  <w:style w:type="paragraph" w:styleId="18">
    <w:name w:val="toc 3"/>
    <w:basedOn w:val="1"/>
    <w:next w:val="1"/>
    <w:autoRedefine/>
    <w:unhideWhenUsed/>
    <w:qFormat/>
    <w:uiPriority w:val="39"/>
    <w:pPr>
      <w:spacing w:after="57"/>
      <w:ind w:left="567"/>
    </w:pPr>
  </w:style>
  <w:style w:type="paragraph" w:styleId="19">
    <w:name w:val="Plain Text"/>
    <w:basedOn w:val="1"/>
    <w:qFormat/>
    <w:uiPriority w:val="0"/>
    <w:rPr>
      <w:rFonts w:hint="eastAsia" w:ascii="宋体" w:hAnsi="Courier New"/>
      <w:szCs w:val="20"/>
    </w:rPr>
  </w:style>
  <w:style w:type="paragraph" w:styleId="20">
    <w:name w:val="toc 8"/>
    <w:basedOn w:val="1"/>
    <w:next w:val="1"/>
    <w:autoRedefine/>
    <w:unhideWhenUsed/>
    <w:qFormat/>
    <w:uiPriority w:val="39"/>
    <w:pPr>
      <w:spacing w:after="57"/>
      <w:ind w:left="1984"/>
    </w:pPr>
  </w:style>
  <w:style w:type="paragraph" w:styleId="21">
    <w:name w:val="endnote text"/>
    <w:basedOn w:val="1"/>
    <w:link w:val="191"/>
    <w:autoRedefine/>
    <w:semiHidden/>
    <w:unhideWhenUsed/>
    <w:qFormat/>
    <w:uiPriority w:val="99"/>
    <w:rPr>
      <w:sz w:val="20"/>
    </w:rPr>
  </w:style>
  <w:style w:type="paragraph" w:styleId="22">
    <w:name w:val="Balloon Text"/>
    <w:basedOn w:val="1"/>
    <w:link w:val="466"/>
    <w:semiHidden/>
    <w:unhideWhenUsed/>
    <w:qFormat/>
    <w:uiPriority w:val="99"/>
    <w:rPr>
      <w:sz w:val="18"/>
      <w:szCs w:val="18"/>
    </w:rPr>
  </w:style>
  <w:style w:type="paragraph" w:styleId="23">
    <w:name w:val="footer"/>
    <w:basedOn w:val="1"/>
    <w:link w:val="64"/>
    <w:autoRedefine/>
    <w:unhideWhenUsed/>
    <w:qFormat/>
    <w:uiPriority w:val="99"/>
    <w:pPr>
      <w:tabs>
        <w:tab w:val="center" w:pos="7143"/>
        <w:tab w:val="right" w:pos="14287"/>
      </w:tabs>
    </w:pPr>
  </w:style>
  <w:style w:type="paragraph" w:styleId="24">
    <w:name w:val="header"/>
    <w:basedOn w:val="1"/>
    <w:link w:val="62"/>
    <w:autoRedefine/>
    <w:unhideWhenUsed/>
    <w:qFormat/>
    <w:uiPriority w:val="99"/>
    <w:pPr>
      <w:tabs>
        <w:tab w:val="center" w:pos="7143"/>
        <w:tab w:val="right" w:pos="14287"/>
      </w:tabs>
    </w:pPr>
  </w:style>
  <w:style w:type="paragraph" w:styleId="25">
    <w:name w:val="toc 1"/>
    <w:basedOn w:val="1"/>
    <w:next w:val="1"/>
    <w:autoRedefine/>
    <w:unhideWhenUsed/>
    <w:qFormat/>
    <w:uiPriority w:val="39"/>
    <w:pPr>
      <w:spacing w:after="57"/>
    </w:pPr>
  </w:style>
  <w:style w:type="paragraph" w:styleId="26">
    <w:name w:val="toc 4"/>
    <w:basedOn w:val="1"/>
    <w:next w:val="1"/>
    <w:autoRedefine/>
    <w:unhideWhenUsed/>
    <w:qFormat/>
    <w:uiPriority w:val="39"/>
    <w:pPr>
      <w:spacing w:after="57"/>
      <w:ind w:left="850"/>
    </w:pPr>
  </w:style>
  <w:style w:type="paragraph" w:styleId="27">
    <w:name w:val="Subtitle"/>
    <w:basedOn w:val="1"/>
    <w:next w:val="1"/>
    <w:link w:val="57"/>
    <w:qFormat/>
    <w:uiPriority w:val="11"/>
    <w:pPr>
      <w:spacing w:before="200" w:after="200"/>
    </w:pPr>
    <w:rPr>
      <w:sz w:val="24"/>
    </w:rPr>
  </w:style>
  <w:style w:type="paragraph" w:styleId="28">
    <w:name w:val="footnote text"/>
    <w:basedOn w:val="1"/>
    <w:link w:val="190"/>
    <w:autoRedefine/>
    <w:semiHidden/>
    <w:unhideWhenUsed/>
    <w:qFormat/>
    <w:uiPriority w:val="99"/>
    <w:pPr>
      <w:spacing w:after="40"/>
    </w:pPr>
    <w:rPr>
      <w:sz w:val="18"/>
    </w:rPr>
  </w:style>
  <w:style w:type="paragraph" w:styleId="29">
    <w:name w:val="toc 6"/>
    <w:basedOn w:val="1"/>
    <w:next w:val="1"/>
    <w:autoRedefine/>
    <w:unhideWhenUsed/>
    <w:qFormat/>
    <w:uiPriority w:val="39"/>
    <w:pPr>
      <w:spacing w:after="57"/>
      <w:ind w:left="1417"/>
    </w:pPr>
  </w:style>
  <w:style w:type="paragraph" w:styleId="30">
    <w:name w:val="table of figures"/>
    <w:basedOn w:val="1"/>
    <w:next w:val="1"/>
    <w:autoRedefine/>
    <w:unhideWhenUsed/>
    <w:qFormat/>
    <w:uiPriority w:val="99"/>
  </w:style>
  <w:style w:type="paragraph" w:styleId="31">
    <w:name w:val="toc 2"/>
    <w:basedOn w:val="1"/>
    <w:next w:val="1"/>
    <w:autoRedefine/>
    <w:unhideWhenUsed/>
    <w:qFormat/>
    <w:uiPriority w:val="39"/>
    <w:pPr>
      <w:spacing w:after="57"/>
      <w:ind w:left="283"/>
    </w:pPr>
  </w:style>
  <w:style w:type="paragraph" w:styleId="32">
    <w:name w:val="toc 9"/>
    <w:basedOn w:val="1"/>
    <w:next w:val="1"/>
    <w:autoRedefine/>
    <w:unhideWhenUsed/>
    <w:qFormat/>
    <w:uiPriority w:val="39"/>
    <w:pPr>
      <w:spacing w:after="57"/>
      <w:ind w:left="2268"/>
    </w:pPr>
  </w:style>
  <w:style w:type="paragraph" w:styleId="33">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4">
    <w:name w:val="Title"/>
    <w:basedOn w:val="1"/>
    <w:next w:val="1"/>
    <w:link w:val="56"/>
    <w:qFormat/>
    <w:uiPriority w:val="10"/>
    <w:pPr>
      <w:spacing w:before="300" w:after="200"/>
      <w:contextualSpacing/>
    </w:pPr>
    <w:rPr>
      <w:sz w:val="48"/>
      <w:szCs w:val="48"/>
    </w:rPr>
  </w:style>
  <w:style w:type="paragraph" w:styleId="35">
    <w:name w:val="annotation subject"/>
    <w:basedOn w:val="14"/>
    <w:next w:val="14"/>
    <w:link w:val="465"/>
    <w:semiHidden/>
    <w:unhideWhenUsed/>
    <w:qFormat/>
    <w:uiPriority w:val="99"/>
    <w:rPr>
      <w:b/>
      <w:bCs/>
    </w:rPr>
  </w:style>
  <w:style w:type="paragraph" w:styleId="36">
    <w:name w:val="Body Text First Indent 2"/>
    <w:basedOn w:val="16"/>
    <w:qFormat/>
    <w:uiPriority w:val="0"/>
    <w:pPr>
      <w:spacing w:after="120" w:line="480" w:lineRule="exact"/>
      <w:ind w:left="420" w:leftChars="200" w:firstLine="420" w:firstLineChars="200"/>
    </w:pPr>
  </w:style>
  <w:style w:type="table" w:styleId="38">
    <w:name w:val="Table Grid"/>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endnote reference"/>
    <w:autoRedefine/>
    <w:semiHidden/>
    <w:unhideWhenUsed/>
    <w:qFormat/>
    <w:uiPriority w:val="99"/>
    <w:rPr>
      <w:vertAlign w:val="superscript"/>
    </w:rPr>
  </w:style>
  <w:style w:type="character" w:styleId="41">
    <w:name w:val="page number"/>
    <w:qFormat/>
    <w:uiPriority w:val="0"/>
  </w:style>
  <w:style w:type="character" w:styleId="42">
    <w:name w:val="Hyperlink"/>
    <w:autoRedefine/>
    <w:unhideWhenUsed/>
    <w:qFormat/>
    <w:uiPriority w:val="99"/>
    <w:rPr>
      <w:color w:val="0000FF"/>
      <w:u w:val="single"/>
    </w:rPr>
  </w:style>
  <w:style w:type="character" w:styleId="43">
    <w:name w:val="annotation reference"/>
    <w:semiHidden/>
    <w:unhideWhenUsed/>
    <w:qFormat/>
    <w:uiPriority w:val="99"/>
    <w:rPr>
      <w:sz w:val="21"/>
      <w:szCs w:val="21"/>
    </w:rPr>
  </w:style>
  <w:style w:type="character" w:styleId="44">
    <w:name w:val="footnote reference"/>
    <w:autoRedefine/>
    <w:unhideWhenUsed/>
    <w:qFormat/>
    <w:uiPriority w:val="99"/>
    <w:rPr>
      <w:vertAlign w:val="superscript"/>
    </w:rPr>
  </w:style>
  <w:style w:type="character" w:customStyle="1" w:styleId="45">
    <w:name w:val="标题 1 Char1"/>
    <w:link w:val="2"/>
    <w:autoRedefine/>
    <w:qFormat/>
    <w:uiPriority w:val="9"/>
    <w:rPr>
      <w:rFonts w:ascii="Arial" w:hAnsi="Arial" w:eastAsia="Arial" w:cs="Arial"/>
      <w:sz w:val="40"/>
      <w:szCs w:val="40"/>
    </w:rPr>
  </w:style>
  <w:style w:type="character" w:customStyle="1" w:styleId="46">
    <w:name w:val="标题 2 Char2"/>
    <w:link w:val="3"/>
    <w:qFormat/>
    <w:uiPriority w:val="9"/>
    <w:rPr>
      <w:rFonts w:ascii="Arial" w:hAnsi="Arial" w:eastAsia="Arial" w:cs="Arial"/>
      <w:sz w:val="34"/>
    </w:rPr>
  </w:style>
  <w:style w:type="character" w:customStyle="1" w:styleId="47">
    <w:name w:val="标题 3 Char2"/>
    <w:link w:val="4"/>
    <w:qFormat/>
    <w:uiPriority w:val="9"/>
    <w:rPr>
      <w:rFonts w:ascii="Arial" w:hAnsi="Arial" w:eastAsia="Arial" w:cs="Arial"/>
      <w:sz w:val="30"/>
      <w:szCs w:val="30"/>
    </w:rPr>
  </w:style>
  <w:style w:type="character" w:customStyle="1" w:styleId="48">
    <w:name w:val="标题 4 Char1"/>
    <w:link w:val="5"/>
    <w:autoRedefine/>
    <w:qFormat/>
    <w:uiPriority w:val="9"/>
    <w:rPr>
      <w:rFonts w:ascii="Arial" w:hAnsi="Arial" w:eastAsia="Arial" w:cs="Arial"/>
      <w:b/>
      <w:bCs/>
      <w:sz w:val="26"/>
      <w:szCs w:val="26"/>
    </w:rPr>
  </w:style>
  <w:style w:type="character" w:customStyle="1" w:styleId="49">
    <w:name w:val="标题 5 Char1"/>
    <w:link w:val="6"/>
    <w:qFormat/>
    <w:uiPriority w:val="9"/>
    <w:rPr>
      <w:rFonts w:ascii="Arial" w:hAnsi="Arial" w:eastAsia="Arial" w:cs="Arial"/>
      <w:b/>
      <w:bCs/>
      <w:sz w:val="24"/>
      <w:szCs w:val="24"/>
    </w:rPr>
  </w:style>
  <w:style w:type="character" w:customStyle="1" w:styleId="50">
    <w:name w:val="标题 6 Char1"/>
    <w:link w:val="7"/>
    <w:autoRedefine/>
    <w:qFormat/>
    <w:uiPriority w:val="9"/>
    <w:rPr>
      <w:rFonts w:ascii="Arial" w:hAnsi="Arial" w:eastAsia="Arial" w:cs="Arial"/>
      <w:b/>
      <w:bCs/>
      <w:sz w:val="22"/>
      <w:szCs w:val="22"/>
    </w:rPr>
  </w:style>
  <w:style w:type="character" w:customStyle="1" w:styleId="51">
    <w:name w:val="标题 7 Char1"/>
    <w:link w:val="8"/>
    <w:qFormat/>
    <w:uiPriority w:val="9"/>
    <w:rPr>
      <w:rFonts w:ascii="Arial" w:hAnsi="Arial" w:eastAsia="Arial" w:cs="Arial"/>
      <w:b/>
      <w:bCs/>
      <w:i/>
      <w:iCs/>
      <w:sz w:val="22"/>
      <w:szCs w:val="22"/>
    </w:rPr>
  </w:style>
  <w:style w:type="character" w:customStyle="1" w:styleId="52">
    <w:name w:val="标题 8 Char1"/>
    <w:link w:val="9"/>
    <w:qFormat/>
    <w:uiPriority w:val="9"/>
    <w:rPr>
      <w:rFonts w:ascii="Arial" w:hAnsi="Arial" w:eastAsia="Arial" w:cs="Arial"/>
      <w:i/>
      <w:iCs/>
      <w:sz w:val="22"/>
      <w:szCs w:val="22"/>
    </w:rPr>
  </w:style>
  <w:style w:type="character" w:customStyle="1" w:styleId="53">
    <w:name w:val="标题 9 Char1"/>
    <w:link w:val="10"/>
    <w:autoRedefine/>
    <w:qFormat/>
    <w:uiPriority w:val="9"/>
    <w:rPr>
      <w:rFonts w:ascii="Arial" w:hAnsi="Arial" w:eastAsia="Arial" w:cs="Arial"/>
      <w:i/>
      <w:iCs/>
      <w:sz w:val="21"/>
      <w:szCs w:val="21"/>
    </w:rPr>
  </w:style>
  <w:style w:type="paragraph" w:styleId="54">
    <w:name w:val="List Paragraph"/>
    <w:basedOn w:val="1"/>
    <w:qFormat/>
    <w:uiPriority w:val="34"/>
    <w:pPr>
      <w:ind w:left="720"/>
      <w:contextualSpacing/>
    </w:pPr>
  </w:style>
  <w:style w:type="paragraph" w:styleId="55">
    <w:name w:val="No Spacing"/>
    <w:qFormat/>
    <w:uiPriority w:val="1"/>
    <w:rPr>
      <w:rFonts w:ascii="Times New Roman" w:hAnsi="Times New Roman" w:eastAsia="宋体" w:cs="Times New Roman"/>
      <w:lang w:val="en-US" w:eastAsia="zh-CN" w:bidi="ar-SA"/>
    </w:rPr>
  </w:style>
  <w:style w:type="character" w:customStyle="1" w:styleId="56">
    <w:name w:val="标题 Char2"/>
    <w:link w:val="34"/>
    <w:autoRedefine/>
    <w:qFormat/>
    <w:uiPriority w:val="10"/>
    <w:rPr>
      <w:sz w:val="48"/>
      <w:szCs w:val="48"/>
    </w:rPr>
  </w:style>
  <w:style w:type="character" w:customStyle="1" w:styleId="57">
    <w:name w:val="副标题 Char"/>
    <w:link w:val="27"/>
    <w:qFormat/>
    <w:uiPriority w:val="11"/>
    <w:rPr>
      <w:sz w:val="24"/>
      <w:szCs w:val="24"/>
    </w:rPr>
  </w:style>
  <w:style w:type="paragraph" w:styleId="58">
    <w:name w:val="Quote"/>
    <w:basedOn w:val="1"/>
    <w:next w:val="1"/>
    <w:link w:val="59"/>
    <w:autoRedefine/>
    <w:qFormat/>
    <w:uiPriority w:val="29"/>
    <w:pPr>
      <w:ind w:left="720" w:right="720"/>
    </w:pPr>
    <w:rPr>
      <w:i/>
    </w:rPr>
  </w:style>
  <w:style w:type="character" w:customStyle="1" w:styleId="59">
    <w:name w:val="引用 Char"/>
    <w:link w:val="58"/>
    <w:qFormat/>
    <w:uiPriority w:val="29"/>
    <w:rPr>
      <w:i/>
    </w:rPr>
  </w:style>
  <w:style w:type="paragraph" w:styleId="60">
    <w:name w:val="Intense Quote"/>
    <w:basedOn w:val="1"/>
    <w:next w:val="1"/>
    <w:link w:val="61"/>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1">
    <w:name w:val="明显引用 Char"/>
    <w:link w:val="60"/>
    <w:autoRedefine/>
    <w:qFormat/>
    <w:uiPriority w:val="30"/>
    <w:rPr>
      <w:i/>
    </w:rPr>
  </w:style>
  <w:style w:type="character" w:customStyle="1" w:styleId="62">
    <w:name w:val="页眉 Char2"/>
    <w:link w:val="24"/>
    <w:autoRedefine/>
    <w:qFormat/>
    <w:uiPriority w:val="99"/>
  </w:style>
  <w:style w:type="character" w:customStyle="1" w:styleId="63">
    <w:name w:val="Footer Char"/>
    <w:autoRedefine/>
    <w:qFormat/>
    <w:uiPriority w:val="99"/>
  </w:style>
  <w:style w:type="character" w:customStyle="1" w:styleId="64">
    <w:name w:val="页脚 Char2"/>
    <w:link w:val="23"/>
    <w:autoRedefine/>
    <w:qFormat/>
    <w:uiPriority w:val="99"/>
  </w:style>
  <w:style w:type="table" w:customStyle="1" w:styleId="65">
    <w:name w:val="Table Grid Light"/>
    <w:autoRedefine/>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66">
    <w:name w:val="Plain Table 1"/>
    <w:autoRedefine/>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67">
    <w:name w:val="Plain Table 2"/>
    <w:autoRedefine/>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68">
    <w:name w:val="Plain Table 3"/>
    <w:autoRedefine/>
    <w:qFormat/>
    <w:uiPriority w:val="99"/>
    <w:tblPr>
      <w:tblCellMar>
        <w:top w:w="0" w:type="dxa"/>
        <w:left w:w="0" w:type="dxa"/>
        <w:bottom w:w="0" w:type="dxa"/>
        <w:right w:w="0" w:type="dxa"/>
      </w:tblCellMar>
    </w:tblPr>
  </w:style>
  <w:style w:type="table" w:customStyle="1" w:styleId="69">
    <w:name w:val="Plain Table 4"/>
    <w:autoRedefine/>
    <w:qFormat/>
    <w:uiPriority w:val="99"/>
    <w:tblPr>
      <w:tblCellMar>
        <w:top w:w="0" w:type="dxa"/>
        <w:left w:w="0" w:type="dxa"/>
        <w:bottom w:w="0" w:type="dxa"/>
        <w:right w:w="0" w:type="dxa"/>
      </w:tblCellMar>
    </w:tblPr>
  </w:style>
  <w:style w:type="table" w:customStyle="1" w:styleId="70">
    <w:name w:val="Plain Table 5"/>
    <w:autoRedefine/>
    <w:qFormat/>
    <w:uiPriority w:val="99"/>
    <w:tblPr>
      <w:tblCellMar>
        <w:top w:w="0" w:type="dxa"/>
        <w:left w:w="0" w:type="dxa"/>
        <w:bottom w:w="0" w:type="dxa"/>
        <w:right w:w="0" w:type="dxa"/>
      </w:tblCellMar>
    </w:tblPr>
  </w:style>
  <w:style w:type="table" w:customStyle="1" w:styleId="71">
    <w:name w:val="Grid Table 1 Light"/>
    <w:autoRedefine/>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72">
    <w:name w:val="Grid Table 1 Light - Accent 1"/>
    <w:autoRedefine/>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73">
    <w:name w:val="Grid Table 1 Light - Accent 2"/>
    <w:autoRedefine/>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74">
    <w:name w:val="Grid Table 1 Light - Accent 3"/>
    <w:autoRedefine/>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75">
    <w:name w:val="Grid Table 1 Light - Accent 4"/>
    <w:autoRedefine/>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76">
    <w:name w:val="Grid Table 1 Light - Accent 5"/>
    <w:autoRedefine/>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77">
    <w:name w:val="Grid Table 1 Light - Accent 6"/>
    <w:autoRedefine/>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78">
    <w:name w:val="Grid Table 2"/>
    <w:autoRedefine/>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79">
    <w:name w:val="Grid Table 2 - Accent 1"/>
    <w:autoRedefine/>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80">
    <w:name w:val="Grid Table 2 - Accent 2"/>
    <w:autoRedefine/>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81">
    <w:name w:val="Grid Table 2 - Accent 3"/>
    <w:autoRedefine/>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82">
    <w:name w:val="Grid Table 2 - Accent 4"/>
    <w:autoRedefine/>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83">
    <w:name w:val="Grid Table 2 - Accent 5"/>
    <w:autoRedefine/>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84">
    <w:name w:val="Grid Table 2 - Accent 6"/>
    <w:autoRedefine/>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85">
    <w:name w:val="Grid Table 3"/>
    <w:autoRedefine/>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86">
    <w:name w:val="Grid Table 3 - Accent 1"/>
    <w:autoRedefine/>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87">
    <w:name w:val="Grid Table 3 - Accent 2"/>
    <w:autoRedefine/>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88">
    <w:name w:val="Grid Table 3 - Accent 3"/>
    <w:autoRedefine/>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89">
    <w:name w:val="Grid Table 3 - Accent 4"/>
    <w:autoRedefine/>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90">
    <w:name w:val="Grid Table 3 - Accent 5"/>
    <w:autoRedefine/>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91">
    <w:name w:val="Grid Table 3 - Accent 6"/>
    <w:autoRedefine/>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92">
    <w:name w:val="Grid Table 4"/>
    <w:autoRedefine/>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93">
    <w:name w:val="Grid Table 4 - Accent 1"/>
    <w:autoRedefine/>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94">
    <w:name w:val="Grid Table 4 - Accent 2"/>
    <w:autoRedefine/>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95">
    <w:name w:val="Grid Table 4 - Accent 3"/>
    <w:autoRedefine/>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96">
    <w:name w:val="Grid Table 4 - Accent 4"/>
    <w:autoRedefine/>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97">
    <w:name w:val="Grid Table 4 - Accent 5"/>
    <w:autoRedefine/>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98">
    <w:name w:val="Grid Table 4 - Accent 6"/>
    <w:autoRedefine/>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99">
    <w:name w:val="Grid Table 5 Dark"/>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0">
    <w:name w:val="Grid Table 5 Dark- Accent 1"/>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1">
    <w:name w:val="Grid Table 5 Dark - Accent 2"/>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2">
    <w:name w:val="Grid Table 5 Dark - Accent 3"/>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3">
    <w:name w:val="Grid Table 5 Dark- Accent 4"/>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4">
    <w:name w:val="Grid Table 5 Dark - Accent 5"/>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5">
    <w:name w:val="Grid Table 5 Dark - Accent 6"/>
    <w:autoRedefine/>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06">
    <w:name w:val="Grid Table 6 Colorful"/>
    <w:autoRedefine/>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07">
    <w:name w:val="Grid Table 6 Colorful - Accent 1"/>
    <w:autoRedefine/>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08">
    <w:name w:val="Grid Table 6 Colorful - Accent 2"/>
    <w:autoRedefine/>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09">
    <w:name w:val="Grid Table 6 Colorful - Accent 3"/>
    <w:autoRedefine/>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0">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1">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12">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13">
    <w:name w:val="Grid Table 7 Colorful"/>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14">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15">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6">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7">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8">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19">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20">
    <w:name w:val="List Table 1 Light"/>
    <w:qFormat/>
    <w:uiPriority w:val="99"/>
    <w:tblPr>
      <w:tblCellMar>
        <w:top w:w="0" w:type="dxa"/>
        <w:left w:w="0" w:type="dxa"/>
        <w:bottom w:w="0" w:type="dxa"/>
        <w:right w:w="0" w:type="dxa"/>
      </w:tblCellMar>
    </w:tblPr>
  </w:style>
  <w:style w:type="table" w:customStyle="1" w:styleId="121">
    <w:name w:val="List Table 1 Light - Accent 1"/>
    <w:qFormat/>
    <w:uiPriority w:val="99"/>
    <w:tblPr>
      <w:tblCellMar>
        <w:top w:w="0" w:type="dxa"/>
        <w:left w:w="0" w:type="dxa"/>
        <w:bottom w:w="0" w:type="dxa"/>
        <w:right w:w="0" w:type="dxa"/>
      </w:tblCellMar>
    </w:tblPr>
  </w:style>
  <w:style w:type="table" w:customStyle="1" w:styleId="122">
    <w:name w:val="List Table 1 Light - Accent 2"/>
    <w:qFormat/>
    <w:uiPriority w:val="99"/>
    <w:tblPr>
      <w:tblCellMar>
        <w:top w:w="0" w:type="dxa"/>
        <w:left w:w="0" w:type="dxa"/>
        <w:bottom w:w="0" w:type="dxa"/>
        <w:right w:w="0" w:type="dxa"/>
      </w:tblCellMar>
    </w:tblPr>
  </w:style>
  <w:style w:type="table" w:customStyle="1" w:styleId="123">
    <w:name w:val="List Table 1 Light - Accent 3"/>
    <w:qFormat/>
    <w:uiPriority w:val="99"/>
    <w:tblPr>
      <w:tblCellMar>
        <w:top w:w="0" w:type="dxa"/>
        <w:left w:w="0" w:type="dxa"/>
        <w:bottom w:w="0" w:type="dxa"/>
        <w:right w:w="0" w:type="dxa"/>
      </w:tblCellMar>
    </w:tblPr>
  </w:style>
  <w:style w:type="table" w:customStyle="1" w:styleId="124">
    <w:name w:val="List Table 1 Light - Accent 4"/>
    <w:qFormat/>
    <w:uiPriority w:val="99"/>
    <w:tblPr>
      <w:tblCellMar>
        <w:top w:w="0" w:type="dxa"/>
        <w:left w:w="0" w:type="dxa"/>
        <w:bottom w:w="0" w:type="dxa"/>
        <w:right w:w="0" w:type="dxa"/>
      </w:tblCellMar>
    </w:tblPr>
  </w:style>
  <w:style w:type="table" w:customStyle="1" w:styleId="125">
    <w:name w:val="List Table 1 Light - Accent 5"/>
    <w:qFormat/>
    <w:uiPriority w:val="99"/>
    <w:tblPr>
      <w:tblCellMar>
        <w:top w:w="0" w:type="dxa"/>
        <w:left w:w="0" w:type="dxa"/>
        <w:bottom w:w="0" w:type="dxa"/>
        <w:right w:w="0" w:type="dxa"/>
      </w:tblCellMar>
    </w:tblPr>
  </w:style>
  <w:style w:type="table" w:customStyle="1" w:styleId="126">
    <w:name w:val="List Table 1 Light - Accent 6"/>
    <w:qFormat/>
    <w:uiPriority w:val="99"/>
    <w:tblPr>
      <w:tblCellMar>
        <w:top w:w="0" w:type="dxa"/>
        <w:left w:w="0" w:type="dxa"/>
        <w:bottom w:w="0" w:type="dxa"/>
        <w:right w:w="0" w:type="dxa"/>
      </w:tblCellMar>
    </w:tblPr>
  </w:style>
  <w:style w:type="table" w:customStyle="1" w:styleId="127">
    <w:name w:val="List Table 2"/>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28">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29">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30">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31">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32">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33">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34">
    <w:name w:val="List Table 3"/>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35">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36">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37">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38">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39">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40">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41">
    <w:name w:val="List Table 4"/>
    <w:autoRedefine/>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42">
    <w:name w:val="List Table 4 - Accent 1"/>
    <w:autoRedefine/>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43">
    <w:name w:val="List Table 4 - Accent 2"/>
    <w:autoRedefine/>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44">
    <w:name w:val="List Table 4 - Accent 3"/>
    <w:autoRedefine/>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45">
    <w:name w:val="List Table 4 - Accent 4"/>
    <w:autoRedefine/>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46">
    <w:name w:val="List Table 4 - Accent 5"/>
    <w:autoRedefine/>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47">
    <w:name w:val="List Table 4 - Accent 6"/>
    <w:autoRedefine/>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48">
    <w:name w:val="List Table 5 Dark"/>
    <w:autoRedefine/>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49">
    <w:name w:val="List Table 5 Dark - Accent 1"/>
    <w:autoRedefine/>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50">
    <w:name w:val="List Table 5 Dark - Accent 2"/>
    <w:autoRedefine/>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51">
    <w:name w:val="List Table 5 Dark - Accent 3"/>
    <w:autoRedefine/>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52">
    <w:name w:val="List Table 5 Dark - Accent 4"/>
    <w:autoRedefine/>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53">
    <w:name w:val="List Table 5 Dark - Accent 5"/>
    <w:autoRedefine/>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54">
    <w:name w:val="List Table 5 Dark - Accent 6"/>
    <w:autoRedefine/>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55">
    <w:name w:val="List Table 6 Colorful"/>
    <w:autoRedefine/>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56">
    <w:name w:val="List Table 6 Colorful - Accent 1"/>
    <w:autoRedefine/>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57">
    <w:name w:val="List Table 6 Colorful - Accent 2"/>
    <w:autoRedefine/>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58">
    <w:name w:val="List Table 6 Colorful - Accent 3"/>
    <w:autoRedefine/>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59">
    <w:name w:val="List Table 6 Colorful - Accent 4"/>
    <w:autoRedefine/>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60">
    <w:name w:val="List Table 6 Colorful - Accent 5"/>
    <w:autoRedefine/>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61">
    <w:name w:val="List Table 6 Colorful - Accent 6"/>
    <w:autoRedefine/>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62">
    <w:name w:val="List Table 7 Colorful"/>
    <w:autoRedefine/>
    <w:qFormat/>
    <w:uiPriority w:val="99"/>
    <w:tblPr>
      <w:tblBorders>
        <w:right w:val="single" w:color="7F7F7F" w:sz="4" w:space="0"/>
      </w:tblBorders>
      <w:tblCellMar>
        <w:top w:w="0" w:type="dxa"/>
        <w:left w:w="0" w:type="dxa"/>
        <w:bottom w:w="0" w:type="dxa"/>
        <w:right w:w="0" w:type="dxa"/>
      </w:tblCellMar>
    </w:tblPr>
  </w:style>
  <w:style w:type="table" w:customStyle="1" w:styleId="163">
    <w:name w:val="List Table 7 Colorful - Accent 1"/>
    <w:autoRedefine/>
    <w:qFormat/>
    <w:uiPriority w:val="99"/>
    <w:tblPr>
      <w:tblBorders>
        <w:right w:val="single" w:color="4F81BD" w:sz="4" w:space="0"/>
      </w:tblBorders>
      <w:tblCellMar>
        <w:top w:w="0" w:type="dxa"/>
        <w:left w:w="0" w:type="dxa"/>
        <w:bottom w:w="0" w:type="dxa"/>
        <w:right w:w="0" w:type="dxa"/>
      </w:tblCellMar>
    </w:tblPr>
  </w:style>
  <w:style w:type="table" w:customStyle="1" w:styleId="164">
    <w:name w:val="List Table 7 Colorful - Accent 2"/>
    <w:autoRedefine/>
    <w:qFormat/>
    <w:uiPriority w:val="99"/>
    <w:tblPr>
      <w:tblBorders>
        <w:right w:val="single" w:color="D99695" w:sz="4" w:space="0"/>
      </w:tblBorders>
      <w:tblCellMar>
        <w:top w:w="0" w:type="dxa"/>
        <w:left w:w="0" w:type="dxa"/>
        <w:bottom w:w="0" w:type="dxa"/>
        <w:right w:w="0" w:type="dxa"/>
      </w:tblCellMar>
    </w:tblPr>
  </w:style>
  <w:style w:type="table" w:customStyle="1" w:styleId="165">
    <w:name w:val="List Table 7 Colorful - Accent 3"/>
    <w:autoRedefine/>
    <w:qFormat/>
    <w:uiPriority w:val="99"/>
    <w:tblPr>
      <w:tblBorders>
        <w:right w:val="single" w:color="C3D69B" w:sz="4" w:space="0"/>
      </w:tblBorders>
      <w:tblCellMar>
        <w:top w:w="0" w:type="dxa"/>
        <w:left w:w="0" w:type="dxa"/>
        <w:bottom w:w="0" w:type="dxa"/>
        <w:right w:w="0" w:type="dxa"/>
      </w:tblCellMar>
    </w:tblPr>
  </w:style>
  <w:style w:type="table" w:customStyle="1" w:styleId="166">
    <w:name w:val="List Table 7 Colorful - Accent 4"/>
    <w:autoRedefine/>
    <w:qFormat/>
    <w:uiPriority w:val="99"/>
    <w:tblPr>
      <w:tblBorders>
        <w:right w:val="single" w:color="B2A1C6" w:sz="4" w:space="0"/>
      </w:tblBorders>
      <w:tblCellMar>
        <w:top w:w="0" w:type="dxa"/>
        <w:left w:w="0" w:type="dxa"/>
        <w:bottom w:w="0" w:type="dxa"/>
        <w:right w:w="0" w:type="dxa"/>
      </w:tblCellMar>
    </w:tblPr>
  </w:style>
  <w:style w:type="table" w:customStyle="1" w:styleId="167">
    <w:name w:val="List Table 7 Colorful - Accent 5"/>
    <w:autoRedefine/>
    <w:qFormat/>
    <w:uiPriority w:val="99"/>
    <w:tblPr>
      <w:tblBorders>
        <w:right w:val="single" w:color="92CCDC" w:sz="4" w:space="0"/>
      </w:tblBorders>
      <w:tblCellMar>
        <w:top w:w="0" w:type="dxa"/>
        <w:left w:w="0" w:type="dxa"/>
        <w:bottom w:w="0" w:type="dxa"/>
        <w:right w:w="0" w:type="dxa"/>
      </w:tblCellMar>
    </w:tblPr>
  </w:style>
  <w:style w:type="table" w:customStyle="1" w:styleId="168">
    <w:name w:val="List Table 7 Colorful - Accent 6"/>
    <w:autoRedefine/>
    <w:qFormat/>
    <w:uiPriority w:val="99"/>
    <w:tblPr>
      <w:tblBorders>
        <w:right w:val="single" w:color="FAC090" w:sz="4" w:space="0"/>
      </w:tblBorders>
      <w:tblCellMar>
        <w:top w:w="0" w:type="dxa"/>
        <w:left w:w="0" w:type="dxa"/>
        <w:bottom w:w="0" w:type="dxa"/>
        <w:right w:w="0" w:type="dxa"/>
      </w:tblCellMar>
    </w:tblPr>
  </w:style>
  <w:style w:type="table" w:customStyle="1" w:styleId="169">
    <w:name w:val="Lined - Accent"/>
    <w:autoRedefine/>
    <w:qFormat/>
    <w:uiPriority w:val="99"/>
    <w:rPr>
      <w:color w:val="404040"/>
    </w:rPr>
    <w:tblPr>
      <w:tblCellMar>
        <w:top w:w="0" w:type="dxa"/>
        <w:left w:w="0" w:type="dxa"/>
        <w:bottom w:w="0" w:type="dxa"/>
        <w:right w:w="0" w:type="dxa"/>
      </w:tblCellMar>
    </w:tblPr>
  </w:style>
  <w:style w:type="table" w:customStyle="1" w:styleId="170">
    <w:name w:val="Lined - Accent 1"/>
    <w:autoRedefine/>
    <w:qFormat/>
    <w:uiPriority w:val="99"/>
    <w:rPr>
      <w:color w:val="404040"/>
    </w:rPr>
    <w:tblPr>
      <w:tblCellMar>
        <w:top w:w="0" w:type="dxa"/>
        <w:left w:w="0" w:type="dxa"/>
        <w:bottom w:w="0" w:type="dxa"/>
        <w:right w:w="0" w:type="dxa"/>
      </w:tblCellMar>
    </w:tblPr>
  </w:style>
  <w:style w:type="table" w:customStyle="1" w:styleId="171">
    <w:name w:val="Lined - Accent 2"/>
    <w:autoRedefine/>
    <w:qFormat/>
    <w:uiPriority w:val="99"/>
    <w:rPr>
      <w:color w:val="404040"/>
    </w:rPr>
    <w:tblPr>
      <w:tblCellMar>
        <w:top w:w="0" w:type="dxa"/>
        <w:left w:w="0" w:type="dxa"/>
        <w:bottom w:w="0" w:type="dxa"/>
        <w:right w:w="0" w:type="dxa"/>
      </w:tblCellMar>
    </w:tblPr>
  </w:style>
  <w:style w:type="table" w:customStyle="1" w:styleId="172">
    <w:name w:val="Lined - Accent 3"/>
    <w:autoRedefine/>
    <w:qFormat/>
    <w:uiPriority w:val="99"/>
    <w:rPr>
      <w:color w:val="404040"/>
    </w:rPr>
    <w:tblPr>
      <w:tblCellMar>
        <w:top w:w="0" w:type="dxa"/>
        <w:left w:w="0" w:type="dxa"/>
        <w:bottom w:w="0" w:type="dxa"/>
        <w:right w:w="0" w:type="dxa"/>
      </w:tblCellMar>
    </w:tblPr>
  </w:style>
  <w:style w:type="table" w:customStyle="1" w:styleId="173">
    <w:name w:val="Lined - Accent 4"/>
    <w:autoRedefine/>
    <w:qFormat/>
    <w:uiPriority w:val="99"/>
    <w:rPr>
      <w:color w:val="404040"/>
    </w:rPr>
    <w:tblPr>
      <w:tblCellMar>
        <w:top w:w="0" w:type="dxa"/>
        <w:left w:w="0" w:type="dxa"/>
        <w:bottom w:w="0" w:type="dxa"/>
        <w:right w:w="0" w:type="dxa"/>
      </w:tblCellMar>
    </w:tblPr>
  </w:style>
  <w:style w:type="table" w:customStyle="1" w:styleId="174">
    <w:name w:val="Lined - Accent 5"/>
    <w:autoRedefine/>
    <w:qFormat/>
    <w:uiPriority w:val="99"/>
    <w:rPr>
      <w:color w:val="404040"/>
    </w:rPr>
    <w:tblPr>
      <w:tblCellMar>
        <w:top w:w="0" w:type="dxa"/>
        <w:left w:w="0" w:type="dxa"/>
        <w:bottom w:w="0" w:type="dxa"/>
        <w:right w:w="0" w:type="dxa"/>
      </w:tblCellMar>
    </w:tblPr>
  </w:style>
  <w:style w:type="table" w:customStyle="1" w:styleId="175">
    <w:name w:val="Lined - Accent 6"/>
    <w:autoRedefine/>
    <w:qFormat/>
    <w:uiPriority w:val="99"/>
    <w:rPr>
      <w:color w:val="404040"/>
    </w:rPr>
    <w:tblPr>
      <w:tblCellMar>
        <w:top w:w="0" w:type="dxa"/>
        <w:left w:w="0" w:type="dxa"/>
        <w:bottom w:w="0" w:type="dxa"/>
        <w:right w:w="0" w:type="dxa"/>
      </w:tblCellMar>
    </w:tblPr>
  </w:style>
  <w:style w:type="table" w:customStyle="1" w:styleId="176">
    <w:name w:val="Bordered &amp; Lined - Accent"/>
    <w:autoRedefine/>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177">
    <w:name w:val="Bordered &amp; Lined - Accent 1"/>
    <w:autoRedefine/>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178">
    <w:name w:val="Bordered &amp; Lined - Accent 2"/>
    <w:autoRedefine/>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179">
    <w:name w:val="Bordered &amp; Lined - Accent 3"/>
    <w:autoRedefine/>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180">
    <w:name w:val="Bordered &amp; Lined - Accent 4"/>
    <w:autoRedefine/>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181">
    <w:name w:val="Bordered &amp; Lined - Accent 5"/>
    <w:autoRedefine/>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182">
    <w:name w:val="Bordered &amp; Lined - Accent 6"/>
    <w:autoRedefine/>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183">
    <w:name w:val="Bordered"/>
    <w:autoRedefine/>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184">
    <w:name w:val="Bordered - Accent 1"/>
    <w:autoRedefine/>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85">
    <w:name w:val="Bordered - Accent 2"/>
    <w:autoRedefine/>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86">
    <w:name w:val="Bordered - Accent 3"/>
    <w:autoRedefine/>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87">
    <w:name w:val="Bordered - Accent 4"/>
    <w:autoRedefine/>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88">
    <w:name w:val="Bordered - Accent 5"/>
    <w:autoRedefine/>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89">
    <w:name w:val="Bordered - Accent 6"/>
    <w:autoRedefine/>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190">
    <w:name w:val="脚注文本 Char"/>
    <w:link w:val="28"/>
    <w:autoRedefine/>
    <w:qFormat/>
    <w:uiPriority w:val="99"/>
    <w:rPr>
      <w:sz w:val="18"/>
    </w:rPr>
  </w:style>
  <w:style w:type="character" w:customStyle="1" w:styleId="191">
    <w:name w:val="尾注文本 Char"/>
    <w:link w:val="21"/>
    <w:autoRedefine/>
    <w:qFormat/>
    <w:uiPriority w:val="99"/>
    <w:rPr>
      <w:sz w:val="20"/>
    </w:rPr>
  </w:style>
  <w:style w:type="paragraph" w:customStyle="1" w:styleId="192">
    <w:name w:val="TOC 标题1"/>
    <w:autoRedefine/>
    <w:unhideWhenUsed/>
    <w:qFormat/>
    <w:uiPriority w:val="39"/>
    <w:rPr>
      <w:rFonts w:ascii="Times New Roman" w:hAnsi="Times New Roman" w:eastAsia="宋体" w:cs="Times New Roman"/>
      <w:lang w:val="en-US" w:eastAsia="zh-CN" w:bidi="ar-SA"/>
    </w:rPr>
  </w:style>
  <w:style w:type="paragraph" w:customStyle="1" w:styleId="193">
    <w:name w:val="标题 11"/>
    <w:basedOn w:val="1"/>
    <w:next w:val="1"/>
    <w:link w:val="207"/>
    <w:autoRedefine/>
    <w:qFormat/>
    <w:uiPriority w:val="9"/>
    <w:pPr>
      <w:keepNext/>
      <w:keepLines/>
      <w:spacing w:before="240" w:after="120" w:line="300" w:lineRule="auto"/>
      <w:jc w:val="center"/>
      <w:outlineLvl w:val="0"/>
    </w:pPr>
    <w:rPr>
      <w:rFonts w:ascii="宋体"/>
      <w:b/>
      <w:sz w:val="32"/>
      <w:szCs w:val="20"/>
    </w:rPr>
  </w:style>
  <w:style w:type="paragraph" w:customStyle="1" w:styleId="194">
    <w:name w:val="标题 21"/>
    <w:basedOn w:val="1"/>
    <w:next w:val="195"/>
    <w:link w:val="208"/>
    <w:autoRedefine/>
    <w:qFormat/>
    <w:uiPriority w:val="0"/>
    <w:pPr>
      <w:keepNext/>
      <w:keepLines/>
      <w:spacing w:before="120" w:line="300" w:lineRule="auto"/>
      <w:jc w:val="center"/>
      <w:outlineLvl w:val="1"/>
    </w:pPr>
    <w:rPr>
      <w:rFonts w:ascii="Arial" w:hAnsi="Arial" w:eastAsia="黑体"/>
      <w:b/>
      <w:sz w:val="30"/>
      <w:szCs w:val="20"/>
    </w:rPr>
  </w:style>
  <w:style w:type="paragraph" w:customStyle="1" w:styleId="195">
    <w:name w:val="正文缩进11"/>
    <w:basedOn w:val="1"/>
    <w:link w:val="209"/>
    <w:autoRedefine/>
    <w:qFormat/>
    <w:uiPriority w:val="0"/>
    <w:pPr>
      <w:ind w:firstLine="420"/>
      <w:jc w:val="left"/>
    </w:pPr>
    <w:rPr>
      <w:rFonts w:ascii="宋体"/>
      <w:sz w:val="24"/>
    </w:rPr>
  </w:style>
  <w:style w:type="paragraph" w:customStyle="1" w:styleId="196">
    <w:name w:val="标题 31"/>
    <w:basedOn w:val="1"/>
    <w:next w:val="195"/>
    <w:link w:val="210"/>
    <w:autoRedefine/>
    <w:qFormat/>
    <w:uiPriority w:val="0"/>
    <w:pPr>
      <w:keepNext/>
      <w:keepLines/>
      <w:spacing w:before="360" w:after="120"/>
      <w:jc w:val="left"/>
      <w:outlineLvl w:val="2"/>
    </w:pPr>
    <w:rPr>
      <w:rFonts w:ascii="宋体"/>
      <w:b/>
      <w:sz w:val="24"/>
      <w:szCs w:val="20"/>
      <w:u w:val="single"/>
    </w:rPr>
  </w:style>
  <w:style w:type="paragraph" w:customStyle="1" w:styleId="197">
    <w:name w:val="标题 41"/>
    <w:basedOn w:val="1"/>
    <w:next w:val="1"/>
    <w:link w:val="211"/>
    <w:autoRedefine/>
    <w:qFormat/>
    <w:uiPriority w:val="0"/>
    <w:pPr>
      <w:keepNext/>
      <w:keepLines/>
      <w:spacing w:before="280" w:after="290" w:line="376" w:lineRule="atLeast"/>
      <w:outlineLvl w:val="3"/>
    </w:pPr>
    <w:rPr>
      <w:rFonts w:ascii="Arial" w:hAnsi="Arial" w:eastAsia="黑体"/>
      <w:b/>
      <w:sz w:val="28"/>
      <w:szCs w:val="20"/>
    </w:rPr>
  </w:style>
  <w:style w:type="paragraph" w:customStyle="1" w:styleId="198">
    <w:name w:val="标题 51"/>
    <w:basedOn w:val="1"/>
    <w:next w:val="1"/>
    <w:link w:val="212"/>
    <w:autoRedefine/>
    <w:qFormat/>
    <w:uiPriority w:val="0"/>
    <w:pPr>
      <w:keepNext/>
      <w:keepLines/>
      <w:spacing w:before="280" w:after="290" w:line="376" w:lineRule="atLeast"/>
      <w:outlineLvl w:val="4"/>
    </w:pPr>
    <w:rPr>
      <w:b/>
      <w:sz w:val="28"/>
      <w:szCs w:val="20"/>
    </w:rPr>
  </w:style>
  <w:style w:type="paragraph" w:customStyle="1" w:styleId="199">
    <w:name w:val="标题 61"/>
    <w:basedOn w:val="1"/>
    <w:next w:val="1"/>
    <w:link w:val="213"/>
    <w:autoRedefine/>
    <w:qFormat/>
    <w:uiPriority w:val="0"/>
    <w:pPr>
      <w:keepNext/>
      <w:keepLines/>
      <w:spacing w:before="240" w:after="64" w:line="320" w:lineRule="atLeast"/>
      <w:outlineLvl w:val="5"/>
    </w:pPr>
    <w:rPr>
      <w:rFonts w:ascii="Arial" w:hAnsi="Arial" w:eastAsia="黑体"/>
      <w:b/>
      <w:sz w:val="24"/>
      <w:szCs w:val="20"/>
    </w:rPr>
  </w:style>
  <w:style w:type="paragraph" w:customStyle="1" w:styleId="200">
    <w:name w:val="标题 71"/>
    <w:basedOn w:val="1"/>
    <w:next w:val="1"/>
    <w:link w:val="214"/>
    <w:autoRedefine/>
    <w:qFormat/>
    <w:uiPriority w:val="0"/>
    <w:pPr>
      <w:keepNext/>
      <w:keepLines/>
      <w:spacing w:before="240" w:after="64" w:line="320" w:lineRule="atLeast"/>
      <w:outlineLvl w:val="6"/>
    </w:pPr>
    <w:rPr>
      <w:b/>
      <w:sz w:val="24"/>
      <w:szCs w:val="20"/>
    </w:rPr>
  </w:style>
  <w:style w:type="paragraph" w:customStyle="1" w:styleId="201">
    <w:name w:val="标题 81"/>
    <w:basedOn w:val="1"/>
    <w:next w:val="1"/>
    <w:link w:val="215"/>
    <w:autoRedefine/>
    <w:qFormat/>
    <w:uiPriority w:val="0"/>
    <w:pPr>
      <w:keepNext/>
      <w:keepLines/>
      <w:spacing w:before="240" w:after="64" w:line="320" w:lineRule="atLeast"/>
      <w:outlineLvl w:val="7"/>
    </w:pPr>
    <w:rPr>
      <w:rFonts w:ascii="Arial" w:hAnsi="Arial" w:eastAsia="黑体"/>
      <w:sz w:val="24"/>
      <w:szCs w:val="20"/>
    </w:rPr>
  </w:style>
  <w:style w:type="paragraph" w:customStyle="1" w:styleId="202">
    <w:name w:val="标题 91"/>
    <w:basedOn w:val="1"/>
    <w:next w:val="1"/>
    <w:link w:val="216"/>
    <w:autoRedefine/>
    <w:qFormat/>
    <w:uiPriority w:val="0"/>
    <w:pPr>
      <w:keepNext/>
      <w:keepLines/>
      <w:spacing w:before="240" w:after="64" w:line="320" w:lineRule="atLeast"/>
      <w:outlineLvl w:val="8"/>
    </w:pPr>
    <w:rPr>
      <w:rFonts w:ascii="Arial" w:hAnsi="Arial" w:eastAsia="黑体"/>
      <w:szCs w:val="20"/>
    </w:rPr>
  </w:style>
  <w:style w:type="character" w:customStyle="1" w:styleId="203">
    <w:name w:val="默认段落字体1"/>
    <w:autoRedefine/>
    <w:unhideWhenUsed/>
    <w:qFormat/>
    <w:uiPriority w:val="1"/>
  </w:style>
  <w:style w:type="table" w:customStyle="1" w:styleId="204">
    <w:name w:val="普通表格1"/>
    <w:autoRedefine/>
    <w:unhideWhenUsed/>
    <w:qFormat/>
    <w:uiPriority w:val="99"/>
    <w:tblPr>
      <w:tblCellMar>
        <w:top w:w="0" w:type="dxa"/>
        <w:left w:w="0" w:type="dxa"/>
        <w:bottom w:w="0" w:type="dxa"/>
        <w:right w:w="0" w:type="dxa"/>
      </w:tblCellMar>
    </w:tblPr>
  </w:style>
  <w:style w:type="paragraph" w:customStyle="1" w:styleId="205">
    <w:name w:val="正文文本1"/>
    <w:basedOn w:val="1"/>
    <w:next w:val="1"/>
    <w:link w:val="206"/>
    <w:autoRedefine/>
    <w:qFormat/>
    <w:uiPriority w:val="0"/>
    <w:pPr>
      <w:tabs>
        <w:tab w:val="left" w:pos="567"/>
      </w:tabs>
      <w:spacing w:before="120" w:line="22" w:lineRule="atLeast"/>
    </w:pPr>
    <w:rPr>
      <w:rFonts w:ascii="宋体" w:hAnsi="宋体"/>
      <w:sz w:val="24"/>
    </w:rPr>
  </w:style>
  <w:style w:type="character" w:customStyle="1" w:styleId="206">
    <w:name w:val="正文文本 Char"/>
    <w:link w:val="205"/>
    <w:autoRedefine/>
    <w:qFormat/>
    <w:uiPriority w:val="0"/>
    <w:rPr>
      <w:rFonts w:ascii="宋体" w:hAnsi="宋体"/>
      <w:sz w:val="24"/>
      <w:szCs w:val="24"/>
    </w:rPr>
  </w:style>
  <w:style w:type="character" w:customStyle="1" w:styleId="207">
    <w:name w:val="标题 1 Char"/>
    <w:link w:val="193"/>
    <w:autoRedefine/>
    <w:qFormat/>
    <w:uiPriority w:val="9"/>
    <w:rPr>
      <w:rFonts w:ascii="宋体"/>
      <w:b/>
      <w:sz w:val="32"/>
    </w:rPr>
  </w:style>
  <w:style w:type="character" w:customStyle="1" w:styleId="208">
    <w:name w:val="标题 2 Char1"/>
    <w:link w:val="194"/>
    <w:autoRedefine/>
    <w:qFormat/>
    <w:uiPriority w:val="0"/>
    <w:rPr>
      <w:rFonts w:ascii="Arial" w:hAnsi="Arial" w:eastAsia="黑体"/>
      <w:b/>
      <w:sz w:val="30"/>
      <w:lang w:val="en-US" w:eastAsia="zh-CN" w:bidi="ar-SA"/>
    </w:rPr>
  </w:style>
  <w:style w:type="character" w:customStyle="1" w:styleId="209">
    <w:name w:val="正文缩进 Char1"/>
    <w:link w:val="195"/>
    <w:autoRedefine/>
    <w:qFormat/>
    <w:uiPriority w:val="0"/>
    <w:rPr>
      <w:rFonts w:ascii="宋体" w:eastAsia="宋体"/>
      <w:sz w:val="24"/>
      <w:szCs w:val="24"/>
      <w:lang w:val="en-US" w:eastAsia="zh-CN" w:bidi="ar-SA"/>
    </w:rPr>
  </w:style>
  <w:style w:type="character" w:customStyle="1" w:styleId="210">
    <w:name w:val="标题 3 Char1"/>
    <w:link w:val="196"/>
    <w:autoRedefine/>
    <w:qFormat/>
    <w:uiPriority w:val="0"/>
    <w:rPr>
      <w:rFonts w:ascii="宋体" w:eastAsia="宋体"/>
      <w:b/>
      <w:sz w:val="24"/>
      <w:u w:val="single"/>
      <w:lang w:val="en-US" w:eastAsia="zh-CN" w:bidi="ar-SA"/>
    </w:rPr>
  </w:style>
  <w:style w:type="character" w:customStyle="1" w:styleId="211">
    <w:name w:val="标题 4 Char"/>
    <w:link w:val="197"/>
    <w:autoRedefine/>
    <w:qFormat/>
    <w:uiPriority w:val="0"/>
    <w:rPr>
      <w:rFonts w:ascii="Arial" w:hAnsi="Arial" w:eastAsia="黑体"/>
      <w:b/>
      <w:sz w:val="28"/>
    </w:rPr>
  </w:style>
  <w:style w:type="character" w:customStyle="1" w:styleId="212">
    <w:name w:val="标题 5 Char"/>
    <w:link w:val="198"/>
    <w:autoRedefine/>
    <w:qFormat/>
    <w:uiPriority w:val="0"/>
    <w:rPr>
      <w:b/>
      <w:sz w:val="28"/>
    </w:rPr>
  </w:style>
  <w:style w:type="character" w:customStyle="1" w:styleId="213">
    <w:name w:val="标题 6 Char"/>
    <w:link w:val="199"/>
    <w:autoRedefine/>
    <w:qFormat/>
    <w:uiPriority w:val="0"/>
    <w:rPr>
      <w:rFonts w:ascii="Arial" w:hAnsi="Arial" w:eastAsia="黑体"/>
      <w:b/>
      <w:sz w:val="24"/>
    </w:rPr>
  </w:style>
  <w:style w:type="character" w:customStyle="1" w:styleId="214">
    <w:name w:val="标题 7 Char"/>
    <w:link w:val="200"/>
    <w:autoRedefine/>
    <w:qFormat/>
    <w:uiPriority w:val="0"/>
    <w:rPr>
      <w:b/>
      <w:sz w:val="24"/>
    </w:rPr>
  </w:style>
  <w:style w:type="character" w:customStyle="1" w:styleId="215">
    <w:name w:val="标题 8 Char"/>
    <w:link w:val="201"/>
    <w:autoRedefine/>
    <w:qFormat/>
    <w:uiPriority w:val="0"/>
    <w:rPr>
      <w:rFonts w:ascii="Arial" w:hAnsi="Arial" w:eastAsia="黑体"/>
      <w:sz w:val="24"/>
    </w:rPr>
  </w:style>
  <w:style w:type="character" w:customStyle="1" w:styleId="216">
    <w:name w:val="标题 9 Char"/>
    <w:link w:val="202"/>
    <w:autoRedefine/>
    <w:qFormat/>
    <w:uiPriority w:val="0"/>
    <w:rPr>
      <w:rFonts w:ascii="Arial" w:hAnsi="Arial" w:eastAsia="黑体"/>
      <w:sz w:val="21"/>
    </w:rPr>
  </w:style>
  <w:style w:type="paragraph" w:customStyle="1" w:styleId="217">
    <w:name w:val="目录 71"/>
    <w:basedOn w:val="1"/>
    <w:next w:val="1"/>
    <w:autoRedefine/>
    <w:qFormat/>
    <w:uiPriority w:val="0"/>
    <w:pPr>
      <w:ind w:left="2520"/>
    </w:pPr>
  </w:style>
  <w:style w:type="paragraph" w:customStyle="1" w:styleId="218">
    <w:name w:val="题注1"/>
    <w:basedOn w:val="1"/>
    <w:next w:val="1"/>
    <w:autoRedefine/>
    <w:qFormat/>
    <w:uiPriority w:val="0"/>
    <w:pPr>
      <w:spacing w:line="480" w:lineRule="auto"/>
    </w:pPr>
    <w:rPr>
      <w:rFonts w:ascii="华文中宋" w:hAnsi="华文中宋" w:eastAsia="华文中宋"/>
      <w:sz w:val="36"/>
      <w:szCs w:val="20"/>
    </w:rPr>
  </w:style>
  <w:style w:type="paragraph" w:customStyle="1" w:styleId="219">
    <w:name w:val="文档结构图1"/>
    <w:basedOn w:val="1"/>
    <w:link w:val="220"/>
    <w:autoRedefine/>
    <w:qFormat/>
    <w:uiPriority w:val="99"/>
    <w:pPr>
      <w:shd w:val="clear" w:color="auto" w:fill="000080"/>
    </w:pPr>
  </w:style>
  <w:style w:type="character" w:customStyle="1" w:styleId="220">
    <w:name w:val="文档结构图 Char"/>
    <w:link w:val="219"/>
    <w:autoRedefine/>
    <w:qFormat/>
    <w:uiPriority w:val="99"/>
    <w:rPr>
      <w:sz w:val="21"/>
      <w:szCs w:val="24"/>
      <w:shd w:val="clear" w:color="auto" w:fill="000080"/>
    </w:rPr>
  </w:style>
  <w:style w:type="paragraph" w:customStyle="1" w:styleId="221">
    <w:name w:val="批注文字1"/>
    <w:basedOn w:val="1"/>
    <w:link w:val="222"/>
    <w:autoRedefine/>
    <w:qFormat/>
    <w:uiPriority w:val="99"/>
    <w:pPr>
      <w:jc w:val="left"/>
    </w:pPr>
  </w:style>
  <w:style w:type="character" w:customStyle="1" w:styleId="222">
    <w:name w:val="批注文字 Char1"/>
    <w:link w:val="221"/>
    <w:autoRedefine/>
    <w:qFormat/>
    <w:uiPriority w:val="99"/>
    <w:rPr>
      <w:sz w:val="21"/>
      <w:szCs w:val="24"/>
    </w:rPr>
  </w:style>
  <w:style w:type="paragraph" w:customStyle="1" w:styleId="223">
    <w:name w:val="正文文本 31"/>
    <w:basedOn w:val="1"/>
    <w:link w:val="224"/>
    <w:autoRedefine/>
    <w:qFormat/>
    <w:uiPriority w:val="0"/>
    <w:pPr>
      <w:spacing w:after="120"/>
    </w:pPr>
    <w:rPr>
      <w:sz w:val="16"/>
      <w:szCs w:val="16"/>
    </w:rPr>
  </w:style>
  <w:style w:type="character" w:customStyle="1" w:styleId="224">
    <w:name w:val="正文文本 3 Char"/>
    <w:link w:val="223"/>
    <w:autoRedefine/>
    <w:qFormat/>
    <w:uiPriority w:val="0"/>
    <w:rPr>
      <w:sz w:val="16"/>
      <w:szCs w:val="16"/>
    </w:rPr>
  </w:style>
  <w:style w:type="paragraph" w:customStyle="1" w:styleId="225">
    <w:name w:val="正文文本缩进11"/>
    <w:basedOn w:val="1"/>
    <w:link w:val="226"/>
    <w:autoRedefine/>
    <w:qFormat/>
    <w:uiPriority w:val="0"/>
    <w:pPr>
      <w:spacing w:line="360" w:lineRule="auto"/>
      <w:ind w:firstLine="570"/>
    </w:pPr>
    <w:rPr>
      <w:sz w:val="24"/>
    </w:rPr>
  </w:style>
  <w:style w:type="character" w:customStyle="1" w:styleId="226">
    <w:name w:val="正文文本缩进 Char2"/>
    <w:link w:val="225"/>
    <w:autoRedefine/>
    <w:qFormat/>
    <w:uiPriority w:val="0"/>
    <w:rPr>
      <w:rFonts w:eastAsia="宋体"/>
      <w:sz w:val="24"/>
      <w:szCs w:val="24"/>
      <w:lang w:val="en-US" w:eastAsia="zh-CN" w:bidi="ar-SA"/>
    </w:rPr>
  </w:style>
  <w:style w:type="paragraph" w:customStyle="1" w:styleId="227">
    <w:name w:val="列表 21"/>
    <w:basedOn w:val="1"/>
    <w:autoRedefine/>
    <w:qFormat/>
    <w:uiPriority w:val="0"/>
    <w:pPr>
      <w:ind w:left="100" w:hanging="200"/>
    </w:pPr>
  </w:style>
  <w:style w:type="paragraph" w:customStyle="1" w:styleId="228">
    <w:name w:val="文本块1"/>
    <w:basedOn w:val="1"/>
    <w:autoRedefine/>
    <w:qFormat/>
    <w:uiPriority w:val="0"/>
    <w:pPr>
      <w:widowControl/>
      <w:ind w:left="480" w:right="-341" w:firstLine="513"/>
    </w:pPr>
    <w:rPr>
      <w:sz w:val="24"/>
      <w:szCs w:val="20"/>
    </w:rPr>
  </w:style>
  <w:style w:type="paragraph" w:customStyle="1" w:styleId="229">
    <w:name w:val="目录 51"/>
    <w:basedOn w:val="1"/>
    <w:next w:val="1"/>
    <w:autoRedefine/>
    <w:qFormat/>
    <w:uiPriority w:val="0"/>
    <w:pPr>
      <w:ind w:left="1680"/>
    </w:pPr>
  </w:style>
  <w:style w:type="paragraph" w:customStyle="1" w:styleId="230">
    <w:name w:val="目录 31"/>
    <w:basedOn w:val="1"/>
    <w:next w:val="1"/>
    <w:autoRedefine/>
    <w:qFormat/>
    <w:uiPriority w:val="39"/>
    <w:pPr>
      <w:ind w:left="840"/>
    </w:pPr>
  </w:style>
  <w:style w:type="paragraph" w:customStyle="1" w:styleId="231">
    <w:name w:val="纯文本1"/>
    <w:basedOn w:val="1"/>
    <w:link w:val="232"/>
    <w:autoRedefine/>
    <w:qFormat/>
    <w:uiPriority w:val="0"/>
    <w:rPr>
      <w:rFonts w:hint="eastAsia" w:ascii="宋体" w:hAnsi="Courier New"/>
      <w:szCs w:val="20"/>
    </w:rPr>
  </w:style>
  <w:style w:type="character" w:customStyle="1" w:styleId="232">
    <w:name w:val="纯文本 Char"/>
    <w:link w:val="231"/>
    <w:autoRedefine/>
    <w:qFormat/>
    <w:uiPriority w:val="0"/>
    <w:rPr>
      <w:rFonts w:hint="eastAsia" w:ascii="宋体" w:hAnsi="Courier New" w:eastAsia="宋体" w:cs="宋体"/>
      <w:sz w:val="21"/>
    </w:rPr>
  </w:style>
  <w:style w:type="paragraph" w:customStyle="1" w:styleId="233">
    <w:name w:val="目录 81"/>
    <w:basedOn w:val="1"/>
    <w:next w:val="1"/>
    <w:autoRedefine/>
    <w:qFormat/>
    <w:uiPriority w:val="0"/>
    <w:pPr>
      <w:ind w:left="2940"/>
    </w:pPr>
  </w:style>
  <w:style w:type="paragraph" w:customStyle="1" w:styleId="234">
    <w:name w:val="日期1"/>
    <w:basedOn w:val="1"/>
    <w:next w:val="1"/>
    <w:link w:val="235"/>
    <w:autoRedefine/>
    <w:qFormat/>
    <w:uiPriority w:val="0"/>
    <w:pPr>
      <w:ind w:left="100"/>
    </w:pPr>
    <w:rPr>
      <w:rFonts w:ascii="仿宋_GB2312" w:hAnsi="宋体" w:eastAsia="仿宋_GB2312"/>
      <w:color w:val="000000"/>
      <w:sz w:val="24"/>
    </w:rPr>
  </w:style>
  <w:style w:type="character" w:customStyle="1" w:styleId="235">
    <w:name w:val="日期 Char"/>
    <w:link w:val="234"/>
    <w:autoRedefine/>
    <w:qFormat/>
    <w:uiPriority w:val="0"/>
    <w:rPr>
      <w:rFonts w:ascii="仿宋_GB2312" w:hAnsi="宋体" w:eastAsia="仿宋_GB2312"/>
      <w:color w:val="000000"/>
      <w:sz w:val="24"/>
      <w:szCs w:val="24"/>
    </w:rPr>
  </w:style>
  <w:style w:type="paragraph" w:customStyle="1" w:styleId="236">
    <w:name w:val="正文文本缩进 21"/>
    <w:basedOn w:val="1"/>
    <w:link w:val="237"/>
    <w:autoRedefine/>
    <w:qFormat/>
    <w:uiPriority w:val="0"/>
    <w:pPr>
      <w:ind w:firstLine="480"/>
    </w:pPr>
    <w:rPr>
      <w:rFonts w:ascii="仿宋_GB2312" w:eastAsia="仿宋_GB2312"/>
      <w:sz w:val="24"/>
    </w:rPr>
  </w:style>
  <w:style w:type="character" w:customStyle="1" w:styleId="237">
    <w:name w:val="正文文本缩进 2 Char"/>
    <w:link w:val="236"/>
    <w:autoRedefine/>
    <w:qFormat/>
    <w:uiPriority w:val="0"/>
    <w:rPr>
      <w:rFonts w:ascii="仿宋_GB2312" w:eastAsia="仿宋_GB2312"/>
      <w:sz w:val="24"/>
      <w:szCs w:val="24"/>
    </w:rPr>
  </w:style>
  <w:style w:type="paragraph" w:customStyle="1" w:styleId="238">
    <w:name w:val="批注框文本1"/>
    <w:basedOn w:val="1"/>
    <w:link w:val="239"/>
    <w:autoRedefine/>
    <w:qFormat/>
    <w:uiPriority w:val="99"/>
    <w:rPr>
      <w:sz w:val="18"/>
      <w:szCs w:val="18"/>
    </w:rPr>
  </w:style>
  <w:style w:type="character" w:customStyle="1" w:styleId="239">
    <w:name w:val="批注框文本 Char"/>
    <w:link w:val="238"/>
    <w:autoRedefine/>
    <w:qFormat/>
    <w:uiPriority w:val="99"/>
    <w:rPr>
      <w:sz w:val="18"/>
      <w:szCs w:val="18"/>
    </w:rPr>
  </w:style>
  <w:style w:type="paragraph" w:customStyle="1" w:styleId="240">
    <w:name w:val="页脚1"/>
    <w:basedOn w:val="1"/>
    <w:link w:val="241"/>
    <w:autoRedefine/>
    <w:qFormat/>
    <w:uiPriority w:val="99"/>
    <w:pPr>
      <w:tabs>
        <w:tab w:val="center" w:pos="4153"/>
        <w:tab w:val="right" w:pos="8306"/>
      </w:tabs>
      <w:jc w:val="left"/>
    </w:pPr>
    <w:rPr>
      <w:rFonts w:ascii="宋体"/>
      <w:sz w:val="18"/>
      <w:szCs w:val="20"/>
    </w:rPr>
  </w:style>
  <w:style w:type="character" w:customStyle="1" w:styleId="241">
    <w:name w:val="页脚 Char1"/>
    <w:link w:val="240"/>
    <w:autoRedefine/>
    <w:qFormat/>
    <w:uiPriority w:val="99"/>
    <w:rPr>
      <w:rFonts w:ascii="宋体" w:eastAsia="宋体"/>
      <w:sz w:val="18"/>
      <w:lang w:val="en-US" w:eastAsia="zh-CN" w:bidi="ar-SA"/>
    </w:rPr>
  </w:style>
  <w:style w:type="paragraph" w:customStyle="1" w:styleId="242">
    <w:name w:val="页眉1"/>
    <w:basedOn w:val="1"/>
    <w:link w:val="243"/>
    <w:autoRedefine/>
    <w:qFormat/>
    <w:uiPriority w:val="0"/>
    <w:pPr>
      <w:pBdr>
        <w:bottom w:val="single" w:color="000000" w:sz="6" w:space="1"/>
      </w:pBdr>
      <w:tabs>
        <w:tab w:val="center" w:pos="4153"/>
        <w:tab w:val="right" w:pos="8306"/>
      </w:tabs>
      <w:jc w:val="center"/>
    </w:pPr>
    <w:rPr>
      <w:sz w:val="18"/>
      <w:szCs w:val="18"/>
    </w:rPr>
  </w:style>
  <w:style w:type="character" w:customStyle="1" w:styleId="243">
    <w:name w:val="页眉 Char1"/>
    <w:link w:val="242"/>
    <w:autoRedefine/>
    <w:qFormat/>
    <w:uiPriority w:val="0"/>
    <w:rPr>
      <w:rFonts w:eastAsia="宋体"/>
      <w:sz w:val="18"/>
      <w:szCs w:val="18"/>
      <w:lang w:val="en-US" w:eastAsia="zh-CN" w:bidi="ar-SA"/>
    </w:rPr>
  </w:style>
  <w:style w:type="paragraph" w:customStyle="1" w:styleId="244">
    <w:name w:val="目录 11"/>
    <w:basedOn w:val="1"/>
    <w:next w:val="1"/>
    <w:autoRedefine/>
    <w:qFormat/>
    <w:uiPriority w:val="39"/>
    <w:pPr>
      <w:tabs>
        <w:tab w:val="left" w:pos="1050"/>
        <w:tab w:val="right" w:leader="dot" w:pos="8937"/>
      </w:tabs>
      <w:spacing w:line="300" w:lineRule="auto"/>
    </w:pPr>
    <w:rPr>
      <w:rFonts w:ascii="宋体" w:hAnsi="宋体"/>
      <w:b/>
      <w:sz w:val="24"/>
    </w:rPr>
  </w:style>
  <w:style w:type="paragraph" w:customStyle="1" w:styleId="245">
    <w:name w:val="目录 41"/>
    <w:basedOn w:val="1"/>
    <w:next w:val="1"/>
    <w:autoRedefine/>
    <w:qFormat/>
    <w:uiPriority w:val="0"/>
    <w:pPr>
      <w:ind w:left="1260"/>
    </w:pPr>
  </w:style>
  <w:style w:type="paragraph" w:customStyle="1" w:styleId="246">
    <w:name w:val="目录 61"/>
    <w:basedOn w:val="1"/>
    <w:next w:val="1"/>
    <w:autoRedefine/>
    <w:qFormat/>
    <w:uiPriority w:val="0"/>
    <w:pPr>
      <w:ind w:left="2100"/>
    </w:pPr>
  </w:style>
  <w:style w:type="paragraph" w:customStyle="1" w:styleId="247">
    <w:name w:val="正文文本缩进 31"/>
    <w:basedOn w:val="1"/>
    <w:link w:val="248"/>
    <w:autoRedefine/>
    <w:qFormat/>
    <w:uiPriority w:val="0"/>
    <w:pPr>
      <w:spacing w:before="120" w:line="22" w:lineRule="atLeast"/>
      <w:ind w:left="720" w:firstLine="480"/>
      <w:jc w:val="left"/>
    </w:pPr>
    <w:rPr>
      <w:rFonts w:ascii="宋体"/>
      <w:sz w:val="24"/>
      <w:szCs w:val="20"/>
    </w:rPr>
  </w:style>
  <w:style w:type="character" w:customStyle="1" w:styleId="248">
    <w:name w:val="正文文本缩进 3 Char"/>
    <w:link w:val="247"/>
    <w:autoRedefine/>
    <w:qFormat/>
    <w:uiPriority w:val="0"/>
    <w:rPr>
      <w:rFonts w:ascii="宋体"/>
      <w:sz w:val="24"/>
    </w:rPr>
  </w:style>
  <w:style w:type="paragraph" w:customStyle="1" w:styleId="249">
    <w:name w:val="目录 21"/>
    <w:basedOn w:val="1"/>
    <w:next w:val="1"/>
    <w:autoRedefine/>
    <w:qFormat/>
    <w:uiPriority w:val="39"/>
    <w:pPr>
      <w:tabs>
        <w:tab w:val="right" w:leader="dot" w:pos="8937"/>
      </w:tabs>
      <w:spacing w:line="312" w:lineRule="auto"/>
      <w:ind w:left="420"/>
    </w:pPr>
  </w:style>
  <w:style w:type="paragraph" w:customStyle="1" w:styleId="250">
    <w:name w:val="目录 91"/>
    <w:basedOn w:val="1"/>
    <w:next w:val="1"/>
    <w:autoRedefine/>
    <w:qFormat/>
    <w:uiPriority w:val="0"/>
    <w:pPr>
      <w:ind w:left="3360"/>
    </w:pPr>
  </w:style>
  <w:style w:type="paragraph" w:customStyle="1" w:styleId="251">
    <w:name w:val="HTML 预设格式1"/>
    <w:basedOn w:val="1"/>
    <w:link w:val="252"/>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character" w:customStyle="1" w:styleId="252">
    <w:name w:val="HTML 预设格式 Char"/>
    <w:link w:val="251"/>
    <w:autoRedefine/>
    <w:qFormat/>
    <w:uiPriority w:val="0"/>
    <w:rPr>
      <w:rFonts w:ascii="宋体" w:hAnsi="宋体" w:cs="宋体"/>
      <w:sz w:val="24"/>
      <w:szCs w:val="24"/>
    </w:rPr>
  </w:style>
  <w:style w:type="paragraph" w:customStyle="1" w:styleId="253">
    <w:name w:val="普通(网站)11"/>
    <w:basedOn w:val="1"/>
    <w:link w:val="443"/>
    <w:autoRedefine/>
    <w:unhideWhenUsed/>
    <w:qFormat/>
    <w:uiPriority w:val="99"/>
    <w:pPr>
      <w:widowControl/>
      <w:spacing w:before="100" w:beforeAutospacing="1" w:after="100" w:afterAutospacing="1"/>
      <w:jc w:val="left"/>
    </w:pPr>
    <w:rPr>
      <w:rFonts w:ascii="宋体" w:hAnsi="宋体" w:cs="宋体"/>
      <w:sz w:val="24"/>
    </w:rPr>
  </w:style>
  <w:style w:type="paragraph" w:customStyle="1" w:styleId="254">
    <w:name w:val="索引 11"/>
    <w:basedOn w:val="1"/>
    <w:next w:val="1"/>
    <w:autoRedefine/>
    <w:qFormat/>
    <w:uiPriority w:val="0"/>
    <w:rPr>
      <w:szCs w:val="20"/>
    </w:rPr>
  </w:style>
  <w:style w:type="paragraph" w:customStyle="1" w:styleId="255">
    <w:name w:val="标题1"/>
    <w:basedOn w:val="1"/>
    <w:link w:val="256"/>
    <w:autoRedefine/>
    <w:qFormat/>
    <w:uiPriority w:val="0"/>
    <w:pPr>
      <w:jc w:val="center"/>
      <w:outlineLvl w:val="0"/>
    </w:pPr>
    <w:rPr>
      <w:b/>
      <w:sz w:val="32"/>
      <w:szCs w:val="20"/>
    </w:rPr>
  </w:style>
  <w:style w:type="character" w:customStyle="1" w:styleId="256">
    <w:name w:val="标题 Char1"/>
    <w:link w:val="255"/>
    <w:autoRedefine/>
    <w:qFormat/>
    <w:uiPriority w:val="0"/>
    <w:rPr>
      <w:b/>
      <w:sz w:val="32"/>
    </w:rPr>
  </w:style>
  <w:style w:type="paragraph" w:customStyle="1" w:styleId="257">
    <w:name w:val="批注主题1"/>
    <w:basedOn w:val="221"/>
    <w:next w:val="221"/>
    <w:link w:val="258"/>
    <w:autoRedefine/>
    <w:qFormat/>
    <w:uiPriority w:val="0"/>
    <w:rPr>
      <w:b/>
      <w:bCs/>
    </w:rPr>
  </w:style>
  <w:style w:type="character" w:customStyle="1" w:styleId="258">
    <w:name w:val="批注主题 Char"/>
    <w:link w:val="257"/>
    <w:autoRedefine/>
    <w:qFormat/>
    <w:uiPriority w:val="0"/>
    <w:rPr>
      <w:rFonts w:ascii="Times New Roman" w:hAnsi="Times New Roman" w:eastAsia="宋体" w:cs="Times New Roman"/>
      <w:b/>
      <w:bCs/>
      <w:sz w:val="21"/>
      <w:szCs w:val="24"/>
      <w:lang w:val="en-US" w:eastAsia="zh-CN" w:bidi="ar-SA"/>
    </w:rPr>
  </w:style>
  <w:style w:type="paragraph" w:customStyle="1" w:styleId="259">
    <w:name w:val="正文首行缩进 21"/>
    <w:basedOn w:val="225"/>
    <w:link w:val="260"/>
    <w:autoRedefine/>
    <w:qFormat/>
    <w:uiPriority w:val="0"/>
    <w:pPr>
      <w:spacing w:after="120" w:line="480" w:lineRule="exact"/>
      <w:ind w:left="420" w:firstLine="420"/>
    </w:pPr>
  </w:style>
  <w:style w:type="character" w:customStyle="1" w:styleId="260">
    <w:name w:val="正文首行缩进 2 Char"/>
    <w:link w:val="259"/>
    <w:autoRedefine/>
    <w:qFormat/>
    <w:uiPriority w:val="0"/>
    <w:rPr>
      <w:rFonts w:eastAsia="宋体"/>
      <w:sz w:val="24"/>
      <w:szCs w:val="24"/>
      <w:lang w:val="en-US" w:eastAsia="zh-CN" w:bidi="ar-SA"/>
    </w:rPr>
  </w:style>
  <w:style w:type="table" w:customStyle="1" w:styleId="261">
    <w:name w:val="网格型1"/>
    <w:basedOn w:val="204"/>
    <w:autoRedefine/>
    <w:qFormat/>
    <w:uiPriority w:val="59"/>
    <w:tblPr>
      <w:tblCellMar>
        <w:top w:w="0" w:type="dxa"/>
        <w:left w:w="0" w:type="dxa"/>
        <w:bottom w:w="0" w:type="dxa"/>
        <w:right w:w="0" w:type="dxa"/>
      </w:tblCellMar>
    </w:tblPr>
  </w:style>
  <w:style w:type="table" w:customStyle="1" w:styleId="262">
    <w:name w:val="中等深浅网格 1 - 强调文字颜色 21"/>
    <w:basedOn w:val="204"/>
    <w:autoRedefine/>
    <w:qFormat/>
    <w:uiPriority w:val="0"/>
    <w:rPr>
      <w:sz w:val="21"/>
      <w:szCs w:val="24"/>
    </w:rPr>
    <w:tblPr>
      <w:tblCellMar>
        <w:top w:w="0" w:type="dxa"/>
        <w:left w:w="0" w:type="dxa"/>
        <w:bottom w:w="0" w:type="dxa"/>
        <w:right w:w="0" w:type="dxa"/>
      </w:tblCellMar>
    </w:tblPr>
  </w:style>
  <w:style w:type="character" w:customStyle="1" w:styleId="263">
    <w:name w:val="要点1"/>
    <w:autoRedefine/>
    <w:qFormat/>
    <w:uiPriority w:val="22"/>
    <w:rPr>
      <w:b/>
      <w:bCs/>
    </w:rPr>
  </w:style>
  <w:style w:type="character" w:customStyle="1" w:styleId="264">
    <w:name w:val="页码1"/>
    <w:autoRedefine/>
    <w:qFormat/>
    <w:uiPriority w:val="0"/>
  </w:style>
  <w:style w:type="character" w:customStyle="1" w:styleId="265">
    <w:name w:val="访问过的超链接1"/>
    <w:autoRedefine/>
    <w:qFormat/>
    <w:uiPriority w:val="0"/>
    <w:rPr>
      <w:color w:val="800080"/>
      <w:u w:val="single"/>
    </w:rPr>
  </w:style>
  <w:style w:type="character" w:customStyle="1" w:styleId="266">
    <w:name w:val="强调1"/>
    <w:autoRedefine/>
    <w:qFormat/>
    <w:uiPriority w:val="0"/>
    <w:rPr>
      <w:color w:val="CC0033"/>
    </w:rPr>
  </w:style>
  <w:style w:type="character" w:customStyle="1" w:styleId="267">
    <w:name w:val="超链接1"/>
    <w:autoRedefine/>
    <w:qFormat/>
    <w:uiPriority w:val="99"/>
    <w:rPr>
      <w:color w:val="0000FF"/>
      <w:u w:val="single"/>
    </w:rPr>
  </w:style>
  <w:style w:type="character" w:customStyle="1" w:styleId="268">
    <w:name w:val="批注引用1"/>
    <w:autoRedefine/>
    <w:qFormat/>
    <w:uiPriority w:val="0"/>
    <w:rPr>
      <w:sz w:val="21"/>
      <w:szCs w:val="21"/>
    </w:rPr>
  </w:style>
  <w:style w:type="character" w:customStyle="1" w:styleId="269">
    <w:name w:val="HTML 引文1"/>
    <w:autoRedefine/>
    <w:qFormat/>
    <w:uiPriority w:val="0"/>
    <w:rPr>
      <w:i/>
      <w:iCs/>
    </w:rPr>
  </w:style>
  <w:style w:type="character" w:customStyle="1" w:styleId="270">
    <w:name w:val="批注文字 字符"/>
    <w:autoRedefine/>
    <w:qFormat/>
    <w:uiPriority w:val="99"/>
    <w:rPr>
      <w:rFonts w:ascii="Times New Roman" w:hAnsi="Times New Roman" w:eastAsia="宋体" w:cs="Times New Roman"/>
      <w:sz w:val="24"/>
      <w:lang w:val="en-US" w:eastAsia="zh-CN" w:bidi="ar-SA"/>
    </w:rPr>
  </w:style>
  <w:style w:type="character" w:customStyle="1" w:styleId="271">
    <w:name w:val="c21"/>
    <w:autoRedefine/>
    <w:qFormat/>
    <w:uiPriority w:val="0"/>
    <w:rPr>
      <w:rFonts w:ascii="ˎ̥" w:hAnsi="ˎ̥"/>
      <w:color w:val="000000"/>
      <w:sz w:val="20"/>
      <w:szCs w:val="20"/>
      <w:u w:val="none"/>
    </w:rPr>
  </w:style>
  <w:style w:type="character" w:customStyle="1" w:styleId="272">
    <w:name w:val="title4"/>
    <w:autoRedefine/>
    <w:qFormat/>
    <w:uiPriority w:val="0"/>
    <w:rPr>
      <w:b/>
      <w:bCs/>
      <w:color w:val="1D87B3"/>
      <w:sz w:val="15"/>
      <w:szCs w:val="15"/>
    </w:rPr>
  </w:style>
  <w:style w:type="character" w:customStyle="1" w:styleId="273">
    <w:name w:val="标题 2 Char Char"/>
    <w:autoRedefine/>
    <w:qFormat/>
    <w:uiPriority w:val="0"/>
    <w:rPr>
      <w:rFonts w:ascii="Arial" w:hAnsi="Arial" w:eastAsia="黑体"/>
      <w:b/>
      <w:bCs/>
      <w:sz w:val="32"/>
      <w:szCs w:val="32"/>
      <w:lang w:val="en-US" w:eastAsia="zh-CN" w:bidi="ar-SA"/>
    </w:rPr>
  </w:style>
  <w:style w:type="character" w:customStyle="1" w:styleId="274">
    <w:name w:val="black1"/>
    <w:autoRedefine/>
    <w:qFormat/>
    <w:uiPriority w:val="0"/>
    <w:rPr>
      <w:color w:val="000000"/>
    </w:rPr>
  </w:style>
  <w:style w:type="character" w:customStyle="1" w:styleId="275">
    <w:name w:val="street-address"/>
    <w:autoRedefine/>
    <w:qFormat/>
    <w:uiPriority w:val="0"/>
  </w:style>
  <w:style w:type="character" w:customStyle="1" w:styleId="276">
    <w:name w:val="locality"/>
    <w:qFormat/>
    <w:uiPriority w:val="0"/>
  </w:style>
  <w:style w:type="character" w:customStyle="1" w:styleId="277">
    <w:name w:val="正文文本缩进 Char1"/>
    <w:link w:val="278"/>
    <w:qFormat/>
    <w:uiPriority w:val="0"/>
    <w:rPr>
      <w:rFonts w:ascii="宋体" w:hAnsi="宋体" w:eastAsia="宋体"/>
      <w:sz w:val="24"/>
      <w:szCs w:val="24"/>
      <w:lang w:bidi="ar-SA"/>
    </w:rPr>
  </w:style>
  <w:style w:type="paragraph" w:customStyle="1" w:styleId="278">
    <w:name w:val="正文文本缩进1"/>
    <w:basedOn w:val="1"/>
    <w:next w:val="1"/>
    <w:link w:val="277"/>
    <w:qFormat/>
    <w:uiPriority w:val="0"/>
    <w:pPr>
      <w:spacing w:line="480" w:lineRule="exact"/>
      <w:ind w:firstLine="480"/>
    </w:pPr>
    <w:rPr>
      <w:rFonts w:ascii="宋体" w:hAnsi="宋体"/>
      <w:sz w:val="24"/>
    </w:rPr>
  </w:style>
  <w:style w:type="character" w:customStyle="1" w:styleId="279">
    <w:name w:val="Char Char11"/>
    <w:autoRedefine/>
    <w:qFormat/>
    <w:uiPriority w:val="0"/>
    <w:rPr>
      <w:rFonts w:ascii="宋体" w:eastAsia="宋体"/>
      <w:b/>
      <w:sz w:val="24"/>
      <w:u w:val="single"/>
      <w:lang w:val="en-US" w:eastAsia="zh-CN" w:bidi="ar-SA"/>
    </w:rPr>
  </w:style>
  <w:style w:type="character" w:customStyle="1" w:styleId="280">
    <w:name w:val="txt"/>
    <w:autoRedefine/>
    <w:qFormat/>
    <w:uiPriority w:val="0"/>
  </w:style>
  <w:style w:type="character" w:customStyle="1" w:styleId="281">
    <w:name w:val="正文缩进 Char Char"/>
    <w:link w:val="282"/>
    <w:qFormat/>
    <w:uiPriority w:val="0"/>
    <w:rPr>
      <w:rFonts w:ascii="宋体" w:eastAsia="宋体"/>
      <w:color w:val="000000"/>
      <w:sz w:val="28"/>
      <w:lang w:bidi="ar-SA"/>
    </w:rPr>
  </w:style>
  <w:style w:type="paragraph" w:customStyle="1" w:styleId="282">
    <w:name w:val="正文缩进1"/>
    <w:basedOn w:val="1"/>
    <w:link w:val="281"/>
    <w:autoRedefine/>
    <w:qFormat/>
    <w:uiPriority w:val="0"/>
    <w:pPr>
      <w:widowControl/>
      <w:spacing w:line="480" w:lineRule="exact"/>
      <w:ind w:firstLine="567"/>
    </w:pPr>
    <w:rPr>
      <w:rFonts w:ascii="宋体"/>
      <w:color w:val="000000"/>
      <w:sz w:val="28"/>
      <w:szCs w:val="20"/>
    </w:rPr>
  </w:style>
  <w:style w:type="character" w:customStyle="1" w:styleId="283">
    <w:name w:val="普通文字1 Char1"/>
    <w:qFormat/>
    <w:uiPriority w:val="0"/>
    <w:rPr>
      <w:rFonts w:ascii="宋体" w:hAnsi="Courier New" w:eastAsia="宋体"/>
      <w:sz w:val="21"/>
      <w:lang w:val="en-US" w:eastAsia="zh-CN" w:bidi="ar-SA"/>
    </w:rPr>
  </w:style>
  <w:style w:type="character" w:customStyle="1" w:styleId="284">
    <w:name w:val="chanpin1"/>
    <w:autoRedefine/>
    <w:qFormat/>
    <w:uiPriority w:val="0"/>
    <w:rPr>
      <w:rFonts w:ascii="ˎ̥" w:hAnsi="ˎ̥"/>
      <w:color w:val="000000"/>
      <w:sz w:val="20"/>
      <w:szCs w:val="20"/>
      <w:u w:val="none"/>
    </w:rPr>
  </w:style>
  <w:style w:type="character" w:customStyle="1" w:styleId="285">
    <w:name w:val="列出段落 Char1"/>
    <w:link w:val="286"/>
    <w:qFormat/>
    <w:uiPriority w:val="34"/>
    <w:rPr>
      <w:rFonts w:ascii="Calibri" w:hAnsi="Calibri" w:eastAsia="宋体"/>
      <w:sz w:val="21"/>
      <w:szCs w:val="22"/>
      <w:lang w:val="en-US" w:eastAsia="zh-CN" w:bidi="ar-SA"/>
    </w:rPr>
  </w:style>
  <w:style w:type="paragraph" w:customStyle="1" w:styleId="286">
    <w:name w:val="列出段落1"/>
    <w:basedOn w:val="1"/>
    <w:link w:val="285"/>
    <w:qFormat/>
    <w:uiPriority w:val="34"/>
    <w:pPr>
      <w:ind w:firstLine="420"/>
    </w:pPr>
    <w:rPr>
      <w:rFonts w:ascii="Calibri" w:hAnsi="Calibri"/>
      <w:szCs w:val="22"/>
    </w:rPr>
  </w:style>
  <w:style w:type="character" w:customStyle="1" w:styleId="287">
    <w:name w:val="标题 3 Char Char"/>
    <w:qFormat/>
    <w:uiPriority w:val="0"/>
    <w:rPr>
      <w:rFonts w:eastAsia="宋体"/>
      <w:b/>
      <w:bCs/>
      <w:sz w:val="32"/>
      <w:szCs w:val="32"/>
      <w:lang w:val="en-US" w:eastAsia="zh-CN" w:bidi="ar-SA"/>
    </w:rPr>
  </w:style>
  <w:style w:type="character" w:customStyle="1" w:styleId="288">
    <w:name w:val="段1 Char"/>
    <w:qFormat/>
    <w:uiPriority w:val="0"/>
    <w:rPr>
      <w:rFonts w:ascii="宋体" w:eastAsia="宋体"/>
      <w:sz w:val="24"/>
      <w:lang w:val="en-US" w:eastAsia="zh-CN" w:bidi="ar-SA"/>
    </w:rPr>
  </w:style>
  <w:style w:type="character" w:customStyle="1" w:styleId="289">
    <w:name w:val="chanpin拷贝"/>
    <w:qFormat/>
    <w:uiPriority w:val="0"/>
  </w:style>
  <w:style w:type="character" w:customStyle="1" w:styleId="290">
    <w:name w:val="纯文本 Char1"/>
    <w:qFormat/>
    <w:uiPriority w:val="0"/>
    <w:rPr>
      <w:rFonts w:ascii="宋体" w:hAnsi="Courier New" w:eastAsia="宋体"/>
      <w:sz w:val="21"/>
      <w:lang w:val="en-US" w:eastAsia="zh-CN" w:bidi="ar-SA"/>
    </w:rPr>
  </w:style>
  <w:style w:type="character" w:customStyle="1" w:styleId="291">
    <w:name w:val="apple-style-span"/>
    <w:qFormat/>
    <w:uiPriority w:val="0"/>
    <w:rPr>
      <w:rFonts w:cs="Times New Roman"/>
    </w:rPr>
  </w:style>
  <w:style w:type="paragraph" w:customStyle="1" w:styleId="292">
    <w:name w:val="二级条标题"/>
    <w:basedOn w:val="293"/>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293">
    <w:name w:val="一级条标题"/>
    <w:basedOn w:val="294"/>
    <w:next w:val="1"/>
    <w:qFormat/>
    <w:uiPriority w:val="0"/>
    <w:pPr>
      <w:numPr>
        <w:ilvl w:val="1"/>
      </w:numPr>
      <w:tabs>
        <w:tab w:val="left" w:pos="360"/>
        <w:tab w:val="left" w:pos="840"/>
      </w:tabs>
      <w:ind w:left="0" w:hanging="840"/>
      <w:outlineLvl w:val="1"/>
    </w:pPr>
  </w:style>
  <w:style w:type="paragraph" w:customStyle="1" w:styleId="294">
    <w:name w:val="章标题"/>
    <w:next w:val="1"/>
    <w:qFormat/>
    <w:uiPriority w:val="0"/>
    <w:pPr>
      <w:numPr>
        <w:ilvl w:val="0"/>
        <w:numId w:val="1"/>
      </w:numPr>
      <w:spacing w:before="156" w:after="156" w:line="460" w:lineRule="exact"/>
      <w:ind w:left="0"/>
      <w:jc w:val="both"/>
      <w:outlineLvl w:val="0"/>
    </w:pPr>
    <w:rPr>
      <w:rFonts w:ascii="黑体" w:hAnsi="Times New Roman" w:eastAsia="黑体" w:cs="Times New Roman"/>
      <w:b/>
      <w:sz w:val="28"/>
      <w:lang w:val="en-US" w:eastAsia="zh-CN" w:bidi="ar-SA"/>
    </w:rPr>
  </w:style>
  <w:style w:type="paragraph" w:customStyle="1" w:styleId="295">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296">
    <w:name w:val="字元 字元"/>
    <w:basedOn w:val="1"/>
    <w:qFormat/>
    <w:uiPriority w:val="0"/>
    <w:rPr>
      <w:rFonts w:ascii="Tahoma" w:hAnsi="Tahoma"/>
      <w:sz w:val="24"/>
      <w:szCs w:val="20"/>
    </w:rPr>
  </w:style>
  <w:style w:type="paragraph" w:customStyle="1" w:styleId="297">
    <w:name w:val="Char3 Char Char Char"/>
    <w:basedOn w:val="1"/>
    <w:autoRedefine/>
    <w:qFormat/>
    <w:uiPriority w:val="0"/>
    <w:rPr>
      <w:rFonts w:ascii="Tahoma" w:hAnsi="Tahoma"/>
      <w:sz w:val="24"/>
      <w:szCs w:val="20"/>
    </w:rPr>
  </w:style>
  <w:style w:type="paragraph" w:customStyle="1" w:styleId="298">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299">
    <w:name w:val="项目编号2"/>
    <w:basedOn w:val="300"/>
    <w:autoRedefine/>
    <w:qFormat/>
    <w:uiPriority w:val="0"/>
    <w:pPr>
      <w:numPr>
        <w:numId w:val="2"/>
      </w:numPr>
    </w:pPr>
  </w:style>
  <w:style w:type="paragraph" w:customStyle="1" w:styleId="300">
    <w:name w:val="项目编号1"/>
    <w:basedOn w:val="1"/>
    <w:autoRedefine/>
    <w:qFormat/>
    <w:uiPriority w:val="0"/>
    <w:pPr>
      <w:numPr>
        <w:ilvl w:val="0"/>
        <w:numId w:val="3"/>
      </w:numPr>
      <w:spacing w:before="100" w:beforeAutospacing="1" w:after="100" w:afterAutospacing="1" w:line="360" w:lineRule="auto"/>
    </w:pPr>
    <w:rPr>
      <w:sz w:val="24"/>
    </w:rPr>
  </w:style>
  <w:style w:type="paragraph" w:customStyle="1" w:styleId="301">
    <w:name w:val="图中文字"/>
    <w:basedOn w:val="1"/>
    <w:qFormat/>
    <w:uiPriority w:val="0"/>
    <w:pPr>
      <w:spacing w:line="0" w:lineRule="atLeast"/>
      <w:jc w:val="center"/>
    </w:pPr>
    <w:rPr>
      <w:sz w:val="24"/>
      <w:szCs w:val="20"/>
    </w:rPr>
  </w:style>
  <w:style w:type="paragraph" w:customStyle="1" w:styleId="302">
    <w:name w:val="xl46"/>
    <w:basedOn w:val="1"/>
    <w:autoRedefine/>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03">
    <w:name w:val="xl25"/>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04">
    <w:name w:val="Char2"/>
    <w:basedOn w:val="1"/>
    <w:autoRedefine/>
    <w:qFormat/>
    <w:uiPriority w:val="0"/>
    <w:rPr>
      <w:rFonts w:ascii="Tahoma" w:hAnsi="Tahoma"/>
      <w:sz w:val="24"/>
      <w:szCs w:val="20"/>
    </w:rPr>
  </w:style>
  <w:style w:type="paragraph" w:customStyle="1" w:styleId="305">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6">
    <w:name w:val="xl4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7">
    <w:name w:val="xl5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308">
    <w:name w:val="xl43"/>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9">
    <w:name w:val="background1"/>
    <w:basedOn w:val="1"/>
    <w:autoRedefine/>
    <w:qFormat/>
    <w:uiPriority w:val="0"/>
    <w:pPr>
      <w:widowControl/>
      <w:spacing w:before="100" w:beforeAutospacing="1" w:after="100" w:afterAutospacing="1"/>
      <w:jc w:val="left"/>
    </w:pPr>
    <w:rPr>
      <w:rFonts w:ascii="宋体" w:hAnsi="宋体" w:cs="宋体"/>
      <w:sz w:val="24"/>
    </w:rPr>
  </w:style>
  <w:style w:type="paragraph" w:customStyle="1" w:styleId="310">
    <w:name w:val="Char Char Char Char Char Char Char"/>
    <w:basedOn w:val="1"/>
    <w:autoRedefine/>
    <w:qFormat/>
    <w:uiPriority w:val="0"/>
    <w:pPr>
      <w:spacing w:line="360" w:lineRule="auto"/>
      <w:ind w:firstLine="200"/>
    </w:pPr>
    <w:rPr>
      <w:rFonts w:eastAsia="仿宋_GB2312"/>
      <w:sz w:val="24"/>
    </w:rPr>
  </w:style>
  <w:style w:type="paragraph" w:customStyle="1" w:styleId="311">
    <w:name w:val="xl3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312">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3">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314">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315">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6">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7">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318">
    <w:name w:val="font8"/>
    <w:basedOn w:val="1"/>
    <w:autoRedefine/>
    <w:qFormat/>
    <w:uiPriority w:val="0"/>
    <w:pPr>
      <w:widowControl/>
      <w:spacing w:before="100" w:beforeAutospacing="1" w:after="100" w:afterAutospacing="1"/>
      <w:jc w:val="left"/>
    </w:pPr>
    <w:rPr>
      <w:sz w:val="36"/>
      <w:szCs w:val="36"/>
    </w:rPr>
  </w:style>
  <w:style w:type="paragraph" w:customStyle="1" w:styleId="319">
    <w:name w:val="Char"/>
    <w:basedOn w:val="1"/>
    <w:qFormat/>
    <w:uiPriority w:val="0"/>
    <w:pPr>
      <w:tabs>
        <w:tab w:val="left" w:pos="360"/>
      </w:tabs>
    </w:pPr>
    <w:rPr>
      <w:sz w:val="24"/>
    </w:rPr>
  </w:style>
  <w:style w:type="paragraph" w:customStyle="1" w:styleId="320">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321">
    <w:name w:val="xl45"/>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22">
    <w:name w:val="Char Char1 Char Char Char Char Char Char"/>
    <w:basedOn w:val="1"/>
    <w:autoRedefine/>
    <w:qFormat/>
    <w:uiPriority w:val="0"/>
    <w:pPr>
      <w:widowControl/>
      <w:spacing w:after="160" w:line="240" w:lineRule="exact"/>
      <w:jc w:val="left"/>
    </w:pPr>
    <w:rPr>
      <w:rFonts w:ascii="Verdana" w:hAnsi="Verdana" w:eastAsia="仿宋_GB2312"/>
      <w:sz w:val="24"/>
      <w:szCs w:val="20"/>
      <w:lang w:eastAsia="en-US"/>
    </w:rPr>
  </w:style>
  <w:style w:type="paragraph" w:customStyle="1" w:styleId="323">
    <w:name w:val="Char Char1"/>
    <w:basedOn w:val="219"/>
    <w:autoRedefine/>
    <w:qFormat/>
    <w:uiPriority w:val="0"/>
    <w:rPr>
      <w:rFonts w:ascii="Tahoma" w:hAnsi="Tahoma"/>
      <w:sz w:val="24"/>
    </w:rPr>
  </w:style>
  <w:style w:type="paragraph" w:customStyle="1" w:styleId="324">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25">
    <w:name w:val="xl3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26">
    <w:name w:val="xl41"/>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27">
    <w:name w:val="样式 宋体 五号 行距: 单倍行距"/>
    <w:basedOn w:val="1"/>
    <w:autoRedefine/>
    <w:qFormat/>
    <w:uiPriority w:val="0"/>
    <w:pPr>
      <w:jc w:val="left"/>
    </w:pPr>
    <w:rPr>
      <w:rFonts w:ascii="宋体" w:hAnsi="宋体"/>
      <w:szCs w:val="20"/>
    </w:rPr>
  </w:style>
  <w:style w:type="paragraph" w:customStyle="1" w:styleId="328">
    <w:name w:val="Char1 Char Char Char1"/>
    <w:basedOn w:val="1"/>
    <w:qFormat/>
    <w:uiPriority w:val="0"/>
    <w:rPr>
      <w:rFonts w:ascii="Tahoma" w:hAnsi="Tahoma" w:cs="仿宋_GB2312"/>
      <w:sz w:val="24"/>
      <w:szCs w:val="28"/>
    </w:rPr>
  </w:style>
  <w:style w:type="paragraph" w:customStyle="1" w:styleId="329">
    <w:name w:val="四级条标题"/>
    <w:basedOn w:val="330"/>
    <w:next w:val="1"/>
    <w:autoRedefine/>
    <w:qFormat/>
    <w:uiPriority w:val="0"/>
    <w:pPr>
      <w:numPr>
        <w:ilvl w:val="4"/>
      </w:numPr>
      <w:tabs>
        <w:tab w:val="left" w:pos="360"/>
        <w:tab w:val="left" w:pos="840"/>
      </w:tabs>
      <w:ind w:left="0" w:hanging="840"/>
      <w:outlineLvl w:val="4"/>
    </w:pPr>
  </w:style>
  <w:style w:type="paragraph" w:customStyle="1" w:styleId="330">
    <w:name w:val="三级条标题"/>
    <w:basedOn w:val="292"/>
    <w:next w:val="1"/>
    <w:qFormat/>
    <w:uiPriority w:val="0"/>
    <w:pPr>
      <w:numPr>
        <w:ilvl w:val="3"/>
        <w:numId w:val="1"/>
      </w:numPr>
      <w:ind w:left="0" w:hanging="840"/>
      <w:outlineLvl w:val="3"/>
    </w:pPr>
  </w:style>
  <w:style w:type="paragraph" w:customStyle="1" w:styleId="331">
    <w:name w:val="??"/>
    <w:autoRedefine/>
    <w:qFormat/>
    <w:uiPriority w:val="0"/>
    <w:pPr>
      <w:widowControl w:val="0"/>
      <w:jc w:val="both"/>
    </w:pPr>
    <w:rPr>
      <w:rFonts w:ascii="Times New Roman" w:hAnsi="Times New Roman" w:eastAsia="宋体" w:cs="Times New Roman"/>
      <w:sz w:val="21"/>
      <w:lang w:val="en-US" w:eastAsia="en-US" w:bidi="ar-SA"/>
    </w:rPr>
  </w:style>
  <w:style w:type="paragraph" w:customStyle="1" w:styleId="332">
    <w:name w:val="样式 标题 2 + 宋体 五号 行距: 单倍行距"/>
    <w:basedOn w:val="194"/>
    <w:qFormat/>
    <w:uiPriority w:val="0"/>
    <w:pPr>
      <w:numPr>
        <w:ilvl w:val="1"/>
        <w:numId w:val="4"/>
      </w:numPr>
      <w:spacing w:before="260" w:after="260" w:line="240" w:lineRule="auto"/>
      <w:jc w:val="left"/>
    </w:pPr>
    <w:rPr>
      <w:rFonts w:ascii="宋体" w:hAnsi="宋体" w:eastAsia="宋体"/>
      <w:bCs/>
      <w:sz w:val="21"/>
    </w:rPr>
  </w:style>
  <w:style w:type="paragraph" w:customStyle="1" w:styleId="333">
    <w:name w:val="List Paragraph1"/>
    <w:basedOn w:val="1"/>
    <w:autoRedefine/>
    <w:qFormat/>
    <w:uiPriority w:val="0"/>
    <w:pPr>
      <w:ind w:firstLine="420"/>
    </w:pPr>
    <w:rPr>
      <w:rFonts w:ascii="Calibri" w:hAnsi="Calibri"/>
      <w:szCs w:val="22"/>
    </w:rPr>
  </w:style>
  <w:style w:type="paragraph" w:customStyle="1" w:styleId="334">
    <w:name w:val="项目符号1"/>
    <w:basedOn w:val="335"/>
    <w:autoRedefine/>
    <w:qFormat/>
    <w:uiPriority w:val="0"/>
    <w:pPr>
      <w:ind w:left="-25" w:firstLine="0"/>
    </w:pPr>
  </w:style>
  <w:style w:type="paragraph" w:customStyle="1" w:styleId="335">
    <w:name w:val="正文文本样式"/>
    <w:basedOn w:val="1"/>
    <w:qFormat/>
    <w:uiPriority w:val="0"/>
    <w:pPr>
      <w:spacing w:line="360" w:lineRule="auto"/>
      <w:ind w:firstLine="482"/>
    </w:pPr>
    <w:rPr>
      <w:rFonts w:cs="宋体"/>
      <w:sz w:val="24"/>
      <w:szCs w:val="20"/>
    </w:rPr>
  </w:style>
  <w:style w:type="paragraph" w:customStyle="1" w:styleId="336">
    <w:name w:val="xl2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37">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38">
    <w:name w:val="五级条标题"/>
    <w:basedOn w:val="329"/>
    <w:next w:val="1"/>
    <w:qFormat/>
    <w:uiPriority w:val="0"/>
    <w:pPr>
      <w:numPr>
        <w:ilvl w:val="5"/>
      </w:numPr>
      <w:ind w:left="0" w:hanging="840"/>
      <w:outlineLvl w:val="5"/>
    </w:pPr>
  </w:style>
  <w:style w:type="paragraph" w:customStyle="1" w:styleId="339">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40">
    <w:name w:val="文档正文"/>
    <w:basedOn w:val="1"/>
    <w:qFormat/>
    <w:uiPriority w:val="0"/>
    <w:pPr>
      <w:spacing w:before="120" w:after="120" w:line="180" w:lineRule="auto"/>
    </w:pPr>
    <w:rPr>
      <w:rFonts w:ascii="Arial" w:hAnsi="Arial"/>
      <w:szCs w:val="20"/>
    </w:rPr>
  </w:style>
  <w:style w:type="paragraph" w:customStyle="1" w:styleId="341">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42">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43">
    <w:name w:val="Char Char Char1 Char"/>
    <w:basedOn w:val="1"/>
    <w:qFormat/>
    <w:uiPriority w:val="0"/>
    <w:rPr>
      <w:rFonts w:ascii="Tahoma" w:hAnsi="Tahoma"/>
      <w:sz w:val="24"/>
      <w:szCs w:val="20"/>
    </w:rPr>
  </w:style>
  <w:style w:type="paragraph" w:customStyle="1" w:styleId="344">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45">
    <w:name w:val="1名"/>
    <w:basedOn w:val="1"/>
    <w:qFormat/>
    <w:uiPriority w:val="0"/>
    <w:pPr>
      <w:numPr>
        <w:ilvl w:val="0"/>
        <w:numId w:val="5"/>
      </w:numPr>
      <w:spacing w:before="120"/>
    </w:pPr>
    <w:rPr>
      <w:rFonts w:ascii="宋体"/>
      <w:sz w:val="28"/>
      <w:szCs w:val="20"/>
    </w:rPr>
  </w:style>
  <w:style w:type="paragraph" w:customStyle="1" w:styleId="346">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47">
    <w:name w:val="Char Char Char1 Char1"/>
    <w:basedOn w:val="1"/>
    <w:qFormat/>
    <w:uiPriority w:val="0"/>
    <w:rPr>
      <w:rFonts w:ascii="Tahoma" w:hAnsi="Tahoma"/>
      <w:sz w:val="24"/>
      <w:szCs w:val="20"/>
    </w:rPr>
  </w:style>
  <w:style w:type="paragraph" w:customStyle="1" w:styleId="348">
    <w:name w:val="Char Char Char Char Char Char Char Char Char Char"/>
    <w:basedOn w:val="1"/>
    <w:qFormat/>
    <w:uiPriority w:val="0"/>
  </w:style>
  <w:style w:type="paragraph" w:customStyle="1" w:styleId="349">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50">
    <w:name w:val="Char1"/>
    <w:basedOn w:val="1"/>
    <w:qFormat/>
    <w:uiPriority w:val="0"/>
    <w:pPr>
      <w:tabs>
        <w:tab w:val="left" w:pos="360"/>
      </w:tabs>
    </w:pPr>
    <w:rPr>
      <w:sz w:val="24"/>
    </w:rPr>
  </w:style>
  <w:style w:type="paragraph" w:customStyle="1" w:styleId="351">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52">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53">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54">
    <w:name w:val="默认段落字体 Para Char Char Char Char"/>
    <w:basedOn w:val="1"/>
    <w:qFormat/>
    <w:uiPriority w:val="0"/>
    <w:rPr>
      <w:rFonts w:ascii="Arial" w:hAnsi="Arial" w:cs="Arial"/>
      <w:szCs w:val="21"/>
    </w:rPr>
  </w:style>
  <w:style w:type="paragraph" w:customStyle="1" w:styleId="355">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56">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57">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58">
    <w:name w:val="Char Char Char"/>
    <w:basedOn w:val="1"/>
    <w:qFormat/>
    <w:uiPriority w:val="0"/>
    <w:rPr>
      <w:rFonts w:ascii="Tahoma" w:hAnsi="Tahoma"/>
      <w:sz w:val="24"/>
      <w:szCs w:val="20"/>
    </w:rPr>
  </w:style>
  <w:style w:type="paragraph" w:customStyle="1" w:styleId="359">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60">
    <w:name w:val="缺省文本"/>
    <w:basedOn w:val="1"/>
    <w:qFormat/>
    <w:uiPriority w:val="0"/>
    <w:pPr>
      <w:jc w:val="left"/>
    </w:pPr>
    <w:rPr>
      <w:sz w:val="24"/>
    </w:rPr>
  </w:style>
  <w:style w:type="paragraph" w:customStyle="1" w:styleId="361">
    <w:name w:val="Char Char Char1"/>
    <w:basedOn w:val="1"/>
    <w:qFormat/>
    <w:uiPriority w:val="0"/>
    <w:rPr>
      <w:rFonts w:ascii="Tahoma" w:hAnsi="Tahoma"/>
      <w:sz w:val="24"/>
      <w:szCs w:val="20"/>
    </w:rPr>
  </w:style>
  <w:style w:type="paragraph" w:customStyle="1" w:styleId="362">
    <w:name w:val="Char Char Char Char Char Char Char1"/>
    <w:basedOn w:val="1"/>
    <w:qFormat/>
    <w:uiPriority w:val="0"/>
    <w:pPr>
      <w:spacing w:line="360" w:lineRule="auto"/>
      <w:ind w:firstLine="200"/>
    </w:pPr>
    <w:rPr>
      <w:rFonts w:eastAsia="仿宋_GB2312"/>
      <w:sz w:val="24"/>
    </w:rPr>
  </w:style>
  <w:style w:type="paragraph" w:customStyle="1" w:styleId="363">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64">
    <w:name w:val="样式2"/>
    <w:basedOn w:val="254"/>
    <w:qFormat/>
    <w:uiPriority w:val="0"/>
    <w:pPr>
      <w:spacing w:line="360" w:lineRule="auto"/>
      <w:jc w:val="center"/>
    </w:pPr>
    <w:rPr>
      <w:sz w:val="24"/>
    </w:rPr>
  </w:style>
  <w:style w:type="paragraph" w:customStyle="1" w:styleId="365">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66">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67">
    <w:name w:val="正文 + 楷体_GB2312"/>
    <w:basedOn w:val="1"/>
    <w:qFormat/>
    <w:uiPriority w:val="0"/>
    <w:pPr>
      <w:widowControl/>
      <w:jc w:val="left"/>
    </w:pPr>
    <w:rPr>
      <w:rFonts w:ascii="楷体_GB2312" w:eastAsia="楷体_GB2312" w:cs="Arial"/>
      <w:sz w:val="24"/>
    </w:rPr>
  </w:style>
  <w:style w:type="paragraph" w:customStyle="1" w:styleId="368">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69">
    <w:name w:val="1 Char Char Char Char"/>
    <w:basedOn w:val="1"/>
    <w:qFormat/>
    <w:uiPriority w:val="0"/>
    <w:rPr>
      <w:rFonts w:ascii="Tahoma" w:hAnsi="Tahoma"/>
      <w:sz w:val="24"/>
      <w:szCs w:val="20"/>
    </w:rPr>
  </w:style>
  <w:style w:type="paragraph" w:customStyle="1" w:styleId="370">
    <w:name w:val="Default"/>
    <w:qFormat/>
    <w:uiPriority w:val="0"/>
    <w:pPr>
      <w:widowControl w:val="0"/>
    </w:pPr>
    <w:rPr>
      <w:rFonts w:ascii="Symbol" w:hAnsi="Symbol" w:eastAsia="宋体" w:cs="Symbol"/>
      <w:color w:val="000000"/>
      <w:sz w:val="24"/>
      <w:szCs w:val="24"/>
      <w:lang w:val="en-US" w:eastAsia="zh-CN" w:bidi="ar-SA"/>
    </w:rPr>
  </w:style>
  <w:style w:type="paragraph" w:customStyle="1" w:styleId="371">
    <w:name w:val="列出段落11"/>
    <w:basedOn w:val="1"/>
    <w:qFormat/>
    <w:uiPriority w:val="0"/>
    <w:pPr>
      <w:ind w:firstLine="420"/>
    </w:pPr>
    <w:rPr>
      <w:rFonts w:ascii="Calibri" w:hAnsi="Calibri"/>
      <w:szCs w:val="22"/>
    </w:rPr>
  </w:style>
  <w:style w:type="paragraph" w:customStyle="1" w:styleId="372">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373">
    <w:name w:val="字元 字元1"/>
    <w:basedOn w:val="1"/>
    <w:qFormat/>
    <w:uiPriority w:val="0"/>
    <w:rPr>
      <w:rFonts w:ascii="Tahoma" w:hAnsi="Tahoma"/>
      <w:sz w:val="24"/>
      <w:szCs w:val="20"/>
    </w:rPr>
  </w:style>
  <w:style w:type="paragraph" w:customStyle="1" w:styleId="374">
    <w:name w:val="_Style 160"/>
    <w:qFormat/>
    <w:uiPriority w:val="0"/>
    <w:rPr>
      <w:rFonts w:ascii="Times New Roman" w:hAnsi="Times New Roman" w:eastAsia="宋体" w:cs="Times New Roman"/>
      <w:sz w:val="21"/>
      <w:szCs w:val="24"/>
      <w:lang w:val="en-US" w:eastAsia="zh-CN" w:bidi="ar-SA"/>
    </w:rPr>
  </w:style>
  <w:style w:type="paragraph" w:customStyle="1" w:styleId="375">
    <w:name w:val="项目编号3"/>
    <w:basedOn w:val="335"/>
    <w:qFormat/>
    <w:uiPriority w:val="0"/>
    <w:pPr>
      <w:numPr>
        <w:ilvl w:val="0"/>
        <w:numId w:val="6"/>
      </w:numPr>
    </w:pPr>
  </w:style>
  <w:style w:type="paragraph" w:customStyle="1" w:styleId="376">
    <w:name w:val="Char21"/>
    <w:basedOn w:val="1"/>
    <w:qFormat/>
    <w:uiPriority w:val="0"/>
    <w:rPr>
      <w:rFonts w:ascii="Tahoma" w:hAnsi="Tahoma"/>
      <w:sz w:val="24"/>
      <w:szCs w:val="20"/>
    </w:rPr>
  </w:style>
  <w:style w:type="paragraph" w:customStyle="1" w:styleId="377">
    <w:name w:val="表格文字"/>
    <w:basedOn w:val="225"/>
    <w:qFormat/>
    <w:uiPriority w:val="0"/>
    <w:pPr>
      <w:spacing w:before="20" w:after="20" w:line="240" w:lineRule="auto"/>
      <w:ind w:firstLine="0"/>
    </w:pPr>
    <w:rPr>
      <w:rFonts w:ascii="Century Gothic" w:hAnsi="Century Gothic"/>
      <w:sz w:val="20"/>
      <w:szCs w:val="20"/>
    </w:rPr>
  </w:style>
  <w:style w:type="paragraph" w:customStyle="1" w:styleId="378">
    <w:name w:val="Char Char Char Char Char Char Char Char Char Char1"/>
    <w:basedOn w:val="1"/>
    <w:qFormat/>
    <w:uiPriority w:val="0"/>
    <w:rPr>
      <w:rFonts w:ascii="宋体" w:hAnsi="宋体" w:cs="Courier New"/>
      <w:sz w:val="32"/>
      <w:szCs w:val="32"/>
    </w:rPr>
  </w:style>
  <w:style w:type="paragraph" w:customStyle="1" w:styleId="379">
    <w:name w:val="正文文本样式 加粗"/>
    <w:basedOn w:val="335"/>
    <w:qFormat/>
    <w:uiPriority w:val="0"/>
    <w:rPr>
      <w:b/>
    </w:rPr>
  </w:style>
  <w:style w:type="paragraph" w:customStyle="1" w:styleId="380">
    <w:name w:val="Char2 Char Char Char Char Char Char"/>
    <w:basedOn w:val="1"/>
    <w:qFormat/>
    <w:uiPriority w:val="0"/>
    <w:pPr>
      <w:widowControl/>
      <w:spacing w:line="400" w:lineRule="exact"/>
      <w:jc w:val="center"/>
    </w:pPr>
  </w:style>
  <w:style w:type="paragraph" w:customStyle="1" w:styleId="381">
    <w:name w:val="Char Char4"/>
    <w:basedOn w:val="1"/>
    <w:qFormat/>
    <w:uiPriority w:val="0"/>
    <w:pPr>
      <w:widowControl/>
      <w:spacing w:line="400" w:lineRule="exact"/>
      <w:jc w:val="center"/>
    </w:pPr>
  </w:style>
  <w:style w:type="paragraph" w:customStyle="1" w:styleId="382">
    <w:name w:val="Char3 Char Char Char1"/>
    <w:basedOn w:val="1"/>
    <w:qFormat/>
    <w:uiPriority w:val="0"/>
    <w:rPr>
      <w:rFonts w:ascii="Tahoma" w:hAnsi="Tahoma"/>
      <w:sz w:val="24"/>
      <w:szCs w:val="20"/>
    </w:rPr>
  </w:style>
  <w:style w:type="paragraph" w:customStyle="1" w:styleId="383">
    <w:name w:val="无间隔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84">
    <w:name w:val="22222222222222"/>
    <w:basedOn w:val="1"/>
    <w:qFormat/>
    <w:uiPriority w:val="0"/>
    <w:pPr>
      <w:widowControl/>
      <w:spacing w:line="360" w:lineRule="auto"/>
      <w:ind w:firstLine="480"/>
      <w:jc w:val="left"/>
    </w:pPr>
    <w:rPr>
      <w:color w:val="FF0000"/>
      <w:sz w:val="24"/>
      <w:szCs w:val="20"/>
    </w:rPr>
  </w:style>
  <w:style w:type="character" w:customStyle="1" w:styleId="385">
    <w:name w:val="中等深浅网格 1 - 强调文字颜色 2 Char"/>
    <w:link w:val="386"/>
    <w:qFormat/>
    <w:uiPriority w:val="0"/>
    <w:rPr>
      <w:sz w:val="21"/>
      <w:szCs w:val="24"/>
      <w:lang w:val="zh-CN" w:eastAsia="zh-CN" w:bidi="ar-SA"/>
    </w:rPr>
  </w:style>
  <w:style w:type="paragraph" w:customStyle="1" w:styleId="386">
    <w:name w:val="1"/>
    <w:link w:val="385"/>
    <w:qFormat/>
    <w:uiPriority w:val="0"/>
    <w:rPr>
      <w:rFonts w:ascii="Times New Roman" w:hAnsi="Times New Roman" w:eastAsia="宋体" w:cs="Times New Roman"/>
      <w:sz w:val="21"/>
      <w:szCs w:val="24"/>
      <w:lang w:val="zh-CN" w:eastAsia="zh-CN" w:bidi="ar-SA"/>
    </w:rPr>
  </w:style>
  <w:style w:type="paragraph" w:customStyle="1" w:styleId="387">
    <w:name w:val="图文"/>
    <w:basedOn w:val="1"/>
    <w:qFormat/>
    <w:uiPriority w:val="0"/>
    <w:pPr>
      <w:spacing w:after="50" w:line="360" w:lineRule="auto"/>
    </w:pPr>
    <w:rPr>
      <w:sz w:val="24"/>
    </w:rPr>
  </w:style>
  <w:style w:type="paragraph" w:customStyle="1" w:styleId="388">
    <w:name w:val="xl23"/>
    <w:basedOn w:val="1"/>
    <w:qFormat/>
    <w:uiPriority w:val="0"/>
    <w:pPr>
      <w:widowControl/>
      <w:spacing w:before="100" w:beforeAutospacing="1" w:after="100" w:afterAutospacing="1" w:line="360" w:lineRule="auto"/>
    </w:pPr>
    <w:rPr>
      <w:sz w:val="24"/>
      <w:szCs w:val="20"/>
    </w:rPr>
  </w:style>
  <w:style w:type="paragraph" w:customStyle="1" w:styleId="389">
    <w:name w:val="正文表格"/>
    <w:basedOn w:val="1"/>
    <w:link w:val="390"/>
    <w:qFormat/>
    <w:uiPriority w:val="0"/>
    <w:pPr>
      <w:jc w:val="left"/>
    </w:pPr>
    <w:rPr>
      <w:rFonts w:ascii="宋体" w:hAnsi="宋体"/>
      <w:color w:val="000000"/>
      <w:szCs w:val="21"/>
    </w:rPr>
  </w:style>
  <w:style w:type="character" w:customStyle="1" w:styleId="390">
    <w:name w:val="正文表格 Char"/>
    <w:link w:val="389"/>
    <w:qFormat/>
    <w:uiPriority w:val="0"/>
    <w:rPr>
      <w:rFonts w:ascii="宋体" w:hAnsi="宋体"/>
      <w:color w:val="000000"/>
      <w:sz w:val="21"/>
      <w:szCs w:val="21"/>
    </w:rPr>
  </w:style>
  <w:style w:type="paragraph" w:customStyle="1" w:styleId="391">
    <w:name w:val="正文重点"/>
    <w:basedOn w:val="1"/>
    <w:link w:val="392"/>
    <w:qFormat/>
    <w:uiPriority w:val="0"/>
    <w:pPr>
      <w:spacing w:line="360" w:lineRule="auto"/>
      <w:ind w:firstLine="482"/>
      <w:jc w:val="left"/>
    </w:pPr>
    <w:rPr>
      <w:b/>
      <w:sz w:val="24"/>
      <w:szCs w:val="20"/>
    </w:rPr>
  </w:style>
  <w:style w:type="character" w:customStyle="1" w:styleId="392">
    <w:name w:val="正文重点 Char"/>
    <w:link w:val="391"/>
    <w:qFormat/>
    <w:uiPriority w:val="0"/>
    <w:rPr>
      <w:b/>
      <w:sz w:val="24"/>
    </w:rPr>
  </w:style>
  <w:style w:type="paragraph" w:customStyle="1" w:styleId="393">
    <w:name w:val="标题1-附件"/>
    <w:basedOn w:val="193"/>
    <w:qFormat/>
    <w:uiPriority w:val="0"/>
    <w:pPr>
      <w:jc w:val="left"/>
    </w:pPr>
    <w:rPr>
      <w:sz w:val="24"/>
      <w:szCs w:val="24"/>
    </w:rPr>
  </w:style>
  <w:style w:type="paragraph" w:customStyle="1" w:styleId="394">
    <w:name w:val="正文小标题"/>
    <w:basedOn w:val="1"/>
    <w:next w:val="195"/>
    <w:link w:val="395"/>
    <w:qFormat/>
    <w:uiPriority w:val="0"/>
    <w:pPr>
      <w:spacing w:before="312" w:after="312"/>
      <w:ind w:firstLine="482"/>
      <w:jc w:val="left"/>
    </w:pPr>
    <w:rPr>
      <w:rFonts w:ascii="宋体" w:hAnsi="宋体"/>
      <w:b/>
      <w:i/>
      <w:color w:val="FF0000"/>
      <w:sz w:val="24"/>
      <w:szCs w:val="20"/>
    </w:rPr>
  </w:style>
  <w:style w:type="character" w:customStyle="1" w:styleId="395">
    <w:name w:val="正文小标题 Char"/>
    <w:link w:val="394"/>
    <w:qFormat/>
    <w:uiPriority w:val="0"/>
    <w:rPr>
      <w:rFonts w:ascii="宋体" w:hAnsi="宋体"/>
      <w:b/>
      <w:i/>
      <w:color w:val="FF0000"/>
      <w:sz w:val="24"/>
    </w:rPr>
  </w:style>
  <w:style w:type="paragraph" w:customStyle="1" w:styleId="396">
    <w:name w:val="正文大标题"/>
    <w:basedOn w:val="394"/>
    <w:next w:val="195"/>
    <w:link w:val="397"/>
    <w:qFormat/>
    <w:uiPriority w:val="0"/>
    <w:pPr>
      <w:jc w:val="center"/>
    </w:pPr>
    <w:rPr>
      <w:i w:val="0"/>
      <w:color w:val="000000"/>
      <w:sz w:val="28"/>
      <w:szCs w:val="21"/>
    </w:rPr>
  </w:style>
  <w:style w:type="character" w:customStyle="1" w:styleId="397">
    <w:name w:val="正文大标题 Char"/>
    <w:link w:val="396"/>
    <w:qFormat/>
    <w:uiPriority w:val="0"/>
    <w:rPr>
      <w:rFonts w:ascii="宋体" w:hAnsi="宋体"/>
      <w:b/>
      <w:color w:val="000000"/>
      <w:sz w:val="28"/>
      <w:szCs w:val="21"/>
    </w:rPr>
  </w:style>
  <w:style w:type="paragraph" w:customStyle="1" w:styleId="398">
    <w:name w:val="注释"/>
    <w:basedOn w:val="1"/>
    <w:link w:val="399"/>
    <w:qFormat/>
    <w:uiPriority w:val="0"/>
    <w:pPr>
      <w:ind w:left="420" w:hanging="420"/>
      <w:jc w:val="left"/>
    </w:pPr>
    <w:rPr>
      <w:rFonts w:ascii="宋体" w:hAnsi="宋体"/>
      <w:szCs w:val="21"/>
    </w:rPr>
  </w:style>
  <w:style w:type="character" w:customStyle="1" w:styleId="399">
    <w:name w:val="注释 Char"/>
    <w:link w:val="398"/>
    <w:autoRedefine/>
    <w:qFormat/>
    <w:uiPriority w:val="0"/>
    <w:rPr>
      <w:rFonts w:ascii="宋体" w:hAnsi="宋体"/>
      <w:sz w:val="21"/>
      <w:szCs w:val="21"/>
    </w:rPr>
  </w:style>
  <w:style w:type="paragraph" w:customStyle="1" w:styleId="400">
    <w:name w:val="正文须知-1级"/>
    <w:basedOn w:val="1"/>
    <w:next w:val="1"/>
    <w:autoRedefine/>
    <w:qFormat/>
    <w:uiPriority w:val="0"/>
    <w:pPr>
      <w:numPr>
        <w:ilvl w:val="0"/>
        <w:numId w:val="7"/>
      </w:numPr>
      <w:spacing w:line="300" w:lineRule="auto"/>
    </w:pPr>
    <w:rPr>
      <w:rFonts w:ascii="宋体" w:hAnsi="Calibri"/>
      <w:sz w:val="24"/>
      <w:szCs w:val="21"/>
    </w:rPr>
  </w:style>
  <w:style w:type="paragraph" w:customStyle="1" w:styleId="401">
    <w:name w:val="正文须知-2级"/>
    <w:basedOn w:val="1"/>
    <w:autoRedefine/>
    <w:qFormat/>
    <w:uiPriority w:val="0"/>
    <w:pPr>
      <w:numPr>
        <w:ilvl w:val="1"/>
        <w:numId w:val="7"/>
      </w:numPr>
      <w:spacing w:line="300" w:lineRule="auto"/>
    </w:pPr>
    <w:rPr>
      <w:rFonts w:ascii="宋体" w:hAnsi="Calibri"/>
      <w:sz w:val="24"/>
      <w:szCs w:val="21"/>
    </w:rPr>
  </w:style>
  <w:style w:type="paragraph" w:customStyle="1" w:styleId="402">
    <w:name w:val="正文须知-3级"/>
    <w:basedOn w:val="1"/>
    <w:autoRedefine/>
    <w:qFormat/>
    <w:uiPriority w:val="0"/>
    <w:pPr>
      <w:numPr>
        <w:ilvl w:val="2"/>
        <w:numId w:val="7"/>
      </w:numPr>
      <w:spacing w:line="300" w:lineRule="auto"/>
      <w:ind w:hanging="355"/>
    </w:pPr>
    <w:rPr>
      <w:rFonts w:ascii="宋体" w:hAnsi="Calibri"/>
      <w:sz w:val="24"/>
      <w:szCs w:val="21"/>
    </w:rPr>
  </w:style>
  <w:style w:type="character" w:customStyle="1" w:styleId="403">
    <w:name w:val="纯文本 字符"/>
    <w:autoRedefine/>
    <w:qFormat/>
    <w:uiPriority w:val="99"/>
    <w:rPr>
      <w:rFonts w:ascii="宋体" w:hAnsi="Courier New" w:eastAsia="宋体" w:cs="Times New Roman"/>
      <w:sz w:val="21"/>
      <w:szCs w:val="21"/>
      <w:lang w:val="en-US" w:eastAsia="zh-CN" w:bidi="ar-SA"/>
    </w:rPr>
  </w:style>
  <w:style w:type="paragraph" w:customStyle="1" w:styleId="404">
    <w:name w:val="表格1"/>
    <w:basedOn w:val="1"/>
    <w:autoRedefine/>
    <w:qFormat/>
    <w:uiPriority w:val="0"/>
    <w:pPr>
      <w:ind w:firstLine="480"/>
      <w:jc w:val="center"/>
    </w:pPr>
    <w:rPr>
      <w:sz w:val="24"/>
      <w:szCs w:val="20"/>
    </w:rPr>
  </w:style>
  <w:style w:type="character" w:customStyle="1" w:styleId="405">
    <w:name w:val="纯文本 字符1"/>
    <w:autoRedefine/>
    <w:qFormat/>
    <w:uiPriority w:val="0"/>
    <w:rPr>
      <w:rFonts w:ascii="宋体" w:hAnsi="Courier New"/>
    </w:rPr>
  </w:style>
  <w:style w:type="character" w:customStyle="1" w:styleId="406">
    <w:name w:val="bjh-p"/>
    <w:autoRedefine/>
    <w:qFormat/>
    <w:uiPriority w:val="0"/>
  </w:style>
  <w:style w:type="paragraph" w:customStyle="1" w:styleId="407">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408">
    <w:name w:val="正文格式 Char"/>
    <w:link w:val="409"/>
    <w:autoRedefine/>
    <w:qFormat/>
    <w:uiPriority w:val="0"/>
    <w:rPr>
      <w:rFonts w:ascii="宋体" w:hAnsi="宋体"/>
      <w:sz w:val="24"/>
      <w:szCs w:val="24"/>
      <w:lang w:val="en-GB"/>
    </w:rPr>
  </w:style>
  <w:style w:type="paragraph" w:customStyle="1" w:styleId="409">
    <w:name w:val="正文格式"/>
    <w:basedOn w:val="1"/>
    <w:link w:val="408"/>
    <w:autoRedefine/>
    <w:qFormat/>
    <w:uiPriority w:val="0"/>
    <w:pPr>
      <w:spacing w:line="360" w:lineRule="auto"/>
      <w:ind w:firstLine="480"/>
    </w:pPr>
    <w:rPr>
      <w:rFonts w:ascii="宋体" w:hAnsi="宋体"/>
      <w:sz w:val="24"/>
      <w:lang w:val="en-GB"/>
    </w:rPr>
  </w:style>
  <w:style w:type="character" w:customStyle="1" w:styleId="410">
    <w:name w:val="标题 3 Char"/>
    <w:qFormat/>
    <w:uiPriority w:val="0"/>
    <w:rPr>
      <w:rFonts w:ascii="宋体" w:eastAsia="宋体"/>
      <w:b/>
      <w:sz w:val="24"/>
      <w:u w:val="single"/>
      <w:lang w:val="en-US" w:eastAsia="zh-CN" w:bidi="ar-SA"/>
    </w:rPr>
  </w:style>
  <w:style w:type="character" w:customStyle="1" w:styleId="411">
    <w:name w:val="正文缩进 Char"/>
    <w:autoRedefine/>
    <w:qFormat/>
    <w:uiPriority w:val="0"/>
    <w:rPr>
      <w:rFonts w:ascii="宋体" w:eastAsia="宋体"/>
      <w:sz w:val="24"/>
      <w:szCs w:val="24"/>
      <w:lang w:val="en-US" w:eastAsia="zh-CN" w:bidi="ar-SA"/>
    </w:rPr>
  </w:style>
  <w:style w:type="character" w:customStyle="1" w:styleId="412">
    <w:name w:val="Char Char111"/>
    <w:autoRedefine/>
    <w:qFormat/>
    <w:uiPriority w:val="0"/>
    <w:rPr>
      <w:rFonts w:ascii="宋体" w:eastAsia="宋体"/>
      <w:b/>
      <w:sz w:val="24"/>
      <w:u w:val="single"/>
      <w:lang w:val="en-US" w:eastAsia="zh-CN" w:bidi="ar-SA"/>
    </w:rPr>
  </w:style>
  <w:style w:type="character" w:customStyle="1" w:styleId="413">
    <w:name w:val="正文文本缩进 Char"/>
    <w:qFormat/>
    <w:uiPriority w:val="0"/>
    <w:rPr>
      <w:rFonts w:eastAsia="宋体"/>
      <w:sz w:val="24"/>
      <w:szCs w:val="24"/>
      <w:lang w:val="en-US" w:eastAsia="zh-CN" w:bidi="ar-SA"/>
    </w:rPr>
  </w:style>
  <w:style w:type="character" w:customStyle="1" w:styleId="414">
    <w:name w:val="列出段落 Char"/>
    <w:qFormat/>
    <w:uiPriority w:val="0"/>
    <w:rPr>
      <w:rFonts w:ascii="Calibri" w:hAnsi="Calibri" w:eastAsia="宋体"/>
      <w:sz w:val="21"/>
      <w:szCs w:val="22"/>
      <w:lang w:val="en-US" w:eastAsia="zh-CN" w:bidi="ar-SA"/>
    </w:rPr>
  </w:style>
  <w:style w:type="character" w:customStyle="1" w:styleId="415">
    <w:name w:val="页眉 Char"/>
    <w:qFormat/>
    <w:uiPriority w:val="99"/>
    <w:rPr>
      <w:rFonts w:eastAsia="宋体"/>
      <w:sz w:val="18"/>
      <w:szCs w:val="18"/>
      <w:lang w:val="en-US" w:eastAsia="zh-CN" w:bidi="ar-SA"/>
    </w:rPr>
  </w:style>
  <w:style w:type="character" w:customStyle="1" w:styleId="416">
    <w:name w:val="标题 2 Char"/>
    <w:autoRedefine/>
    <w:qFormat/>
    <w:uiPriority w:val="0"/>
    <w:rPr>
      <w:rFonts w:ascii="Arial" w:hAnsi="Arial" w:eastAsia="黑体"/>
      <w:b/>
      <w:sz w:val="30"/>
      <w:lang w:val="en-US" w:eastAsia="zh-CN" w:bidi="ar-SA"/>
    </w:rPr>
  </w:style>
  <w:style w:type="paragraph" w:customStyle="1" w:styleId="417">
    <w:name w:val="字元 字元2"/>
    <w:basedOn w:val="1"/>
    <w:autoRedefine/>
    <w:qFormat/>
    <w:uiPriority w:val="0"/>
    <w:rPr>
      <w:rFonts w:ascii="Tahoma" w:hAnsi="Tahoma"/>
      <w:sz w:val="24"/>
      <w:szCs w:val="20"/>
    </w:rPr>
  </w:style>
  <w:style w:type="paragraph" w:customStyle="1" w:styleId="418">
    <w:name w:val="Char3 Char Char Char2"/>
    <w:basedOn w:val="1"/>
    <w:qFormat/>
    <w:uiPriority w:val="0"/>
    <w:rPr>
      <w:rFonts w:ascii="Tahoma" w:hAnsi="Tahoma"/>
      <w:sz w:val="24"/>
      <w:szCs w:val="20"/>
    </w:rPr>
  </w:style>
  <w:style w:type="paragraph" w:customStyle="1" w:styleId="419">
    <w:name w:val="正文文本缩进2"/>
    <w:basedOn w:val="1"/>
    <w:autoRedefine/>
    <w:qFormat/>
    <w:uiPriority w:val="0"/>
    <w:pPr>
      <w:spacing w:line="480" w:lineRule="exact"/>
      <w:ind w:firstLine="480"/>
    </w:pPr>
    <w:rPr>
      <w:rFonts w:ascii="宋体" w:hAnsi="宋体"/>
      <w:sz w:val="24"/>
      <w:lang w:val="zh-CN"/>
    </w:rPr>
  </w:style>
  <w:style w:type="paragraph" w:customStyle="1" w:styleId="420">
    <w:name w:val="Char3"/>
    <w:basedOn w:val="1"/>
    <w:autoRedefine/>
    <w:qFormat/>
    <w:uiPriority w:val="0"/>
    <w:pPr>
      <w:tabs>
        <w:tab w:val="left" w:pos="360"/>
      </w:tabs>
    </w:pPr>
    <w:rPr>
      <w:sz w:val="24"/>
    </w:rPr>
  </w:style>
  <w:style w:type="paragraph" w:customStyle="1" w:styleId="421">
    <w:name w:val="Char Char Char Char Char Char Char Char Char Char Char Char Char Char Char Char1"/>
    <w:basedOn w:val="1"/>
    <w:autoRedefine/>
    <w:qFormat/>
    <w:uiPriority w:val="0"/>
    <w:pPr>
      <w:widowControl/>
      <w:spacing w:after="160" w:line="240" w:lineRule="exact"/>
      <w:jc w:val="center"/>
    </w:pPr>
    <w:rPr>
      <w:rFonts w:ascii="宋体" w:hAnsi="宋体"/>
      <w:b/>
      <w:sz w:val="30"/>
      <w:szCs w:val="30"/>
      <w:lang w:eastAsia="en-US"/>
    </w:rPr>
  </w:style>
  <w:style w:type="paragraph" w:customStyle="1" w:styleId="422">
    <w:name w:val="Char Char1 Char Char Char Char Char Char1"/>
    <w:basedOn w:val="1"/>
    <w:autoRedefine/>
    <w:qFormat/>
    <w:uiPriority w:val="0"/>
    <w:pPr>
      <w:widowControl/>
      <w:spacing w:after="160" w:line="240" w:lineRule="exact"/>
      <w:jc w:val="left"/>
    </w:pPr>
    <w:rPr>
      <w:rFonts w:ascii="Verdana" w:hAnsi="Verdana" w:eastAsia="仿宋_GB2312"/>
      <w:sz w:val="24"/>
      <w:szCs w:val="20"/>
      <w:lang w:eastAsia="en-US"/>
    </w:rPr>
  </w:style>
  <w:style w:type="paragraph" w:customStyle="1" w:styleId="423">
    <w:name w:val="列出段落2"/>
    <w:basedOn w:val="1"/>
    <w:autoRedefine/>
    <w:qFormat/>
    <w:uiPriority w:val="34"/>
    <w:pPr>
      <w:ind w:firstLine="420"/>
    </w:pPr>
    <w:rPr>
      <w:rFonts w:ascii="Calibri" w:hAnsi="Calibri"/>
      <w:szCs w:val="22"/>
    </w:rPr>
  </w:style>
  <w:style w:type="paragraph" w:customStyle="1" w:styleId="424">
    <w:name w:val="Char Char Char1 Char2"/>
    <w:basedOn w:val="1"/>
    <w:autoRedefine/>
    <w:qFormat/>
    <w:uiPriority w:val="0"/>
    <w:rPr>
      <w:rFonts w:ascii="Tahoma" w:hAnsi="Tahoma"/>
      <w:sz w:val="24"/>
      <w:szCs w:val="20"/>
    </w:rPr>
  </w:style>
  <w:style w:type="paragraph" w:customStyle="1" w:styleId="425">
    <w:name w:val="Char Char Char2"/>
    <w:basedOn w:val="1"/>
    <w:qFormat/>
    <w:uiPriority w:val="0"/>
    <w:rPr>
      <w:rFonts w:ascii="Tahoma" w:hAnsi="Tahoma"/>
      <w:sz w:val="24"/>
      <w:szCs w:val="20"/>
    </w:rPr>
  </w:style>
  <w:style w:type="paragraph" w:customStyle="1" w:styleId="426">
    <w:name w:val="Char Char Char Char Char Char Char2"/>
    <w:basedOn w:val="1"/>
    <w:autoRedefine/>
    <w:qFormat/>
    <w:uiPriority w:val="0"/>
    <w:pPr>
      <w:spacing w:line="360" w:lineRule="auto"/>
      <w:ind w:firstLine="200"/>
    </w:pPr>
    <w:rPr>
      <w:rFonts w:eastAsia="仿宋_GB2312"/>
      <w:sz w:val="24"/>
    </w:rPr>
  </w:style>
  <w:style w:type="paragraph" w:customStyle="1" w:styleId="427">
    <w:name w:val="正文缩进2"/>
    <w:basedOn w:val="1"/>
    <w:autoRedefine/>
    <w:qFormat/>
    <w:uiPriority w:val="0"/>
    <w:pPr>
      <w:widowControl/>
      <w:spacing w:line="480" w:lineRule="exact"/>
      <w:ind w:firstLine="567"/>
    </w:pPr>
    <w:rPr>
      <w:rFonts w:ascii="宋体"/>
      <w:color w:val="000000"/>
      <w:sz w:val="28"/>
      <w:szCs w:val="20"/>
      <w:lang w:val="zh-CN"/>
    </w:rPr>
  </w:style>
  <w:style w:type="paragraph" w:customStyle="1" w:styleId="428">
    <w:name w:val="修订1"/>
    <w:qFormat/>
    <w:uiPriority w:val="0"/>
    <w:rPr>
      <w:rFonts w:ascii="Times New Roman" w:hAnsi="Times New Roman" w:eastAsia="宋体" w:cs="Times New Roman"/>
      <w:sz w:val="21"/>
      <w:szCs w:val="24"/>
      <w:lang w:val="en-US" w:eastAsia="zh-CN" w:bidi="ar-SA"/>
    </w:rPr>
  </w:style>
  <w:style w:type="paragraph" w:customStyle="1" w:styleId="429">
    <w:name w:val="Char22"/>
    <w:basedOn w:val="1"/>
    <w:autoRedefine/>
    <w:qFormat/>
    <w:uiPriority w:val="0"/>
    <w:rPr>
      <w:rFonts w:ascii="Tahoma" w:hAnsi="Tahoma"/>
      <w:sz w:val="24"/>
      <w:szCs w:val="20"/>
    </w:rPr>
  </w:style>
  <w:style w:type="paragraph" w:customStyle="1" w:styleId="430">
    <w:name w:val="Char Char Char Char Char Char Char Char Char Char2"/>
    <w:basedOn w:val="1"/>
    <w:autoRedefine/>
    <w:qFormat/>
    <w:uiPriority w:val="0"/>
    <w:rPr>
      <w:rFonts w:ascii="宋体" w:hAnsi="宋体" w:cs="Courier New"/>
      <w:sz w:val="32"/>
      <w:szCs w:val="32"/>
    </w:rPr>
  </w:style>
  <w:style w:type="paragraph" w:customStyle="1" w:styleId="431">
    <w:name w:val="Char2 Char Char Char Char Char Char1"/>
    <w:basedOn w:val="1"/>
    <w:autoRedefine/>
    <w:qFormat/>
    <w:uiPriority w:val="0"/>
    <w:pPr>
      <w:widowControl/>
      <w:spacing w:line="400" w:lineRule="exact"/>
      <w:jc w:val="center"/>
    </w:pPr>
  </w:style>
  <w:style w:type="character" w:customStyle="1" w:styleId="432">
    <w:name w:val="页脚 Char"/>
    <w:autoRedefine/>
    <w:qFormat/>
    <w:uiPriority w:val="99"/>
    <w:rPr>
      <w:rFonts w:ascii="宋体" w:eastAsia="宋体"/>
      <w:sz w:val="18"/>
      <w:lang w:val="en-US" w:eastAsia="zh-CN" w:bidi="ar-SA"/>
    </w:rPr>
  </w:style>
  <w:style w:type="paragraph" w:customStyle="1" w:styleId="433">
    <w:name w:val="Char Char41"/>
    <w:basedOn w:val="1"/>
    <w:autoRedefine/>
    <w:qFormat/>
    <w:uiPriority w:val="0"/>
    <w:pPr>
      <w:widowControl/>
      <w:spacing w:line="400" w:lineRule="exact"/>
      <w:jc w:val="center"/>
    </w:pPr>
  </w:style>
  <w:style w:type="character" w:customStyle="1" w:styleId="434">
    <w:name w:val="批注文字 Char"/>
    <w:autoRedefine/>
    <w:qFormat/>
    <w:uiPriority w:val="99"/>
    <w:rPr>
      <w:sz w:val="21"/>
      <w:szCs w:val="24"/>
    </w:rPr>
  </w:style>
  <w:style w:type="character" w:customStyle="1" w:styleId="435">
    <w:name w:val="标题 Char"/>
    <w:autoRedefine/>
    <w:qFormat/>
    <w:uiPriority w:val="0"/>
    <w:rPr>
      <w:b/>
      <w:sz w:val="32"/>
    </w:rPr>
  </w:style>
  <w:style w:type="paragraph" w:customStyle="1" w:styleId="436">
    <w:name w:val="图例"/>
    <w:basedOn w:val="1"/>
    <w:autoRedefine/>
    <w:qFormat/>
    <w:uiPriority w:val="0"/>
    <w:pPr>
      <w:spacing w:before="120" w:after="120" w:line="360" w:lineRule="auto"/>
      <w:jc w:val="center"/>
    </w:pPr>
    <w:rPr>
      <w:rFonts w:eastAsia="仿宋_GB2312"/>
      <w:b/>
      <w:sz w:val="24"/>
      <w:szCs w:val="20"/>
    </w:rPr>
  </w:style>
  <w:style w:type="table" w:customStyle="1" w:styleId="437">
    <w:name w:val="Table Normal"/>
    <w:autoRedefine/>
    <w:unhideWhenUsed/>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paragraph" w:customStyle="1" w:styleId="438">
    <w:name w:val="Table Paragraph"/>
    <w:basedOn w:val="1"/>
    <w:autoRedefine/>
    <w:qFormat/>
    <w:uiPriority w:val="1"/>
    <w:pPr>
      <w:jc w:val="left"/>
    </w:pPr>
    <w:rPr>
      <w:rFonts w:ascii="宋体" w:hAnsi="宋体" w:cs="宋体"/>
      <w:sz w:val="22"/>
      <w:szCs w:val="22"/>
      <w:lang w:eastAsia="en-US"/>
    </w:rPr>
  </w:style>
  <w:style w:type="paragraph" w:customStyle="1" w:styleId="439">
    <w:name w:val="成文日期"/>
    <w:basedOn w:val="1"/>
    <w:link w:val="440"/>
    <w:autoRedefine/>
    <w:qFormat/>
    <w:uiPriority w:val="0"/>
    <w:pPr>
      <w:spacing w:line="570" w:lineRule="exact"/>
      <w:ind w:right="400" w:firstLine="200"/>
      <w:jc w:val="right"/>
    </w:pPr>
    <w:rPr>
      <w:rFonts w:ascii="仿宋_GB2312" w:eastAsia="仿宋_GB2312"/>
      <w:sz w:val="32"/>
      <w:szCs w:val="20"/>
    </w:rPr>
  </w:style>
  <w:style w:type="character" w:customStyle="1" w:styleId="440">
    <w:name w:val="成文日期 Char"/>
    <w:link w:val="439"/>
    <w:autoRedefine/>
    <w:qFormat/>
    <w:uiPriority w:val="0"/>
    <w:rPr>
      <w:rFonts w:ascii="仿宋_GB2312" w:eastAsia="仿宋_GB2312"/>
      <w:sz w:val="32"/>
    </w:rPr>
  </w:style>
  <w:style w:type="paragraph" w:customStyle="1" w:styleId="441">
    <w:name w:val="修订2"/>
    <w:unhideWhenUsed/>
    <w:qFormat/>
    <w:uiPriority w:val="99"/>
    <w:rPr>
      <w:rFonts w:ascii="Times New Roman" w:hAnsi="Times New Roman" w:eastAsia="宋体" w:cs="Times New Roman"/>
      <w:sz w:val="21"/>
      <w:szCs w:val="24"/>
      <w:lang w:val="en-US" w:eastAsia="zh-CN" w:bidi="ar-SA"/>
    </w:rPr>
  </w:style>
  <w:style w:type="paragraph" w:customStyle="1" w:styleId="442">
    <w:name w:val="段"/>
    <w:next w:val="1"/>
    <w:autoRedefine/>
    <w:qFormat/>
    <w:uiPriority w:val="0"/>
    <w:pPr>
      <w:spacing w:line="360" w:lineRule="auto"/>
      <w:ind w:firstLine="200"/>
      <w:jc w:val="both"/>
    </w:pPr>
    <w:rPr>
      <w:rFonts w:ascii="宋体" w:hAnsi="Times New Roman" w:eastAsia="宋体" w:cs="Times New Roman"/>
      <w:sz w:val="24"/>
      <w:szCs w:val="22"/>
      <w:lang w:val="en-US" w:eastAsia="zh-CN" w:bidi="ar-SA"/>
    </w:rPr>
  </w:style>
  <w:style w:type="character" w:customStyle="1" w:styleId="443">
    <w:name w:val="普通(网站) Char"/>
    <w:link w:val="253"/>
    <w:qFormat/>
    <w:uiPriority w:val="99"/>
    <w:rPr>
      <w:rFonts w:ascii="宋体" w:hAnsi="宋体" w:cs="宋体"/>
      <w:sz w:val="24"/>
      <w:szCs w:val="24"/>
    </w:rPr>
  </w:style>
  <w:style w:type="paragraph" w:customStyle="1" w:styleId="444">
    <w:name w:val="表号"/>
    <w:basedOn w:val="1"/>
    <w:link w:val="446"/>
    <w:autoRedefine/>
    <w:qFormat/>
    <w:uiPriority w:val="0"/>
    <w:pPr>
      <w:widowControl/>
      <w:numPr>
        <w:ilvl w:val="0"/>
        <w:numId w:val="8"/>
      </w:numPr>
      <w:spacing w:line="360" w:lineRule="auto"/>
      <w:jc w:val="center"/>
    </w:pPr>
    <w:rPr>
      <w:sz w:val="24"/>
      <w:szCs w:val="20"/>
    </w:rPr>
  </w:style>
  <w:style w:type="character" w:customStyle="1" w:styleId="445">
    <w:name w:val="正文格式 Char1"/>
    <w:autoRedefine/>
    <w:qFormat/>
    <w:uiPriority w:val="0"/>
    <w:rPr>
      <w:rFonts w:eastAsia="宋体"/>
      <w:sz w:val="24"/>
      <w:lang w:val="en-US" w:eastAsia="zh-CN" w:bidi="ar-SA"/>
    </w:rPr>
  </w:style>
  <w:style w:type="character" w:customStyle="1" w:styleId="446">
    <w:name w:val="表号 Char Char"/>
    <w:link w:val="444"/>
    <w:autoRedefine/>
    <w:qFormat/>
    <w:uiPriority w:val="0"/>
    <w:rPr>
      <w:sz w:val="24"/>
    </w:rPr>
  </w:style>
  <w:style w:type="paragraph" w:customStyle="1" w:styleId="447">
    <w:name w:val="并列项-点"/>
    <w:basedOn w:val="1"/>
    <w:link w:val="448"/>
    <w:autoRedefine/>
    <w:qFormat/>
    <w:uiPriority w:val="0"/>
    <w:pPr>
      <w:widowControl/>
      <w:numPr>
        <w:ilvl w:val="0"/>
        <w:numId w:val="9"/>
      </w:numPr>
      <w:tabs>
        <w:tab w:val="left" w:pos="851"/>
      </w:tabs>
      <w:spacing w:line="360" w:lineRule="auto"/>
    </w:pPr>
    <w:rPr>
      <w:sz w:val="24"/>
      <w:szCs w:val="20"/>
    </w:rPr>
  </w:style>
  <w:style w:type="character" w:customStyle="1" w:styleId="448">
    <w:name w:val="并列项-点 Char"/>
    <w:link w:val="447"/>
    <w:qFormat/>
    <w:uiPriority w:val="0"/>
    <w:rPr>
      <w:sz w:val="24"/>
    </w:rPr>
  </w:style>
  <w:style w:type="paragraph" w:customStyle="1" w:styleId="449">
    <w:name w:val="正文首行缩进1"/>
    <w:basedOn w:val="205"/>
    <w:link w:val="450"/>
    <w:autoRedefine/>
    <w:qFormat/>
    <w:uiPriority w:val="0"/>
    <w:pPr>
      <w:tabs>
        <w:tab w:val="clear" w:pos="567"/>
      </w:tabs>
      <w:spacing w:before="0" w:after="120" w:line="240" w:lineRule="auto"/>
      <w:ind w:firstLine="420"/>
    </w:pPr>
    <w:rPr>
      <w:rFonts w:ascii="Times New Roman" w:hAnsi="Times New Roman"/>
      <w:sz w:val="21"/>
    </w:rPr>
  </w:style>
  <w:style w:type="character" w:customStyle="1" w:styleId="450">
    <w:name w:val="正文首行缩进 Char"/>
    <w:link w:val="449"/>
    <w:qFormat/>
    <w:uiPriority w:val="0"/>
    <w:rPr>
      <w:rFonts w:ascii="宋体" w:hAnsi="宋体"/>
      <w:sz w:val="21"/>
      <w:szCs w:val="24"/>
    </w:rPr>
  </w:style>
  <w:style w:type="paragraph" w:customStyle="1" w:styleId="451">
    <w:name w:val="普通(网站)1"/>
    <w:basedOn w:val="1"/>
    <w:qFormat/>
    <w:uiPriority w:val="99"/>
    <w:pPr>
      <w:widowControl/>
      <w:spacing w:before="100" w:beforeAutospacing="1" w:after="100" w:afterAutospacing="1"/>
      <w:jc w:val="left"/>
    </w:pPr>
    <w:rPr>
      <w:rFonts w:ascii="宋体" w:hAnsi="宋体" w:cs="宋体"/>
      <w:sz w:val="24"/>
    </w:rPr>
  </w:style>
  <w:style w:type="character" w:customStyle="1" w:styleId="452">
    <w:name w:val="15"/>
    <w:autoRedefine/>
    <w:qFormat/>
    <w:uiPriority w:val="0"/>
    <w:rPr>
      <w:rFonts w:ascii="Calibri" w:hAnsi="Calibri" w:eastAsia="宋体" w:cs="Times New Roman"/>
      <w:sz w:val="21"/>
      <w:szCs w:val="22"/>
      <w:lang w:val="en-US" w:eastAsia="zh-CN" w:bidi="ar-SA"/>
    </w:rPr>
  </w:style>
  <w:style w:type="paragraph" w:customStyle="1" w:styleId="453">
    <w:name w:val="AONormal"/>
    <w:autoRedefine/>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454">
    <w:name w:val="null3"/>
    <w:qFormat/>
    <w:uiPriority w:val="0"/>
    <w:rPr>
      <w:rFonts w:ascii="Calibri" w:hAnsi="Calibri" w:eastAsia="宋体" w:cs="Times New Roman"/>
      <w:lang w:val="en-US" w:eastAsia="zh-CN" w:bidi="ar-SA"/>
    </w:rPr>
  </w:style>
  <w:style w:type="paragraph" w:customStyle="1" w:styleId="455">
    <w:name w:val="标题3"/>
    <w:basedOn w:val="1"/>
    <w:next w:val="1"/>
    <w:qFormat/>
    <w:uiPriority w:val="0"/>
    <w:pPr>
      <w:spacing w:line="590" w:lineRule="atLeast"/>
      <w:ind w:firstLine="624"/>
    </w:pPr>
    <w:rPr>
      <w:rFonts w:ascii="方正黑体_GBK" w:eastAsia="方正黑体_GBK"/>
      <w:sz w:val="32"/>
      <w:szCs w:val="32"/>
    </w:rPr>
  </w:style>
  <w:style w:type="paragraph" w:customStyle="1" w:styleId="456">
    <w:name w:val="p0"/>
    <w:basedOn w:val="1"/>
    <w:autoRedefine/>
    <w:qFormat/>
    <w:uiPriority w:val="0"/>
    <w:pPr>
      <w:widowControl/>
    </w:pPr>
    <w:rPr>
      <w:szCs w:val="21"/>
    </w:rPr>
  </w:style>
  <w:style w:type="paragraph" w:customStyle="1" w:styleId="457">
    <w:name w:val="p20"/>
    <w:basedOn w:val="1"/>
    <w:autoRedefine/>
    <w:qFormat/>
    <w:uiPriority w:val="0"/>
    <w:pPr>
      <w:widowControl/>
    </w:pPr>
    <w:rPr>
      <w:rFonts w:ascii="Calibri" w:hAnsi="Calibri" w:cs="宋体"/>
      <w:szCs w:val="21"/>
    </w:rPr>
  </w:style>
  <w:style w:type="character" w:customStyle="1" w:styleId="458">
    <w:name w:val="font61"/>
    <w:qFormat/>
    <w:uiPriority w:val="0"/>
    <w:rPr>
      <w:rFonts w:hint="eastAsia" w:ascii="微软雅黑" w:hAnsi="微软雅黑" w:eastAsia="微软雅黑" w:cs="微软雅黑"/>
      <w:color w:val="000000"/>
      <w:sz w:val="18"/>
      <w:szCs w:val="18"/>
      <w:u w:val="none"/>
    </w:rPr>
  </w:style>
  <w:style w:type="character" w:customStyle="1" w:styleId="459">
    <w:name w:val="font71"/>
    <w:autoRedefine/>
    <w:qFormat/>
    <w:uiPriority w:val="0"/>
    <w:rPr>
      <w:rFonts w:hint="eastAsia" w:ascii="微软雅黑" w:hAnsi="微软雅黑" w:eastAsia="微软雅黑" w:cs="微软雅黑"/>
      <w:b/>
      <w:bCs/>
      <w:color w:val="000000"/>
      <w:sz w:val="18"/>
      <w:szCs w:val="18"/>
      <w:u w:val="none"/>
    </w:rPr>
  </w:style>
  <w:style w:type="character" w:customStyle="1" w:styleId="460">
    <w:name w:val="font31"/>
    <w:autoRedefine/>
    <w:qFormat/>
    <w:uiPriority w:val="0"/>
    <w:rPr>
      <w:rFonts w:hint="eastAsia" w:ascii="微软雅黑" w:hAnsi="微软雅黑" w:eastAsia="微软雅黑" w:cs="微软雅黑"/>
      <w:color w:val="000000"/>
      <w:sz w:val="18"/>
      <w:szCs w:val="18"/>
      <w:u w:val="none"/>
    </w:rPr>
  </w:style>
  <w:style w:type="character" w:customStyle="1" w:styleId="461">
    <w:name w:val="font81"/>
    <w:autoRedefine/>
    <w:qFormat/>
    <w:uiPriority w:val="0"/>
    <w:rPr>
      <w:rFonts w:ascii="微软雅黑" w:hAnsi="微软雅黑" w:eastAsia="微软雅黑" w:cs="微软雅黑"/>
      <w:color w:val="000000"/>
      <w:sz w:val="18"/>
      <w:szCs w:val="18"/>
      <w:u w:val="none"/>
    </w:rPr>
  </w:style>
  <w:style w:type="character" w:customStyle="1" w:styleId="462">
    <w:name w:val="font91"/>
    <w:autoRedefine/>
    <w:qFormat/>
    <w:uiPriority w:val="0"/>
    <w:rPr>
      <w:rFonts w:hint="eastAsia" w:ascii="宋体" w:hAnsi="宋体" w:eastAsia="宋体" w:cs="宋体"/>
      <w:color w:val="000000"/>
      <w:sz w:val="18"/>
      <w:szCs w:val="18"/>
      <w:u w:val="none"/>
    </w:rPr>
  </w:style>
  <w:style w:type="paragraph" w:customStyle="1" w:styleId="463">
    <w:name w:val="Plain Text1"/>
    <w:next w:val="26"/>
    <w:qFormat/>
    <w:uiPriority w:val="0"/>
    <w:pPr>
      <w:widowControl w:val="0"/>
      <w:adjustRightInd w:val="0"/>
      <w:jc w:val="both"/>
      <w:textAlignment w:val="baseline"/>
    </w:pPr>
    <w:rPr>
      <w:rFonts w:ascii="宋体" w:hAnsi="宋体" w:eastAsia="楷体_GB2312" w:cs="Times New Roman"/>
      <w:kern w:val="2"/>
      <w:sz w:val="26"/>
      <w:szCs w:val="22"/>
      <w:lang w:val="en-US" w:eastAsia="zh-CN" w:bidi="ar-SA"/>
    </w:rPr>
  </w:style>
  <w:style w:type="character" w:customStyle="1" w:styleId="464">
    <w:name w:val="批注文字 Char2"/>
    <w:link w:val="14"/>
    <w:semiHidden/>
    <w:qFormat/>
    <w:uiPriority w:val="99"/>
    <w:rPr>
      <w:sz w:val="21"/>
      <w:szCs w:val="24"/>
    </w:rPr>
  </w:style>
  <w:style w:type="character" w:customStyle="1" w:styleId="465">
    <w:name w:val="批注主题 Char1"/>
    <w:link w:val="35"/>
    <w:semiHidden/>
    <w:qFormat/>
    <w:uiPriority w:val="99"/>
    <w:rPr>
      <w:b/>
      <w:bCs/>
      <w:sz w:val="21"/>
      <w:szCs w:val="24"/>
    </w:rPr>
  </w:style>
  <w:style w:type="character" w:customStyle="1" w:styleId="466">
    <w:name w:val="批注框文本 Char1"/>
    <w:link w:val="22"/>
    <w:semiHidden/>
    <w:qFormat/>
    <w:uiPriority w:val="99"/>
    <w:rPr>
      <w:sz w:val="18"/>
      <w:szCs w:val="18"/>
    </w:rPr>
  </w:style>
  <w:style w:type="paragraph" w:customStyle="1" w:styleId="467">
    <w:name w:val="列出段落"/>
    <w:basedOn w:val="1"/>
    <w:qFormat/>
    <w:uiPriority w:val="0"/>
    <w:pPr>
      <w:widowControl/>
      <w:ind w:left="720"/>
      <w:contextualSpacing/>
      <w:jc w:val="left"/>
    </w:pPr>
    <w:rPr>
      <w:rFonts w:ascii="Calibri" w:hAnsi="Calibri" w:cs="Calibri"/>
      <w:kern w:val="0"/>
      <w:sz w:val="24"/>
      <w:szCs w:val="24"/>
      <w:lang w:eastAsia="en-US" w:bidi="en-US"/>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10.xml"/><Relationship Id="rId16" Type="http://schemas.openxmlformats.org/officeDocument/2006/relationships/footer" Target="footer9.xml"/><Relationship Id="rId15" Type="http://schemas.openxmlformats.org/officeDocument/2006/relationships/header" Target="header5.xml"/><Relationship Id="rId14" Type="http://schemas.openxmlformats.org/officeDocument/2006/relationships/header" Target="header4.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3076"/>
    <customShpInfo spid="_x0000_s3081" textRotate="1"/>
    <customShpInfo spid="_x0000_s3082" textRotate="1"/>
    <customShpInfo spid="_x0000_s3083" textRotate="1"/>
    <customShpInfo spid="_x0000_s3084"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87</Pages>
  <Words>8759</Words>
  <Characters>9402</Characters>
  <Lines>293</Lines>
  <Paragraphs>82</Paragraphs>
  <TotalTime>7</TotalTime>
  <ScaleCrop>false</ScaleCrop>
  <LinksUpToDate>false</LinksUpToDate>
  <CharactersWithSpaces>9533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2024-01-19T05:48:00Z</dcterms:created>
  <dc:creator>中采 高珺</dc:creator>
  <cp:lastModifiedBy>中采</cp:lastModifiedBy>
  <dcterms:modified xsi:type="dcterms:W3CDTF">2026-10-12T03:21:20Z</dcterms:modified>
  <cp:revision>442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150B3B242532481084228381B58DFDE8_12</vt:lpwstr>
  </property>
  <property fmtid="{D5CDD505-2E9C-101B-9397-08002B2CF9AE}" pid="4" name="KSOTemplateDocerSaveRecord">
    <vt:lpwstr>eyJoZGlkIjoiMjQ5M2U2NWY3ZmFiY2VmMmQyZDgwMDFlNzJkNWNlYmIiLCJ1c2VySWQiOiIxMjI0MTUyMzMzIn0=</vt:lpwstr>
  </property>
</Properties>
</file>